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FC0BDD" w14:textId="77777777" w:rsidR="006944F8" w:rsidRPr="00A94875" w:rsidRDefault="006944F8" w:rsidP="006944F8">
      <w:pPr>
        <w:rPr>
          <w:lang w:val="en-GB"/>
        </w:rPr>
      </w:pPr>
    </w:p>
    <w:tbl>
      <w:tblPr>
        <w:tblW w:w="9923" w:type="dxa"/>
        <w:tblLayout w:type="fixed"/>
        <w:tblCellMar>
          <w:left w:w="57" w:type="dxa"/>
          <w:right w:w="57" w:type="dxa"/>
        </w:tblCellMar>
        <w:tblLook w:val="0000" w:firstRow="0" w:lastRow="0" w:firstColumn="0" w:lastColumn="0" w:noHBand="0" w:noVBand="0"/>
      </w:tblPr>
      <w:tblGrid>
        <w:gridCol w:w="1190"/>
        <w:gridCol w:w="417"/>
        <w:gridCol w:w="9"/>
        <w:gridCol w:w="3627"/>
        <w:gridCol w:w="4680"/>
      </w:tblGrid>
      <w:tr w:rsidR="006944F8" w:rsidRPr="00A94875" w14:paraId="31E7B619" w14:textId="77777777" w:rsidTr="00071381">
        <w:trPr>
          <w:cantSplit/>
        </w:trPr>
        <w:tc>
          <w:tcPr>
            <w:tcW w:w="1191" w:type="dxa"/>
            <w:vMerge w:val="restart"/>
          </w:tcPr>
          <w:p w14:paraId="5D5FDED9" w14:textId="77777777" w:rsidR="006944F8" w:rsidRPr="00A94875" w:rsidRDefault="006944F8" w:rsidP="00071381">
            <w:pPr>
              <w:rPr>
                <w:rFonts w:asciiTheme="majorBidi" w:eastAsiaTheme="minorEastAsia" w:hAnsiTheme="majorBidi" w:cstheme="majorBidi"/>
                <w:sz w:val="20"/>
                <w:lang w:val="en-GB" w:eastAsia="ja-JP"/>
              </w:rPr>
            </w:pPr>
            <w:r w:rsidRPr="00A94875">
              <w:rPr>
                <w:rFonts w:asciiTheme="majorBidi" w:eastAsiaTheme="minorEastAsia" w:hAnsiTheme="majorBidi" w:cstheme="majorBidi"/>
                <w:noProof/>
                <w:sz w:val="20"/>
                <w:lang w:val="en-GB"/>
              </w:rPr>
              <w:drawing>
                <wp:inline distT="0" distB="0" distL="0" distR="0" wp14:anchorId="6718666A" wp14:editId="2E1DE194">
                  <wp:extent cx="647700" cy="828675"/>
                  <wp:effectExtent l="0" t="0" r="0" b="0"/>
                  <wp:docPr id="4" name="Picture 4"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3"/>
            <w:vMerge w:val="restart"/>
          </w:tcPr>
          <w:p w14:paraId="41F51934" w14:textId="77777777" w:rsidR="006944F8" w:rsidRPr="00A94875" w:rsidRDefault="006944F8" w:rsidP="00071381">
            <w:pPr>
              <w:rPr>
                <w:rFonts w:asciiTheme="majorBidi" w:eastAsiaTheme="minorEastAsia" w:hAnsiTheme="majorBidi" w:cstheme="majorBidi"/>
                <w:sz w:val="16"/>
                <w:szCs w:val="16"/>
                <w:lang w:val="en-GB" w:eastAsia="ja-JP"/>
              </w:rPr>
            </w:pPr>
            <w:r w:rsidRPr="00A94875">
              <w:rPr>
                <w:rFonts w:asciiTheme="majorBidi" w:eastAsiaTheme="minorEastAsia" w:hAnsiTheme="majorBidi" w:cstheme="majorBidi"/>
                <w:sz w:val="16"/>
                <w:szCs w:val="16"/>
                <w:lang w:val="en-GB" w:eastAsia="ja-JP"/>
              </w:rPr>
              <w:t>INTERNATIONAL TELECOMMUNICATION UNION</w:t>
            </w:r>
          </w:p>
          <w:p w14:paraId="72D4A8B8" w14:textId="77777777" w:rsidR="006944F8" w:rsidRPr="00A94875" w:rsidRDefault="006944F8" w:rsidP="00071381">
            <w:pPr>
              <w:rPr>
                <w:rFonts w:asciiTheme="majorBidi" w:eastAsiaTheme="minorEastAsia" w:hAnsiTheme="majorBidi" w:cstheme="majorBidi"/>
                <w:b/>
                <w:bCs/>
                <w:sz w:val="26"/>
                <w:szCs w:val="26"/>
                <w:lang w:val="en-GB" w:eastAsia="ja-JP"/>
              </w:rPr>
            </w:pPr>
            <w:r w:rsidRPr="00A94875">
              <w:rPr>
                <w:rFonts w:asciiTheme="majorBidi" w:eastAsiaTheme="minorEastAsia" w:hAnsiTheme="majorBidi" w:cstheme="majorBidi"/>
                <w:b/>
                <w:bCs/>
                <w:sz w:val="26"/>
                <w:szCs w:val="26"/>
                <w:lang w:val="en-GB" w:eastAsia="ja-JP"/>
              </w:rPr>
              <w:t>TELECOMMUNICATION</w:t>
            </w:r>
            <w:r w:rsidRPr="00A94875">
              <w:rPr>
                <w:rFonts w:asciiTheme="majorBidi" w:eastAsiaTheme="minorEastAsia" w:hAnsiTheme="majorBidi" w:cstheme="majorBidi"/>
                <w:b/>
                <w:bCs/>
                <w:sz w:val="26"/>
                <w:szCs w:val="26"/>
                <w:lang w:val="en-GB" w:eastAsia="ja-JP"/>
              </w:rPr>
              <w:br/>
              <w:t>STANDARDIZATION SECTOR</w:t>
            </w:r>
          </w:p>
          <w:p w14:paraId="635989F6" w14:textId="77777777" w:rsidR="006944F8" w:rsidRPr="00A94875" w:rsidRDefault="006944F8" w:rsidP="00071381">
            <w:pPr>
              <w:rPr>
                <w:rFonts w:asciiTheme="majorBidi" w:eastAsiaTheme="minorEastAsia" w:hAnsiTheme="majorBidi" w:cstheme="majorBidi"/>
                <w:sz w:val="20"/>
                <w:lang w:val="en-GB" w:eastAsia="ja-JP"/>
              </w:rPr>
            </w:pPr>
            <w:r w:rsidRPr="00A94875">
              <w:rPr>
                <w:rFonts w:asciiTheme="majorBidi" w:eastAsiaTheme="minorEastAsia" w:hAnsiTheme="majorBidi" w:cstheme="majorBidi"/>
                <w:sz w:val="20"/>
                <w:lang w:val="en-GB" w:eastAsia="ja-JP"/>
              </w:rPr>
              <w:t xml:space="preserve">STUDY PERIOD </w:t>
            </w:r>
            <w:bookmarkStart w:id="0" w:name="dstudyperiod"/>
            <w:r w:rsidRPr="00A94875">
              <w:rPr>
                <w:rFonts w:asciiTheme="majorBidi" w:eastAsiaTheme="minorEastAsia" w:hAnsiTheme="majorBidi" w:cstheme="majorBidi"/>
                <w:sz w:val="20"/>
                <w:lang w:val="en-GB" w:eastAsia="ja-JP"/>
              </w:rPr>
              <w:t>2017-2020</w:t>
            </w:r>
            <w:bookmarkEnd w:id="0"/>
          </w:p>
        </w:tc>
        <w:tc>
          <w:tcPr>
            <w:tcW w:w="4681" w:type="dxa"/>
            <w:vAlign w:val="center"/>
          </w:tcPr>
          <w:p w14:paraId="7D0E8A97" w14:textId="0A70038E" w:rsidR="006944F8" w:rsidRPr="0004500A" w:rsidRDefault="006944F8" w:rsidP="0004500A">
            <w:pPr>
              <w:jc w:val="right"/>
              <w:rPr>
                <w:rFonts w:asciiTheme="majorBidi" w:eastAsia="SimSun" w:hAnsiTheme="majorBidi" w:cstheme="majorBidi"/>
                <w:b/>
                <w:sz w:val="32"/>
                <w:szCs w:val="32"/>
                <w:highlight w:val="yellow"/>
                <w:lang w:val="en-GB"/>
              </w:rPr>
            </w:pPr>
            <w:r w:rsidRPr="0004500A">
              <w:rPr>
                <w:rFonts w:asciiTheme="majorBidi" w:eastAsia="SimSun" w:hAnsiTheme="majorBidi" w:cstheme="majorBidi"/>
                <w:b/>
                <w:sz w:val="32"/>
                <w:szCs w:val="32"/>
                <w:lang w:val="en-GB"/>
              </w:rPr>
              <w:t>T</w:t>
            </w:r>
            <w:r w:rsidR="0004500A">
              <w:rPr>
                <w:rFonts w:asciiTheme="majorBidi" w:eastAsia="SimSun" w:hAnsiTheme="majorBidi" w:cstheme="majorBidi"/>
                <w:b/>
                <w:sz w:val="32"/>
                <w:szCs w:val="32"/>
                <w:lang w:val="en-GB"/>
              </w:rPr>
              <w:t>SAG-T</w:t>
            </w:r>
            <w:r w:rsidRPr="0004500A">
              <w:rPr>
                <w:rFonts w:asciiTheme="majorBidi" w:eastAsia="SimSun" w:hAnsiTheme="majorBidi" w:cstheme="majorBidi"/>
                <w:b/>
                <w:sz w:val="32"/>
                <w:szCs w:val="32"/>
                <w:lang w:val="en-GB"/>
              </w:rPr>
              <w:t>D291</w:t>
            </w:r>
          </w:p>
        </w:tc>
      </w:tr>
      <w:tr w:rsidR="006944F8" w:rsidRPr="00A94875" w14:paraId="7B4CAC96" w14:textId="77777777" w:rsidTr="00071381">
        <w:trPr>
          <w:cantSplit/>
        </w:trPr>
        <w:tc>
          <w:tcPr>
            <w:tcW w:w="1191" w:type="dxa"/>
            <w:vMerge/>
          </w:tcPr>
          <w:p w14:paraId="21419EA6" w14:textId="77777777" w:rsidR="006944F8" w:rsidRPr="00A94875" w:rsidRDefault="006944F8" w:rsidP="00071381">
            <w:pPr>
              <w:rPr>
                <w:rFonts w:asciiTheme="majorBidi" w:eastAsiaTheme="minorEastAsia" w:hAnsiTheme="majorBidi" w:cstheme="majorBidi"/>
                <w:smallCaps/>
                <w:sz w:val="20"/>
                <w:szCs w:val="24"/>
                <w:highlight w:val="yellow"/>
                <w:lang w:val="en-GB" w:eastAsia="ja-JP"/>
              </w:rPr>
            </w:pPr>
          </w:p>
        </w:tc>
        <w:tc>
          <w:tcPr>
            <w:tcW w:w="4051" w:type="dxa"/>
            <w:gridSpan w:val="3"/>
            <w:vMerge/>
          </w:tcPr>
          <w:p w14:paraId="6D6FF74E" w14:textId="77777777" w:rsidR="006944F8" w:rsidRPr="00A94875" w:rsidRDefault="006944F8" w:rsidP="00071381">
            <w:pPr>
              <w:rPr>
                <w:rFonts w:asciiTheme="majorBidi" w:eastAsiaTheme="minorEastAsia" w:hAnsiTheme="majorBidi" w:cstheme="majorBidi"/>
                <w:smallCaps/>
                <w:sz w:val="20"/>
                <w:szCs w:val="24"/>
                <w:highlight w:val="yellow"/>
                <w:lang w:val="en-GB" w:eastAsia="ja-JP"/>
              </w:rPr>
            </w:pPr>
          </w:p>
        </w:tc>
        <w:tc>
          <w:tcPr>
            <w:tcW w:w="4681" w:type="dxa"/>
          </w:tcPr>
          <w:p w14:paraId="7B6F6398" w14:textId="77777777" w:rsidR="006944F8" w:rsidRPr="00770A8C" w:rsidRDefault="006944F8" w:rsidP="00071381">
            <w:pPr>
              <w:jc w:val="right"/>
              <w:rPr>
                <w:rFonts w:asciiTheme="majorBidi" w:eastAsiaTheme="minorEastAsia" w:hAnsiTheme="majorBidi" w:cstheme="majorBidi"/>
                <w:b/>
                <w:bCs/>
                <w:smallCaps/>
                <w:sz w:val="28"/>
                <w:szCs w:val="28"/>
                <w:lang w:val="en-GB" w:eastAsia="ja-JP"/>
              </w:rPr>
            </w:pPr>
            <w:r w:rsidRPr="00770A8C">
              <w:rPr>
                <w:rFonts w:asciiTheme="majorBidi" w:eastAsiaTheme="minorEastAsia" w:hAnsiTheme="majorBidi" w:cstheme="majorBidi"/>
                <w:b/>
                <w:bCs/>
                <w:smallCaps/>
                <w:sz w:val="28"/>
                <w:szCs w:val="28"/>
                <w:lang w:val="en-GB" w:eastAsia="ja-JP"/>
              </w:rPr>
              <w:t>TSAG</w:t>
            </w:r>
          </w:p>
        </w:tc>
      </w:tr>
      <w:tr w:rsidR="006944F8" w:rsidRPr="00A94875" w14:paraId="1623B925" w14:textId="77777777" w:rsidTr="00071381">
        <w:trPr>
          <w:cantSplit/>
        </w:trPr>
        <w:tc>
          <w:tcPr>
            <w:tcW w:w="1191" w:type="dxa"/>
            <w:vMerge/>
            <w:tcBorders>
              <w:bottom w:val="single" w:sz="12" w:space="0" w:color="auto"/>
            </w:tcBorders>
          </w:tcPr>
          <w:p w14:paraId="4785E5C3" w14:textId="77777777" w:rsidR="006944F8" w:rsidRPr="00A94875" w:rsidRDefault="006944F8" w:rsidP="00071381">
            <w:pPr>
              <w:rPr>
                <w:rFonts w:asciiTheme="majorBidi" w:eastAsiaTheme="minorEastAsia" w:hAnsiTheme="majorBidi" w:cstheme="majorBidi"/>
                <w:b/>
                <w:bCs/>
                <w:sz w:val="26"/>
                <w:szCs w:val="24"/>
                <w:highlight w:val="yellow"/>
                <w:lang w:val="en-GB" w:eastAsia="ja-JP"/>
              </w:rPr>
            </w:pPr>
          </w:p>
        </w:tc>
        <w:tc>
          <w:tcPr>
            <w:tcW w:w="4051" w:type="dxa"/>
            <w:gridSpan w:val="3"/>
            <w:vMerge/>
            <w:tcBorders>
              <w:bottom w:val="single" w:sz="12" w:space="0" w:color="auto"/>
            </w:tcBorders>
          </w:tcPr>
          <w:p w14:paraId="76CC39A3" w14:textId="77777777" w:rsidR="006944F8" w:rsidRPr="00A94875" w:rsidRDefault="006944F8" w:rsidP="00071381">
            <w:pPr>
              <w:rPr>
                <w:rFonts w:asciiTheme="majorBidi" w:eastAsiaTheme="minorEastAsia" w:hAnsiTheme="majorBidi" w:cstheme="majorBidi"/>
                <w:b/>
                <w:bCs/>
                <w:sz w:val="26"/>
                <w:szCs w:val="24"/>
                <w:highlight w:val="yellow"/>
                <w:lang w:val="en-GB" w:eastAsia="ja-JP"/>
              </w:rPr>
            </w:pPr>
          </w:p>
        </w:tc>
        <w:tc>
          <w:tcPr>
            <w:tcW w:w="4681" w:type="dxa"/>
            <w:tcBorders>
              <w:bottom w:val="single" w:sz="12" w:space="0" w:color="auto"/>
            </w:tcBorders>
            <w:vAlign w:val="center"/>
          </w:tcPr>
          <w:p w14:paraId="13CC0D37" w14:textId="77777777" w:rsidR="006944F8" w:rsidRPr="00770A8C" w:rsidRDefault="006944F8" w:rsidP="00071381">
            <w:pPr>
              <w:jc w:val="right"/>
              <w:rPr>
                <w:rFonts w:asciiTheme="majorBidi" w:eastAsiaTheme="minorEastAsia" w:hAnsiTheme="majorBidi" w:cstheme="majorBidi"/>
                <w:b/>
                <w:bCs/>
                <w:sz w:val="28"/>
                <w:szCs w:val="28"/>
                <w:lang w:val="en-GB" w:eastAsia="ja-JP"/>
              </w:rPr>
            </w:pPr>
            <w:r w:rsidRPr="00770A8C">
              <w:rPr>
                <w:rFonts w:asciiTheme="majorBidi" w:eastAsiaTheme="minorEastAsia" w:hAnsiTheme="majorBidi" w:cstheme="majorBidi"/>
                <w:b/>
                <w:bCs/>
                <w:sz w:val="28"/>
                <w:szCs w:val="28"/>
                <w:lang w:val="en-GB" w:eastAsia="ja-JP"/>
              </w:rPr>
              <w:t>Original: English</w:t>
            </w:r>
          </w:p>
        </w:tc>
      </w:tr>
      <w:tr w:rsidR="006944F8" w:rsidRPr="00A94875" w14:paraId="214F4F7D" w14:textId="77777777" w:rsidTr="00071381">
        <w:trPr>
          <w:cantSplit/>
        </w:trPr>
        <w:tc>
          <w:tcPr>
            <w:tcW w:w="1617" w:type="dxa"/>
            <w:gridSpan w:val="3"/>
          </w:tcPr>
          <w:p w14:paraId="738282D3" w14:textId="77777777" w:rsidR="006944F8" w:rsidRPr="00A94875" w:rsidRDefault="006944F8" w:rsidP="00071381">
            <w:pPr>
              <w:rPr>
                <w:rFonts w:asciiTheme="majorBidi" w:eastAsiaTheme="minorEastAsia" w:hAnsiTheme="majorBidi" w:cstheme="majorBidi"/>
                <w:b/>
                <w:bCs/>
                <w:szCs w:val="24"/>
                <w:lang w:val="en-GB" w:eastAsia="ja-JP"/>
              </w:rPr>
            </w:pPr>
            <w:r w:rsidRPr="00A94875">
              <w:rPr>
                <w:rFonts w:asciiTheme="majorBidi" w:eastAsiaTheme="minorEastAsia" w:hAnsiTheme="majorBidi" w:cstheme="majorBidi"/>
                <w:b/>
                <w:bCs/>
                <w:szCs w:val="24"/>
                <w:lang w:val="en-GB" w:eastAsia="ja-JP"/>
              </w:rPr>
              <w:t>Question(s):</w:t>
            </w:r>
          </w:p>
        </w:tc>
        <w:tc>
          <w:tcPr>
            <w:tcW w:w="3625" w:type="dxa"/>
          </w:tcPr>
          <w:p w14:paraId="70E1D64E" w14:textId="77777777" w:rsidR="006944F8" w:rsidRPr="00A94875" w:rsidRDefault="006944F8" w:rsidP="00071381">
            <w:pPr>
              <w:rPr>
                <w:rFonts w:asciiTheme="majorBidi" w:eastAsiaTheme="minorEastAsia" w:hAnsiTheme="majorBidi" w:cstheme="majorBidi"/>
                <w:szCs w:val="24"/>
                <w:lang w:val="en-GB" w:eastAsia="ja-JP"/>
              </w:rPr>
            </w:pPr>
            <w:r w:rsidRPr="00A94875">
              <w:rPr>
                <w:rFonts w:asciiTheme="majorBidi" w:eastAsiaTheme="minorEastAsia" w:hAnsiTheme="majorBidi" w:cstheme="majorBidi"/>
                <w:szCs w:val="24"/>
                <w:lang w:val="en-GB" w:eastAsia="ja-JP"/>
              </w:rPr>
              <w:t>N/A</w:t>
            </w:r>
          </w:p>
        </w:tc>
        <w:tc>
          <w:tcPr>
            <w:tcW w:w="4681" w:type="dxa"/>
          </w:tcPr>
          <w:p w14:paraId="22E75FB4" w14:textId="77F40D3C" w:rsidR="006944F8" w:rsidRPr="00A94875" w:rsidRDefault="006944F8" w:rsidP="00770A8C">
            <w:pPr>
              <w:jc w:val="right"/>
              <w:rPr>
                <w:rFonts w:asciiTheme="majorBidi" w:eastAsiaTheme="minorEastAsia" w:hAnsiTheme="majorBidi" w:cstheme="majorBidi"/>
                <w:szCs w:val="24"/>
                <w:highlight w:val="yellow"/>
                <w:lang w:val="en-GB" w:eastAsia="ja-JP"/>
              </w:rPr>
            </w:pPr>
            <w:r w:rsidRPr="00A94875">
              <w:rPr>
                <w:rFonts w:asciiTheme="majorBidi" w:eastAsiaTheme="minorEastAsia" w:hAnsiTheme="majorBidi" w:cstheme="majorBidi"/>
                <w:szCs w:val="24"/>
                <w:lang w:val="en-GB" w:eastAsia="ja-JP"/>
              </w:rPr>
              <w:t>Geneva, 10</w:t>
            </w:r>
            <w:r w:rsidR="00770A8C">
              <w:rPr>
                <w:rFonts w:asciiTheme="majorBidi" w:eastAsiaTheme="minorEastAsia" w:hAnsiTheme="majorBidi" w:cstheme="majorBidi"/>
                <w:szCs w:val="24"/>
                <w:lang w:val="en-GB" w:eastAsia="ja-JP"/>
              </w:rPr>
              <w:t>-</w:t>
            </w:r>
            <w:r w:rsidRPr="00A94875">
              <w:rPr>
                <w:rFonts w:asciiTheme="majorBidi" w:eastAsiaTheme="minorEastAsia" w:hAnsiTheme="majorBidi" w:cstheme="majorBidi"/>
                <w:szCs w:val="24"/>
                <w:lang w:val="en-GB" w:eastAsia="ja-JP"/>
              </w:rPr>
              <w:t>14 December 2018</w:t>
            </w:r>
          </w:p>
        </w:tc>
      </w:tr>
      <w:tr w:rsidR="006944F8" w:rsidRPr="00A94875" w14:paraId="480C960A" w14:textId="77777777" w:rsidTr="00071381">
        <w:trPr>
          <w:cantSplit/>
        </w:trPr>
        <w:tc>
          <w:tcPr>
            <w:tcW w:w="9923" w:type="dxa"/>
            <w:gridSpan w:val="5"/>
          </w:tcPr>
          <w:p w14:paraId="7AA932BE" w14:textId="77777777" w:rsidR="006944F8" w:rsidRPr="00A94875" w:rsidRDefault="006944F8" w:rsidP="00071381">
            <w:pPr>
              <w:jc w:val="center"/>
              <w:rPr>
                <w:rFonts w:asciiTheme="majorBidi" w:eastAsiaTheme="minorEastAsia" w:hAnsiTheme="majorBidi" w:cstheme="majorBidi"/>
                <w:b/>
                <w:bCs/>
                <w:szCs w:val="24"/>
                <w:highlight w:val="yellow"/>
                <w:lang w:val="en-GB" w:eastAsia="ja-JP"/>
              </w:rPr>
            </w:pPr>
            <w:bookmarkStart w:id="1" w:name="ddoctype" w:colFirst="0" w:colLast="0"/>
            <w:r w:rsidRPr="00A94875">
              <w:rPr>
                <w:rFonts w:asciiTheme="majorBidi" w:eastAsiaTheme="minorEastAsia" w:hAnsiTheme="majorBidi" w:cstheme="majorBidi"/>
                <w:b/>
                <w:bCs/>
                <w:szCs w:val="24"/>
                <w:lang w:val="en-GB" w:eastAsia="ja-JP"/>
              </w:rPr>
              <w:t>TD</w:t>
            </w:r>
          </w:p>
        </w:tc>
      </w:tr>
      <w:bookmarkEnd w:id="1"/>
      <w:tr w:rsidR="006944F8" w:rsidRPr="00A94875" w14:paraId="088F01F1" w14:textId="77777777" w:rsidTr="00071381">
        <w:trPr>
          <w:cantSplit/>
        </w:trPr>
        <w:tc>
          <w:tcPr>
            <w:tcW w:w="1617" w:type="dxa"/>
            <w:gridSpan w:val="3"/>
          </w:tcPr>
          <w:p w14:paraId="25E4D095" w14:textId="77777777" w:rsidR="006944F8" w:rsidRPr="00A94875" w:rsidRDefault="006944F8" w:rsidP="00071381">
            <w:pPr>
              <w:rPr>
                <w:rFonts w:asciiTheme="majorBidi" w:eastAsiaTheme="minorEastAsia" w:hAnsiTheme="majorBidi" w:cstheme="majorBidi"/>
                <w:b/>
                <w:bCs/>
                <w:szCs w:val="24"/>
                <w:lang w:val="en-GB" w:eastAsia="ja-JP"/>
              </w:rPr>
            </w:pPr>
            <w:r w:rsidRPr="00A94875">
              <w:rPr>
                <w:rFonts w:asciiTheme="majorBidi" w:eastAsiaTheme="minorEastAsia" w:hAnsiTheme="majorBidi" w:cstheme="majorBidi"/>
                <w:b/>
                <w:bCs/>
                <w:szCs w:val="24"/>
                <w:lang w:val="en-GB" w:eastAsia="ja-JP"/>
              </w:rPr>
              <w:t>Source:</w:t>
            </w:r>
          </w:p>
        </w:tc>
        <w:tc>
          <w:tcPr>
            <w:tcW w:w="8306" w:type="dxa"/>
            <w:gridSpan w:val="2"/>
          </w:tcPr>
          <w:p w14:paraId="56229A87" w14:textId="77777777" w:rsidR="006944F8" w:rsidRPr="00A94875" w:rsidRDefault="006944F8" w:rsidP="00071381">
            <w:pPr>
              <w:rPr>
                <w:rFonts w:asciiTheme="majorBidi" w:eastAsiaTheme="minorEastAsia" w:hAnsiTheme="majorBidi" w:cstheme="majorBidi"/>
                <w:szCs w:val="24"/>
                <w:lang w:val="en-GB" w:eastAsia="ja-JP"/>
              </w:rPr>
            </w:pPr>
            <w:r w:rsidRPr="00A94875">
              <w:rPr>
                <w:rFonts w:asciiTheme="majorBidi" w:eastAsiaTheme="minorEastAsia" w:hAnsiTheme="majorBidi" w:cstheme="majorBidi"/>
                <w:szCs w:val="24"/>
                <w:lang w:val="en-GB" w:eastAsia="ja-JP"/>
              </w:rPr>
              <w:t>Director, TSB</w:t>
            </w:r>
          </w:p>
        </w:tc>
      </w:tr>
      <w:tr w:rsidR="006944F8" w:rsidRPr="00A94875" w14:paraId="28F240B5" w14:textId="77777777" w:rsidTr="00071381">
        <w:trPr>
          <w:cantSplit/>
        </w:trPr>
        <w:tc>
          <w:tcPr>
            <w:tcW w:w="1617" w:type="dxa"/>
            <w:gridSpan w:val="3"/>
          </w:tcPr>
          <w:p w14:paraId="714A264E" w14:textId="77777777" w:rsidR="006944F8" w:rsidRPr="00A94875" w:rsidRDefault="006944F8" w:rsidP="00071381">
            <w:pPr>
              <w:rPr>
                <w:rFonts w:asciiTheme="majorBidi" w:eastAsiaTheme="minorEastAsia" w:hAnsiTheme="majorBidi" w:cstheme="majorBidi"/>
                <w:szCs w:val="24"/>
                <w:lang w:val="en-GB" w:eastAsia="ja-JP"/>
              </w:rPr>
            </w:pPr>
            <w:r w:rsidRPr="00A94875">
              <w:rPr>
                <w:rFonts w:asciiTheme="majorBidi" w:eastAsiaTheme="minorEastAsia" w:hAnsiTheme="majorBidi" w:cstheme="majorBidi"/>
                <w:b/>
                <w:bCs/>
                <w:szCs w:val="24"/>
                <w:lang w:val="en-GB" w:eastAsia="ja-JP"/>
              </w:rPr>
              <w:t>Title:</w:t>
            </w:r>
          </w:p>
        </w:tc>
        <w:tc>
          <w:tcPr>
            <w:tcW w:w="8306" w:type="dxa"/>
            <w:gridSpan w:val="2"/>
          </w:tcPr>
          <w:p w14:paraId="44AC8189" w14:textId="77777777" w:rsidR="006944F8" w:rsidRPr="00A94875" w:rsidRDefault="006944F8" w:rsidP="00071381">
            <w:pPr>
              <w:rPr>
                <w:rFonts w:asciiTheme="majorBidi" w:eastAsiaTheme="minorEastAsia" w:hAnsiTheme="majorBidi" w:cstheme="majorBidi"/>
                <w:szCs w:val="24"/>
                <w:lang w:val="en-GB" w:eastAsia="ja-JP"/>
              </w:rPr>
            </w:pPr>
            <w:r w:rsidRPr="00A94875">
              <w:rPr>
                <w:rFonts w:asciiTheme="majorBidi" w:hAnsiTheme="majorBidi" w:cstheme="majorBidi"/>
                <w:lang w:val="en-GB"/>
              </w:rPr>
              <w:t>Report of activities in ITU-T (from February to October 2018)</w:t>
            </w:r>
          </w:p>
        </w:tc>
      </w:tr>
      <w:tr w:rsidR="006944F8" w:rsidRPr="00A94875" w14:paraId="2ABF1A67" w14:textId="77777777" w:rsidTr="00071381">
        <w:trPr>
          <w:cantSplit/>
        </w:trPr>
        <w:tc>
          <w:tcPr>
            <w:tcW w:w="1617" w:type="dxa"/>
            <w:gridSpan w:val="3"/>
            <w:tcBorders>
              <w:bottom w:val="single" w:sz="8" w:space="0" w:color="auto"/>
            </w:tcBorders>
          </w:tcPr>
          <w:p w14:paraId="70A934B8" w14:textId="77777777" w:rsidR="006944F8" w:rsidRPr="00A94875" w:rsidRDefault="006944F8" w:rsidP="00071381">
            <w:pPr>
              <w:rPr>
                <w:rFonts w:asciiTheme="majorBidi" w:eastAsiaTheme="minorEastAsia" w:hAnsiTheme="majorBidi" w:cstheme="majorBidi"/>
                <w:b/>
                <w:bCs/>
                <w:szCs w:val="24"/>
                <w:lang w:val="en-GB" w:eastAsia="ja-JP"/>
              </w:rPr>
            </w:pPr>
            <w:bookmarkStart w:id="2" w:name="dpurpose" w:colFirst="1" w:colLast="1"/>
            <w:r w:rsidRPr="00A94875">
              <w:rPr>
                <w:rFonts w:asciiTheme="majorBidi" w:eastAsiaTheme="minorEastAsia" w:hAnsiTheme="majorBidi" w:cstheme="majorBidi"/>
                <w:b/>
                <w:bCs/>
                <w:szCs w:val="24"/>
                <w:lang w:val="en-GB" w:eastAsia="ja-JP"/>
              </w:rPr>
              <w:t>Purpose:</w:t>
            </w:r>
          </w:p>
        </w:tc>
        <w:tc>
          <w:tcPr>
            <w:tcW w:w="8306" w:type="dxa"/>
            <w:gridSpan w:val="2"/>
            <w:tcBorders>
              <w:bottom w:val="single" w:sz="8" w:space="0" w:color="auto"/>
            </w:tcBorders>
          </w:tcPr>
          <w:p w14:paraId="2658764C" w14:textId="77777777" w:rsidR="006944F8" w:rsidRPr="00A94875" w:rsidRDefault="006944F8" w:rsidP="00071381">
            <w:pPr>
              <w:bidi/>
              <w:jc w:val="right"/>
              <w:rPr>
                <w:rFonts w:asciiTheme="majorBidi" w:eastAsiaTheme="minorEastAsia" w:hAnsiTheme="majorBidi" w:cstheme="majorBidi"/>
                <w:szCs w:val="24"/>
                <w:lang w:val="en-GB" w:eastAsia="ja-JP"/>
              </w:rPr>
            </w:pPr>
            <w:r w:rsidRPr="00A94875">
              <w:rPr>
                <w:rFonts w:asciiTheme="majorBidi" w:eastAsiaTheme="minorEastAsia" w:hAnsiTheme="majorBidi" w:cstheme="majorBidi"/>
                <w:szCs w:val="24"/>
                <w:lang w:val="en-GB" w:eastAsia="ja-JP"/>
              </w:rPr>
              <w:t>Information</w:t>
            </w:r>
          </w:p>
        </w:tc>
      </w:tr>
      <w:bookmarkEnd w:id="2"/>
      <w:tr w:rsidR="006944F8" w:rsidRPr="00A94875" w14:paraId="7D7943CD" w14:textId="77777777" w:rsidTr="00071381">
        <w:trPr>
          <w:cantSplit/>
        </w:trPr>
        <w:tc>
          <w:tcPr>
            <w:tcW w:w="1608" w:type="dxa"/>
            <w:gridSpan w:val="2"/>
            <w:tcBorders>
              <w:top w:val="single" w:sz="8" w:space="0" w:color="auto"/>
              <w:bottom w:val="single" w:sz="8" w:space="0" w:color="auto"/>
            </w:tcBorders>
          </w:tcPr>
          <w:p w14:paraId="00649E44" w14:textId="77777777" w:rsidR="006944F8" w:rsidRPr="00A94875" w:rsidRDefault="006944F8" w:rsidP="00071381">
            <w:pPr>
              <w:spacing w:after="60"/>
              <w:rPr>
                <w:rFonts w:asciiTheme="majorBidi" w:eastAsiaTheme="minorEastAsia" w:hAnsiTheme="majorBidi" w:cstheme="majorBidi"/>
                <w:b/>
                <w:bCs/>
                <w:szCs w:val="24"/>
                <w:lang w:val="en-GB" w:eastAsia="ja-JP"/>
              </w:rPr>
            </w:pPr>
            <w:r w:rsidRPr="00A94875">
              <w:rPr>
                <w:rFonts w:asciiTheme="majorBidi" w:eastAsiaTheme="minorEastAsia" w:hAnsiTheme="majorBidi" w:cstheme="majorBidi"/>
                <w:b/>
                <w:bCs/>
                <w:szCs w:val="24"/>
                <w:lang w:val="en-GB" w:eastAsia="ja-JP"/>
              </w:rPr>
              <w:t>Contact:</w:t>
            </w:r>
          </w:p>
        </w:tc>
        <w:tc>
          <w:tcPr>
            <w:tcW w:w="3637" w:type="dxa"/>
            <w:gridSpan w:val="2"/>
            <w:tcBorders>
              <w:top w:val="single" w:sz="8" w:space="0" w:color="auto"/>
              <w:bottom w:val="single" w:sz="8" w:space="0" w:color="auto"/>
            </w:tcBorders>
          </w:tcPr>
          <w:p w14:paraId="2F1836B3" w14:textId="77777777" w:rsidR="006944F8" w:rsidRPr="00A94875" w:rsidRDefault="006944F8" w:rsidP="00071381">
            <w:pPr>
              <w:spacing w:after="60"/>
              <w:rPr>
                <w:rFonts w:asciiTheme="majorBidi" w:eastAsiaTheme="minorEastAsia" w:hAnsiTheme="majorBidi" w:cstheme="majorBidi"/>
                <w:szCs w:val="24"/>
                <w:lang w:val="en-GB" w:eastAsia="ja-JP"/>
              </w:rPr>
            </w:pPr>
            <w:r w:rsidRPr="00A94875">
              <w:rPr>
                <w:rFonts w:asciiTheme="majorBidi" w:eastAsiaTheme="minorEastAsia" w:hAnsiTheme="majorBidi" w:cstheme="majorBidi"/>
                <w:szCs w:val="24"/>
                <w:lang w:val="en-GB" w:eastAsia="ja-JP"/>
              </w:rPr>
              <w:t xml:space="preserve">TSB TSAG </w:t>
            </w:r>
          </w:p>
        </w:tc>
        <w:tc>
          <w:tcPr>
            <w:tcW w:w="4678" w:type="dxa"/>
            <w:tcBorders>
              <w:top w:val="single" w:sz="8" w:space="0" w:color="auto"/>
              <w:bottom w:val="single" w:sz="8" w:space="0" w:color="auto"/>
            </w:tcBorders>
          </w:tcPr>
          <w:p w14:paraId="4EF73A02" w14:textId="77777777" w:rsidR="006944F8" w:rsidRPr="00A94875" w:rsidRDefault="006944F8" w:rsidP="00071381">
            <w:pPr>
              <w:spacing w:after="60"/>
              <w:rPr>
                <w:rFonts w:asciiTheme="majorBidi" w:eastAsiaTheme="minorEastAsia" w:hAnsiTheme="majorBidi" w:cstheme="majorBidi"/>
                <w:szCs w:val="24"/>
                <w:lang w:val="en-GB" w:eastAsia="ja-JP"/>
              </w:rPr>
            </w:pPr>
            <w:r w:rsidRPr="00A94875">
              <w:rPr>
                <w:rFonts w:asciiTheme="majorBidi" w:eastAsiaTheme="minorEastAsia" w:hAnsiTheme="majorBidi" w:cstheme="majorBidi"/>
                <w:szCs w:val="24"/>
                <w:lang w:val="en-GB" w:eastAsia="ja-JP"/>
              </w:rPr>
              <w:t xml:space="preserve">E-mail: </w:t>
            </w:r>
            <w:hyperlink r:id="rId12" w:history="1">
              <w:r w:rsidRPr="00A94875">
                <w:rPr>
                  <w:rStyle w:val="Hyperlink"/>
                  <w:rFonts w:asciiTheme="majorBidi" w:eastAsiaTheme="minorEastAsia" w:hAnsiTheme="majorBidi" w:cstheme="majorBidi"/>
                  <w:szCs w:val="24"/>
                  <w:lang w:val="en-GB" w:eastAsia="ja-JP"/>
                </w:rPr>
                <w:t>tsbtsag@itu.int</w:t>
              </w:r>
            </w:hyperlink>
          </w:p>
        </w:tc>
      </w:tr>
    </w:tbl>
    <w:p w14:paraId="302B10F3" w14:textId="77777777" w:rsidR="006944F8" w:rsidRPr="00A94875" w:rsidRDefault="006944F8" w:rsidP="006944F8">
      <w:pPr>
        <w:rPr>
          <w:rFonts w:asciiTheme="majorBidi" w:hAnsiTheme="majorBidi" w:cstheme="majorBidi"/>
          <w:lang w:val="en-GB"/>
        </w:rPr>
      </w:pPr>
    </w:p>
    <w:tbl>
      <w:tblPr>
        <w:tblW w:w="9923" w:type="dxa"/>
        <w:tblLayout w:type="fixed"/>
        <w:tblCellMar>
          <w:left w:w="57" w:type="dxa"/>
          <w:right w:w="57" w:type="dxa"/>
        </w:tblCellMar>
        <w:tblLook w:val="0000" w:firstRow="0" w:lastRow="0" w:firstColumn="0" w:lastColumn="0" w:noHBand="0" w:noVBand="0"/>
      </w:tblPr>
      <w:tblGrid>
        <w:gridCol w:w="1607"/>
        <w:gridCol w:w="8316"/>
      </w:tblGrid>
      <w:tr w:rsidR="006944F8" w:rsidRPr="00A94875" w14:paraId="2AEC0594" w14:textId="77777777" w:rsidTr="00071381">
        <w:trPr>
          <w:cantSplit/>
        </w:trPr>
        <w:tc>
          <w:tcPr>
            <w:tcW w:w="1616" w:type="dxa"/>
          </w:tcPr>
          <w:p w14:paraId="7F360F51" w14:textId="77777777" w:rsidR="006944F8" w:rsidRPr="00A94875" w:rsidRDefault="006944F8" w:rsidP="00071381">
            <w:pPr>
              <w:rPr>
                <w:rFonts w:asciiTheme="majorBidi" w:eastAsiaTheme="minorEastAsia" w:hAnsiTheme="majorBidi" w:cstheme="majorBidi"/>
                <w:b/>
                <w:bCs/>
                <w:szCs w:val="24"/>
                <w:lang w:val="en-GB" w:eastAsia="ja-JP"/>
              </w:rPr>
            </w:pPr>
            <w:r w:rsidRPr="00A94875">
              <w:rPr>
                <w:rFonts w:asciiTheme="majorBidi" w:eastAsiaTheme="minorEastAsia" w:hAnsiTheme="majorBidi" w:cstheme="majorBidi"/>
                <w:b/>
                <w:bCs/>
                <w:szCs w:val="24"/>
                <w:lang w:val="en-GB" w:eastAsia="ja-JP"/>
              </w:rPr>
              <w:t>Keywords:</w:t>
            </w:r>
          </w:p>
        </w:tc>
        <w:tc>
          <w:tcPr>
            <w:tcW w:w="8363" w:type="dxa"/>
          </w:tcPr>
          <w:p w14:paraId="57F69CD9" w14:textId="126F847B" w:rsidR="006944F8" w:rsidRPr="00A94875" w:rsidRDefault="006944F8" w:rsidP="00071381">
            <w:pPr>
              <w:rPr>
                <w:rFonts w:asciiTheme="majorBidi" w:eastAsiaTheme="minorEastAsia" w:hAnsiTheme="majorBidi" w:cstheme="majorBidi"/>
                <w:szCs w:val="24"/>
                <w:lang w:val="en-GB" w:eastAsia="ja-JP"/>
              </w:rPr>
            </w:pPr>
            <w:r w:rsidRPr="00A94875">
              <w:rPr>
                <w:rFonts w:asciiTheme="majorBidi" w:hAnsiTheme="majorBidi" w:cstheme="majorBidi"/>
                <w:szCs w:val="24"/>
                <w:lang w:val="en-GB"/>
              </w:rPr>
              <w:t>S</w:t>
            </w:r>
            <w:r w:rsidRPr="00A94875">
              <w:rPr>
                <w:rFonts w:asciiTheme="majorBidi" w:hAnsiTheme="majorBidi" w:cstheme="majorBidi"/>
                <w:lang w:val="en-GB"/>
              </w:rPr>
              <w:t>tandardization; Study Groups; activity report; key results</w:t>
            </w:r>
            <w:r w:rsidR="00770A8C">
              <w:rPr>
                <w:rFonts w:asciiTheme="majorBidi" w:hAnsiTheme="majorBidi" w:cstheme="majorBidi"/>
                <w:lang w:val="en-GB"/>
              </w:rPr>
              <w:t>;</w:t>
            </w:r>
            <w:bookmarkStart w:id="3" w:name="_GoBack"/>
            <w:bookmarkEnd w:id="3"/>
          </w:p>
        </w:tc>
      </w:tr>
      <w:tr w:rsidR="006944F8" w:rsidRPr="00A94875" w14:paraId="109E832D" w14:textId="77777777" w:rsidTr="00071381">
        <w:trPr>
          <w:cantSplit/>
        </w:trPr>
        <w:tc>
          <w:tcPr>
            <w:tcW w:w="1616" w:type="dxa"/>
          </w:tcPr>
          <w:p w14:paraId="3B9EC2F3" w14:textId="77777777" w:rsidR="006944F8" w:rsidRPr="00A94875" w:rsidRDefault="006944F8" w:rsidP="00071381">
            <w:pPr>
              <w:rPr>
                <w:rFonts w:asciiTheme="majorBidi" w:eastAsiaTheme="minorEastAsia" w:hAnsiTheme="majorBidi" w:cstheme="majorBidi"/>
                <w:b/>
                <w:bCs/>
                <w:szCs w:val="24"/>
                <w:lang w:val="en-GB" w:eastAsia="ja-JP"/>
              </w:rPr>
            </w:pPr>
            <w:r w:rsidRPr="00A94875">
              <w:rPr>
                <w:rFonts w:asciiTheme="majorBidi" w:eastAsiaTheme="minorEastAsia" w:hAnsiTheme="majorBidi" w:cstheme="majorBidi"/>
                <w:b/>
                <w:bCs/>
                <w:szCs w:val="24"/>
                <w:lang w:val="en-GB" w:eastAsia="ja-JP"/>
              </w:rPr>
              <w:t>Abstract:</w:t>
            </w:r>
          </w:p>
        </w:tc>
        <w:sdt>
          <w:sdtPr>
            <w:rPr>
              <w:rFonts w:asciiTheme="majorBidi" w:hAnsiTheme="majorBidi" w:cstheme="majorBidi"/>
              <w:lang w:val="en-GB"/>
            </w:rPr>
            <w:alias w:val="Abstract"/>
            <w:tag w:val="Abstract"/>
            <w:id w:val="1199126545"/>
            <w:placeholder>
              <w:docPart w:val="D8CDF8EEC9E544E4A846316D4B10F5E5"/>
            </w:placeholder>
            <w:dataBinding w:prefixMappings="xmlns:ns0='http://schemas.microsoft.com/office/2006/metadata/properties' xmlns:ns1='http://www.w3.org/2001/XMLSchema-instance' xmlns:ns2='http://schemas.microsoft.com/office/infopath/2007/PartnerControls' xmlns:ns3='3f6fad35-1f81-480e-a4e5-6e5474dcfb96' " w:xpath="/ns0:properties[1]/documentManagement[1]/ns3:Abstract[1]" w:storeItemID="{EF8523CC-DEB2-463D-9A27-DF0B8D2CAEC3}"/>
            <w:text/>
          </w:sdtPr>
          <w:sdtEndPr/>
          <w:sdtContent>
            <w:tc>
              <w:tcPr>
                <w:tcW w:w="8363" w:type="dxa"/>
              </w:tcPr>
              <w:p w14:paraId="54A9C95B" w14:textId="5DD36F01" w:rsidR="006944F8" w:rsidRPr="00A94875" w:rsidRDefault="0037553F" w:rsidP="0037553F">
                <w:pPr>
                  <w:rPr>
                    <w:rFonts w:asciiTheme="majorBidi" w:eastAsiaTheme="minorEastAsia" w:hAnsiTheme="majorBidi" w:cstheme="majorBidi"/>
                    <w:szCs w:val="24"/>
                    <w:lang w:val="en-GB" w:eastAsia="ja-JP"/>
                  </w:rPr>
                </w:pPr>
                <w:r w:rsidRPr="00A94875" w:rsidDel="0033393D">
                  <w:rPr>
                    <w:rFonts w:asciiTheme="majorBidi" w:hAnsiTheme="majorBidi" w:cstheme="majorBidi"/>
                    <w:lang w:val="en-GB"/>
                  </w:rPr>
                  <w:t xml:space="preserve">This report </w:t>
                </w:r>
                <w:r w:rsidRPr="00A94875">
                  <w:rPr>
                    <w:rFonts w:asciiTheme="majorBidi" w:hAnsiTheme="majorBidi" w:cstheme="majorBidi"/>
                    <w:lang w:val="en-GB"/>
                  </w:rPr>
                  <w:t xml:space="preserve">summarizes progress achieved </w:t>
                </w:r>
                <w:r w:rsidRPr="00A94875" w:rsidDel="0033393D">
                  <w:rPr>
                    <w:rFonts w:asciiTheme="majorBidi" w:hAnsiTheme="majorBidi" w:cstheme="majorBidi"/>
                    <w:lang w:val="en-GB"/>
                  </w:rPr>
                  <w:t>ITU-T standardization from February 2018 to October 2018, as well as measures taken by TSB to enhance the ITU-T standardization platform.</w:t>
                </w:r>
                <w:r w:rsidRPr="00A94875">
                  <w:rPr>
                    <w:rFonts w:asciiTheme="majorBidi" w:hAnsiTheme="majorBidi" w:cstheme="majorBidi"/>
                    <w:lang w:val="en-GB"/>
                  </w:rPr>
                  <w:t xml:space="preserve"> </w:t>
                </w:r>
              </w:p>
            </w:tc>
          </w:sdtContent>
        </w:sdt>
      </w:tr>
    </w:tbl>
    <w:p w14:paraId="2376609A" w14:textId="77777777" w:rsidR="006944F8" w:rsidRPr="00A94875" w:rsidRDefault="006944F8" w:rsidP="006944F8">
      <w:pPr>
        <w:pageBreakBefore/>
        <w:jc w:val="center"/>
        <w:rPr>
          <w:rFonts w:asciiTheme="majorBidi" w:hAnsiTheme="majorBidi" w:cstheme="majorBidi"/>
          <w:lang w:val="en-GB" w:eastAsia="ja-JP"/>
        </w:rPr>
      </w:pPr>
      <w:r w:rsidRPr="00A94875">
        <w:rPr>
          <w:rFonts w:asciiTheme="majorBidi" w:hAnsiTheme="majorBidi" w:cstheme="majorBidi"/>
          <w:lang w:val="en-GB" w:eastAsia="ja-JP"/>
        </w:rPr>
        <w:lastRenderedPageBreak/>
        <w:t>CONTENTS</w:t>
      </w:r>
    </w:p>
    <w:p w14:paraId="0F64C88B" w14:textId="77777777" w:rsidR="006944F8" w:rsidRPr="00A94875" w:rsidRDefault="006944F8" w:rsidP="006944F8">
      <w:pPr>
        <w:ind w:right="567"/>
        <w:jc w:val="right"/>
        <w:rPr>
          <w:rFonts w:asciiTheme="majorBidi" w:hAnsiTheme="majorBidi" w:cstheme="majorBidi"/>
          <w:lang w:val="en-GB" w:eastAsia="ja-JP"/>
        </w:rPr>
      </w:pPr>
      <w:r w:rsidRPr="00A94875">
        <w:rPr>
          <w:rFonts w:asciiTheme="majorBidi" w:hAnsiTheme="majorBidi" w:cstheme="majorBidi"/>
          <w:lang w:val="en-GB" w:eastAsia="ja-JP"/>
        </w:rPr>
        <w:t>Page</w:t>
      </w:r>
    </w:p>
    <w:p w14:paraId="465AB6B6" w14:textId="6CA31EBA" w:rsidR="00A73071" w:rsidRDefault="006944F8">
      <w:pPr>
        <w:pStyle w:val="TOC1"/>
        <w:rPr>
          <w:rFonts w:asciiTheme="minorHAnsi" w:eastAsiaTheme="minorEastAsia" w:hAnsiTheme="minorHAnsi" w:cstheme="minorBidi"/>
          <w:noProof/>
          <w:sz w:val="22"/>
          <w:szCs w:val="22"/>
          <w:lang w:eastAsia="en-US"/>
        </w:rPr>
      </w:pPr>
      <w:r w:rsidRPr="00A94875">
        <w:rPr>
          <w:rFonts w:asciiTheme="majorBidi" w:eastAsia="Malgun Gothic" w:hAnsiTheme="majorBidi" w:cstheme="majorBidi"/>
          <w:highlight w:val="yellow"/>
          <w:lang w:val="en-GB" w:eastAsia="ko-KR"/>
        </w:rPr>
        <w:fldChar w:fldCharType="begin"/>
      </w:r>
      <w:r w:rsidRPr="00A94875">
        <w:rPr>
          <w:rFonts w:asciiTheme="majorBidi" w:eastAsia="Malgun Gothic" w:hAnsiTheme="majorBidi" w:cstheme="majorBidi"/>
          <w:highlight w:val="yellow"/>
          <w:lang w:val="en-GB" w:eastAsia="ko-KR"/>
        </w:rPr>
        <w:instrText xml:space="preserve"> TOC \o "1-2" \h \z \t "Heading 1,1,Annex_No &amp; title,1,Appendix_No &amp; title,1,Heading 1 Centered,1" </w:instrText>
      </w:r>
      <w:r w:rsidRPr="00A94875">
        <w:rPr>
          <w:rFonts w:asciiTheme="majorBidi" w:eastAsia="Malgun Gothic" w:hAnsiTheme="majorBidi" w:cstheme="majorBidi"/>
          <w:highlight w:val="yellow"/>
          <w:lang w:val="en-GB" w:eastAsia="ko-KR"/>
        </w:rPr>
        <w:fldChar w:fldCharType="separate"/>
      </w:r>
      <w:hyperlink w:anchor="_Toc530571844" w:history="1">
        <w:r w:rsidR="00A73071" w:rsidRPr="00B639BA">
          <w:rPr>
            <w:rStyle w:val="Hyperlink"/>
            <w:rFonts w:asciiTheme="majorBidi" w:hAnsiTheme="majorBidi" w:cstheme="majorBidi"/>
            <w:noProof/>
            <w:lang w:val="en-GB"/>
          </w:rPr>
          <w:t>Executive Summary</w:t>
        </w:r>
        <w:r w:rsidR="00A73071">
          <w:rPr>
            <w:noProof/>
            <w:webHidden/>
          </w:rPr>
          <w:tab/>
        </w:r>
        <w:r w:rsidR="00A73071">
          <w:rPr>
            <w:noProof/>
            <w:webHidden/>
          </w:rPr>
          <w:fldChar w:fldCharType="begin"/>
        </w:r>
        <w:r w:rsidR="00A73071">
          <w:rPr>
            <w:noProof/>
            <w:webHidden/>
          </w:rPr>
          <w:instrText xml:space="preserve"> PAGEREF _Toc530571844 \h </w:instrText>
        </w:r>
        <w:r w:rsidR="00A73071">
          <w:rPr>
            <w:noProof/>
            <w:webHidden/>
          </w:rPr>
        </w:r>
        <w:r w:rsidR="00A73071">
          <w:rPr>
            <w:noProof/>
            <w:webHidden/>
          </w:rPr>
          <w:fldChar w:fldCharType="separate"/>
        </w:r>
        <w:r w:rsidR="00A73071">
          <w:rPr>
            <w:noProof/>
            <w:webHidden/>
          </w:rPr>
          <w:t>4</w:t>
        </w:r>
        <w:r w:rsidR="00A73071">
          <w:rPr>
            <w:noProof/>
            <w:webHidden/>
          </w:rPr>
          <w:fldChar w:fldCharType="end"/>
        </w:r>
      </w:hyperlink>
    </w:p>
    <w:p w14:paraId="21202E99" w14:textId="0E41A5E5" w:rsidR="00A73071" w:rsidRDefault="00770A8C">
      <w:pPr>
        <w:pStyle w:val="TOC1"/>
        <w:rPr>
          <w:rFonts w:asciiTheme="minorHAnsi" w:eastAsiaTheme="minorEastAsia" w:hAnsiTheme="minorHAnsi" w:cstheme="minorBidi"/>
          <w:noProof/>
          <w:sz w:val="22"/>
          <w:szCs w:val="22"/>
          <w:lang w:eastAsia="en-US"/>
        </w:rPr>
      </w:pPr>
      <w:hyperlink w:anchor="_Toc530571845" w:history="1">
        <w:r w:rsidR="00A73071" w:rsidRPr="00B639BA">
          <w:rPr>
            <w:rStyle w:val="Hyperlink"/>
            <w:rFonts w:asciiTheme="majorBidi" w:hAnsiTheme="majorBidi" w:cstheme="majorBidi"/>
            <w:noProof/>
            <w:lang w:val="en-GB"/>
          </w:rPr>
          <w:t>Annex – Full Report of activities in ITU-T (from February 2018 to October 2018)</w:t>
        </w:r>
        <w:r w:rsidR="00A73071">
          <w:rPr>
            <w:noProof/>
            <w:webHidden/>
          </w:rPr>
          <w:tab/>
        </w:r>
        <w:r w:rsidR="00A73071">
          <w:rPr>
            <w:noProof/>
            <w:webHidden/>
          </w:rPr>
          <w:fldChar w:fldCharType="begin"/>
        </w:r>
        <w:r w:rsidR="00A73071">
          <w:rPr>
            <w:noProof/>
            <w:webHidden/>
          </w:rPr>
          <w:instrText xml:space="preserve"> PAGEREF _Toc530571845 \h </w:instrText>
        </w:r>
        <w:r w:rsidR="00A73071">
          <w:rPr>
            <w:noProof/>
            <w:webHidden/>
          </w:rPr>
        </w:r>
        <w:r w:rsidR="00A73071">
          <w:rPr>
            <w:noProof/>
            <w:webHidden/>
          </w:rPr>
          <w:fldChar w:fldCharType="separate"/>
        </w:r>
        <w:r w:rsidR="00A73071">
          <w:rPr>
            <w:noProof/>
            <w:webHidden/>
          </w:rPr>
          <w:t>7</w:t>
        </w:r>
        <w:r w:rsidR="00A73071">
          <w:rPr>
            <w:noProof/>
            <w:webHidden/>
          </w:rPr>
          <w:fldChar w:fldCharType="end"/>
        </w:r>
      </w:hyperlink>
    </w:p>
    <w:p w14:paraId="6AA86C2F" w14:textId="264B6467" w:rsidR="00A73071" w:rsidRDefault="00770A8C">
      <w:pPr>
        <w:pStyle w:val="TOC1"/>
        <w:rPr>
          <w:rFonts w:asciiTheme="minorHAnsi" w:eastAsiaTheme="minorEastAsia" w:hAnsiTheme="minorHAnsi" w:cstheme="minorBidi"/>
          <w:noProof/>
          <w:sz w:val="22"/>
          <w:szCs w:val="22"/>
          <w:lang w:eastAsia="en-US"/>
        </w:rPr>
      </w:pPr>
      <w:hyperlink w:anchor="_Toc530571846" w:history="1">
        <w:r w:rsidR="00A73071" w:rsidRPr="00B639BA">
          <w:rPr>
            <w:rStyle w:val="Hyperlink"/>
            <w:rFonts w:asciiTheme="majorBidi" w:hAnsiTheme="majorBidi" w:cstheme="majorBidi"/>
            <w:noProof/>
            <w:lang w:val="en-GB"/>
          </w:rPr>
          <w:t>1</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Progress achieved in ITU-T standardization</w:t>
        </w:r>
        <w:r w:rsidR="00A73071">
          <w:rPr>
            <w:noProof/>
            <w:webHidden/>
          </w:rPr>
          <w:tab/>
        </w:r>
        <w:r w:rsidR="00A73071">
          <w:rPr>
            <w:noProof/>
            <w:webHidden/>
          </w:rPr>
          <w:fldChar w:fldCharType="begin"/>
        </w:r>
        <w:r w:rsidR="00A73071">
          <w:rPr>
            <w:noProof/>
            <w:webHidden/>
          </w:rPr>
          <w:instrText xml:space="preserve"> PAGEREF _Toc530571846 \h </w:instrText>
        </w:r>
        <w:r w:rsidR="00A73071">
          <w:rPr>
            <w:noProof/>
            <w:webHidden/>
          </w:rPr>
        </w:r>
        <w:r w:rsidR="00A73071">
          <w:rPr>
            <w:noProof/>
            <w:webHidden/>
          </w:rPr>
          <w:fldChar w:fldCharType="separate"/>
        </w:r>
        <w:r w:rsidR="00A73071">
          <w:rPr>
            <w:noProof/>
            <w:webHidden/>
          </w:rPr>
          <w:t>7</w:t>
        </w:r>
        <w:r w:rsidR="00A73071">
          <w:rPr>
            <w:noProof/>
            <w:webHidden/>
          </w:rPr>
          <w:fldChar w:fldCharType="end"/>
        </w:r>
      </w:hyperlink>
    </w:p>
    <w:p w14:paraId="5A4B47A6" w14:textId="6C914B9F" w:rsidR="00A73071" w:rsidRDefault="00770A8C">
      <w:pPr>
        <w:pStyle w:val="TOC1"/>
        <w:rPr>
          <w:rFonts w:asciiTheme="minorHAnsi" w:eastAsiaTheme="minorEastAsia" w:hAnsiTheme="minorHAnsi" w:cstheme="minorBidi"/>
          <w:noProof/>
          <w:sz w:val="22"/>
          <w:szCs w:val="22"/>
          <w:lang w:eastAsia="en-US"/>
        </w:rPr>
      </w:pPr>
      <w:hyperlink w:anchor="_Toc530571847" w:history="1">
        <w:r w:rsidR="00A73071" w:rsidRPr="00B639BA">
          <w:rPr>
            <w:rStyle w:val="Hyperlink"/>
            <w:rFonts w:asciiTheme="majorBidi" w:hAnsiTheme="majorBidi" w:cstheme="majorBidi"/>
            <w:noProof/>
            <w:lang w:val="en-GB"/>
          </w:rPr>
          <w:t>2</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Conformity, interoperability and testing</w:t>
        </w:r>
        <w:r w:rsidR="00A73071">
          <w:rPr>
            <w:noProof/>
            <w:webHidden/>
          </w:rPr>
          <w:tab/>
        </w:r>
        <w:r w:rsidR="00A73071">
          <w:rPr>
            <w:noProof/>
            <w:webHidden/>
          </w:rPr>
          <w:fldChar w:fldCharType="begin"/>
        </w:r>
        <w:r w:rsidR="00A73071">
          <w:rPr>
            <w:noProof/>
            <w:webHidden/>
          </w:rPr>
          <w:instrText xml:space="preserve"> PAGEREF _Toc530571847 \h </w:instrText>
        </w:r>
        <w:r w:rsidR="00A73071">
          <w:rPr>
            <w:noProof/>
            <w:webHidden/>
          </w:rPr>
        </w:r>
        <w:r w:rsidR="00A73071">
          <w:rPr>
            <w:noProof/>
            <w:webHidden/>
          </w:rPr>
          <w:fldChar w:fldCharType="separate"/>
        </w:r>
        <w:r w:rsidR="00A73071">
          <w:rPr>
            <w:noProof/>
            <w:webHidden/>
          </w:rPr>
          <w:t>9</w:t>
        </w:r>
        <w:r w:rsidR="00A73071">
          <w:rPr>
            <w:noProof/>
            <w:webHidden/>
          </w:rPr>
          <w:fldChar w:fldCharType="end"/>
        </w:r>
      </w:hyperlink>
    </w:p>
    <w:p w14:paraId="15089FD2" w14:textId="77A9AA1D" w:rsidR="00A73071" w:rsidRDefault="00770A8C">
      <w:pPr>
        <w:pStyle w:val="TOC2"/>
        <w:rPr>
          <w:rFonts w:asciiTheme="minorHAnsi" w:eastAsiaTheme="minorEastAsia" w:hAnsiTheme="minorHAnsi" w:cstheme="minorBidi"/>
          <w:noProof/>
          <w:sz w:val="22"/>
          <w:szCs w:val="22"/>
          <w:lang w:eastAsia="en-US"/>
        </w:rPr>
      </w:pPr>
      <w:hyperlink w:anchor="_Toc530571848" w:history="1">
        <w:r w:rsidR="00A73071" w:rsidRPr="00B639BA">
          <w:rPr>
            <w:rStyle w:val="Hyperlink"/>
            <w:rFonts w:asciiTheme="majorBidi" w:hAnsiTheme="majorBidi" w:cstheme="majorBidi"/>
            <w:noProof/>
            <w:lang w:val="en-GB"/>
          </w:rPr>
          <w:t>2.1</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Conformance Assessment Steering Committee (CASC)</w:t>
        </w:r>
        <w:r w:rsidR="00A73071">
          <w:rPr>
            <w:noProof/>
            <w:webHidden/>
          </w:rPr>
          <w:tab/>
        </w:r>
        <w:r w:rsidR="00A73071">
          <w:rPr>
            <w:noProof/>
            <w:webHidden/>
          </w:rPr>
          <w:fldChar w:fldCharType="begin"/>
        </w:r>
        <w:r w:rsidR="00A73071">
          <w:rPr>
            <w:noProof/>
            <w:webHidden/>
          </w:rPr>
          <w:instrText xml:space="preserve"> PAGEREF _Toc530571848 \h </w:instrText>
        </w:r>
        <w:r w:rsidR="00A73071">
          <w:rPr>
            <w:noProof/>
            <w:webHidden/>
          </w:rPr>
        </w:r>
        <w:r w:rsidR="00A73071">
          <w:rPr>
            <w:noProof/>
            <w:webHidden/>
          </w:rPr>
          <w:fldChar w:fldCharType="separate"/>
        </w:r>
        <w:r w:rsidR="00A73071">
          <w:rPr>
            <w:noProof/>
            <w:webHidden/>
          </w:rPr>
          <w:t>9</w:t>
        </w:r>
        <w:r w:rsidR="00A73071">
          <w:rPr>
            <w:noProof/>
            <w:webHidden/>
          </w:rPr>
          <w:fldChar w:fldCharType="end"/>
        </w:r>
      </w:hyperlink>
    </w:p>
    <w:p w14:paraId="06E80014" w14:textId="137E85B0" w:rsidR="00A73071" w:rsidRDefault="00770A8C">
      <w:pPr>
        <w:pStyle w:val="TOC2"/>
        <w:rPr>
          <w:rFonts w:asciiTheme="minorHAnsi" w:eastAsiaTheme="minorEastAsia" w:hAnsiTheme="minorHAnsi" w:cstheme="minorBidi"/>
          <w:noProof/>
          <w:sz w:val="22"/>
          <w:szCs w:val="22"/>
          <w:lang w:eastAsia="en-US"/>
        </w:rPr>
      </w:pPr>
      <w:hyperlink w:anchor="_Toc530571849" w:history="1">
        <w:r w:rsidR="00A73071" w:rsidRPr="00B639BA">
          <w:rPr>
            <w:rStyle w:val="Hyperlink"/>
            <w:rFonts w:asciiTheme="majorBidi" w:hAnsiTheme="majorBidi" w:cstheme="majorBidi"/>
            <w:noProof/>
            <w:lang w:val="en-GB"/>
          </w:rPr>
          <w:t>2.2</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ICT Product Conformity Database</w:t>
        </w:r>
        <w:r w:rsidR="00A73071">
          <w:rPr>
            <w:noProof/>
            <w:webHidden/>
          </w:rPr>
          <w:tab/>
        </w:r>
        <w:r w:rsidR="00A73071">
          <w:rPr>
            <w:noProof/>
            <w:webHidden/>
          </w:rPr>
          <w:fldChar w:fldCharType="begin"/>
        </w:r>
        <w:r w:rsidR="00A73071">
          <w:rPr>
            <w:noProof/>
            <w:webHidden/>
          </w:rPr>
          <w:instrText xml:space="preserve"> PAGEREF _Toc530571849 \h </w:instrText>
        </w:r>
        <w:r w:rsidR="00A73071">
          <w:rPr>
            <w:noProof/>
            <w:webHidden/>
          </w:rPr>
        </w:r>
        <w:r w:rsidR="00A73071">
          <w:rPr>
            <w:noProof/>
            <w:webHidden/>
          </w:rPr>
          <w:fldChar w:fldCharType="separate"/>
        </w:r>
        <w:r w:rsidR="00A73071">
          <w:rPr>
            <w:noProof/>
            <w:webHidden/>
          </w:rPr>
          <w:t>9</w:t>
        </w:r>
        <w:r w:rsidR="00A73071">
          <w:rPr>
            <w:noProof/>
            <w:webHidden/>
          </w:rPr>
          <w:fldChar w:fldCharType="end"/>
        </w:r>
      </w:hyperlink>
    </w:p>
    <w:p w14:paraId="0D57A901" w14:textId="323556B9" w:rsidR="00A73071" w:rsidRDefault="00770A8C">
      <w:pPr>
        <w:pStyle w:val="TOC2"/>
        <w:rPr>
          <w:rFonts w:asciiTheme="minorHAnsi" w:eastAsiaTheme="minorEastAsia" w:hAnsiTheme="minorHAnsi" w:cstheme="minorBidi"/>
          <w:noProof/>
          <w:sz w:val="22"/>
          <w:szCs w:val="22"/>
          <w:lang w:eastAsia="en-US"/>
        </w:rPr>
      </w:pPr>
      <w:hyperlink w:anchor="_Toc530571850" w:history="1">
        <w:r w:rsidR="00A73071" w:rsidRPr="00B639BA">
          <w:rPr>
            <w:rStyle w:val="Hyperlink"/>
            <w:rFonts w:asciiTheme="majorBidi" w:hAnsiTheme="majorBidi" w:cstheme="majorBidi"/>
            <w:noProof/>
            <w:lang w:val="en-GB"/>
          </w:rPr>
          <w:t>2.3</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Testing Internet of Things</w:t>
        </w:r>
        <w:r w:rsidR="00A73071">
          <w:rPr>
            <w:noProof/>
            <w:webHidden/>
          </w:rPr>
          <w:tab/>
        </w:r>
        <w:r w:rsidR="00A73071">
          <w:rPr>
            <w:noProof/>
            <w:webHidden/>
          </w:rPr>
          <w:fldChar w:fldCharType="begin"/>
        </w:r>
        <w:r w:rsidR="00A73071">
          <w:rPr>
            <w:noProof/>
            <w:webHidden/>
          </w:rPr>
          <w:instrText xml:space="preserve"> PAGEREF _Toc530571850 \h </w:instrText>
        </w:r>
        <w:r w:rsidR="00A73071">
          <w:rPr>
            <w:noProof/>
            <w:webHidden/>
          </w:rPr>
        </w:r>
        <w:r w:rsidR="00A73071">
          <w:rPr>
            <w:noProof/>
            <w:webHidden/>
          </w:rPr>
          <w:fldChar w:fldCharType="separate"/>
        </w:r>
        <w:r w:rsidR="00A73071">
          <w:rPr>
            <w:noProof/>
            <w:webHidden/>
          </w:rPr>
          <w:t>10</w:t>
        </w:r>
        <w:r w:rsidR="00A73071">
          <w:rPr>
            <w:noProof/>
            <w:webHidden/>
          </w:rPr>
          <w:fldChar w:fldCharType="end"/>
        </w:r>
      </w:hyperlink>
    </w:p>
    <w:p w14:paraId="76FB4581" w14:textId="41A9AD5E" w:rsidR="00A73071" w:rsidRDefault="00770A8C">
      <w:pPr>
        <w:pStyle w:val="TOC1"/>
        <w:rPr>
          <w:rFonts w:asciiTheme="minorHAnsi" w:eastAsiaTheme="minorEastAsia" w:hAnsiTheme="minorHAnsi" w:cstheme="minorBidi"/>
          <w:noProof/>
          <w:sz w:val="22"/>
          <w:szCs w:val="22"/>
          <w:lang w:eastAsia="en-US"/>
        </w:rPr>
      </w:pPr>
      <w:hyperlink w:anchor="_Toc530571851" w:history="1">
        <w:r w:rsidR="00A73071" w:rsidRPr="00B639BA">
          <w:rPr>
            <w:rStyle w:val="Hyperlink"/>
            <w:rFonts w:asciiTheme="majorBidi" w:hAnsiTheme="majorBidi" w:cstheme="majorBidi"/>
            <w:noProof/>
            <w:lang w:val="en-GB"/>
          </w:rPr>
          <w:t>3</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Accessible ITU-T meetings</w:t>
        </w:r>
        <w:r w:rsidR="00A73071">
          <w:rPr>
            <w:noProof/>
            <w:webHidden/>
          </w:rPr>
          <w:tab/>
        </w:r>
        <w:r w:rsidR="00A73071">
          <w:rPr>
            <w:noProof/>
            <w:webHidden/>
          </w:rPr>
          <w:fldChar w:fldCharType="begin"/>
        </w:r>
        <w:r w:rsidR="00A73071">
          <w:rPr>
            <w:noProof/>
            <w:webHidden/>
          </w:rPr>
          <w:instrText xml:space="preserve"> PAGEREF _Toc530571851 \h </w:instrText>
        </w:r>
        <w:r w:rsidR="00A73071">
          <w:rPr>
            <w:noProof/>
            <w:webHidden/>
          </w:rPr>
        </w:r>
        <w:r w:rsidR="00A73071">
          <w:rPr>
            <w:noProof/>
            <w:webHidden/>
          </w:rPr>
          <w:fldChar w:fldCharType="separate"/>
        </w:r>
        <w:r w:rsidR="00A73071">
          <w:rPr>
            <w:noProof/>
            <w:webHidden/>
          </w:rPr>
          <w:t>10</w:t>
        </w:r>
        <w:r w:rsidR="00A73071">
          <w:rPr>
            <w:noProof/>
            <w:webHidden/>
          </w:rPr>
          <w:fldChar w:fldCharType="end"/>
        </w:r>
      </w:hyperlink>
    </w:p>
    <w:p w14:paraId="20A66445" w14:textId="125847B1" w:rsidR="00A73071" w:rsidRDefault="00770A8C">
      <w:pPr>
        <w:pStyle w:val="TOC1"/>
        <w:rPr>
          <w:rFonts w:asciiTheme="minorHAnsi" w:eastAsiaTheme="minorEastAsia" w:hAnsiTheme="minorHAnsi" w:cstheme="minorBidi"/>
          <w:noProof/>
          <w:sz w:val="22"/>
          <w:szCs w:val="22"/>
          <w:lang w:eastAsia="en-US"/>
        </w:rPr>
      </w:pPr>
      <w:hyperlink w:anchor="_Toc530571852" w:history="1">
        <w:r w:rsidR="00A73071" w:rsidRPr="00B639BA">
          <w:rPr>
            <w:rStyle w:val="Hyperlink"/>
            <w:rFonts w:asciiTheme="majorBidi" w:hAnsiTheme="majorBidi" w:cstheme="majorBidi"/>
            <w:noProof/>
            <w:lang w:val="en-GB"/>
          </w:rPr>
          <w:t>4</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Intellectual property rights</w:t>
        </w:r>
        <w:r w:rsidR="00A73071">
          <w:rPr>
            <w:noProof/>
            <w:webHidden/>
          </w:rPr>
          <w:tab/>
        </w:r>
        <w:r w:rsidR="00A73071">
          <w:rPr>
            <w:noProof/>
            <w:webHidden/>
          </w:rPr>
          <w:fldChar w:fldCharType="begin"/>
        </w:r>
        <w:r w:rsidR="00A73071">
          <w:rPr>
            <w:noProof/>
            <w:webHidden/>
          </w:rPr>
          <w:instrText xml:space="preserve"> PAGEREF _Toc530571852 \h </w:instrText>
        </w:r>
        <w:r w:rsidR="00A73071">
          <w:rPr>
            <w:noProof/>
            <w:webHidden/>
          </w:rPr>
        </w:r>
        <w:r w:rsidR="00A73071">
          <w:rPr>
            <w:noProof/>
            <w:webHidden/>
          </w:rPr>
          <w:fldChar w:fldCharType="separate"/>
        </w:r>
        <w:r w:rsidR="00A73071">
          <w:rPr>
            <w:noProof/>
            <w:webHidden/>
          </w:rPr>
          <w:t>10</w:t>
        </w:r>
        <w:r w:rsidR="00A73071">
          <w:rPr>
            <w:noProof/>
            <w:webHidden/>
          </w:rPr>
          <w:fldChar w:fldCharType="end"/>
        </w:r>
      </w:hyperlink>
    </w:p>
    <w:p w14:paraId="2A616F07" w14:textId="29C2D57C" w:rsidR="00A73071" w:rsidRDefault="00770A8C">
      <w:pPr>
        <w:pStyle w:val="TOC1"/>
        <w:rPr>
          <w:rFonts w:asciiTheme="minorHAnsi" w:eastAsiaTheme="minorEastAsia" w:hAnsiTheme="minorHAnsi" w:cstheme="minorBidi"/>
          <w:noProof/>
          <w:sz w:val="22"/>
          <w:szCs w:val="22"/>
          <w:lang w:eastAsia="en-US"/>
        </w:rPr>
      </w:pPr>
      <w:hyperlink w:anchor="_Toc530571853" w:history="1">
        <w:r w:rsidR="00A73071" w:rsidRPr="00B639BA">
          <w:rPr>
            <w:rStyle w:val="Hyperlink"/>
            <w:rFonts w:asciiTheme="majorBidi" w:hAnsiTheme="majorBidi" w:cstheme="majorBidi"/>
            <w:noProof/>
            <w:lang w:val="en-GB"/>
          </w:rPr>
          <w:t>5</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ITU-T Focus Groups: Exploring new directions in ITU standardization</w:t>
        </w:r>
        <w:r w:rsidR="00A73071">
          <w:rPr>
            <w:noProof/>
            <w:webHidden/>
          </w:rPr>
          <w:tab/>
        </w:r>
        <w:r w:rsidR="00A73071">
          <w:rPr>
            <w:noProof/>
            <w:webHidden/>
          </w:rPr>
          <w:fldChar w:fldCharType="begin"/>
        </w:r>
        <w:r w:rsidR="00A73071">
          <w:rPr>
            <w:noProof/>
            <w:webHidden/>
          </w:rPr>
          <w:instrText xml:space="preserve"> PAGEREF _Toc530571853 \h </w:instrText>
        </w:r>
        <w:r w:rsidR="00A73071">
          <w:rPr>
            <w:noProof/>
            <w:webHidden/>
          </w:rPr>
        </w:r>
        <w:r w:rsidR="00A73071">
          <w:rPr>
            <w:noProof/>
            <w:webHidden/>
          </w:rPr>
          <w:fldChar w:fldCharType="separate"/>
        </w:r>
        <w:r w:rsidR="00A73071">
          <w:rPr>
            <w:noProof/>
            <w:webHidden/>
          </w:rPr>
          <w:t>10</w:t>
        </w:r>
        <w:r w:rsidR="00A73071">
          <w:rPr>
            <w:noProof/>
            <w:webHidden/>
          </w:rPr>
          <w:fldChar w:fldCharType="end"/>
        </w:r>
      </w:hyperlink>
    </w:p>
    <w:p w14:paraId="76ED2FB7" w14:textId="13034E55" w:rsidR="00A73071" w:rsidRDefault="00770A8C">
      <w:pPr>
        <w:pStyle w:val="TOC2"/>
        <w:rPr>
          <w:rFonts w:asciiTheme="minorHAnsi" w:eastAsiaTheme="minorEastAsia" w:hAnsiTheme="minorHAnsi" w:cstheme="minorBidi"/>
          <w:noProof/>
          <w:sz w:val="22"/>
          <w:szCs w:val="22"/>
          <w:lang w:eastAsia="en-US"/>
        </w:rPr>
      </w:pPr>
      <w:hyperlink w:anchor="_Toc530571854" w:history="1">
        <w:r w:rsidR="00A73071" w:rsidRPr="00B639BA">
          <w:rPr>
            <w:rStyle w:val="Hyperlink"/>
            <w:rFonts w:asciiTheme="majorBidi" w:hAnsiTheme="majorBidi" w:cstheme="majorBidi"/>
            <w:noProof/>
            <w:lang w:val="en-GB"/>
          </w:rPr>
          <w:t>5.1</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Data Processing and Management to support IoT and Smart Cities &amp; Communities</w:t>
        </w:r>
        <w:r w:rsidR="00A73071">
          <w:rPr>
            <w:noProof/>
            <w:webHidden/>
          </w:rPr>
          <w:tab/>
        </w:r>
        <w:r w:rsidR="00A73071">
          <w:rPr>
            <w:noProof/>
            <w:webHidden/>
          </w:rPr>
          <w:fldChar w:fldCharType="begin"/>
        </w:r>
        <w:r w:rsidR="00A73071">
          <w:rPr>
            <w:noProof/>
            <w:webHidden/>
          </w:rPr>
          <w:instrText xml:space="preserve"> PAGEREF _Toc530571854 \h </w:instrText>
        </w:r>
        <w:r w:rsidR="00A73071">
          <w:rPr>
            <w:noProof/>
            <w:webHidden/>
          </w:rPr>
        </w:r>
        <w:r w:rsidR="00A73071">
          <w:rPr>
            <w:noProof/>
            <w:webHidden/>
          </w:rPr>
          <w:fldChar w:fldCharType="separate"/>
        </w:r>
        <w:r w:rsidR="00A73071">
          <w:rPr>
            <w:noProof/>
            <w:webHidden/>
          </w:rPr>
          <w:t>11</w:t>
        </w:r>
        <w:r w:rsidR="00A73071">
          <w:rPr>
            <w:noProof/>
            <w:webHidden/>
          </w:rPr>
          <w:fldChar w:fldCharType="end"/>
        </w:r>
      </w:hyperlink>
    </w:p>
    <w:p w14:paraId="044C66F6" w14:textId="506CB42C" w:rsidR="00A73071" w:rsidRDefault="00770A8C">
      <w:pPr>
        <w:pStyle w:val="TOC2"/>
        <w:rPr>
          <w:rFonts w:asciiTheme="minorHAnsi" w:eastAsiaTheme="minorEastAsia" w:hAnsiTheme="minorHAnsi" w:cstheme="minorBidi"/>
          <w:noProof/>
          <w:sz w:val="22"/>
          <w:szCs w:val="22"/>
          <w:lang w:eastAsia="en-US"/>
        </w:rPr>
      </w:pPr>
      <w:hyperlink w:anchor="_Toc530571855" w:history="1">
        <w:r w:rsidR="00A73071" w:rsidRPr="00B639BA">
          <w:rPr>
            <w:rStyle w:val="Hyperlink"/>
            <w:rFonts w:asciiTheme="majorBidi" w:hAnsiTheme="majorBidi" w:cstheme="majorBidi"/>
            <w:noProof/>
            <w:lang w:val="en-GB"/>
          </w:rPr>
          <w:t>5.2</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Digital Currency including Digital Fiat Currency</w:t>
        </w:r>
        <w:r w:rsidR="00A73071">
          <w:rPr>
            <w:noProof/>
            <w:webHidden/>
          </w:rPr>
          <w:tab/>
        </w:r>
        <w:r w:rsidR="00A73071">
          <w:rPr>
            <w:noProof/>
            <w:webHidden/>
          </w:rPr>
          <w:fldChar w:fldCharType="begin"/>
        </w:r>
        <w:r w:rsidR="00A73071">
          <w:rPr>
            <w:noProof/>
            <w:webHidden/>
          </w:rPr>
          <w:instrText xml:space="preserve"> PAGEREF _Toc530571855 \h </w:instrText>
        </w:r>
        <w:r w:rsidR="00A73071">
          <w:rPr>
            <w:noProof/>
            <w:webHidden/>
          </w:rPr>
        </w:r>
        <w:r w:rsidR="00A73071">
          <w:rPr>
            <w:noProof/>
            <w:webHidden/>
          </w:rPr>
          <w:fldChar w:fldCharType="separate"/>
        </w:r>
        <w:r w:rsidR="00A73071">
          <w:rPr>
            <w:noProof/>
            <w:webHidden/>
          </w:rPr>
          <w:t>11</w:t>
        </w:r>
        <w:r w:rsidR="00A73071">
          <w:rPr>
            <w:noProof/>
            <w:webHidden/>
          </w:rPr>
          <w:fldChar w:fldCharType="end"/>
        </w:r>
      </w:hyperlink>
    </w:p>
    <w:p w14:paraId="02169901" w14:textId="157232CC" w:rsidR="00A73071" w:rsidRDefault="00770A8C">
      <w:pPr>
        <w:pStyle w:val="TOC2"/>
        <w:rPr>
          <w:rFonts w:asciiTheme="minorHAnsi" w:eastAsiaTheme="minorEastAsia" w:hAnsiTheme="minorHAnsi" w:cstheme="minorBidi"/>
          <w:noProof/>
          <w:sz w:val="22"/>
          <w:szCs w:val="22"/>
          <w:lang w:eastAsia="en-US"/>
        </w:rPr>
      </w:pPr>
      <w:hyperlink w:anchor="_Toc530571856" w:history="1">
        <w:r w:rsidR="00A73071" w:rsidRPr="00B639BA">
          <w:rPr>
            <w:rStyle w:val="Hyperlink"/>
            <w:rFonts w:asciiTheme="majorBidi" w:hAnsiTheme="majorBidi" w:cstheme="majorBidi"/>
            <w:noProof/>
            <w:lang w:val="en-GB"/>
          </w:rPr>
          <w:t>5.3</w:t>
        </w:r>
        <w:r w:rsidR="00A73071">
          <w:rPr>
            <w:rFonts w:asciiTheme="minorHAnsi" w:eastAsiaTheme="minorEastAsia" w:hAnsiTheme="minorHAnsi" w:cstheme="minorBidi"/>
            <w:noProof/>
            <w:sz w:val="22"/>
            <w:szCs w:val="22"/>
            <w:lang w:eastAsia="en-US"/>
          </w:rPr>
          <w:tab/>
        </w:r>
        <w:r w:rsidR="00A73071" w:rsidRPr="00B639BA">
          <w:rPr>
            <w:rStyle w:val="Hyperlink"/>
            <w:noProof/>
            <w:lang w:val="en-GB"/>
          </w:rPr>
          <w:t>Application of Distributed Ledger Technology</w:t>
        </w:r>
        <w:r w:rsidR="00A73071">
          <w:rPr>
            <w:noProof/>
            <w:webHidden/>
          </w:rPr>
          <w:tab/>
        </w:r>
        <w:r w:rsidR="00A73071">
          <w:rPr>
            <w:noProof/>
            <w:webHidden/>
          </w:rPr>
          <w:fldChar w:fldCharType="begin"/>
        </w:r>
        <w:r w:rsidR="00A73071">
          <w:rPr>
            <w:noProof/>
            <w:webHidden/>
          </w:rPr>
          <w:instrText xml:space="preserve"> PAGEREF _Toc530571856 \h </w:instrText>
        </w:r>
        <w:r w:rsidR="00A73071">
          <w:rPr>
            <w:noProof/>
            <w:webHidden/>
          </w:rPr>
        </w:r>
        <w:r w:rsidR="00A73071">
          <w:rPr>
            <w:noProof/>
            <w:webHidden/>
          </w:rPr>
          <w:fldChar w:fldCharType="separate"/>
        </w:r>
        <w:r w:rsidR="00A73071">
          <w:rPr>
            <w:noProof/>
            <w:webHidden/>
          </w:rPr>
          <w:t>11</w:t>
        </w:r>
        <w:r w:rsidR="00A73071">
          <w:rPr>
            <w:noProof/>
            <w:webHidden/>
          </w:rPr>
          <w:fldChar w:fldCharType="end"/>
        </w:r>
      </w:hyperlink>
    </w:p>
    <w:p w14:paraId="37F8603B" w14:textId="74B7BA2D" w:rsidR="00A73071" w:rsidRDefault="00770A8C">
      <w:pPr>
        <w:pStyle w:val="TOC2"/>
        <w:rPr>
          <w:rFonts w:asciiTheme="minorHAnsi" w:eastAsiaTheme="minorEastAsia" w:hAnsiTheme="minorHAnsi" w:cstheme="minorBidi"/>
          <w:noProof/>
          <w:sz w:val="22"/>
          <w:szCs w:val="22"/>
          <w:lang w:eastAsia="en-US"/>
        </w:rPr>
      </w:pPr>
      <w:hyperlink w:anchor="_Toc530571857" w:history="1">
        <w:r w:rsidR="00A73071" w:rsidRPr="00B639BA">
          <w:rPr>
            <w:rStyle w:val="Hyperlink"/>
            <w:rFonts w:asciiTheme="majorBidi" w:hAnsiTheme="majorBidi" w:cstheme="majorBidi"/>
            <w:noProof/>
            <w:lang w:val="en-GB"/>
          </w:rPr>
          <w:t>5.4</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Machine Learning for Future Networks including 5G</w:t>
        </w:r>
        <w:r w:rsidR="00A73071">
          <w:rPr>
            <w:noProof/>
            <w:webHidden/>
          </w:rPr>
          <w:tab/>
        </w:r>
        <w:r w:rsidR="00A73071">
          <w:rPr>
            <w:noProof/>
            <w:webHidden/>
          </w:rPr>
          <w:fldChar w:fldCharType="begin"/>
        </w:r>
        <w:r w:rsidR="00A73071">
          <w:rPr>
            <w:noProof/>
            <w:webHidden/>
          </w:rPr>
          <w:instrText xml:space="preserve"> PAGEREF _Toc530571857 \h </w:instrText>
        </w:r>
        <w:r w:rsidR="00A73071">
          <w:rPr>
            <w:noProof/>
            <w:webHidden/>
          </w:rPr>
        </w:r>
        <w:r w:rsidR="00A73071">
          <w:rPr>
            <w:noProof/>
            <w:webHidden/>
          </w:rPr>
          <w:fldChar w:fldCharType="separate"/>
        </w:r>
        <w:r w:rsidR="00A73071">
          <w:rPr>
            <w:noProof/>
            <w:webHidden/>
          </w:rPr>
          <w:t>11</w:t>
        </w:r>
        <w:r w:rsidR="00A73071">
          <w:rPr>
            <w:noProof/>
            <w:webHidden/>
          </w:rPr>
          <w:fldChar w:fldCharType="end"/>
        </w:r>
      </w:hyperlink>
    </w:p>
    <w:p w14:paraId="4E9078FF" w14:textId="6B74FAB9" w:rsidR="00A73071" w:rsidRDefault="00770A8C">
      <w:pPr>
        <w:pStyle w:val="TOC2"/>
        <w:rPr>
          <w:rFonts w:asciiTheme="minorHAnsi" w:eastAsiaTheme="minorEastAsia" w:hAnsiTheme="minorHAnsi" w:cstheme="minorBidi"/>
          <w:noProof/>
          <w:sz w:val="22"/>
          <w:szCs w:val="22"/>
          <w:lang w:eastAsia="en-US"/>
        </w:rPr>
      </w:pPr>
      <w:hyperlink w:anchor="_Toc530571858" w:history="1">
        <w:r w:rsidR="00A73071" w:rsidRPr="00B639BA">
          <w:rPr>
            <w:rStyle w:val="Hyperlink"/>
            <w:rFonts w:asciiTheme="majorBidi" w:hAnsiTheme="majorBidi" w:cstheme="majorBidi"/>
            <w:noProof/>
            <w:lang w:val="en-GB"/>
          </w:rPr>
          <w:t>5.5</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Technologies for Network 2030</w:t>
        </w:r>
        <w:r w:rsidR="00A73071">
          <w:rPr>
            <w:noProof/>
            <w:webHidden/>
          </w:rPr>
          <w:tab/>
        </w:r>
        <w:r w:rsidR="00A73071">
          <w:rPr>
            <w:noProof/>
            <w:webHidden/>
          </w:rPr>
          <w:fldChar w:fldCharType="begin"/>
        </w:r>
        <w:r w:rsidR="00A73071">
          <w:rPr>
            <w:noProof/>
            <w:webHidden/>
          </w:rPr>
          <w:instrText xml:space="preserve"> PAGEREF _Toc530571858 \h </w:instrText>
        </w:r>
        <w:r w:rsidR="00A73071">
          <w:rPr>
            <w:noProof/>
            <w:webHidden/>
          </w:rPr>
        </w:r>
        <w:r w:rsidR="00A73071">
          <w:rPr>
            <w:noProof/>
            <w:webHidden/>
          </w:rPr>
          <w:fldChar w:fldCharType="separate"/>
        </w:r>
        <w:r w:rsidR="00A73071">
          <w:rPr>
            <w:noProof/>
            <w:webHidden/>
          </w:rPr>
          <w:t>11</w:t>
        </w:r>
        <w:r w:rsidR="00A73071">
          <w:rPr>
            <w:noProof/>
            <w:webHidden/>
          </w:rPr>
          <w:fldChar w:fldCharType="end"/>
        </w:r>
      </w:hyperlink>
    </w:p>
    <w:p w14:paraId="177EBD02" w14:textId="413CCCB2" w:rsidR="00A73071" w:rsidRDefault="00770A8C">
      <w:pPr>
        <w:pStyle w:val="TOC2"/>
        <w:rPr>
          <w:rFonts w:asciiTheme="minorHAnsi" w:eastAsiaTheme="minorEastAsia" w:hAnsiTheme="minorHAnsi" w:cstheme="minorBidi"/>
          <w:noProof/>
          <w:sz w:val="22"/>
          <w:szCs w:val="22"/>
          <w:lang w:eastAsia="en-US"/>
        </w:rPr>
      </w:pPr>
      <w:hyperlink w:anchor="_Toc530571859" w:history="1">
        <w:r w:rsidR="00A73071" w:rsidRPr="00B639BA">
          <w:rPr>
            <w:rStyle w:val="Hyperlink"/>
            <w:rFonts w:asciiTheme="majorBidi" w:hAnsiTheme="majorBidi" w:cstheme="majorBidi"/>
            <w:noProof/>
            <w:lang w:val="en-GB"/>
          </w:rPr>
          <w:t>5.6</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Artificial Intelligence for Health</w:t>
        </w:r>
        <w:r w:rsidR="00A73071">
          <w:rPr>
            <w:noProof/>
            <w:webHidden/>
          </w:rPr>
          <w:tab/>
        </w:r>
        <w:r w:rsidR="00A73071">
          <w:rPr>
            <w:noProof/>
            <w:webHidden/>
          </w:rPr>
          <w:fldChar w:fldCharType="begin"/>
        </w:r>
        <w:r w:rsidR="00A73071">
          <w:rPr>
            <w:noProof/>
            <w:webHidden/>
          </w:rPr>
          <w:instrText xml:space="preserve"> PAGEREF _Toc530571859 \h </w:instrText>
        </w:r>
        <w:r w:rsidR="00A73071">
          <w:rPr>
            <w:noProof/>
            <w:webHidden/>
          </w:rPr>
        </w:r>
        <w:r w:rsidR="00A73071">
          <w:rPr>
            <w:noProof/>
            <w:webHidden/>
          </w:rPr>
          <w:fldChar w:fldCharType="separate"/>
        </w:r>
        <w:r w:rsidR="00A73071">
          <w:rPr>
            <w:noProof/>
            <w:webHidden/>
          </w:rPr>
          <w:t>11</w:t>
        </w:r>
        <w:r w:rsidR="00A73071">
          <w:rPr>
            <w:noProof/>
            <w:webHidden/>
          </w:rPr>
          <w:fldChar w:fldCharType="end"/>
        </w:r>
      </w:hyperlink>
    </w:p>
    <w:p w14:paraId="7425BE8E" w14:textId="12DCBF61" w:rsidR="00A73071" w:rsidRDefault="00770A8C">
      <w:pPr>
        <w:pStyle w:val="TOC2"/>
        <w:rPr>
          <w:rFonts w:asciiTheme="minorHAnsi" w:eastAsiaTheme="minorEastAsia" w:hAnsiTheme="minorHAnsi" w:cstheme="minorBidi"/>
          <w:noProof/>
          <w:sz w:val="22"/>
          <w:szCs w:val="22"/>
          <w:lang w:eastAsia="en-US"/>
        </w:rPr>
      </w:pPr>
      <w:hyperlink w:anchor="_Toc530571860" w:history="1">
        <w:r w:rsidR="00A73071" w:rsidRPr="00B639BA">
          <w:rPr>
            <w:rStyle w:val="Hyperlink"/>
            <w:rFonts w:asciiTheme="majorBidi" w:hAnsiTheme="majorBidi" w:cstheme="majorBidi"/>
            <w:noProof/>
            <w:lang w:val="en-GB"/>
          </w:rPr>
          <w:t>5.7</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Vehicular Multimedia</w:t>
        </w:r>
        <w:r w:rsidR="00A73071">
          <w:rPr>
            <w:noProof/>
            <w:webHidden/>
          </w:rPr>
          <w:tab/>
        </w:r>
        <w:r w:rsidR="00A73071">
          <w:rPr>
            <w:noProof/>
            <w:webHidden/>
          </w:rPr>
          <w:fldChar w:fldCharType="begin"/>
        </w:r>
        <w:r w:rsidR="00A73071">
          <w:rPr>
            <w:noProof/>
            <w:webHidden/>
          </w:rPr>
          <w:instrText xml:space="preserve"> PAGEREF _Toc530571860 \h </w:instrText>
        </w:r>
        <w:r w:rsidR="00A73071">
          <w:rPr>
            <w:noProof/>
            <w:webHidden/>
          </w:rPr>
        </w:r>
        <w:r w:rsidR="00A73071">
          <w:rPr>
            <w:noProof/>
            <w:webHidden/>
          </w:rPr>
          <w:fldChar w:fldCharType="separate"/>
        </w:r>
        <w:r w:rsidR="00A73071">
          <w:rPr>
            <w:noProof/>
            <w:webHidden/>
          </w:rPr>
          <w:t>12</w:t>
        </w:r>
        <w:r w:rsidR="00A73071">
          <w:rPr>
            <w:noProof/>
            <w:webHidden/>
          </w:rPr>
          <w:fldChar w:fldCharType="end"/>
        </w:r>
      </w:hyperlink>
    </w:p>
    <w:p w14:paraId="670C3CB4" w14:textId="66047045" w:rsidR="00A73071" w:rsidRDefault="00770A8C">
      <w:pPr>
        <w:pStyle w:val="TOC1"/>
        <w:rPr>
          <w:rFonts w:asciiTheme="minorHAnsi" w:eastAsiaTheme="minorEastAsia" w:hAnsiTheme="minorHAnsi" w:cstheme="minorBidi"/>
          <w:noProof/>
          <w:sz w:val="22"/>
          <w:szCs w:val="22"/>
          <w:lang w:eastAsia="en-US"/>
        </w:rPr>
      </w:pPr>
      <w:hyperlink w:anchor="_Toc530571861" w:history="1">
        <w:r w:rsidR="00A73071" w:rsidRPr="00B639BA">
          <w:rPr>
            <w:rStyle w:val="Hyperlink"/>
            <w:rFonts w:asciiTheme="majorBidi" w:hAnsiTheme="majorBidi" w:cstheme="majorBidi"/>
            <w:noProof/>
            <w:lang w:val="en-GB"/>
          </w:rPr>
          <w:t>6</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Collaboration in standardization</w:t>
        </w:r>
        <w:r w:rsidR="00A73071">
          <w:rPr>
            <w:noProof/>
            <w:webHidden/>
          </w:rPr>
          <w:tab/>
        </w:r>
        <w:r w:rsidR="00A73071">
          <w:rPr>
            <w:noProof/>
            <w:webHidden/>
          </w:rPr>
          <w:fldChar w:fldCharType="begin"/>
        </w:r>
        <w:r w:rsidR="00A73071">
          <w:rPr>
            <w:noProof/>
            <w:webHidden/>
          </w:rPr>
          <w:instrText xml:space="preserve"> PAGEREF _Toc530571861 \h </w:instrText>
        </w:r>
        <w:r w:rsidR="00A73071">
          <w:rPr>
            <w:noProof/>
            <w:webHidden/>
          </w:rPr>
        </w:r>
        <w:r w:rsidR="00A73071">
          <w:rPr>
            <w:noProof/>
            <w:webHidden/>
          </w:rPr>
          <w:fldChar w:fldCharType="separate"/>
        </w:r>
        <w:r w:rsidR="00A73071">
          <w:rPr>
            <w:noProof/>
            <w:webHidden/>
          </w:rPr>
          <w:t>12</w:t>
        </w:r>
        <w:r w:rsidR="00A73071">
          <w:rPr>
            <w:noProof/>
            <w:webHidden/>
          </w:rPr>
          <w:fldChar w:fldCharType="end"/>
        </w:r>
      </w:hyperlink>
    </w:p>
    <w:p w14:paraId="5B81AD9D" w14:textId="60F2E71F" w:rsidR="00A73071" w:rsidRDefault="00770A8C">
      <w:pPr>
        <w:pStyle w:val="TOC2"/>
        <w:rPr>
          <w:rFonts w:asciiTheme="minorHAnsi" w:eastAsiaTheme="minorEastAsia" w:hAnsiTheme="minorHAnsi" w:cstheme="minorBidi"/>
          <w:noProof/>
          <w:sz w:val="22"/>
          <w:szCs w:val="22"/>
          <w:lang w:eastAsia="en-US"/>
        </w:rPr>
      </w:pPr>
      <w:hyperlink w:anchor="_Toc530571862" w:history="1">
        <w:r w:rsidR="00A73071" w:rsidRPr="00B639BA">
          <w:rPr>
            <w:rStyle w:val="Hyperlink"/>
            <w:rFonts w:asciiTheme="majorBidi" w:hAnsiTheme="majorBidi" w:cstheme="majorBidi"/>
            <w:noProof/>
            <w:lang w:val="en-GB"/>
          </w:rPr>
          <w:t>6.1</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Coordination and cooperation among ITU Sectors</w:t>
        </w:r>
        <w:r w:rsidR="00A73071">
          <w:rPr>
            <w:noProof/>
            <w:webHidden/>
          </w:rPr>
          <w:tab/>
        </w:r>
        <w:r w:rsidR="00A73071">
          <w:rPr>
            <w:noProof/>
            <w:webHidden/>
          </w:rPr>
          <w:fldChar w:fldCharType="begin"/>
        </w:r>
        <w:r w:rsidR="00A73071">
          <w:rPr>
            <w:noProof/>
            <w:webHidden/>
          </w:rPr>
          <w:instrText xml:space="preserve"> PAGEREF _Toc530571862 \h </w:instrText>
        </w:r>
        <w:r w:rsidR="00A73071">
          <w:rPr>
            <w:noProof/>
            <w:webHidden/>
          </w:rPr>
        </w:r>
        <w:r w:rsidR="00A73071">
          <w:rPr>
            <w:noProof/>
            <w:webHidden/>
          </w:rPr>
          <w:fldChar w:fldCharType="separate"/>
        </w:r>
        <w:r w:rsidR="00A73071">
          <w:rPr>
            <w:noProof/>
            <w:webHidden/>
          </w:rPr>
          <w:t>12</w:t>
        </w:r>
        <w:r w:rsidR="00A73071">
          <w:rPr>
            <w:noProof/>
            <w:webHidden/>
          </w:rPr>
          <w:fldChar w:fldCharType="end"/>
        </w:r>
      </w:hyperlink>
    </w:p>
    <w:p w14:paraId="18EE5347" w14:textId="42545808" w:rsidR="00A73071" w:rsidRDefault="00770A8C">
      <w:pPr>
        <w:pStyle w:val="TOC2"/>
        <w:rPr>
          <w:rFonts w:asciiTheme="minorHAnsi" w:eastAsiaTheme="minorEastAsia" w:hAnsiTheme="minorHAnsi" w:cstheme="minorBidi"/>
          <w:noProof/>
          <w:sz w:val="22"/>
          <w:szCs w:val="22"/>
          <w:lang w:eastAsia="en-US"/>
        </w:rPr>
      </w:pPr>
      <w:hyperlink w:anchor="_Toc530571863" w:history="1">
        <w:r w:rsidR="00A73071" w:rsidRPr="00B639BA">
          <w:rPr>
            <w:rStyle w:val="Hyperlink"/>
            <w:rFonts w:asciiTheme="majorBidi" w:hAnsiTheme="majorBidi" w:cstheme="majorBidi"/>
            <w:noProof/>
            <w:lang w:val="en-GB"/>
          </w:rPr>
          <w:t>6.2</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Coordination and cooperation with the Regions and the Regional Offices</w:t>
        </w:r>
        <w:r w:rsidR="00A73071">
          <w:rPr>
            <w:noProof/>
            <w:webHidden/>
          </w:rPr>
          <w:tab/>
        </w:r>
        <w:r w:rsidR="00A73071">
          <w:rPr>
            <w:noProof/>
            <w:webHidden/>
          </w:rPr>
          <w:fldChar w:fldCharType="begin"/>
        </w:r>
        <w:r w:rsidR="00A73071">
          <w:rPr>
            <w:noProof/>
            <w:webHidden/>
          </w:rPr>
          <w:instrText xml:space="preserve"> PAGEREF _Toc530571863 \h </w:instrText>
        </w:r>
        <w:r w:rsidR="00A73071">
          <w:rPr>
            <w:noProof/>
            <w:webHidden/>
          </w:rPr>
        </w:r>
        <w:r w:rsidR="00A73071">
          <w:rPr>
            <w:noProof/>
            <w:webHidden/>
          </w:rPr>
          <w:fldChar w:fldCharType="separate"/>
        </w:r>
        <w:r w:rsidR="00A73071">
          <w:rPr>
            <w:noProof/>
            <w:webHidden/>
          </w:rPr>
          <w:t>12</w:t>
        </w:r>
        <w:r w:rsidR="00A73071">
          <w:rPr>
            <w:noProof/>
            <w:webHidden/>
          </w:rPr>
          <w:fldChar w:fldCharType="end"/>
        </w:r>
      </w:hyperlink>
    </w:p>
    <w:p w14:paraId="09FD8C36" w14:textId="16974C67" w:rsidR="00A73071" w:rsidRDefault="00770A8C">
      <w:pPr>
        <w:pStyle w:val="TOC2"/>
        <w:rPr>
          <w:rFonts w:asciiTheme="minorHAnsi" w:eastAsiaTheme="minorEastAsia" w:hAnsiTheme="minorHAnsi" w:cstheme="minorBidi"/>
          <w:noProof/>
          <w:sz w:val="22"/>
          <w:szCs w:val="22"/>
          <w:lang w:eastAsia="en-US"/>
        </w:rPr>
      </w:pPr>
      <w:hyperlink w:anchor="_Toc530571864" w:history="1">
        <w:r w:rsidR="00A73071" w:rsidRPr="00B639BA">
          <w:rPr>
            <w:rStyle w:val="Hyperlink"/>
            <w:rFonts w:asciiTheme="majorBidi" w:hAnsiTheme="majorBidi" w:cstheme="majorBidi"/>
            <w:noProof/>
            <w:lang w:val="en-GB"/>
          </w:rPr>
          <w:t>6.3</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General assistance and cooperation</w:t>
        </w:r>
        <w:r w:rsidR="00A73071">
          <w:rPr>
            <w:noProof/>
            <w:webHidden/>
          </w:rPr>
          <w:tab/>
        </w:r>
        <w:r w:rsidR="00A73071">
          <w:rPr>
            <w:noProof/>
            <w:webHidden/>
          </w:rPr>
          <w:fldChar w:fldCharType="begin"/>
        </w:r>
        <w:r w:rsidR="00A73071">
          <w:rPr>
            <w:noProof/>
            <w:webHidden/>
          </w:rPr>
          <w:instrText xml:space="preserve"> PAGEREF _Toc530571864 \h </w:instrText>
        </w:r>
        <w:r w:rsidR="00A73071">
          <w:rPr>
            <w:noProof/>
            <w:webHidden/>
          </w:rPr>
        </w:r>
        <w:r w:rsidR="00A73071">
          <w:rPr>
            <w:noProof/>
            <w:webHidden/>
          </w:rPr>
          <w:fldChar w:fldCharType="separate"/>
        </w:r>
        <w:r w:rsidR="00A73071">
          <w:rPr>
            <w:noProof/>
            <w:webHidden/>
          </w:rPr>
          <w:t>12</w:t>
        </w:r>
        <w:r w:rsidR="00A73071">
          <w:rPr>
            <w:noProof/>
            <w:webHidden/>
          </w:rPr>
          <w:fldChar w:fldCharType="end"/>
        </w:r>
      </w:hyperlink>
    </w:p>
    <w:p w14:paraId="5EF896AF" w14:textId="26CD42ED" w:rsidR="00A73071" w:rsidRDefault="00770A8C">
      <w:pPr>
        <w:pStyle w:val="TOC2"/>
        <w:rPr>
          <w:rFonts w:asciiTheme="minorHAnsi" w:eastAsiaTheme="minorEastAsia" w:hAnsiTheme="minorHAnsi" w:cstheme="minorBidi"/>
          <w:noProof/>
          <w:sz w:val="22"/>
          <w:szCs w:val="22"/>
          <w:lang w:eastAsia="en-US"/>
        </w:rPr>
      </w:pPr>
      <w:hyperlink w:anchor="_Toc530571865" w:history="1">
        <w:r w:rsidR="00A73071" w:rsidRPr="00B639BA">
          <w:rPr>
            <w:rStyle w:val="Hyperlink"/>
            <w:rFonts w:asciiTheme="majorBidi" w:hAnsiTheme="majorBidi" w:cstheme="majorBidi"/>
            <w:noProof/>
            <w:lang w:val="en-GB"/>
          </w:rPr>
          <w:t>6.4</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MoU and cooperation agreements</w:t>
        </w:r>
        <w:r w:rsidR="00A73071">
          <w:rPr>
            <w:noProof/>
            <w:webHidden/>
          </w:rPr>
          <w:tab/>
        </w:r>
        <w:r w:rsidR="00A73071">
          <w:rPr>
            <w:noProof/>
            <w:webHidden/>
          </w:rPr>
          <w:fldChar w:fldCharType="begin"/>
        </w:r>
        <w:r w:rsidR="00A73071">
          <w:rPr>
            <w:noProof/>
            <w:webHidden/>
          </w:rPr>
          <w:instrText xml:space="preserve"> PAGEREF _Toc530571865 \h </w:instrText>
        </w:r>
        <w:r w:rsidR="00A73071">
          <w:rPr>
            <w:noProof/>
            <w:webHidden/>
          </w:rPr>
        </w:r>
        <w:r w:rsidR="00A73071">
          <w:rPr>
            <w:noProof/>
            <w:webHidden/>
          </w:rPr>
          <w:fldChar w:fldCharType="separate"/>
        </w:r>
        <w:r w:rsidR="00A73071">
          <w:rPr>
            <w:noProof/>
            <w:webHidden/>
          </w:rPr>
          <w:t>14</w:t>
        </w:r>
        <w:r w:rsidR="00A73071">
          <w:rPr>
            <w:noProof/>
            <w:webHidden/>
          </w:rPr>
          <w:fldChar w:fldCharType="end"/>
        </w:r>
      </w:hyperlink>
    </w:p>
    <w:p w14:paraId="01B991B8" w14:textId="6F142E82" w:rsidR="00A73071" w:rsidRDefault="00770A8C">
      <w:pPr>
        <w:pStyle w:val="TOC2"/>
        <w:rPr>
          <w:rFonts w:asciiTheme="minorHAnsi" w:eastAsiaTheme="minorEastAsia" w:hAnsiTheme="minorHAnsi" w:cstheme="minorBidi"/>
          <w:noProof/>
          <w:sz w:val="22"/>
          <w:szCs w:val="22"/>
          <w:lang w:eastAsia="en-US"/>
        </w:rPr>
      </w:pPr>
      <w:hyperlink w:anchor="_Toc530571866" w:history="1">
        <w:r w:rsidR="00A73071" w:rsidRPr="00B639BA">
          <w:rPr>
            <w:rStyle w:val="Hyperlink"/>
            <w:rFonts w:asciiTheme="majorBidi" w:hAnsiTheme="majorBidi" w:cstheme="majorBidi"/>
            <w:noProof/>
            <w:lang w:val="en-GB"/>
          </w:rPr>
          <w:t>6.5</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Cooperation with national and regional standardization organizations</w:t>
        </w:r>
        <w:r w:rsidR="00A73071">
          <w:rPr>
            <w:noProof/>
            <w:webHidden/>
          </w:rPr>
          <w:tab/>
        </w:r>
        <w:r w:rsidR="00A73071">
          <w:rPr>
            <w:noProof/>
            <w:webHidden/>
          </w:rPr>
          <w:fldChar w:fldCharType="begin"/>
        </w:r>
        <w:r w:rsidR="00A73071">
          <w:rPr>
            <w:noProof/>
            <w:webHidden/>
          </w:rPr>
          <w:instrText xml:space="preserve"> PAGEREF _Toc530571866 \h </w:instrText>
        </w:r>
        <w:r w:rsidR="00A73071">
          <w:rPr>
            <w:noProof/>
            <w:webHidden/>
          </w:rPr>
        </w:r>
        <w:r w:rsidR="00A73071">
          <w:rPr>
            <w:noProof/>
            <w:webHidden/>
          </w:rPr>
          <w:fldChar w:fldCharType="separate"/>
        </w:r>
        <w:r w:rsidR="00A73071">
          <w:rPr>
            <w:noProof/>
            <w:webHidden/>
          </w:rPr>
          <w:t>14</w:t>
        </w:r>
        <w:r w:rsidR="00A73071">
          <w:rPr>
            <w:noProof/>
            <w:webHidden/>
          </w:rPr>
          <w:fldChar w:fldCharType="end"/>
        </w:r>
      </w:hyperlink>
    </w:p>
    <w:p w14:paraId="4717E0AA" w14:textId="4AA69AFB" w:rsidR="00A73071" w:rsidRDefault="00770A8C">
      <w:pPr>
        <w:pStyle w:val="TOC1"/>
        <w:rPr>
          <w:rFonts w:asciiTheme="minorHAnsi" w:eastAsiaTheme="minorEastAsia" w:hAnsiTheme="minorHAnsi" w:cstheme="minorBidi"/>
          <w:noProof/>
          <w:sz w:val="22"/>
          <w:szCs w:val="22"/>
          <w:lang w:eastAsia="en-US"/>
        </w:rPr>
      </w:pPr>
      <w:hyperlink w:anchor="_Toc530571867" w:history="1">
        <w:r w:rsidR="00A73071" w:rsidRPr="00B639BA">
          <w:rPr>
            <w:rStyle w:val="Hyperlink"/>
            <w:rFonts w:asciiTheme="majorBidi" w:hAnsiTheme="majorBidi" w:cstheme="majorBidi"/>
            <w:noProof/>
            <w:lang w:val="en-GB"/>
          </w:rPr>
          <w:t>7</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Bridging the standardization gap</w:t>
        </w:r>
        <w:r w:rsidR="00A73071">
          <w:rPr>
            <w:noProof/>
            <w:webHidden/>
          </w:rPr>
          <w:tab/>
        </w:r>
        <w:r w:rsidR="00A73071">
          <w:rPr>
            <w:noProof/>
            <w:webHidden/>
          </w:rPr>
          <w:fldChar w:fldCharType="begin"/>
        </w:r>
        <w:r w:rsidR="00A73071">
          <w:rPr>
            <w:noProof/>
            <w:webHidden/>
          </w:rPr>
          <w:instrText xml:space="preserve"> PAGEREF _Toc530571867 \h </w:instrText>
        </w:r>
        <w:r w:rsidR="00A73071">
          <w:rPr>
            <w:noProof/>
            <w:webHidden/>
          </w:rPr>
        </w:r>
        <w:r w:rsidR="00A73071">
          <w:rPr>
            <w:noProof/>
            <w:webHidden/>
          </w:rPr>
          <w:fldChar w:fldCharType="separate"/>
        </w:r>
        <w:r w:rsidR="00A73071">
          <w:rPr>
            <w:noProof/>
            <w:webHidden/>
          </w:rPr>
          <w:t>15</w:t>
        </w:r>
        <w:r w:rsidR="00A73071">
          <w:rPr>
            <w:noProof/>
            <w:webHidden/>
          </w:rPr>
          <w:fldChar w:fldCharType="end"/>
        </w:r>
      </w:hyperlink>
    </w:p>
    <w:p w14:paraId="7A12A2AA" w14:textId="6B02C4D7" w:rsidR="00A73071" w:rsidRDefault="00770A8C">
      <w:pPr>
        <w:pStyle w:val="TOC2"/>
        <w:rPr>
          <w:rFonts w:asciiTheme="minorHAnsi" w:eastAsiaTheme="minorEastAsia" w:hAnsiTheme="minorHAnsi" w:cstheme="minorBidi"/>
          <w:noProof/>
          <w:sz w:val="22"/>
          <w:szCs w:val="22"/>
          <w:lang w:eastAsia="en-US"/>
        </w:rPr>
      </w:pPr>
      <w:hyperlink w:anchor="_Toc530571868" w:history="1">
        <w:r w:rsidR="00A73071" w:rsidRPr="00B639BA">
          <w:rPr>
            <w:rStyle w:val="Hyperlink"/>
            <w:rFonts w:asciiTheme="majorBidi" w:hAnsiTheme="majorBidi" w:cstheme="majorBidi"/>
            <w:noProof/>
            <w:lang w:val="en-GB"/>
          </w:rPr>
          <w:t>7.1</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BSG hands-on training sessions</w:t>
        </w:r>
        <w:r w:rsidR="00A73071">
          <w:rPr>
            <w:noProof/>
            <w:webHidden/>
          </w:rPr>
          <w:tab/>
        </w:r>
        <w:r w:rsidR="00A73071">
          <w:rPr>
            <w:noProof/>
            <w:webHidden/>
          </w:rPr>
          <w:fldChar w:fldCharType="begin"/>
        </w:r>
        <w:r w:rsidR="00A73071">
          <w:rPr>
            <w:noProof/>
            <w:webHidden/>
          </w:rPr>
          <w:instrText xml:space="preserve"> PAGEREF _Toc530571868 \h </w:instrText>
        </w:r>
        <w:r w:rsidR="00A73071">
          <w:rPr>
            <w:noProof/>
            <w:webHidden/>
          </w:rPr>
        </w:r>
        <w:r w:rsidR="00A73071">
          <w:rPr>
            <w:noProof/>
            <w:webHidden/>
          </w:rPr>
          <w:fldChar w:fldCharType="separate"/>
        </w:r>
        <w:r w:rsidR="00A73071">
          <w:rPr>
            <w:noProof/>
            <w:webHidden/>
          </w:rPr>
          <w:t>16</w:t>
        </w:r>
        <w:r w:rsidR="00A73071">
          <w:rPr>
            <w:noProof/>
            <w:webHidden/>
          </w:rPr>
          <w:fldChar w:fldCharType="end"/>
        </w:r>
      </w:hyperlink>
    </w:p>
    <w:p w14:paraId="37F73A7C" w14:textId="0FDC87C1" w:rsidR="00A73071" w:rsidRDefault="00770A8C">
      <w:pPr>
        <w:pStyle w:val="TOC2"/>
        <w:rPr>
          <w:rFonts w:asciiTheme="minorHAnsi" w:eastAsiaTheme="minorEastAsia" w:hAnsiTheme="minorHAnsi" w:cstheme="minorBidi"/>
          <w:noProof/>
          <w:sz w:val="22"/>
          <w:szCs w:val="22"/>
          <w:lang w:eastAsia="en-US"/>
        </w:rPr>
      </w:pPr>
      <w:hyperlink w:anchor="_Toc530571869" w:history="1">
        <w:r w:rsidR="00A73071" w:rsidRPr="00B639BA">
          <w:rPr>
            <w:rStyle w:val="Hyperlink"/>
            <w:rFonts w:asciiTheme="majorBidi" w:hAnsiTheme="majorBidi" w:cstheme="majorBidi"/>
            <w:noProof/>
            <w:lang w:val="en-GB"/>
          </w:rPr>
          <w:t>7.2</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Regional Groups</w:t>
        </w:r>
        <w:r w:rsidR="00A73071">
          <w:rPr>
            <w:noProof/>
            <w:webHidden/>
          </w:rPr>
          <w:tab/>
        </w:r>
        <w:r w:rsidR="00A73071">
          <w:rPr>
            <w:noProof/>
            <w:webHidden/>
          </w:rPr>
          <w:fldChar w:fldCharType="begin"/>
        </w:r>
        <w:r w:rsidR="00A73071">
          <w:rPr>
            <w:noProof/>
            <w:webHidden/>
          </w:rPr>
          <w:instrText xml:space="preserve"> PAGEREF _Toc530571869 \h </w:instrText>
        </w:r>
        <w:r w:rsidR="00A73071">
          <w:rPr>
            <w:noProof/>
            <w:webHidden/>
          </w:rPr>
        </w:r>
        <w:r w:rsidR="00A73071">
          <w:rPr>
            <w:noProof/>
            <w:webHidden/>
          </w:rPr>
          <w:fldChar w:fldCharType="separate"/>
        </w:r>
        <w:r w:rsidR="00A73071">
          <w:rPr>
            <w:noProof/>
            <w:webHidden/>
          </w:rPr>
          <w:t>16</w:t>
        </w:r>
        <w:r w:rsidR="00A73071">
          <w:rPr>
            <w:noProof/>
            <w:webHidden/>
          </w:rPr>
          <w:fldChar w:fldCharType="end"/>
        </w:r>
      </w:hyperlink>
    </w:p>
    <w:p w14:paraId="228B8216" w14:textId="264BA227" w:rsidR="00A73071" w:rsidRDefault="00770A8C">
      <w:pPr>
        <w:pStyle w:val="TOC2"/>
        <w:rPr>
          <w:rFonts w:asciiTheme="minorHAnsi" w:eastAsiaTheme="minorEastAsia" w:hAnsiTheme="minorHAnsi" w:cstheme="minorBidi"/>
          <w:noProof/>
          <w:sz w:val="22"/>
          <w:szCs w:val="22"/>
          <w:lang w:eastAsia="en-US"/>
        </w:rPr>
      </w:pPr>
      <w:hyperlink w:anchor="_Toc530571870" w:history="1">
        <w:r w:rsidR="00A73071" w:rsidRPr="00B639BA">
          <w:rPr>
            <w:rStyle w:val="Hyperlink"/>
            <w:rFonts w:asciiTheme="majorBidi" w:hAnsiTheme="majorBidi" w:cstheme="majorBidi"/>
            <w:noProof/>
            <w:lang w:val="en-GB"/>
          </w:rPr>
          <w:t>7.3</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Regional Standardization Forums</w:t>
        </w:r>
        <w:r w:rsidR="00A73071">
          <w:rPr>
            <w:noProof/>
            <w:webHidden/>
          </w:rPr>
          <w:tab/>
        </w:r>
        <w:r w:rsidR="00A73071">
          <w:rPr>
            <w:noProof/>
            <w:webHidden/>
          </w:rPr>
          <w:fldChar w:fldCharType="begin"/>
        </w:r>
        <w:r w:rsidR="00A73071">
          <w:rPr>
            <w:noProof/>
            <w:webHidden/>
          </w:rPr>
          <w:instrText xml:space="preserve"> PAGEREF _Toc530571870 \h </w:instrText>
        </w:r>
        <w:r w:rsidR="00A73071">
          <w:rPr>
            <w:noProof/>
            <w:webHidden/>
          </w:rPr>
        </w:r>
        <w:r w:rsidR="00A73071">
          <w:rPr>
            <w:noProof/>
            <w:webHidden/>
          </w:rPr>
          <w:fldChar w:fldCharType="separate"/>
        </w:r>
        <w:r w:rsidR="00A73071">
          <w:rPr>
            <w:noProof/>
            <w:webHidden/>
          </w:rPr>
          <w:t>17</w:t>
        </w:r>
        <w:r w:rsidR="00A73071">
          <w:rPr>
            <w:noProof/>
            <w:webHidden/>
          </w:rPr>
          <w:fldChar w:fldCharType="end"/>
        </w:r>
      </w:hyperlink>
    </w:p>
    <w:p w14:paraId="5D0A5411" w14:textId="7779C796" w:rsidR="00A73071" w:rsidRDefault="00770A8C">
      <w:pPr>
        <w:pStyle w:val="TOC2"/>
        <w:rPr>
          <w:rFonts w:asciiTheme="minorHAnsi" w:eastAsiaTheme="minorEastAsia" w:hAnsiTheme="minorHAnsi" w:cstheme="minorBidi"/>
          <w:noProof/>
          <w:sz w:val="22"/>
          <w:szCs w:val="22"/>
          <w:lang w:eastAsia="en-US"/>
        </w:rPr>
      </w:pPr>
      <w:hyperlink w:anchor="_Toc530571871" w:history="1">
        <w:r w:rsidR="00A73071" w:rsidRPr="00B639BA">
          <w:rPr>
            <w:rStyle w:val="Hyperlink"/>
            <w:rFonts w:asciiTheme="majorBidi" w:hAnsiTheme="majorBidi" w:cstheme="majorBidi"/>
            <w:noProof/>
            <w:lang w:val="en-GB"/>
          </w:rPr>
          <w:t>7.4</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National Standardization Secretariats</w:t>
        </w:r>
        <w:r w:rsidR="00A73071">
          <w:rPr>
            <w:noProof/>
            <w:webHidden/>
          </w:rPr>
          <w:tab/>
        </w:r>
        <w:r w:rsidR="00A73071">
          <w:rPr>
            <w:noProof/>
            <w:webHidden/>
          </w:rPr>
          <w:fldChar w:fldCharType="begin"/>
        </w:r>
        <w:r w:rsidR="00A73071">
          <w:rPr>
            <w:noProof/>
            <w:webHidden/>
          </w:rPr>
          <w:instrText xml:space="preserve"> PAGEREF _Toc530571871 \h </w:instrText>
        </w:r>
        <w:r w:rsidR="00A73071">
          <w:rPr>
            <w:noProof/>
            <w:webHidden/>
          </w:rPr>
        </w:r>
        <w:r w:rsidR="00A73071">
          <w:rPr>
            <w:noProof/>
            <w:webHidden/>
          </w:rPr>
          <w:fldChar w:fldCharType="separate"/>
        </w:r>
        <w:r w:rsidR="00A73071">
          <w:rPr>
            <w:noProof/>
            <w:webHidden/>
          </w:rPr>
          <w:t>17</w:t>
        </w:r>
        <w:r w:rsidR="00A73071">
          <w:rPr>
            <w:noProof/>
            <w:webHidden/>
          </w:rPr>
          <w:fldChar w:fldCharType="end"/>
        </w:r>
      </w:hyperlink>
    </w:p>
    <w:p w14:paraId="7047F45A" w14:textId="0CA67B65" w:rsidR="00A73071" w:rsidRDefault="00770A8C">
      <w:pPr>
        <w:pStyle w:val="TOC2"/>
        <w:rPr>
          <w:rFonts w:asciiTheme="minorHAnsi" w:eastAsiaTheme="minorEastAsia" w:hAnsiTheme="minorHAnsi" w:cstheme="minorBidi"/>
          <w:noProof/>
          <w:sz w:val="22"/>
          <w:szCs w:val="22"/>
          <w:lang w:eastAsia="en-US"/>
        </w:rPr>
      </w:pPr>
      <w:hyperlink w:anchor="_Toc530571872" w:history="1">
        <w:r w:rsidR="00A73071" w:rsidRPr="00B639BA">
          <w:rPr>
            <w:rStyle w:val="Hyperlink"/>
            <w:rFonts w:asciiTheme="majorBidi" w:hAnsiTheme="majorBidi" w:cstheme="majorBidi"/>
            <w:noProof/>
            <w:lang w:val="en-GB"/>
          </w:rPr>
          <w:t>7.5</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e-Learning courses</w:t>
        </w:r>
        <w:r w:rsidR="00A73071">
          <w:rPr>
            <w:noProof/>
            <w:webHidden/>
          </w:rPr>
          <w:tab/>
        </w:r>
        <w:r w:rsidR="00A73071">
          <w:rPr>
            <w:noProof/>
            <w:webHidden/>
          </w:rPr>
          <w:fldChar w:fldCharType="begin"/>
        </w:r>
        <w:r w:rsidR="00A73071">
          <w:rPr>
            <w:noProof/>
            <w:webHidden/>
          </w:rPr>
          <w:instrText xml:space="preserve"> PAGEREF _Toc530571872 \h </w:instrText>
        </w:r>
        <w:r w:rsidR="00A73071">
          <w:rPr>
            <w:noProof/>
            <w:webHidden/>
          </w:rPr>
        </w:r>
        <w:r w:rsidR="00A73071">
          <w:rPr>
            <w:noProof/>
            <w:webHidden/>
          </w:rPr>
          <w:fldChar w:fldCharType="separate"/>
        </w:r>
        <w:r w:rsidR="00A73071">
          <w:rPr>
            <w:noProof/>
            <w:webHidden/>
          </w:rPr>
          <w:t>17</w:t>
        </w:r>
        <w:r w:rsidR="00A73071">
          <w:rPr>
            <w:noProof/>
            <w:webHidden/>
          </w:rPr>
          <w:fldChar w:fldCharType="end"/>
        </w:r>
      </w:hyperlink>
    </w:p>
    <w:p w14:paraId="13761B48" w14:textId="6A1C8867" w:rsidR="00A73071" w:rsidRDefault="00770A8C">
      <w:pPr>
        <w:pStyle w:val="TOC2"/>
        <w:rPr>
          <w:rFonts w:asciiTheme="minorHAnsi" w:eastAsiaTheme="minorEastAsia" w:hAnsiTheme="minorHAnsi" w:cstheme="minorBidi"/>
          <w:noProof/>
          <w:sz w:val="22"/>
          <w:szCs w:val="22"/>
          <w:lang w:eastAsia="en-US"/>
        </w:rPr>
      </w:pPr>
      <w:hyperlink w:anchor="_Toc530571873" w:history="1">
        <w:r w:rsidR="00A73071" w:rsidRPr="00B639BA">
          <w:rPr>
            <w:rStyle w:val="Hyperlink"/>
            <w:rFonts w:asciiTheme="majorBidi" w:hAnsiTheme="majorBidi" w:cstheme="majorBidi"/>
            <w:noProof/>
            <w:lang w:val="en-GB"/>
          </w:rPr>
          <w:t>7.6</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Study Group Mentoring Programme</w:t>
        </w:r>
        <w:r w:rsidR="00A73071">
          <w:rPr>
            <w:noProof/>
            <w:webHidden/>
          </w:rPr>
          <w:tab/>
        </w:r>
        <w:r w:rsidR="00A73071">
          <w:rPr>
            <w:noProof/>
            <w:webHidden/>
          </w:rPr>
          <w:fldChar w:fldCharType="begin"/>
        </w:r>
        <w:r w:rsidR="00A73071">
          <w:rPr>
            <w:noProof/>
            <w:webHidden/>
          </w:rPr>
          <w:instrText xml:space="preserve"> PAGEREF _Toc530571873 \h </w:instrText>
        </w:r>
        <w:r w:rsidR="00A73071">
          <w:rPr>
            <w:noProof/>
            <w:webHidden/>
          </w:rPr>
        </w:r>
        <w:r w:rsidR="00A73071">
          <w:rPr>
            <w:noProof/>
            <w:webHidden/>
          </w:rPr>
          <w:fldChar w:fldCharType="separate"/>
        </w:r>
        <w:r w:rsidR="00A73071">
          <w:rPr>
            <w:noProof/>
            <w:webHidden/>
          </w:rPr>
          <w:t>18</w:t>
        </w:r>
        <w:r w:rsidR="00A73071">
          <w:rPr>
            <w:noProof/>
            <w:webHidden/>
          </w:rPr>
          <w:fldChar w:fldCharType="end"/>
        </w:r>
      </w:hyperlink>
    </w:p>
    <w:p w14:paraId="350152ED" w14:textId="300095AE" w:rsidR="00A73071" w:rsidRDefault="00770A8C">
      <w:pPr>
        <w:pStyle w:val="TOC2"/>
        <w:rPr>
          <w:rFonts w:asciiTheme="minorHAnsi" w:eastAsiaTheme="minorEastAsia" w:hAnsiTheme="minorHAnsi" w:cstheme="minorBidi"/>
          <w:noProof/>
          <w:sz w:val="22"/>
          <w:szCs w:val="22"/>
          <w:lang w:eastAsia="en-US"/>
        </w:rPr>
      </w:pPr>
      <w:hyperlink w:anchor="_Toc530571874" w:history="1">
        <w:r w:rsidR="00A73071" w:rsidRPr="00B639BA">
          <w:rPr>
            <w:rStyle w:val="Hyperlink"/>
            <w:rFonts w:asciiTheme="majorBidi" w:hAnsiTheme="majorBidi" w:cstheme="majorBidi"/>
            <w:noProof/>
            <w:lang w:val="en-GB"/>
          </w:rPr>
          <w:t>7.7</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Technical Papers</w:t>
        </w:r>
        <w:r w:rsidR="00A73071">
          <w:rPr>
            <w:noProof/>
            <w:webHidden/>
          </w:rPr>
          <w:tab/>
        </w:r>
        <w:r w:rsidR="00A73071">
          <w:rPr>
            <w:noProof/>
            <w:webHidden/>
          </w:rPr>
          <w:fldChar w:fldCharType="begin"/>
        </w:r>
        <w:r w:rsidR="00A73071">
          <w:rPr>
            <w:noProof/>
            <w:webHidden/>
          </w:rPr>
          <w:instrText xml:space="preserve"> PAGEREF _Toc530571874 \h </w:instrText>
        </w:r>
        <w:r w:rsidR="00A73071">
          <w:rPr>
            <w:noProof/>
            <w:webHidden/>
          </w:rPr>
        </w:r>
        <w:r w:rsidR="00A73071">
          <w:rPr>
            <w:noProof/>
            <w:webHidden/>
          </w:rPr>
          <w:fldChar w:fldCharType="separate"/>
        </w:r>
        <w:r w:rsidR="00A73071">
          <w:rPr>
            <w:noProof/>
            <w:webHidden/>
          </w:rPr>
          <w:t>18</w:t>
        </w:r>
        <w:r w:rsidR="00A73071">
          <w:rPr>
            <w:noProof/>
            <w:webHidden/>
          </w:rPr>
          <w:fldChar w:fldCharType="end"/>
        </w:r>
      </w:hyperlink>
    </w:p>
    <w:p w14:paraId="0ED729AA" w14:textId="1F5182B4" w:rsidR="00A73071" w:rsidRDefault="00770A8C">
      <w:pPr>
        <w:pStyle w:val="TOC2"/>
        <w:rPr>
          <w:rFonts w:asciiTheme="minorHAnsi" w:eastAsiaTheme="minorEastAsia" w:hAnsiTheme="minorHAnsi" w:cstheme="minorBidi"/>
          <w:noProof/>
          <w:sz w:val="22"/>
          <w:szCs w:val="22"/>
          <w:lang w:eastAsia="en-US"/>
        </w:rPr>
      </w:pPr>
      <w:hyperlink w:anchor="_Toc530571875" w:history="1">
        <w:r w:rsidR="00A73071" w:rsidRPr="00B639BA">
          <w:rPr>
            <w:rStyle w:val="Hyperlink"/>
            <w:rFonts w:asciiTheme="majorBidi" w:hAnsiTheme="majorBidi" w:cstheme="majorBidi"/>
            <w:noProof/>
            <w:lang w:val="en-GB"/>
          </w:rPr>
          <w:t>7.8</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Fellowships</w:t>
        </w:r>
        <w:r w:rsidR="00A73071">
          <w:rPr>
            <w:noProof/>
            <w:webHidden/>
          </w:rPr>
          <w:tab/>
        </w:r>
        <w:r w:rsidR="00A73071">
          <w:rPr>
            <w:noProof/>
            <w:webHidden/>
          </w:rPr>
          <w:fldChar w:fldCharType="begin"/>
        </w:r>
        <w:r w:rsidR="00A73071">
          <w:rPr>
            <w:noProof/>
            <w:webHidden/>
          </w:rPr>
          <w:instrText xml:space="preserve"> PAGEREF _Toc530571875 \h </w:instrText>
        </w:r>
        <w:r w:rsidR="00A73071">
          <w:rPr>
            <w:noProof/>
            <w:webHidden/>
          </w:rPr>
        </w:r>
        <w:r w:rsidR="00A73071">
          <w:rPr>
            <w:noProof/>
            <w:webHidden/>
          </w:rPr>
          <w:fldChar w:fldCharType="separate"/>
        </w:r>
        <w:r w:rsidR="00A73071">
          <w:rPr>
            <w:noProof/>
            <w:webHidden/>
          </w:rPr>
          <w:t>18</w:t>
        </w:r>
        <w:r w:rsidR="00A73071">
          <w:rPr>
            <w:noProof/>
            <w:webHidden/>
          </w:rPr>
          <w:fldChar w:fldCharType="end"/>
        </w:r>
      </w:hyperlink>
    </w:p>
    <w:p w14:paraId="6F6610E2" w14:textId="701B3DD3" w:rsidR="00A73071" w:rsidRDefault="00770A8C">
      <w:pPr>
        <w:pStyle w:val="TOC2"/>
        <w:rPr>
          <w:rFonts w:asciiTheme="minorHAnsi" w:eastAsiaTheme="minorEastAsia" w:hAnsiTheme="minorHAnsi" w:cstheme="minorBidi"/>
          <w:noProof/>
          <w:sz w:val="22"/>
          <w:szCs w:val="22"/>
          <w:lang w:eastAsia="en-US"/>
        </w:rPr>
      </w:pPr>
      <w:hyperlink w:anchor="_Toc530571876" w:history="1">
        <w:r w:rsidR="00A73071" w:rsidRPr="00B639BA">
          <w:rPr>
            <w:rStyle w:val="Hyperlink"/>
            <w:rFonts w:asciiTheme="majorBidi" w:hAnsiTheme="majorBidi" w:cstheme="majorBidi"/>
            <w:noProof/>
            <w:lang w:val="en-GB"/>
          </w:rPr>
          <w:t>7.9</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Questionnaires for developing countries</w:t>
        </w:r>
        <w:r w:rsidR="00A73071">
          <w:rPr>
            <w:noProof/>
            <w:webHidden/>
          </w:rPr>
          <w:tab/>
        </w:r>
        <w:r w:rsidR="00A73071">
          <w:rPr>
            <w:noProof/>
            <w:webHidden/>
          </w:rPr>
          <w:fldChar w:fldCharType="begin"/>
        </w:r>
        <w:r w:rsidR="00A73071">
          <w:rPr>
            <w:noProof/>
            <w:webHidden/>
          </w:rPr>
          <w:instrText xml:space="preserve"> PAGEREF _Toc530571876 \h </w:instrText>
        </w:r>
        <w:r w:rsidR="00A73071">
          <w:rPr>
            <w:noProof/>
            <w:webHidden/>
          </w:rPr>
        </w:r>
        <w:r w:rsidR="00A73071">
          <w:rPr>
            <w:noProof/>
            <w:webHidden/>
          </w:rPr>
          <w:fldChar w:fldCharType="separate"/>
        </w:r>
        <w:r w:rsidR="00A73071">
          <w:rPr>
            <w:noProof/>
            <w:webHidden/>
          </w:rPr>
          <w:t>20</w:t>
        </w:r>
        <w:r w:rsidR="00A73071">
          <w:rPr>
            <w:noProof/>
            <w:webHidden/>
          </w:rPr>
          <w:fldChar w:fldCharType="end"/>
        </w:r>
      </w:hyperlink>
    </w:p>
    <w:p w14:paraId="39A29BCC" w14:textId="3CD1A6D3" w:rsidR="00A73071" w:rsidRDefault="00770A8C">
      <w:pPr>
        <w:pStyle w:val="TOC1"/>
        <w:rPr>
          <w:rFonts w:asciiTheme="minorHAnsi" w:eastAsiaTheme="minorEastAsia" w:hAnsiTheme="minorHAnsi" w:cstheme="minorBidi"/>
          <w:noProof/>
          <w:sz w:val="22"/>
          <w:szCs w:val="22"/>
          <w:lang w:eastAsia="en-US"/>
        </w:rPr>
      </w:pPr>
      <w:hyperlink w:anchor="_Toc530571877" w:history="1">
        <w:r w:rsidR="00A73071" w:rsidRPr="00B639BA">
          <w:rPr>
            <w:rStyle w:val="Hyperlink"/>
            <w:rFonts w:asciiTheme="majorBidi" w:hAnsiTheme="majorBidi" w:cstheme="majorBidi"/>
            <w:noProof/>
            <w:lang w:val="en-GB"/>
          </w:rPr>
          <w:t>8</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Membership</w:t>
        </w:r>
        <w:r w:rsidR="00A73071">
          <w:rPr>
            <w:noProof/>
            <w:webHidden/>
          </w:rPr>
          <w:tab/>
        </w:r>
        <w:r w:rsidR="00A73071">
          <w:rPr>
            <w:noProof/>
            <w:webHidden/>
          </w:rPr>
          <w:fldChar w:fldCharType="begin"/>
        </w:r>
        <w:r w:rsidR="00A73071">
          <w:rPr>
            <w:noProof/>
            <w:webHidden/>
          </w:rPr>
          <w:instrText xml:space="preserve"> PAGEREF _Toc530571877 \h </w:instrText>
        </w:r>
        <w:r w:rsidR="00A73071">
          <w:rPr>
            <w:noProof/>
            <w:webHidden/>
          </w:rPr>
        </w:r>
        <w:r w:rsidR="00A73071">
          <w:rPr>
            <w:noProof/>
            <w:webHidden/>
          </w:rPr>
          <w:fldChar w:fldCharType="separate"/>
        </w:r>
        <w:r w:rsidR="00A73071">
          <w:rPr>
            <w:noProof/>
            <w:webHidden/>
          </w:rPr>
          <w:t>20</w:t>
        </w:r>
        <w:r w:rsidR="00A73071">
          <w:rPr>
            <w:noProof/>
            <w:webHidden/>
          </w:rPr>
          <w:fldChar w:fldCharType="end"/>
        </w:r>
      </w:hyperlink>
    </w:p>
    <w:p w14:paraId="2E3FB7F4" w14:textId="05624AEA" w:rsidR="00A73071" w:rsidRDefault="00770A8C">
      <w:pPr>
        <w:pStyle w:val="TOC2"/>
        <w:rPr>
          <w:rFonts w:asciiTheme="minorHAnsi" w:eastAsiaTheme="minorEastAsia" w:hAnsiTheme="minorHAnsi" w:cstheme="minorBidi"/>
          <w:noProof/>
          <w:sz w:val="22"/>
          <w:szCs w:val="22"/>
          <w:lang w:eastAsia="en-US"/>
        </w:rPr>
      </w:pPr>
      <w:hyperlink w:anchor="_Toc530571878" w:history="1">
        <w:r w:rsidR="00A73071" w:rsidRPr="00B639BA">
          <w:rPr>
            <w:rStyle w:val="Hyperlink"/>
            <w:rFonts w:asciiTheme="majorBidi" w:hAnsiTheme="majorBidi" w:cstheme="majorBidi"/>
            <w:noProof/>
            <w:lang w:val="en-GB"/>
          </w:rPr>
          <w:t>8.1</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Evolution of ITU-T membership</w:t>
        </w:r>
        <w:r w:rsidR="00A73071">
          <w:rPr>
            <w:noProof/>
            <w:webHidden/>
          </w:rPr>
          <w:tab/>
        </w:r>
        <w:r w:rsidR="00A73071">
          <w:rPr>
            <w:noProof/>
            <w:webHidden/>
          </w:rPr>
          <w:fldChar w:fldCharType="begin"/>
        </w:r>
        <w:r w:rsidR="00A73071">
          <w:rPr>
            <w:noProof/>
            <w:webHidden/>
          </w:rPr>
          <w:instrText xml:space="preserve"> PAGEREF _Toc530571878 \h </w:instrText>
        </w:r>
        <w:r w:rsidR="00A73071">
          <w:rPr>
            <w:noProof/>
            <w:webHidden/>
          </w:rPr>
        </w:r>
        <w:r w:rsidR="00A73071">
          <w:rPr>
            <w:noProof/>
            <w:webHidden/>
          </w:rPr>
          <w:fldChar w:fldCharType="separate"/>
        </w:r>
        <w:r w:rsidR="00A73071">
          <w:rPr>
            <w:noProof/>
            <w:webHidden/>
          </w:rPr>
          <w:t>20</w:t>
        </w:r>
        <w:r w:rsidR="00A73071">
          <w:rPr>
            <w:noProof/>
            <w:webHidden/>
          </w:rPr>
          <w:fldChar w:fldCharType="end"/>
        </w:r>
      </w:hyperlink>
    </w:p>
    <w:p w14:paraId="5D80D31F" w14:textId="015D0242" w:rsidR="00A73071" w:rsidRDefault="00770A8C">
      <w:pPr>
        <w:pStyle w:val="TOC2"/>
        <w:rPr>
          <w:rFonts w:asciiTheme="minorHAnsi" w:eastAsiaTheme="minorEastAsia" w:hAnsiTheme="minorHAnsi" w:cstheme="minorBidi"/>
          <w:noProof/>
          <w:sz w:val="22"/>
          <w:szCs w:val="22"/>
          <w:lang w:eastAsia="en-US"/>
        </w:rPr>
      </w:pPr>
      <w:hyperlink w:anchor="_Toc530571879" w:history="1">
        <w:r w:rsidR="00A73071" w:rsidRPr="00B639BA">
          <w:rPr>
            <w:rStyle w:val="Hyperlink"/>
            <w:rFonts w:asciiTheme="majorBidi" w:hAnsiTheme="majorBidi" w:cstheme="majorBidi"/>
            <w:noProof/>
            <w:lang w:val="en-GB"/>
          </w:rPr>
          <w:t>8.2</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Implementation of SME Pilot Project</w:t>
        </w:r>
        <w:r w:rsidR="00A73071">
          <w:rPr>
            <w:noProof/>
            <w:webHidden/>
          </w:rPr>
          <w:tab/>
        </w:r>
        <w:r w:rsidR="00A73071">
          <w:rPr>
            <w:noProof/>
            <w:webHidden/>
          </w:rPr>
          <w:fldChar w:fldCharType="begin"/>
        </w:r>
        <w:r w:rsidR="00A73071">
          <w:rPr>
            <w:noProof/>
            <w:webHidden/>
          </w:rPr>
          <w:instrText xml:space="preserve"> PAGEREF _Toc530571879 \h </w:instrText>
        </w:r>
        <w:r w:rsidR="00A73071">
          <w:rPr>
            <w:noProof/>
            <w:webHidden/>
          </w:rPr>
        </w:r>
        <w:r w:rsidR="00A73071">
          <w:rPr>
            <w:noProof/>
            <w:webHidden/>
          </w:rPr>
          <w:fldChar w:fldCharType="separate"/>
        </w:r>
        <w:r w:rsidR="00A73071">
          <w:rPr>
            <w:noProof/>
            <w:webHidden/>
          </w:rPr>
          <w:t>21</w:t>
        </w:r>
        <w:r w:rsidR="00A73071">
          <w:rPr>
            <w:noProof/>
            <w:webHidden/>
          </w:rPr>
          <w:fldChar w:fldCharType="end"/>
        </w:r>
      </w:hyperlink>
    </w:p>
    <w:p w14:paraId="3230310B" w14:textId="095B15AE" w:rsidR="00A73071" w:rsidRDefault="00770A8C">
      <w:pPr>
        <w:pStyle w:val="TOC1"/>
        <w:rPr>
          <w:rFonts w:asciiTheme="minorHAnsi" w:eastAsiaTheme="minorEastAsia" w:hAnsiTheme="minorHAnsi" w:cstheme="minorBidi"/>
          <w:noProof/>
          <w:sz w:val="22"/>
          <w:szCs w:val="22"/>
          <w:lang w:eastAsia="en-US"/>
        </w:rPr>
      </w:pPr>
      <w:hyperlink w:anchor="_Toc530571880" w:history="1">
        <w:r w:rsidR="00A73071" w:rsidRPr="00B639BA">
          <w:rPr>
            <w:rStyle w:val="Hyperlink"/>
            <w:rFonts w:asciiTheme="majorBidi" w:hAnsiTheme="majorBidi" w:cstheme="majorBidi"/>
            <w:noProof/>
            <w:lang w:val="en-GB"/>
          </w:rPr>
          <w:t>9</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Gender</w:t>
        </w:r>
        <w:r w:rsidR="00A73071">
          <w:rPr>
            <w:noProof/>
            <w:webHidden/>
          </w:rPr>
          <w:tab/>
        </w:r>
        <w:r w:rsidR="00A73071">
          <w:rPr>
            <w:noProof/>
            <w:webHidden/>
          </w:rPr>
          <w:fldChar w:fldCharType="begin"/>
        </w:r>
        <w:r w:rsidR="00A73071">
          <w:rPr>
            <w:noProof/>
            <w:webHidden/>
          </w:rPr>
          <w:instrText xml:space="preserve"> PAGEREF _Toc530571880 \h </w:instrText>
        </w:r>
        <w:r w:rsidR="00A73071">
          <w:rPr>
            <w:noProof/>
            <w:webHidden/>
          </w:rPr>
        </w:r>
        <w:r w:rsidR="00A73071">
          <w:rPr>
            <w:noProof/>
            <w:webHidden/>
          </w:rPr>
          <w:fldChar w:fldCharType="separate"/>
        </w:r>
        <w:r w:rsidR="00A73071">
          <w:rPr>
            <w:noProof/>
            <w:webHidden/>
          </w:rPr>
          <w:t>22</w:t>
        </w:r>
        <w:r w:rsidR="00A73071">
          <w:rPr>
            <w:noProof/>
            <w:webHidden/>
          </w:rPr>
          <w:fldChar w:fldCharType="end"/>
        </w:r>
      </w:hyperlink>
    </w:p>
    <w:p w14:paraId="7DD6323B" w14:textId="5BAB67B1" w:rsidR="00A73071" w:rsidRDefault="00770A8C">
      <w:pPr>
        <w:pStyle w:val="TOC1"/>
        <w:rPr>
          <w:rFonts w:asciiTheme="minorHAnsi" w:eastAsiaTheme="minorEastAsia" w:hAnsiTheme="minorHAnsi" w:cstheme="minorBidi"/>
          <w:noProof/>
          <w:sz w:val="22"/>
          <w:szCs w:val="22"/>
          <w:lang w:eastAsia="en-US"/>
        </w:rPr>
      </w:pPr>
      <w:hyperlink w:anchor="_Toc530571881" w:history="1">
        <w:r w:rsidR="00A73071" w:rsidRPr="00B639BA">
          <w:rPr>
            <w:rStyle w:val="Hyperlink"/>
            <w:rFonts w:asciiTheme="majorBidi" w:hAnsiTheme="majorBidi" w:cstheme="majorBidi"/>
            <w:noProof/>
            <w:lang w:val="en-GB"/>
          </w:rPr>
          <w:t>10</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Academia</w:t>
        </w:r>
        <w:r w:rsidR="00A73071">
          <w:rPr>
            <w:noProof/>
            <w:webHidden/>
          </w:rPr>
          <w:tab/>
        </w:r>
        <w:r w:rsidR="00A73071">
          <w:rPr>
            <w:noProof/>
            <w:webHidden/>
          </w:rPr>
          <w:fldChar w:fldCharType="begin"/>
        </w:r>
        <w:r w:rsidR="00A73071">
          <w:rPr>
            <w:noProof/>
            <w:webHidden/>
          </w:rPr>
          <w:instrText xml:space="preserve"> PAGEREF _Toc530571881 \h </w:instrText>
        </w:r>
        <w:r w:rsidR="00A73071">
          <w:rPr>
            <w:noProof/>
            <w:webHidden/>
          </w:rPr>
        </w:r>
        <w:r w:rsidR="00A73071">
          <w:rPr>
            <w:noProof/>
            <w:webHidden/>
          </w:rPr>
          <w:fldChar w:fldCharType="separate"/>
        </w:r>
        <w:r w:rsidR="00A73071">
          <w:rPr>
            <w:noProof/>
            <w:webHidden/>
          </w:rPr>
          <w:t>22</w:t>
        </w:r>
        <w:r w:rsidR="00A73071">
          <w:rPr>
            <w:noProof/>
            <w:webHidden/>
          </w:rPr>
          <w:fldChar w:fldCharType="end"/>
        </w:r>
      </w:hyperlink>
    </w:p>
    <w:p w14:paraId="1D520D54" w14:textId="18049B9B" w:rsidR="00A73071" w:rsidRDefault="00770A8C">
      <w:pPr>
        <w:pStyle w:val="TOC1"/>
        <w:rPr>
          <w:rFonts w:asciiTheme="minorHAnsi" w:eastAsiaTheme="minorEastAsia" w:hAnsiTheme="minorHAnsi" w:cstheme="minorBidi"/>
          <w:noProof/>
          <w:sz w:val="22"/>
          <w:szCs w:val="22"/>
          <w:lang w:eastAsia="en-US"/>
        </w:rPr>
      </w:pPr>
      <w:hyperlink w:anchor="_Toc530571882" w:history="1">
        <w:r w:rsidR="00A73071" w:rsidRPr="00B639BA">
          <w:rPr>
            <w:rStyle w:val="Hyperlink"/>
            <w:rFonts w:asciiTheme="majorBidi" w:hAnsiTheme="majorBidi" w:cstheme="majorBidi"/>
            <w:noProof/>
            <w:lang w:val="en-GB"/>
          </w:rPr>
          <w:t>11</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Publications</w:t>
        </w:r>
        <w:r w:rsidR="00A73071">
          <w:rPr>
            <w:noProof/>
            <w:webHidden/>
          </w:rPr>
          <w:tab/>
        </w:r>
        <w:r w:rsidR="00A73071">
          <w:rPr>
            <w:noProof/>
            <w:webHidden/>
          </w:rPr>
          <w:fldChar w:fldCharType="begin"/>
        </w:r>
        <w:r w:rsidR="00A73071">
          <w:rPr>
            <w:noProof/>
            <w:webHidden/>
          </w:rPr>
          <w:instrText xml:space="preserve"> PAGEREF _Toc530571882 \h </w:instrText>
        </w:r>
        <w:r w:rsidR="00A73071">
          <w:rPr>
            <w:noProof/>
            <w:webHidden/>
          </w:rPr>
        </w:r>
        <w:r w:rsidR="00A73071">
          <w:rPr>
            <w:noProof/>
            <w:webHidden/>
          </w:rPr>
          <w:fldChar w:fldCharType="separate"/>
        </w:r>
        <w:r w:rsidR="00A73071">
          <w:rPr>
            <w:noProof/>
            <w:webHidden/>
          </w:rPr>
          <w:t>23</w:t>
        </w:r>
        <w:r w:rsidR="00A73071">
          <w:rPr>
            <w:noProof/>
            <w:webHidden/>
          </w:rPr>
          <w:fldChar w:fldCharType="end"/>
        </w:r>
      </w:hyperlink>
    </w:p>
    <w:p w14:paraId="6FD607C9" w14:textId="7EDAE338" w:rsidR="00A73071" w:rsidRDefault="00770A8C">
      <w:pPr>
        <w:pStyle w:val="TOC1"/>
        <w:rPr>
          <w:rFonts w:asciiTheme="minorHAnsi" w:eastAsiaTheme="minorEastAsia" w:hAnsiTheme="minorHAnsi" w:cstheme="minorBidi"/>
          <w:noProof/>
          <w:sz w:val="22"/>
          <w:szCs w:val="22"/>
          <w:lang w:eastAsia="en-US"/>
        </w:rPr>
      </w:pPr>
      <w:hyperlink w:anchor="_Toc530571883" w:history="1">
        <w:r w:rsidR="00A73071" w:rsidRPr="00B639BA">
          <w:rPr>
            <w:rStyle w:val="Hyperlink"/>
            <w:rFonts w:asciiTheme="majorBidi" w:hAnsiTheme="majorBidi" w:cstheme="majorBidi"/>
            <w:noProof/>
            <w:lang w:val="en-GB"/>
          </w:rPr>
          <w:t>12</w:t>
        </w:r>
        <w:r w:rsidR="00A73071">
          <w:rPr>
            <w:rFonts w:asciiTheme="minorHAnsi" w:eastAsiaTheme="minorEastAsia" w:hAnsiTheme="minorHAnsi" w:cstheme="minorBidi"/>
            <w:noProof/>
            <w:sz w:val="22"/>
            <w:szCs w:val="22"/>
            <w:lang w:eastAsia="en-US"/>
          </w:rPr>
          <w:tab/>
        </w:r>
        <w:r w:rsidR="00A73071" w:rsidRPr="00B639BA">
          <w:rPr>
            <w:rStyle w:val="Hyperlink"/>
            <w:noProof/>
            <w:lang w:val="en-GB"/>
          </w:rPr>
          <w:t>Media and promotion</w:t>
        </w:r>
        <w:r w:rsidR="00A73071">
          <w:rPr>
            <w:noProof/>
            <w:webHidden/>
          </w:rPr>
          <w:tab/>
        </w:r>
        <w:r w:rsidR="00A73071">
          <w:rPr>
            <w:noProof/>
            <w:webHidden/>
          </w:rPr>
          <w:fldChar w:fldCharType="begin"/>
        </w:r>
        <w:r w:rsidR="00A73071">
          <w:rPr>
            <w:noProof/>
            <w:webHidden/>
          </w:rPr>
          <w:instrText xml:space="preserve"> PAGEREF _Toc530571883 \h </w:instrText>
        </w:r>
        <w:r w:rsidR="00A73071">
          <w:rPr>
            <w:noProof/>
            <w:webHidden/>
          </w:rPr>
        </w:r>
        <w:r w:rsidR="00A73071">
          <w:rPr>
            <w:noProof/>
            <w:webHidden/>
          </w:rPr>
          <w:fldChar w:fldCharType="separate"/>
        </w:r>
        <w:r w:rsidR="00A73071">
          <w:rPr>
            <w:noProof/>
            <w:webHidden/>
          </w:rPr>
          <w:t>23</w:t>
        </w:r>
        <w:r w:rsidR="00A73071">
          <w:rPr>
            <w:noProof/>
            <w:webHidden/>
          </w:rPr>
          <w:fldChar w:fldCharType="end"/>
        </w:r>
      </w:hyperlink>
    </w:p>
    <w:p w14:paraId="00F593AC" w14:textId="7B87B590" w:rsidR="00A73071" w:rsidRDefault="00770A8C">
      <w:pPr>
        <w:pStyle w:val="TOC1"/>
        <w:rPr>
          <w:rFonts w:asciiTheme="minorHAnsi" w:eastAsiaTheme="minorEastAsia" w:hAnsiTheme="minorHAnsi" w:cstheme="minorBidi"/>
          <w:noProof/>
          <w:sz w:val="22"/>
          <w:szCs w:val="22"/>
          <w:lang w:eastAsia="en-US"/>
        </w:rPr>
      </w:pPr>
      <w:hyperlink w:anchor="_Toc530571884" w:history="1">
        <w:r w:rsidR="00A73071" w:rsidRPr="00B639BA">
          <w:rPr>
            <w:rStyle w:val="Hyperlink"/>
            <w:rFonts w:asciiTheme="majorBidi" w:hAnsiTheme="majorBidi" w:cstheme="majorBidi"/>
            <w:noProof/>
            <w:lang w:val="en-GB"/>
          </w:rPr>
          <w:t>13</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Services and tools</w:t>
        </w:r>
        <w:r w:rsidR="00A73071">
          <w:rPr>
            <w:noProof/>
            <w:webHidden/>
          </w:rPr>
          <w:tab/>
        </w:r>
        <w:r w:rsidR="00A73071">
          <w:rPr>
            <w:noProof/>
            <w:webHidden/>
          </w:rPr>
          <w:fldChar w:fldCharType="begin"/>
        </w:r>
        <w:r w:rsidR="00A73071">
          <w:rPr>
            <w:noProof/>
            <w:webHidden/>
          </w:rPr>
          <w:instrText xml:space="preserve"> PAGEREF _Toc530571884 \h </w:instrText>
        </w:r>
        <w:r w:rsidR="00A73071">
          <w:rPr>
            <w:noProof/>
            <w:webHidden/>
          </w:rPr>
        </w:r>
        <w:r w:rsidR="00A73071">
          <w:rPr>
            <w:noProof/>
            <w:webHidden/>
          </w:rPr>
          <w:fldChar w:fldCharType="separate"/>
        </w:r>
        <w:r w:rsidR="00A73071">
          <w:rPr>
            <w:noProof/>
            <w:webHidden/>
          </w:rPr>
          <w:t>24</w:t>
        </w:r>
        <w:r w:rsidR="00A73071">
          <w:rPr>
            <w:noProof/>
            <w:webHidden/>
          </w:rPr>
          <w:fldChar w:fldCharType="end"/>
        </w:r>
      </w:hyperlink>
    </w:p>
    <w:p w14:paraId="682EE574" w14:textId="257E4D9D" w:rsidR="00A73071" w:rsidRDefault="00770A8C">
      <w:pPr>
        <w:pStyle w:val="TOC2"/>
        <w:rPr>
          <w:rFonts w:asciiTheme="minorHAnsi" w:eastAsiaTheme="minorEastAsia" w:hAnsiTheme="minorHAnsi" w:cstheme="minorBidi"/>
          <w:noProof/>
          <w:sz w:val="22"/>
          <w:szCs w:val="22"/>
          <w:lang w:eastAsia="en-US"/>
        </w:rPr>
      </w:pPr>
      <w:hyperlink w:anchor="_Toc530571885" w:history="1">
        <w:r w:rsidR="00A73071" w:rsidRPr="00B639BA">
          <w:rPr>
            <w:rStyle w:val="Hyperlink"/>
            <w:rFonts w:asciiTheme="majorBidi" w:hAnsiTheme="majorBidi" w:cstheme="majorBidi"/>
            <w:noProof/>
            <w:lang w:val="en-GB"/>
          </w:rPr>
          <w:t>13.1</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ITU-T Databases</w:t>
        </w:r>
        <w:r w:rsidR="00A73071">
          <w:rPr>
            <w:noProof/>
            <w:webHidden/>
          </w:rPr>
          <w:tab/>
        </w:r>
        <w:r w:rsidR="00A73071">
          <w:rPr>
            <w:noProof/>
            <w:webHidden/>
          </w:rPr>
          <w:fldChar w:fldCharType="begin"/>
        </w:r>
        <w:r w:rsidR="00A73071">
          <w:rPr>
            <w:noProof/>
            <w:webHidden/>
          </w:rPr>
          <w:instrText xml:space="preserve"> PAGEREF _Toc530571885 \h </w:instrText>
        </w:r>
        <w:r w:rsidR="00A73071">
          <w:rPr>
            <w:noProof/>
            <w:webHidden/>
          </w:rPr>
        </w:r>
        <w:r w:rsidR="00A73071">
          <w:rPr>
            <w:noProof/>
            <w:webHidden/>
          </w:rPr>
          <w:fldChar w:fldCharType="separate"/>
        </w:r>
        <w:r w:rsidR="00A73071">
          <w:rPr>
            <w:noProof/>
            <w:webHidden/>
          </w:rPr>
          <w:t>24</w:t>
        </w:r>
        <w:r w:rsidR="00A73071">
          <w:rPr>
            <w:noProof/>
            <w:webHidden/>
          </w:rPr>
          <w:fldChar w:fldCharType="end"/>
        </w:r>
      </w:hyperlink>
    </w:p>
    <w:p w14:paraId="6A258747" w14:textId="2A93FDBC" w:rsidR="00A73071" w:rsidRDefault="00770A8C">
      <w:pPr>
        <w:pStyle w:val="TOC2"/>
        <w:rPr>
          <w:rFonts w:asciiTheme="minorHAnsi" w:eastAsiaTheme="minorEastAsia" w:hAnsiTheme="minorHAnsi" w:cstheme="minorBidi"/>
          <w:noProof/>
          <w:sz w:val="22"/>
          <w:szCs w:val="22"/>
          <w:lang w:eastAsia="en-US"/>
        </w:rPr>
      </w:pPr>
      <w:hyperlink w:anchor="_Toc530571886" w:history="1">
        <w:r w:rsidR="00A73071" w:rsidRPr="00B639BA">
          <w:rPr>
            <w:rStyle w:val="Hyperlink"/>
            <w:noProof/>
            <w:lang w:val="en-GB"/>
          </w:rPr>
          <w:t>13.2</w:t>
        </w:r>
        <w:r w:rsidR="00A73071">
          <w:rPr>
            <w:rFonts w:asciiTheme="minorHAnsi" w:eastAsiaTheme="minorEastAsia" w:hAnsiTheme="minorHAnsi" w:cstheme="minorBidi"/>
            <w:noProof/>
            <w:sz w:val="22"/>
            <w:szCs w:val="22"/>
            <w:lang w:eastAsia="en-US"/>
          </w:rPr>
          <w:tab/>
        </w:r>
        <w:r w:rsidR="00A73071" w:rsidRPr="00B639BA">
          <w:rPr>
            <w:rStyle w:val="Hyperlink"/>
            <w:noProof/>
            <w:lang w:val="en-GB"/>
          </w:rPr>
          <w:t>ITU-T MyWorkspace</w:t>
        </w:r>
        <w:r w:rsidR="00A73071">
          <w:rPr>
            <w:noProof/>
            <w:webHidden/>
          </w:rPr>
          <w:tab/>
        </w:r>
        <w:r w:rsidR="00A73071">
          <w:rPr>
            <w:noProof/>
            <w:webHidden/>
          </w:rPr>
          <w:fldChar w:fldCharType="begin"/>
        </w:r>
        <w:r w:rsidR="00A73071">
          <w:rPr>
            <w:noProof/>
            <w:webHidden/>
          </w:rPr>
          <w:instrText xml:space="preserve"> PAGEREF _Toc530571886 \h </w:instrText>
        </w:r>
        <w:r w:rsidR="00A73071">
          <w:rPr>
            <w:noProof/>
            <w:webHidden/>
          </w:rPr>
        </w:r>
        <w:r w:rsidR="00A73071">
          <w:rPr>
            <w:noProof/>
            <w:webHidden/>
          </w:rPr>
          <w:fldChar w:fldCharType="separate"/>
        </w:r>
        <w:r w:rsidR="00A73071">
          <w:rPr>
            <w:noProof/>
            <w:webHidden/>
          </w:rPr>
          <w:t>24</w:t>
        </w:r>
        <w:r w:rsidR="00A73071">
          <w:rPr>
            <w:noProof/>
            <w:webHidden/>
          </w:rPr>
          <w:fldChar w:fldCharType="end"/>
        </w:r>
      </w:hyperlink>
    </w:p>
    <w:p w14:paraId="3CC3A8ED" w14:textId="5090AE84" w:rsidR="00A73071" w:rsidRDefault="00770A8C">
      <w:pPr>
        <w:pStyle w:val="TOC2"/>
        <w:rPr>
          <w:rFonts w:asciiTheme="minorHAnsi" w:eastAsiaTheme="minorEastAsia" w:hAnsiTheme="minorHAnsi" w:cstheme="minorBidi"/>
          <w:noProof/>
          <w:sz w:val="22"/>
          <w:szCs w:val="22"/>
          <w:lang w:eastAsia="en-US"/>
        </w:rPr>
      </w:pPr>
      <w:hyperlink w:anchor="_Toc530571887" w:history="1">
        <w:r w:rsidR="00A73071" w:rsidRPr="00B639BA">
          <w:rPr>
            <w:rStyle w:val="Hyperlink"/>
            <w:noProof/>
            <w:lang w:val="en-GB"/>
          </w:rPr>
          <w:t>13.3</w:t>
        </w:r>
        <w:r w:rsidR="00A73071">
          <w:rPr>
            <w:rFonts w:asciiTheme="minorHAnsi" w:eastAsiaTheme="minorEastAsia" w:hAnsiTheme="minorHAnsi" w:cstheme="minorBidi"/>
            <w:noProof/>
            <w:sz w:val="22"/>
            <w:szCs w:val="22"/>
            <w:lang w:eastAsia="en-US"/>
          </w:rPr>
          <w:tab/>
        </w:r>
        <w:r w:rsidR="00A73071" w:rsidRPr="00B639BA">
          <w:rPr>
            <w:rStyle w:val="Hyperlink"/>
            <w:noProof/>
            <w:lang w:val="en-GB"/>
          </w:rPr>
          <w:t>ITU search engine</w:t>
        </w:r>
        <w:r w:rsidR="00A73071">
          <w:rPr>
            <w:noProof/>
            <w:webHidden/>
          </w:rPr>
          <w:tab/>
        </w:r>
        <w:r w:rsidR="00A73071">
          <w:rPr>
            <w:noProof/>
            <w:webHidden/>
          </w:rPr>
          <w:fldChar w:fldCharType="begin"/>
        </w:r>
        <w:r w:rsidR="00A73071">
          <w:rPr>
            <w:noProof/>
            <w:webHidden/>
          </w:rPr>
          <w:instrText xml:space="preserve"> PAGEREF _Toc530571887 \h </w:instrText>
        </w:r>
        <w:r w:rsidR="00A73071">
          <w:rPr>
            <w:noProof/>
            <w:webHidden/>
          </w:rPr>
        </w:r>
        <w:r w:rsidR="00A73071">
          <w:rPr>
            <w:noProof/>
            <w:webHidden/>
          </w:rPr>
          <w:fldChar w:fldCharType="separate"/>
        </w:r>
        <w:r w:rsidR="00A73071">
          <w:rPr>
            <w:noProof/>
            <w:webHidden/>
          </w:rPr>
          <w:t>25</w:t>
        </w:r>
        <w:r w:rsidR="00A73071">
          <w:rPr>
            <w:noProof/>
            <w:webHidden/>
          </w:rPr>
          <w:fldChar w:fldCharType="end"/>
        </w:r>
      </w:hyperlink>
    </w:p>
    <w:p w14:paraId="393468C9" w14:textId="0FCB8F5E" w:rsidR="00A73071" w:rsidRDefault="00770A8C">
      <w:pPr>
        <w:pStyle w:val="TOC2"/>
        <w:rPr>
          <w:rFonts w:asciiTheme="minorHAnsi" w:eastAsiaTheme="minorEastAsia" w:hAnsiTheme="minorHAnsi" w:cstheme="minorBidi"/>
          <w:noProof/>
          <w:sz w:val="22"/>
          <w:szCs w:val="22"/>
          <w:lang w:eastAsia="en-US"/>
        </w:rPr>
      </w:pPr>
      <w:hyperlink w:anchor="_Toc530571888" w:history="1">
        <w:r w:rsidR="00A73071" w:rsidRPr="00B639BA">
          <w:rPr>
            <w:rStyle w:val="Hyperlink"/>
            <w:rFonts w:asciiTheme="majorBidi" w:hAnsiTheme="majorBidi" w:cstheme="majorBidi"/>
            <w:noProof/>
            <w:lang w:val="en-GB"/>
          </w:rPr>
          <w:t>13.4</w:t>
        </w:r>
        <w:r w:rsidR="00A73071">
          <w:rPr>
            <w:rFonts w:asciiTheme="minorHAnsi" w:eastAsiaTheme="minorEastAsia" w:hAnsiTheme="minorHAnsi" w:cstheme="minorBidi"/>
            <w:noProof/>
            <w:sz w:val="22"/>
            <w:szCs w:val="22"/>
            <w:lang w:eastAsia="en-US"/>
          </w:rPr>
          <w:tab/>
        </w:r>
        <w:r w:rsidR="00A73071" w:rsidRPr="00B639BA">
          <w:rPr>
            <w:rStyle w:val="Hyperlink"/>
            <w:noProof/>
            <w:lang w:val="en-GB"/>
          </w:rPr>
          <w:t>ITU-T services &amp; tools announcements</w:t>
        </w:r>
        <w:r w:rsidR="00A73071">
          <w:rPr>
            <w:noProof/>
            <w:webHidden/>
          </w:rPr>
          <w:tab/>
        </w:r>
        <w:r w:rsidR="00A73071">
          <w:rPr>
            <w:noProof/>
            <w:webHidden/>
          </w:rPr>
          <w:fldChar w:fldCharType="begin"/>
        </w:r>
        <w:r w:rsidR="00A73071">
          <w:rPr>
            <w:noProof/>
            <w:webHidden/>
          </w:rPr>
          <w:instrText xml:space="preserve"> PAGEREF _Toc530571888 \h </w:instrText>
        </w:r>
        <w:r w:rsidR="00A73071">
          <w:rPr>
            <w:noProof/>
            <w:webHidden/>
          </w:rPr>
        </w:r>
        <w:r w:rsidR="00A73071">
          <w:rPr>
            <w:noProof/>
            <w:webHidden/>
          </w:rPr>
          <w:fldChar w:fldCharType="separate"/>
        </w:r>
        <w:r w:rsidR="00A73071">
          <w:rPr>
            <w:noProof/>
            <w:webHidden/>
          </w:rPr>
          <w:t>25</w:t>
        </w:r>
        <w:r w:rsidR="00A73071">
          <w:rPr>
            <w:noProof/>
            <w:webHidden/>
          </w:rPr>
          <w:fldChar w:fldCharType="end"/>
        </w:r>
      </w:hyperlink>
    </w:p>
    <w:p w14:paraId="2AA4B4F2" w14:textId="2BF2FE57" w:rsidR="00A73071" w:rsidRDefault="00770A8C">
      <w:pPr>
        <w:pStyle w:val="TOC2"/>
        <w:rPr>
          <w:rFonts w:asciiTheme="minorHAnsi" w:eastAsiaTheme="minorEastAsia" w:hAnsiTheme="minorHAnsi" w:cstheme="minorBidi"/>
          <w:noProof/>
          <w:sz w:val="22"/>
          <w:szCs w:val="22"/>
          <w:lang w:eastAsia="en-US"/>
        </w:rPr>
      </w:pPr>
      <w:hyperlink w:anchor="_Toc530571889" w:history="1">
        <w:r w:rsidR="00A73071" w:rsidRPr="00B639BA">
          <w:rPr>
            <w:rStyle w:val="Hyperlink"/>
            <w:rFonts w:asciiTheme="majorBidi" w:hAnsiTheme="majorBidi" w:cstheme="majorBidi"/>
            <w:noProof/>
            <w:lang w:val="en-GB"/>
          </w:rPr>
          <w:t>13.5</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Document Management System for Rapporteur Groups</w:t>
        </w:r>
        <w:r w:rsidR="00A73071">
          <w:rPr>
            <w:noProof/>
            <w:webHidden/>
          </w:rPr>
          <w:tab/>
        </w:r>
        <w:r w:rsidR="00A73071">
          <w:rPr>
            <w:noProof/>
            <w:webHidden/>
          </w:rPr>
          <w:fldChar w:fldCharType="begin"/>
        </w:r>
        <w:r w:rsidR="00A73071">
          <w:rPr>
            <w:noProof/>
            <w:webHidden/>
          </w:rPr>
          <w:instrText xml:space="preserve"> PAGEREF _Toc530571889 \h </w:instrText>
        </w:r>
        <w:r w:rsidR="00A73071">
          <w:rPr>
            <w:noProof/>
            <w:webHidden/>
          </w:rPr>
        </w:r>
        <w:r w:rsidR="00A73071">
          <w:rPr>
            <w:noProof/>
            <w:webHidden/>
          </w:rPr>
          <w:fldChar w:fldCharType="separate"/>
        </w:r>
        <w:r w:rsidR="00A73071">
          <w:rPr>
            <w:noProof/>
            <w:webHidden/>
          </w:rPr>
          <w:t>25</w:t>
        </w:r>
        <w:r w:rsidR="00A73071">
          <w:rPr>
            <w:noProof/>
            <w:webHidden/>
          </w:rPr>
          <w:fldChar w:fldCharType="end"/>
        </w:r>
      </w:hyperlink>
    </w:p>
    <w:p w14:paraId="0BBE7E29" w14:textId="543583E6" w:rsidR="00A73071" w:rsidRDefault="00770A8C">
      <w:pPr>
        <w:pStyle w:val="TOC2"/>
        <w:rPr>
          <w:rFonts w:asciiTheme="minorHAnsi" w:eastAsiaTheme="minorEastAsia" w:hAnsiTheme="minorHAnsi" w:cstheme="minorBidi"/>
          <w:noProof/>
          <w:sz w:val="22"/>
          <w:szCs w:val="22"/>
          <w:lang w:eastAsia="en-US"/>
        </w:rPr>
      </w:pPr>
      <w:hyperlink w:anchor="_Toc530571890" w:history="1">
        <w:r w:rsidR="00A73071" w:rsidRPr="00B639BA">
          <w:rPr>
            <w:rStyle w:val="Hyperlink"/>
            <w:rFonts w:asciiTheme="majorBidi" w:hAnsiTheme="majorBidi" w:cstheme="majorBidi"/>
            <w:noProof/>
            <w:lang w:val="en-GB"/>
          </w:rPr>
          <w:t>13.6</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International Numbering Resources (INRs)</w:t>
        </w:r>
        <w:r w:rsidR="00A73071">
          <w:rPr>
            <w:noProof/>
            <w:webHidden/>
          </w:rPr>
          <w:tab/>
        </w:r>
        <w:r w:rsidR="00A73071">
          <w:rPr>
            <w:noProof/>
            <w:webHidden/>
          </w:rPr>
          <w:fldChar w:fldCharType="begin"/>
        </w:r>
        <w:r w:rsidR="00A73071">
          <w:rPr>
            <w:noProof/>
            <w:webHidden/>
          </w:rPr>
          <w:instrText xml:space="preserve"> PAGEREF _Toc530571890 \h </w:instrText>
        </w:r>
        <w:r w:rsidR="00A73071">
          <w:rPr>
            <w:noProof/>
            <w:webHidden/>
          </w:rPr>
        </w:r>
        <w:r w:rsidR="00A73071">
          <w:rPr>
            <w:noProof/>
            <w:webHidden/>
          </w:rPr>
          <w:fldChar w:fldCharType="separate"/>
        </w:r>
        <w:r w:rsidR="00A73071">
          <w:rPr>
            <w:noProof/>
            <w:webHidden/>
          </w:rPr>
          <w:t>25</w:t>
        </w:r>
        <w:r w:rsidR="00A73071">
          <w:rPr>
            <w:noProof/>
            <w:webHidden/>
          </w:rPr>
          <w:fldChar w:fldCharType="end"/>
        </w:r>
      </w:hyperlink>
    </w:p>
    <w:p w14:paraId="25FAA0FF" w14:textId="4C7E8BFF" w:rsidR="00A73071" w:rsidRDefault="00770A8C">
      <w:pPr>
        <w:pStyle w:val="TOC2"/>
        <w:rPr>
          <w:rFonts w:asciiTheme="minorHAnsi" w:eastAsiaTheme="minorEastAsia" w:hAnsiTheme="minorHAnsi" w:cstheme="minorBidi"/>
          <w:noProof/>
          <w:sz w:val="22"/>
          <w:szCs w:val="22"/>
          <w:lang w:eastAsia="en-US"/>
        </w:rPr>
      </w:pPr>
      <w:hyperlink w:anchor="_Toc530571891" w:history="1">
        <w:r w:rsidR="00A73071" w:rsidRPr="00B639BA">
          <w:rPr>
            <w:rStyle w:val="Hyperlink"/>
            <w:rFonts w:asciiTheme="majorBidi" w:hAnsiTheme="majorBidi" w:cstheme="majorBidi"/>
            <w:noProof/>
            <w:lang w:val="en-GB"/>
          </w:rPr>
          <w:t>13.7</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ITU-T SharePoint collaboration sites</w:t>
        </w:r>
        <w:r w:rsidR="00A73071">
          <w:rPr>
            <w:noProof/>
            <w:webHidden/>
          </w:rPr>
          <w:tab/>
        </w:r>
        <w:r w:rsidR="00A73071">
          <w:rPr>
            <w:noProof/>
            <w:webHidden/>
          </w:rPr>
          <w:fldChar w:fldCharType="begin"/>
        </w:r>
        <w:r w:rsidR="00A73071">
          <w:rPr>
            <w:noProof/>
            <w:webHidden/>
          </w:rPr>
          <w:instrText xml:space="preserve"> PAGEREF _Toc530571891 \h </w:instrText>
        </w:r>
        <w:r w:rsidR="00A73071">
          <w:rPr>
            <w:noProof/>
            <w:webHidden/>
          </w:rPr>
        </w:r>
        <w:r w:rsidR="00A73071">
          <w:rPr>
            <w:noProof/>
            <w:webHidden/>
          </w:rPr>
          <w:fldChar w:fldCharType="separate"/>
        </w:r>
        <w:r w:rsidR="00A73071">
          <w:rPr>
            <w:noProof/>
            <w:webHidden/>
          </w:rPr>
          <w:t>27</w:t>
        </w:r>
        <w:r w:rsidR="00A73071">
          <w:rPr>
            <w:noProof/>
            <w:webHidden/>
          </w:rPr>
          <w:fldChar w:fldCharType="end"/>
        </w:r>
      </w:hyperlink>
    </w:p>
    <w:p w14:paraId="1AFF0FA9" w14:textId="2959DC4E" w:rsidR="00A73071" w:rsidRDefault="00770A8C">
      <w:pPr>
        <w:pStyle w:val="TOC2"/>
        <w:rPr>
          <w:rFonts w:asciiTheme="minorHAnsi" w:eastAsiaTheme="minorEastAsia" w:hAnsiTheme="minorHAnsi" w:cstheme="minorBidi"/>
          <w:noProof/>
          <w:sz w:val="22"/>
          <w:szCs w:val="22"/>
          <w:lang w:eastAsia="en-US"/>
        </w:rPr>
      </w:pPr>
      <w:hyperlink w:anchor="_Toc530571892" w:history="1">
        <w:r w:rsidR="00A73071" w:rsidRPr="00B639BA">
          <w:rPr>
            <w:rStyle w:val="Hyperlink"/>
            <w:rFonts w:asciiTheme="majorBidi" w:hAnsiTheme="majorBidi" w:cstheme="majorBidi"/>
            <w:noProof/>
            <w:lang w:val="en-GB"/>
          </w:rPr>
          <w:t>13.8</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Meeting Documents Sync Application</w:t>
        </w:r>
        <w:r w:rsidR="00A73071">
          <w:rPr>
            <w:noProof/>
            <w:webHidden/>
          </w:rPr>
          <w:tab/>
        </w:r>
        <w:r w:rsidR="00A73071">
          <w:rPr>
            <w:noProof/>
            <w:webHidden/>
          </w:rPr>
          <w:fldChar w:fldCharType="begin"/>
        </w:r>
        <w:r w:rsidR="00A73071">
          <w:rPr>
            <w:noProof/>
            <w:webHidden/>
          </w:rPr>
          <w:instrText xml:space="preserve"> PAGEREF _Toc530571892 \h </w:instrText>
        </w:r>
        <w:r w:rsidR="00A73071">
          <w:rPr>
            <w:noProof/>
            <w:webHidden/>
          </w:rPr>
        </w:r>
        <w:r w:rsidR="00A73071">
          <w:rPr>
            <w:noProof/>
            <w:webHidden/>
          </w:rPr>
          <w:fldChar w:fldCharType="separate"/>
        </w:r>
        <w:r w:rsidR="00A73071">
          <w:rPr>
            <w:noProof/>
            <w:webHidden/>
          </w:rPr>
          <w:t>27</w:t>
        </w:r>
        <w:r w:rsidR="00A73071">
          <w:rPr>
            <w:noProof/>
            <w:webHidden/>
          </w:rPr>
          <w:fldChar w:fldCharType="end"/>
        </w:r>
      </w:hyperlink>
    </w:p>
    <w:p w14:paraId="460882A3" w14:textId="32932534" w:rsidR="00A73071" w:rsidRDefault="00770A8C">
      <w:pPr>
        <w:pStyle w:val="TOC2"/>
        <w:rPr>
          <w:rFonts w:asciiTheme="minorHAnsi" w:eastAsiaTheme="minorEastAsia" w:hAnsiTheme="minorHAnsi" w:cstheme="minorBidi"/>
          <w:noProof/>
          <w:sz w:val="22"/>
          <w:szCs w:val="22"/>
          <w:lang w:eastAsia="en-US"/>
        </w:rPr>
      </w:pPr>
      <w:hyperlink w:anchor="_Toc530571893" w:history="1">
        <w:r w:rsidR="00A73071" w:rsidRPr="00B639BA">
          <w:rPr>
            <w:rStyle w:val="Hyperlink"/>
            <w:rFonts w:asciiTheme="majorBidi" w:hAnsiTheme="majorBidi" w:cstheme="majorBidi"/>
            <w:noProof/>
            <w:lang w:val="en-GB"/>
          </w:rPr>
          <w:t>13.9</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Electronic meetings</w:t>
        </w:r>
        <w:r w:rsidR="00A73071">
          <w:rPr>
            <w:noProof/>
            <w:webHidden/>
          </w:rPr>
          <w:tab/>
        </w:r>
        <w:r w:rsidR="00A73071">
          <w:rPr>
            <w:noProof/>
            <w:webHidden/>
          </w:rPr>
          <w:fldChar w:fldCharType="begin"/>
        </w:r>
        <w:r w:rsidR="00A73071">
          <w:rPr>
            <w:noProof/>
            <w:webHidden/>
          </w:rPr>
          <w:instrText xml:space="preserve"> PAGEREF _Toc530571893 \h </w:instrText>
        </w:r>
        <w:r w:rsidR="00A73071">
          <w:rPr>
            <w:noProof/>
            <w:webHidden/>
          </w:rPr>
        </w:r>
        <w:r w:rsidR="00A73071">
          <w:rPr>
            <w:noProof/>
            <w:webHidden/>
          </w:rPr>
          <w:fldChar w:fldCharType="separate"/>
        </w:r>
        <w:r w:rsidR="00A73071">
          <w:rPr>
            <w:noProof/>
            <w:webHidden/>
          </w:rPr>
          <w:t>28</w:t>
        </w:r>
        <w:r w:rsidR="00A73071">
          <w:rPr>
            <w:noProof/>
            <w:webHidden/>
          </w:rPr>
          <w:fldChar w:fldCharType="end"/>
        </w:r>
      </w:hyperlink>
    </w:p>
    <w:p w14:paraId="4F88828D" w14:textId="3C3F9625" w:rsidR="00A73071" w:rsidRDefault="00770A8C">
      <w:pPr>
        <w:pStyle w:val="TOC2"/>
        <w:rPr>
          <w:rFonts w:asciiTheme="minorHAnsi" w:eastAsiaTheme="minorEastAsia" w:hAnsiTheme="minorHAnsi" w:cstheme="minorBidi"/>
          <w:noProof/>
          <w:sz w:val="22"/>
          <w:szCs w:val="22"/>
          <w:lang w:eastAsia="en-US"/>
        </w:rPr>
      </w:pPr>
      <w:hyperlink w:anchor="_Toc530571894" w:history="1">
        <w:r w:rsidR="00A73071" w:rsidRPr="00B639BA">
          <w:rPr>
            <w:rStyle w:val="Hyperlink"/>
            <w:rFonts w:asciiTheme="majorBidi" w:hAnsiTheme="majorBidi" w:cstheme="majorBidi"/>
            <w:noProof/>
            <w:lang w:val="en-GB"/>
          </w:rPr>
          <w:t>13.10</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Use in the ITU-T of the official languages of the Union on an equal footing</w:t>
        </w:r>
        <w:r w:rsidR="00A73071">
          <w:rPr>
            <w:noProof/>
            <w:webHidden/>
          </w:rPr>
          <w:tab/>
        </w:r>
        <w:r w:rsidR="00A73071">
          <w:rPr>
            <w:noProof/>
            <w:webHidden/>
          </w:rPr>
          <w:fldChar w:fldCharType="begin"/>
        </w:r>
        <w:r w:rsidR="00A73071">
          <w:rPr>
            <w:noProof/>
            <w:webHidden/>
          </w:rPr>
          <w:instrText xml:space="preserve"> PAGEREF _Toc530571894 \h </w:instrText>
        </w:r>
        <w:r w:rsidR="00A73071">
          <w:rPr>
            <w:noProof/>
            <w:webHidden/>
          </w:rPr>
        </w:r>
        <w:r w:rsidR="00A73071">
          <w:rPr>
            <w:noProof/>
            <w:webHidden/>
          </w:rPr>
          <w:fldChar w:fldCharType="separate"/>
        </w:r>
        <w:r w:rsidR="00A73071">
          <w:rPr>
            <w:noProof/>
            <w:webHidden/>
          </w:rPr>
          <w:t>28</w:t>
        </w:r>
        <w:r w:rsidR="00A73071">
          <w:rPr>
            <w:noProof/>
            <w:webHidden/>
          </w:rPr>
          <w:fldChar w:fldCharType="end"/>
        </w:r>
      </w:hyperlink>
    </w:p>
    <w:p w14:paraId="4305452C" w14:textId="0A2DE92B" w:rsidR="00A73071" w:rsidRDefault="00770A8C">
      <w:pPr>
        <w:pStyle w:val="TOC2"/>
        <w:rPr>
          <w:rFonts w:asciiTheme="minorHAnsi" w:eastAsiaTheme="minorEastAsia" w:hAnsiTheme="minorHAnsi" w:cstheme="minorBidi"/>
          <w:noProof/>
          <w:sz w:val="22"/>
          <w:szCs w:val="22"/>
          <w:lang w:eastAsia="en-US"/>
        </w:rPr>
      </w:pPr>
      <w:hyperlink w:anchor="_Toc530571895" w:history="1">
        <w:r w:rsidR="00A73071" w:rsidRPr="00B639BA">
          <w:rPr>
            <w:rStyle w:val="Hyperlink"/>
            <w:rFonts w:asciiTheme="majorBidi" w:hAnsiTheme="majorBidi" w:cstheme="majorBidi"/>
            <w:noProof/>
            <w:lang w:val="en-GB"/>
          </w:rPr>
          <w:t>13.11</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Workshops and symposia</w:t>
        </w:r>
        <w:r w:rsidR="00A73071">
          <w:rPr>
            <w:noProof/>
            <w:webHidden/>
          </w:rPr>
          <w:tab/>
        </w:r>
        <w:r w:rsidR="00A73071">
          <w:rPr>
            <w:noProof/>
            <w:webHidden/>
          </w:rPr>
          <w:fldChar w:fldCharType="begin"/>
        </w:r>
        <w:r w:rsidR="00A73071">
          <w:rPr>
            <w:noProof/>
            <w:webHidden/>
          </w:rPr>
          <w:instrText xml:space="preserve"> PAGEREF _Toc530571895 \h </w:instrText>
        </w:r>
        <w:r w:rsidR="00A73071">
          <w:rPr>
            <w:noProof/>
            <w:webHidden/>
          </w:rPr>
        </w:r>
        <w:r w:rsidR="00A73071">
          <w:rPr>
            <w:noProof/>
            <w:webHidden/>
          </w:rPr>
          <w:fldChar w:fldCharType="separate"/>
        </w:r>
        <w:r w:rsidR="00A73071">
          <w:rPr>
            <w:noProof/>
            <w:webHidden/>
          </w:rPr>
          <w:t>28</w:t>
        </w:r>
        <w:r w:rsidR="00A73071">
          <w:rPr>
            <w:noProof/>
            <w:webHidden/>
          </w:rPr>
          <w:fldChar w:fldCharType="end"/>
        </w:r>
      </w:hyperlink>
    </w:p>
    <w:p w14:paraId="3C3B7CAE" w14:textId="76802385" w:rsidR="00A73071" w:rsidRDefault="00770A8C">
      <w:pPr>
        <w:pStyle w:val="TOC1"/>
        <w:rPr>
          <w:rFonts w:asciiTheme="minorHAnsi" w:eastAsiaTheme="minorEastAsia" w:hAnsiTheme="minorHAnsi" w:cstheme="minorBidi"/>
          <w:noProof/>
          <w:sz w:val="22"/>
          <w:szCs w:val="22"/>
          <w:lang w:eastAsia="en-US"/>
        </w:rPr>
      </w:pPr>
      <w:hyperlink w:anchor="_Toc530571896" w:history="1">
        <w:r w:rsidR="00A73071" w:rsidRPr="00B639BA">
          <w:rPr>
            <w:rStyle w:val="Hyperlink"/>
            <w:rFonts w:asciiTheme="majorBidi" w:hAnsiTheme="majorBidi" w:cstheme="majorBidi"/>
            <w:noProof/>
            <w:lang w:val="en-GB"/>
          </w:rPr>
          <w:t>14</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Implementation of WTSA Resolutions and A-series ITU-T Recommendations</w:t>
        </w:r>
        <w:r w:rsidR="00A73071">
          <w:rPr>
            <w:noProof/>
            <w:webHidden/>
          </w:rPr>
          <w:tab/>
        </w:r>
        <w:r w:rsidR="00A73071">
          <w:rPr>
            <w:noProof/>
            <w:webHidden/>
          </w:rPr>
          <w:fldChar w:fldCharType="begin"/>
        </w:r>
        <w:r w:rsidR="00A73071">
          <w:rPr>
            <w:noProof/>
            <w:webHidden/>
          </w:rPr>
          <w:instrText xml:space="preserve"> PAGEREF _Toc530571896 \h </w:instrText>
        </w:r>
        <w:r w:rsidR="00A73071">
          <w:rPr>
            <w:noProof/>
            <w:webHidden/>
          </w:rPr>
        </w:r>
        <w:r w:rsidR="00A73071">
          <w:rPr>
            <w:noProof/>
            <w:webHidden/>
          </w:rPr>
          <w:fldChar w:fldCharType="separate"/>
        </w:r>
        <w:r w:rsidR="00A73071">
          <w:rPr>
            <w:noProof/>
            <w:webHidden/>
          </w:rPr>
          <w:t>31</w:t>
        </w:r>
        <w:r w:rsidR="00A73071">
          <w:rPr>
            <w:noProof/>
            <w:webHidden/>
          </w:rPr>
          <w:fldChar w:fldCharType="end"/>
        </w:r>
      </w:hyperlink>
    </w:p>
    <w:p w14:paraId="512AF4EE" w14:textId="25B9ABB2" w:rsidR="00A73071" w:rsidRDefault="00770A8C">
      <w:pPr>
        <w:pStyle w:val="TOC1"/>
        <w:rPr>
          <w:rFonts w:asciiTheme="minorHAnsi" w:eastAsiaTheme="minorEastAsia" w:hAnsiTheme="minorHAnsi" w:cstheme="minorBidi"/>
          <w:noProof/>
          <w:sz w:val="22"/>
          <w:szCs w:val="22"/>
          <w:lang w:eastAsia="en-US"/>
        </w:rPr>
      </w:pPr>
      <w:hyperlink w:anchor="_Toc530571897" w:history="1">
        <w:r w:rsidR="00A73071" w:rsidRPr="00B639BA">
          <w:rPr>
            <w:rStyle w:val="Hyperlink"/>
            <w:rFonts w:asciiTheme="majorBidi" w:hAnsiTheme="majorBidi" w:cstheme="majorBidi"/>
            <w:noProof/>
            <w:lang w:val="en-GB"/>
          </w:rPr>
          <w:t>15</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ITU-T's activities in the implementation of WSIS and the Sustainable Development Goals</w:t>
        </w:r>
        <w:r w:rsidR="00A73071">
          <w:rPr>
            <w:noProof/>
            <w:webHidden/>
          </w:rPr>
          <w:tab/>
        </w:r>
        <w:r w:rsidR="00A73071">
          <w:rPr>
            <w:noProof/>
            <w:webHidden/>
          </w:rPr>
          <w:fldChar w:fldCharType="begin"/>
        </w:r>
        <w:r w:rsidR="00A73071">
          <w:rPr>
            <w:noProof/>
            <w:webHidden/>
          </w:rPr>
          <w:instrText xml:space="preserve"> PAGEREF _Toc530571897 \h </w:instrText>
        </w:r>
        <w:r w:rsidR="00A73071">
          <w:rPr>
            <w:noProof/>
            <w:webHidden/>
          </w:rPr>
        </w:r>
        <w:r w:rsidR="00A73071">
          <w:rPr>
            <w:noProof/>
            <w:webHidden/>
          </w:rPr>
          <w:fldChar w:fldCharType="separate"/>
        </w:r>
        <w:r w:rsidR="00A73071">
          <w:rPr>
            <w:noProof/>
            <w:webHidden/>
          </w:rPr>
          <w:t>31</w:t>
        </w:r>
        <w:r w:rsidR="00A73071">
          <w:rPr>
            <w:noProof/>
            <w:webHidden/>
          </w:rPr>
          <w:fldChar w:fldCharType="end"/>
        </w:r>
      </w:hyperlink>
    </w:p>
    <w:p w14:paraId="78032081" w14:textId="4B771577" w:rsidR="00A73071" w:rsidRDefault="00770A8C">
      <w:pPr>
        <w:pStyle w:val="TOC1"/>
        <w:rPr>
          <w:rFonts w:asciiTheme="minorHAnsi" w:eastAsiaTheme="minorEastAsia" w:hAnsiTheme="minorHAnsi" w:cstheme="minorBidi"/>
          <w:noProof/>
          <w:sz w:val="22"/>
          <w:szCs w:val="22"/>
          <w:lang w:eastAsia="en-US"/>
        </w:rPr>
      </w:pPr>
      <w:hyperlink w:anchor="_Toc530571898" w:history="1">
        <w:r w:rsidR="00A73071" w:rsidRPr="00B639BA">
          <w:rPr>
            <w:rStyle w:val="Hyperlink"/>
            <w:rFonts w:asciiTheme="majorBidi" w:hAnsiTheme="majorBidi" w:cstheme="majorBidi"/>
            <w:noProof/>
            <w:lang w:val="en-GB"/>
          </w:rPr>
          <w:t>16</w:t>
        </w:r>
        <w:r w:rsidR="00A73071">
          <w:rPr>
            <w:rFonts w:asciiTheme="minorHAnsi" w:eastAsiaTheme="minorEastAsia" w:hAnsiTheme="minorHAnsi" w:cstheme="minorBidi"/>
            <w:noProof/>
            <w:sz w:val="22"/>
            <w:szCs w:val="22"/>
            <w:lang w:eastAsia="en-US"/>
          </w:rPr>
          <w:tab/>
        </w:r>
        <w:r w:rsidR="00A73071" w:rsidRPr="00B639BA">
          <w:rPr>
            <w:rStyle w:val="Hyperlink"/>
            <w:rFonts w:asciiTheme="majorBidi" w:hAnsiTheme="majorBidi" w:cstheme="majorBidi"/>
            <w:noProof/>
            <w:lang w:val="en-GB"/>
          </w:rPr>
          <w:t>Implementation of trial authorized by TSAG (July 2016 meeting)</w:t>
        </w:r>
        <w:r w:rsidR="00A73071">
          <w:rPr>
            <w:noProof/>
            <w:webHidden/>
          </w:rPr>
          <w:tab/>
        </w:r>
        <w:r w:rsidR="00A73071">
          <w:rPr>
            <w:noProof/>
            <w:webHidden/>
          </w:rPr>
          <w:fldChar w:fldCharType="begin"/>
        </w:r>
        <w:r w:rsidR="00A73071">
          <w:rPr>
            <w:noProof/>
            <w:webHidden/>
          </w:rPr>
          <w:instrText xml:space="preserve"> PAGEREF _Toc530571898 \h </w:instrText>
        </w:r>
        <w:r w:rsidR="00A73071">
          <w:rPr>
            <w:noProof/>
            <w:webHidden/>
          </w:rPr>
        </w:r>
        <w:r w:rsidR="00A73071">
          <w:rPr>
            <w:noProof/>
            <w:webHidden/>
          </w:rPr>
          <w:fldChar w:fldCharType="separate"/>
        </w:r>
        <w:r w:rsidR="00A73071">
          <w:rPr>
            <w:noProof/>
            <w:webHidden/>
          </w:rPr>
          <w:t>32</w:t>
        </w:r>
        <w:r w:rsidR="00A73071">
          <w:rPr>
            <w:noProof/>
            <w:webHidden/>
          </w:rPr>
          <w:fldChar w:fldCharType="end"/>
        </w:r>
      </w:hyperlink>
    </w:p>
    <w:p w14:paraId="2B02F119" w14:textId="61BCDAB2" w:rsidR="00A73071" w:rsidRDefault="00770A8C">
      <w:pPr>
        <w:pStyle w:val="TOC1"/>
        <w:rPr>
          <w:rFonts w:asciiTheme="minorHAnsi" w:eastAsiaTheme="minorEastAsia" w:hAnsiTheme="minorHAnsi" w:cstheme="minorBidi"/>
          <w:noProof/>
          <w:sz w:val="22"/>
          <w:szCs w:val="22"/>
          <w:lang w:eastAsia="en-US"/>
        </w:rPr>
      </w:pPr>
      <w:hyperlink w:anchor="_Toc530571899" w:history="1">
        <w:r w:rsidR="00A73071" w:rsidRPr="00B639BA">
          <w:rPr>
            <w:rStyle w:val="Hyperlink"/>
            <w:rFonts w:asciiTheme="majorBidi" w:hAnsiTheme="majorBidi" w:cstheme="majorBidi"/>
            <w:noProof/>
            <w:lang w:val="en-GB"/>
          </w:rPr>
          <w:t>Appendix I – List of approved Recommendations and other approved texts</w:t>
        </w:r>
        <w:r w:rsidR="00A73071">
          <w:rPr>
            <w:noProof/>
            <w:webHidden/>
          </w:rPr>
          <w:tab/>
        </w:r>
        <w:r w:rsidR="00A73071">
          <w:rPr>
            <w:noProof/>
            <w:webHidden/>
          </w:rPr>
          <w:fldChar w:fldCharType="begin"/>
        </w:r>
        <w:r w:rsidR="00A73071">
          <w:rPr>
            <w:noProof/>
            <w:webHidden/>
          </w:rPr>
          <w:instrText xml:space="preserve"> PAGEREF _Toc530571899 \h </w:instrText>
        </w:r>
        <w:r w:rsidR="00A73071">
          <w:rPr>
            <w:noProof/>
            <w:webHidden/>
          </w:rPr>
        </w:r>
        <w:r w:rsidR="00A73071">
          <w:rPr>
            <w:noProof/>
            <w:webHidden/>
          </w:rPr>
          <w:fldChar w:fldCharType="separate"/>
        </w:r>
        <w:r w:rsidR="00A73071">
          <w:rPr>
            <w:noProof/>
            <w:webHidden/>
          </w:rPr>
          <w:t>33</w:t>
        </w:r>
        <w:r w:rsidR="00A73071">
          <w:rPr>
            <w:noProof/>
            <w:webHidden/>
          </w:rPr>
          <w:fldChar w:fldCharType="end"/>
        </w:r>
      </w:hyperlink>
    </w:p>
    <w:p w14:paraId="03D6DC3B" w14:textId="66758ACD" w:rsidR="006944F8" w:rsidRPr="00A94875" w:rsidRDefault="006944F8" w:rsidP="006944F8">
      <w:pPr>
        <w:pStyle w:val="TOC1"/>
        <w:rPr>
          <w:rFonts w:asciiTheme="majorBidi" w:hAnsiTheme="majorBidi" w:cstheme="majorBidi"/>
          <w:highlight w:val="yellow"/>
          <w:lang w:val="en-GB"/>
        </w:rPr>
      </w:pPr>
      <w:r w:rsidRPr="00A94875">
        <w:rPr>
          <w:rFonts w:asciiTheme="majorBidi" w:eastAsia="Malgun Gothic" w:hAnsiTheme="majorBidi" w:cstheme="majorBidi"/>
          <w:highlight w:val="yellow"/>
          <w:lang w:val="en-GB" w:eastAsia="ko-KR"/>
        </w:rPr>
        <w:fldChar w:fldCharType="end"/>
      </w:r>
    </w:p>
    <w:p w14:paraId="64CB697F" w14:textId="77777777" w:rsidR="006944F8" w:rsidRPr="00A94875" w:rsidRDefault="006944F8" w:rsidP="006944F8">
      <w:pPr>
        <w:pStyle w:val="Heading1"/>
        <w:pageBreakBefore/>
        <w:jc w:val="center"/>
        <w:rPr>
          <w:rFonts w:asciiTheme="majorBidi" w:hAnsiTheme="majorBidi" w:cstheme="majorBidi"/>
          <w:lang w:val="en-GB"/>
        </w:rPr>
      </w:pPr>
      <w:bookmarkStart w:id="4" w:name="_Toc480527764"/>
      <w:bookmarkStart w:id="5" w:name="_Toc530571844"/>
      <w:r w:rsidRPr="00A94875">
        <w:rPr>
          <w:rFonts w:asciiTheme="majorBidi" w:hAnsiTheme="majorBidi" w:cstheme="majorBidi"/>
          <w:lang w:val="en-GB"/>
        </w:rPr>
        <w:lastRenderedPageBreak/>
        <w:t>Executive Summary</w:t>
      </w:r>
      <w:bookmarkEnd w:id="4"/>
      <w:bookmarkEnd w:id="5"/>
    </w:p>
    <w:p w14:paraId="6A9B1177" w14:textId="06833CE0" w:rsidR="006944F8" w:rsidRPr="00A94875" w:rsidRDefault="00653C5B" w:rsidP="006944F8">
      <w:pPr>
        <w:pStyle w:val="Headingb"/>
        <w:rPr>
          <w:rFonts w:asciiTheme="majorBidi" w:hAnsiTheme="majorBidi" w:cstheme="majorBidi"/>
          <w:i/>
          <w:iCs/>
          <w:sz w:val="28"/>
          <w:szCs w:val="28"/>
          <w:lang w:val="en-GB"/>
        </w:rPr>
      </w:pPr>
      <w:r w:rsidRPr="00A94875">
        <w:rPr>
          <w:rFonts w:asciiTheme="majorBidi" w:hAnsiTheme="majorBidi" w:cstheme="majorBidi"/>
          <w:i/>
          <w:iCs/>
          <w:sz w:val="28"/>
          <w:szCs w:val="28"/>
          <w:lang w:val="en-GB"/>
        </w:rPr>
        <w:t>Progress achieved in</w:t>
      </w:r>
      <w:r w:rsidR="006944F8" w:rsidRPr="00A94875">
        <w:rPr>
          <w:rFonts w:asciiTheme="majorBidi" w:hAnsiTheme="majorBidi" w:cstheme="majorBidi"/>
          <w:i/>
          <w:iCs/>
          <w:sz w:val="28"/>
          <w:szCs w:val="28"/>
          <w:lang w:val="en-GB"/>
        </w:rPr>
        <w:t xml:space="preserve"> ITU</w:t>
      </w:r>
      <w:r w:rsidRPr="00A94875">
        <w:rPr>
          <w:rFonts w:asciiTheme="majorBidi" w:hAnsiTheme="majorBidi" w:cstheme="majorBidi"/>
          <w:i/>
          <w:iCs/>
          <w:sz w:val="28"/>
          <w:szCs w:val="28"/>
          <w:lang w:val="en-GB"/>
        </w:rPr>
        <w:t>-T</w:t>
      </w:r>
      <w:r w:rsidR="006944F8" w:rsidRPr="00A94875">
        <w:rPr>
          <w:rFonts w:asciiTheme="majorBidi" w:hAnsiTheme="majorBidi" w:cstheme="majorBidi"/>
          <w:i/>
          <w:iCs/>
          <w:sz w:val="28"/>
          <w:szCs w:val="28"/>
          <w:lang w:val="en-GB"/>
        </w:rPr>
        <w:t xml:space="preserve"> standardization</w:t>
      </w:r>
    </w:p>
    <w:p w14:paraId="35F2D3E5" w14:textId="10BB4C81" w:rsidR="00653C5B" w:rsidRPr="00A94875" w:rsidRDefault="006944F8" w:rsidP="00950992">
      <w:pPr>
        <w:rPr>
          <w:rFonts w:asciiTheme="majorBidi" w:hAnsiTheme="majorBidi" w:cstheme="majorBidi"/>
          <w:szCs w:val="24"/>
          <w:lang w:val="en-GB"/>
        </w:rPr>
      </w:pPr>
      <w:r w:rsidRPr="00A94875">
        <w:rPr>
          <w:rFonts w:asciiTheme="majorBidi" w:hAnsiTheme="majorBidi" w:cstheme="majorBidi"/>
          <w:szCs w:val="24"/>
          <w:lang w:val="en-GB"/>
        </w:rPr>
        <w:t xml:space="preserve">ITU approved </w:t>
      </w:r>
      <w:r w:rsidR="00950992">
        <w:rPr>
          <w:rFonts w:asciiTheme="majorBidi" w:hAnsiTheme="majorBidi" w:cstheme="majorBidi"/>
          <w:szCs w:val="24"/>
          <w:lang w:val="en-GB"/>
        </w:rPr>
        <w:t>around 250</w:t>
      </w:r>
      <w:r w:rsidRPr="00A94875">
        <w:rPr>
          <w:rFonts w:asciiTheme="majorBidi" w:hAnsiTheme="majorBidi" w:cstheme="majorBidi"/>
          <w:szCs w:val="24"/>
          <w:lang w:val="en-GB"/>
        </w:rPr>
        <w:t xml:space="preserve"> new and revised ITU-T Recommendations from February to </w:t>
      </w:r>
      <w:r w:rsidR="00267E96" w:rsidRPr="00A94875">
        <w:rPr>
          <w:rFonts w:asciiTheme="majorBidi" w:hAnsiTheme="majorBidi" w:cstheme="majorBidi"/>
          <w:szCs w:val="24"/>
          <w:lang w:val="en-GB"/>
        </w:rPr>
        <w:t xml:space="preserve">November </w:t>
      </w:r>
      <w:r w:rsidRPr="00A94875">
        <w:rPr>
          <w:rFonts w:asciiTheme="majorBidi" w:hAnsiTheme="majorBidi" w:cstheme="majorBidi"/>
          <w:szCs w:val="24"/>
          <w:lang w:val="en-GB"/>
        </w:rPr>
        <w:t>2018. Appendix I lists these ITU-T Recommendations and related texts</w:t>
      </w:r>
      <w:r w:rsidR="007C213D" w:rsidRPr="00A94875">
        <w:rPr>
          <w:rFonts w:asciiTheme="majorBidi" w:hAnsiTheme="majorBidi" w:cstheme="majorBidi"/>
          <w:szCs w:val="24"/>
          <w:lang w:val="en-GB"/>
        </w:rPr>
        <w:t xml:space="preserve"> and summarizes their contents. </w:t>
      </w:r>
    </w:p>
    <w:p w14:paraId="7381C59B" w14:textId="41F8F25C"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An estimated 95 per cent of international traffic runs over optical transport networks built in conformance with ITU standards. New ITU standards for transport, access and home address radio over fibre, multi-vendor interoperable 100G coherent DWDM (dense wavelength division multiplexing) line interfaces, fibre-optic cable installation in remote areas, software-defined networking</w:t>
      </w:r>
      <w:r w:rsidR="00AB44A5" w:rsidRPr="00A94875">
        <w:rPr>
          <w:rFonts w:asciiTheme="majorBidi" w:hAnsiTheme="majorBidi" w:cstheme="majorBidi"/>
          <w:szCs w:val="24"/>
          <w:lang w:val="en-GB"/>
        </w:rPr>
        <w:t xml:space="preserve"> in transport networks</w:t>
      </w:r>
      <w:r w:rsidRPr="00A94875">
        <w:rPr>
          <w:rFonts w:asciiTheme="majorBidi" w:hAnsiTheme="majorBidi" w:cstheme="majorBidi"/>
          <w:szCs w:val="24"/>
          <w:lang w:val="en-GB"/>
        </w:rPr>
        <w:t xml:space="preserve">, visible light communications, and synchronization for IMT-2020/5G.  </w:t>
      </w:r>
    </w:p>
    <w:p w14:paraId="5486B1A9" w14:textId="77777777" w:rsidR="00653C5B" w:rsidRPr="00A94875" w:rsidRDefault="00770A8C" w:rsidP="009261B2">
      <w:pPr>
        <w:pStyle w:val="ListParagraph"/>
        <w:numPr>
          <w:ilvl w:val="0"/>
          <w:numId w:val="35"/>
        </w:numPr>
        <w:spacing w:after="160" w:line="259" w:lineRule="auto"/>
        <w:rPr>
          <w:rStyle w:val="Hyperlink"/>
          <w:rFonts w:asciiTheme="majorBidi" w:eastAsiaTheme="majorEastAsia" w:hAnsiTheme="majorBidi" w:cstheme="majorBidi"/>
          <w:sz w:val="24"/>
          <w:szCs w:val="24"/>
          <w:lang w:val="en-GB"/>
        </w:rPr>
      </w:pPr>
      <w:hyperlink r:id="rId13" w:history="1">
        <w:r w:rsidR="00653C5B" w:rsidRPr="00A94875">
          <w:rPr>
            <w:rStyle w:val="Hyperlink"/>
            <w:rFonts w:asciiTheme="majorBidi" w:eastAsiaTheme="majorEastAsia" w:hAnsiTheme="majorBidi" w:cstheme="majorBidi"/>
            <w:sz w:val="24"/>
            <w:szCs w:val="24"/>
            <w:lang w:val="en-GB"/>
          </w:rPr>
          <w:t>Progress update on ITU standardization for transport, access and home</w:t>
        </w:r>
      </w:hyperlink>
    </w:p>
    <w:p w14:paraId="788534B0" w14:textId="2AF1D416" w:rsidR="00AB44A5" w:rsidRPr="00A94875" w:rsidRDefault="00AB44A5" w:rsidP="00AB44A5">
      <w:pPr>
        <w:pStyle w:val="ListParagraph"/>
        <w:numPr>
          <w:ilvl w:val="0"/>
          <w:numId w:val="35"/>
        </w:numPr>
        <w:spacing w:after="160" w:line="259" w:lineRule="auto"/>
        <w:rPr>
          <w:lang w:val="en-GB"/>
        </w:rPr>
      </w:pPr>
      <w:r w:rsidRPr="00A94875">
        <w:rPr>
          <w:rStyle w:val="Hyperlink"/>
          <w:rFonts w:asciiTheme="majorBidi" w:eastAsiaTheme="majorEastAsia" w:hAnsiTheme="majorBidi" w:cstheme="majorBidi"/>
          <w:sz w:val="24"/>
          <w:szCs w:val="24"/>
          <w:lang w:val="en-GB"/>
        </w:rPr>
        <w:t>ITU-T Study Group 15 accelerates work on 5G transport</w:t>
      </w:r>
    </w:p>
    <w:p w14:paraId="4E5A7F07" w14:textId="51A385F6"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 xml:space="preserve">Video will account for over 80 per cent of all Internet traffic by 2020. This collaborative video work of IEC, ISO and ITU </w:t>
      </w:r>
      <w:proofErr w:type="gramStart"/>
      <w:r w:rsidRPr="00A94875">
        <w:rPr>
          <w:rFonts w:asciiTheme="majorBidi" w:hAnsiTheme="majorBidi" w:cstheme="majorBidi"/>
          <w:szCs w:val="24"/>
          <w:lang w:val="en-GB"/>
        </w:rPr>
        <w:t>has been honoured</w:t>
      </w:r>
      <w:proofErr w:type="gramEnd"/>
      <w:r w:rsidRPr="00A94875">
        <w:rPr>
          <w:rFonts w:asciiTheme="majorBidi" w:hAnsiTheme="majorBidi" w:cstheme="majorBidi"/>
          <w:szCs w:val="24"/>
          <w:lang w:val="en-GB"/>
        </w:rPr>
        <w:t xml:space="preserve"> with two Primetime </w:t>
      </w:r>
      <w:proofErr w:type="spellStart"/>
      <w:r w:rsidRPr="00A94875">
        <w:rPr>
          <w:rFonts w:asciiTheme="majorBidi" w:hAnsiTheme="majorBidi" w:cstheme="majorBidi"/>
          <w:szCs w:val="24"/>
          <w:lang w:val="en-GB"/>
        </w:rPr>
        <w:t>Emmy</w:t>
      </w:r>
      <w:proofErr w:type="spellEnd"/>
      <w:r w:rsidRPr="00A94875">
        <w:rPr>
          <w:rFonts w:asciiTheme="majorBidi" w:hAnsiTheme="majorBidi" w:cstheme="majorBidi"/>
          <w:szCs w:val="24"/>
          <w:lang w:val="en-GB"/>
        </w:rPr>
        <w:t xml:space="preserve"> Awards, the first in 2008 in recognition of ITU H.264 'Advanced Video Coding' and the second in 2017 in recognition of ITU H.265 'High Efficiency Video Coding'. The new</w:t>
      </w:r>
      <w:r w:rsidR="00393834">
        <w:rPr>
          <w:rFonts w:asciiTheme="majorBidi" w:hAnsiTheme="majorBidi" w:cstheme="majorBidi"/>
          <w:szCs w:val="24"/>
          <w:lang w:val="en-GB"/>
        </w:rPr>
        <w:t xml:space="preserve"> Versatile Video Coding project</w:t>
      </w:r>
      <w:r w:rsidRPr="00A94875">
        <w:rPr>
          <w:rFonts w:asciiTheme="majorBidi" w:hAnsiTheme="majorBidi" w:cstheme="majorBidi"/>
          <w:szCs w:val="24"/>
          <w:lang w:val="en-GB"/>
        </w:rPr>
        <w:t xml:space="preserve"> is reporting strong progress. </w:t>
      </w:r>
    </w:p>
    <w:p w14:paraId="00C81932" w14:textId="77777777" w:rsidR="00653C5B" w:rsidRPr="00A94875" w:rsidRDefault="00770A8C" w:rsidP="009261B2">
      <w:pPr>
        <w:pStyle w:val="ListParagraph"/>
        <w:numPr>
          <w:ilvl w:val="0"/>
          <w:numId w:val="34"/>
        </w:numPr>
        <w:spacing w:after="160" w:line="259" w:lineRule="auto"/>
        <w:rPr>
          <w:rFonts w:asciiTheme="majorBidi" w:hAnsiTheme="majorBidi" w:cstheme="majorBidi"/>
          <w:sz w:val="24"/>
          <w:szCs w:val="24"/>
          <w:lang w:val="en-GB"/>
        </w:rPr>
      </w:pPr>
      <w:hyperlink r:id="rId14" w:history="1">
        <w:r w:rsidR="00653C5B" w:rsidRPr="00A94875">
          <w:rPr>
            <w:rStyle w:val="Hyperlink"/>
            <w:rFonts w:asciiTheme="majorBidi" w:eastAsiaTheme="majorEastAsia" w:hAnsiTheme="majorBidi" w:cstheme="majorBidi"/>
            <w:sz w:val="24"/>
            <w:szCs w:val="24"/>
            <w:lang w:val="en-GB"/>
          </w:rPr>
          <w:t>Beyond HEVC: Versatile Video Coding project starts strongly</w:t>
        </w:r>
      </w:hyperlink>
      <w:r w:rsidR="00653C5B" w:rsidRPr="00A94875">
        <w:rPr>
          <w:rFonts w:asciiTheme="majorBidi" w:hAnsiTheme="majorBidi" w:cstheme="majorBidi"/>
          <w:sz w:val="24"/>
          <w:szCs w:val="24"/>
          <w:lang w:val="en-GB"/>
        </w:rPr>
        <w:t xml:space="preserve"> </w:t>
      </w:r>
    </w:p>
    <w:p w14:paraId="32609549" w14:textId="196EE36F" w:rsidR="00556A5C" w:rsidRPr="00A94875" w:rsidRDefault="00653C5B" w:rsidP="00FE0A07">
      <w:pPr>
        <w:rPr>
          <w:rStyle w:val="Hyperlink"/>
          <w:rFonts w:asciiTheme="majorBidi" w:hAnsiTheme="majorBidi" w:cstheme="majorBidi"/>
          <w:color w:val="auto"/>
          <w:szCs w:val="24"/>
          <w:u w:val="none"/>
          <w:lang w:val="en-GB"/>
        </w:rPr>
      </w:pPr>
      <w:r w:rsidRPr="00A94875">
        <w:rPr>
          <w:rFonts w:asciiTheme="majorBidi" w:hAnsiTheme="majorBidi" w:cstheme="majorBidi"/>
          <w:szCs w:val="24"/>
          <w:lang w:val="en-GB"/>
        </w:rPr>
        <w:t xml:space="preserve">High priority </w:t>
      </w:r>
      <w:proofErr w:type="gramStart"/>
      <w:r w:rsidRPr="00A94875">
        <w:rPr>
          <w:rFonts w:asciiTheme="majorBidi" w:hAnsiTheme="majorBidi" w:cstheme="majorBidi"/>
          <w:szCs w:val="24"/>
          <w:lang w:val="en-GB"/>
        </w:rPr>
        <w:t>has been assigned</w:t>
      </w:r>
      <w:proofErr w:type="gramEnd"/>
      <w:r w:rsidRPr="00A94875">
        <w:rPr>
          <w:rFonts w:asciiTheme="majorBidi" w:hAnsiTheme="majorBidi" w:cstheme="majorBidi"/>
          <w:szCs w:val="24"/>
          <w:lang w:val="en-GB"/>
        </w:rPr>
        <w:t xml:space="preserve"> to ITU-T standardization work on the non-radio elements of IMT-2020 (5G) systems. Software-driven network management and orchestration continues to transform telecom operations. ITU-T’s 5G work is supporting this transformation with the development of new standards for networking innovation, the evolution of the transport network, and environmental sustainability.</w:t>
      </w:r>
      <w:r w:rsidR="00FE0A07" w:rsidRPr="00A94875">
        <w:rPr>
          <w:szCs w:val="24"/>
          <w:lang w:val="en-GB"/>
        </w:rPr>
        <w:fldChar w:fldCharType="begin"/>
      </w:r>
      <w:r w:rsidR="00FE0A07" w:rsidRPr="00A94875">
        <w:rPr>
          <w:szCs w:val="24"/>
          <w:lang w:val="en-GB"/>
        </w:rPr>
        <w:instrText xml:space="preserve"> HYPERLINK "https://www.itu.int/en/ITU-T/focusgroups/ml5g/Pages/default.aspx" </w:instrText>
      </w:r>
      <w:r w:rsidR="00FE0A07" w:rsidRPr="00A94875">
        <w:rPr>
          <w:szCs w:val="24"/>
          <w:lang w:val="en-GB"/>
        </w:rPr>
        <w:fldChar w:fldCharType="separate"/>
      </w:r>
    </w:p>
    <w:p w14:paraId="59FEE0F8" w14:textId="77777777" w:rsidR="00B47CFF" w:rsidRPr="00B47CFF" w:rsidRDefault="00FE0A07" w:rsidP="00B47CFF">
      <w:pPr>
        <w:pStyle w:val="ListParagraph"/>
        <w:numPr>
          <w:ilvl w:val="0"/>
          <w:numId w:val="61"/>
        </w:numPr>
        <w:rPr>
          <w:rFonts w:ascii="Times New Roman" w:hAnsi="Times New Roman"/>
          <w:sz w:val="24"/>
          <w:szCs w:val="24"/>
          <w:lang w:val="en-GB"/>
        </w:rPr>
      </w:pPr>
      <w:r w:rsidRPr="00A94875">
        <w:rPr>
          <w:rFonts w:ascii="Times New Roman" w:hAnsi="Times New Roman"/>
          <w:sz w:val="24"/>
          <w:szCs w:val="24"/>
          <w:lang w:val="en-GB"/>
        </w:rPr>
        <w:fldChar w:fldCharType="end"/>
      </w:r>
      <w:hyperlink r:id="rId15" w:history="1">
        <w:r w:rsidR="00B47CFF" w:rsidRPr="00B47CFF">
          <w:rPr>
            <w:rStyle w:val="Hyperlink"/>
            <w:rFonts w:ascii="Times New Roman" w:eastAsiaTheme="majorEastAsia" w:hAnsi="Times New Roman"/>
            <w:sz w:val="24"/>
            <w:szCs w:val="24"/>
          </w:rPr>
          <w:t>Machine Learning for 5G: New ITU Focus Group sets agenda</w:t>
        </w:r>
      </w:hyperlink>
    </w:p>
    <w:p w14:paraId="605947A0" w14:textId="5EF21761" w:rsidR="00556A5C" w:rsidRPr="00B47CFF" w:rsidRDefault="00770A8C" w:rsidP="00B47CFF">
      <w:pPr>
        <w:pStyle w:val="ListParagraph"/>
        <w:numPr>
          <w:ilvl w:val="0"/>
          <w:numId w:val="61"/>
        </w:numPr>
        <w:ind w:left="714" w:hanging="357"/>
        <w:rPr>
          <w:rFonts w:ascii="Times New Roman" w:eastAsiaTheme="majorEastAsia" w:hAnsi="Times New Roman"/>
          <w:color w:val="0000FF"/>
          <w:u w:val="single"/>
        </w:rPr>
      </w:pPr>
      <w:hyperlink r:id="rId16" w:history="1">
        <w:r w:rsidR="00B47CFF" w:rsidRPr="00B47CFF">
          <w:rPr>
            <w:rStyle w:val="Hyperlink"/>
            <w:rFonts w:ascii="Times New Roman" w:eastAsiaTheme="majorEastAsia" w:hAnsi="Times New Roman"/>
            <w:sz w:val="24"/>
            <w:szCs w:val="24"/>
          </w:rPr>
          <w:t>ITU launches new study on networks &amp; technologies for 2030 and beyond</w:t>
        </w:r>
      </w:hyperlink>
    </w:p>
    <w:p w14:paraId="2D1620CD"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ITU-T standardization work for the Internet of Things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and smart cities aims to support interoperability and efficient data processing and management. The standardization of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test specifications is accelerating, supported by the increasing collaboration of ITU-T and oneM2M. More than 50 cities worldwide are measuring their progress using ‘Key Performance Indicators for Smart Sustainable Cities’ based on ITU standards, indicators promoted by the ‘United for Smart Sustainable Cities (U4SSC) initiative’. </w:t>
      </w:r>
    </w:p>
    <w:p w14:paraId="44F524D3" w14:textId="77777777" w:rsidR="00653C5B" w:rsidRPr="00A94875" w:rsidRDefault="00770A8C" w:rsidP="009261B2">
      <w:pPr>
        <w:pStyle w:val="ListParagraph"/>
        <w:numPr>
          <w:ilvl w:val="0"/>
          <w:numId w:val="32"/>
        </w:numPr>
        <w:spacing w:after="160" w:line="259" w:lineRule="auto"/>
        <w:rPr>
          <w:rFonts w:asciiTheme="majorBidi" w:hAnsiTheme="majorBidi" w:cstheme="majorBidi"/>
          <w:sz w:val="24"/>
          <w:szCs w:val="24"/>
          <w:lang w:val="en-GB"/>
        </w:rPr>
      </w:pPr>
      <w:hyperlink r:id="rId17" w:history="1">
        <w:r w:rsidR="00653C5B" w:rsidRPr="00A94875">
          <w:rPr>
            <w:rStyle w:val="Hyperlink"/>
            <w:rFonts w:asciiTheme="majorBidi" w:eastAsiaTheme="majorEastAsia" w:hAnsiTheme="majorBidi" w:cstheme="majorBidi"/>
            <w:sz w:val="24"/>
            <w:szCs w:val="24"/>
            <w:lang w:val="en-GB"/>
          </w:rPr>
          <w:t>New ITU case study maps the Moscow ‘smart city’ journey</w:t>
        </w:r>
      </w:hyperlink>
    </w:p>
    <w:p w14:paraId="0B929004"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 xml:space="preserve">The ITU-T Focus Group on Artificial Intelligence for Health (FG AI4H), driven in close collaboration by ITU and the World Health Organization (WHO), is working towards the establishment of a framework and associated process for the performance benchmarking of ‘AI for Health’ algorithms. Iterative </w:t>
      </w:r>
      <w:r w:rsidRPr="00A94875">
        <w:rPr>
          <w:rStyle w:val="Emphasis"/>
          <w:rFonts w:asciiTheme="majorBidi" w:hAnsiTheme="majorBidi" w:cstheme="majorBidi"/>
          <w:szCs w:val="24"/>
          <w:lang w:val="en-GB"/>
        </w:rPr>
        <w:t>Calls for Proposals</w:t>
      </w:r>
      <w:r w:rsidRPr="00A94875">
        <w:rPr>
          <w:rFonts w:asciiTheme="majorBidi" w:hAnsiTheme="majorBidi" w:cstheme="majorBidi"/>
          <w:szCs w:val="24"/>
          <w:lang w:val="en-GB"/>
        </w:rPr>
        <w:t xml:space="preserve"> will guide the Focus Group’s development of evaluation methods to assess the degree to which ‘AI for Health’ use cases have achieved Proof of Concept.</w:t>
      </w:r>
    </w:p>
    <w:p w14:paraId="10ABA95F" w14:textId="77777777" w:rsidR="00653C5B" w:rsidRPr="00A94875" w:rsidRDefault="00770A8C" w:rsidP="009261B2">
      <w:pPr>
        <w:pStyle w:val="ListParagraph"/>
        <w:numPr>
          <w:ilvl w:val="0"/>
          <w:numId w:val="32"/>
        </w:numPr>
        <w:spacing w:after="160" w:line="259" w:lineRule="auto"/>
        <w:rPr>
          <w:rFonts w:asciiTheme="majorBidi" w:hAnsiTheme="majorBidi" w:cstheme="majorBidi"/>
          <w:sz w:val="24"/>
          <w:szCs w:val="24"/>
          <w:lang w:val="en-GB"/>
        </w:rPr>
      </w:pPr>
      <w:hyperlink r:id="rId18" w:history="1">
        <w:r w:rsidR="00653C5B" w:rsidRPr="00A94875">
          <w:rPr>
            <w:rStyle w:val="Hyperlink"/>
            <w:rFonts w:asciiTheme="majorBidi" w:eastAsiaTheme="majorEastAsia" w:hAnsiTheme="majorBidi" w:cstheme="majorBidi"/>
            <w:sz w:val="24"/>
            <w:szCs w:val="24"/>
            <w:lang w:val="en-GB"/>
          </w:rPr>
          <w:t>Artificial Intelligence for Health: ITU and WHO call for proposals</w:t>
        </w:r>
      </w:hyperlink>
    </w:p>
    <w:p w14:paraId="248D52AB"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A new ITU standard offers guidelines for the safe listening of music players in support of the WHO ‘Make Listening Safe’ initiative. The new standard highlights the motivations behind its development: “Hearing loss can occur as a consequence of listening to high levels of sound over prolonged periods of time. The unsafe use of personal audio devices poses a threat to the hearing of millions.”</w:t>
      </w:r>
    </w:p>
    <w:p w14:paraId="5CA92397" w14:textId="77777777" w:rsidR="00653C5B" w:rsidRPr="00A94875" w:rsidRDefault="00770A8C" w:rsidP="009261B2">
      <w:pPr>
        <w:pStyle w:val="ListParagraph"/>
        <w:numPr>
          <w:ilvl w:val="0"/>
          <w:numId w:val="32"/>
        </w:numPr>
        <w:spacing w:after="160" w:line="259" w:lineRule="auto"/>
        <w:rPr>
          <w:rFonts w:asciiTheme="majorBidi" w:hAnsiTheme="majorBidi" w:cstheme="majorBidi"/>
          <w:sz w:val="24"/>
          <w:szCs w:val="24"/>
          <w:lang w:val="en-GB"/>
        </w:rPr>
      </w:pPr>
      <w:hyperlink r:id="rId19" w:history="1">
        <w:r w:rsidR="00653C5B" w:rsidRPr="00A94875">
          <w:rPr>
            <w:rStyle w:val="Hyperlink"/>
            <w:rFonts w:asciiTheme="majorBidi" w:eastAsiaTheme="majorEastAsia" w:hAnsiTheme="majorBidi" w:cstheme="majorBidi"/>
            <w:sz w:val="24"/>
            <w:szCs w:val="24"/>
            <w:lang w:val="en-GB"/>
          </w:rPr>
          <w:t>Listen responsibly: New ITU standard to prevent audio devices from causing hearing loss</w:t>
        </w:r>
      </w:hyperlink>
    </w:p>
    <w:p w14:paraId="5FC73DE8"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lastRenderedPageBreak/>
        <w:t xml:space="preserve">New and updated conformance testing specifications for the ITU-T H.810 Continua Design Guidelines (CDG) in the ITU-T H.810-series of Recommendations reflect updates contained in </w:t>
      </w:r>
      <w:proofErr w:type="gramStart"/>
      <w:r w:rsidRPr="00A94875">
        <w:rPr>
          <w:rFonts w:asciiTheme="majorBidi" w:hAnsiTheme="majorBidi" w:cstheme="majorBidi"/>
          <w:szCs w:val="24"/>
          <w:lang w:val="en-GB"/>
        </w:rPr>
        <w:t>4th</w:t>
      </w:r>
      <w:proofErr w:type="gramEnd"/>
      <w:r w:rsidRPr="00A94875">
        <w:rPr>
          <w:rFonts w:asciiTheme="majorBidi" w:hAnsiTheme="majorBidi" w:cstheme="majorBidi"/>
          <w:szCs w:val="24"/>
          <w:lang w:val="en-GB"/>
        </w:rPr>
        <w:t xml:space="preserve"> edition ("Keratin", CDG 2017), with 6 new and 7 revised draft texts under approval. The updates cover testing for new device specializations for power status monitoring and updated glucose monitors, and updates the PCD-1 observation upload capability. ITU-T H.820 contains an overall </w:t>
      </w:r>
      <w:proofErr w:type="gramStart"/>
      <w:r w:rsidRPr="00A94875">
        <w:rPr>
          <w:rFonts w:asciiTheme="majorBidi" w:hAnsiTheme="majorBidi" w:cstheme="majorBidi"/>
          <w:szCs w:val="24"/>
          <w:lang w:val="en-GB"/>
        </w:rPr>
        <w:t>conformity assessment test plan</w:t>
      </w:r>
      <w:proofErr w:type="gramEnd"/>
      <w:r w:rsidRPr="00A94875">
        <w:rPr>
          <w:rFonts w:asciiTheme="majorBidi" w:hAnsiTheme="majorBidi" w:cstheme="majorBidi"/>
          <w:szCs w:val="24"/>
          <w:lang w:val="en-GB"/>
        </w:rPr>
        <w:t xml:space="preserve"> for testing conformance for H.810 systems.</w:t>
      </w:r>
    </w:p>
    <w:p w14:paraId="799ED641" w14:textId="77777777" w:rsidR="00653C5B" w:rsidRPr="00A94875" w:rsidRDefault="00770A8C" w:rsidP="009261B2">
      <w:pPr>
        <w:pStyle w:val="ListParagraph"/>
        <w:numPr>
          <w:ilvl w:val="0"/>
          <w:numId w:val="32"/>
        </w:numPr>
        <w:spacing w:after="160" w:line="259" w:lineRule="auto"/>
        <w:rPr>
          <w:rFonts w:asciiTheme="majorBidi" w:hAnsiTheme="majorBidi" w:cstheme="majorBidi"/>
          <w:sz w:val="24"/>
          <w:szCs w:val="24"/>
          <w:lang w:val="en-GB"/>
        </w:rPr>
      </w:pPr>
      <w:hyperlink r:id="rId20" w:history="1">
        <w:r w:rsidR="00653C5B" w:rsidRPr="00A94875">
          <w:rPr>
            <w:rStyle w:val="Hyperlink"/>
            <w:rFonts w:asciiTheme="majorBidi" w:eastAsiaTheme="majorEastAsia" w:hAnsiTheme="majorBidi" w:cstheme="majorBidi"/>
            <w:sz w:val="24"/>
            <w:szCs w:val="24"/>
            <w:lang w:val="en-GB"/>
          </w:rPr>
          <w:t>Progress update on ITU standardization for e-health</w:t>
        </w:r>
      </w:hyperlink>
      <w:r w:rsidR="00653C5B" w:rsidRPr="00A94875">
        <w:rPr>
          <w:rFonts w:asciiTheme="majorBidi" w:hAnsiTheme="majorBidi" w:cstheme="majorBidi"/>
          <w:sz w:val="24"/>
          <w:szCs w:val="24"/>
          <w:lang w:val="en-GB"/>
        </w:rPr>
        <w:t xml:space="preserve"> </w:t>
      </w:r>
    </w:p>
    <w:p w14:paraId="5D8E67CF"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ITU-T work on performance, quality of service (</w:t>
      </w:r>
      <w:proofErr w:type="spellStart"/>
      <w:r w:rsidRPr="00A94875">
        <w:rPr>
          <w:rFonts w:asciiTheme="majorBidi" w:hAnsiTheme="majorBidi" w:cstheme="majorBidi"/>
          <w:szCs w:val="24"/>
          <w:lang w:val="en-GB"/>
        </w:rPr>
        <w:t>QoS</w:t>
      </w:r>
      <w:proofErr w:type="spellEnd"/>
      <w:r w:rsidRPr="00A94875">
        <w:rPr>
          <w:rFonts w:asciiTheme="majorBidi" w:hAnsiTheme="majorBidi" w:cstheme="majorBidi"/>
          <w:szCs w:val="24"/>
          <w:lang w:val="en-GB"/>
        </w:rPr>
        <w:t>) and quality of experience (</w:t>
      </w:r>
      <w:proofErr w:type="spellStart"/>
      <w:r w:rsidRPr="00A94875">
        <w:rPr>
          <w:rFonts w:asciiTheme="majorBidi" w:hAnsiTheme="majorBidi" w:cstheme="majorBidi"/>
          <w:szCs w:val="24"/>
          <w:lang w:val="en-GB"/>
        </w:rPr>
        <w:t>QoE</w:t>
      </w:r>
      <w:proofErr w:type="spellEnd"/>
      <w:r w:rsidRPr="00A94875">
        <w:rPr>
          <w:rFonts w:asciiTheme="majorBidi" w:hAnsiTheme="majorBidi" w:cstheme="majorBidi"/>
          <w:szCs w:val="24"/>
          <w:lang w:val="en-GB"/>
        </w:rPr>
        <w:t xml:space="preserve">) continues to evolve rapidly, in tune with the advances of the ICT industry. New ITU standards address the quality of video gaming, video-telephony applications, communications involving vehicles, adaptive bitrate video streaming, and ICT services at major sporting and entertainment events. ITU-T work to provide technical guidance to regulators promoting </w:t>
      </w:r>
      <w:proofErr w:type="spellStart"/>
      <w:r w:rsidRPr="00A94875">
        <w:rPr>
          <w:rFonts w:asciiTheme="majorBidi" w:hAnsiTheme="majorBidi" w:cstheme="majorBidi"/>
          <w:szCs w:val="24"/>
          <w:lang w:val="en-GB"/>
        </w:rPr>
        <w:t>QoS</w:t>
      </w:r>
      <w:proofErr w:type="spellEnd"/>
      <w:r w:rsidRPr="00A94875">
        <w:rPr>
          <w:rFonts w:asciiTheme="majorBidi" w:hAnsiTheme="majorBidi" w:cstheme="majorBidi"/>
          <w:szCs w:val="24"/>
          <w:lang w:val="en-GB"/>
        </w:rPr>
        <w:t xml:space="preserve"> is gaining a progressively larger share of the ITU standardization work programme.</w:t>
      </w:r>
    </w:p>
    <w:p w14:paraId="3B315521" w14:textId="77777777" w:rsidR="00653C5B" w:rsidRPr="00A94875" w:rsidRDefault="00770A8C" w:rsidP="009261B2">
      <w:pPr>
        <w:pStyle w:val="ListParagraph"/>
        <w:numPr>
          <w:ilvl w:val="0"/>
          <w:numId w:val="32"/>
        </w:numPr>
        <w:spacing w:after="160" w:line="259" w:lineRule="auto"/>
        <w:rPr>
          <w:rFonts w:asciiTheme="majorBidi" w:hAnsiTheme="majorBidi" w:cstheme="majorBidi"/>
          <w:sz w:val="24"/>
          <w:szCs w:val="24"/>
          <w:lang w:val="en-GB"/>
        </w:rPr>
      </w:pPr>
      <w:hyperlink r:id="rId21" w:history="1">
        <w:r w:rsidR="00653C5B" w:rsidRPr="00A94875">
          <w:rPr>
            <w:rStyle w:val="Hyperlink"/>
            <w:rFonts w:asciiTheme="majorBidi" w:eastAsiaTheme="majorEastAsia" w:hAnsiTheme="majorBidi" w:cstheme="majorBidi"/>
            <w:sz w:val="24"/>
            <w:szCs w:val="24"/>
            <w:lang w:val="en-GB"/>
          </w:rPr>
          <w:t>ITU workshop on Quality of Service regulation</w:t>
        </w:r>
      </w:hyperlink>
    </w:p>
    <w:p w14:paraId="6E9BA029"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 xml:space="preserve">ITU-T offers a neutral platform for the international community to strengthen the ties between technical innovation, business needs and economic and policy requirements. New ITU standards under approval address the relationship between network operators and providers of over-the-top (OTT) services competition in mobile financial services, and principles for a unified format of price/tariffs/rates-lists used for exchanging telephone traffic. </w:t>
      </w:r>
    </w:p>
    <w:p w14:paraId="635C488B" w14:textId="77777777" w:rsidR="00653C5B" w:rsidRPr="00A94875" w:rsidRDefault="00770A8C" w:rsidP="009261B2">
      <w:pPr>
        <w:pStyle w:val="ListParagraph"/>
        <w:numPr>
          <w:ilvl w:val="0"/>
          <w:numId w:val="32"/>
        </w:numPr>
        <w:spacing w:after="160" w:line="259" w:lineRule="auto"/>
        <w:rPr>
          <w:rFonts w:asciiTheme="majorBidi" w:hAnsiTheme="majorBidi" w:cstheme="majorBidi"/>
          <w:sz w:val="24"/>
          <w:szCs w:val="24"/>
          <w:lang w:val="en-GB"/>
        </w:rPr>
      </w:pPr>
      <w:hyperlink r:id="rId22" w:history="1">
        <w:r w:rsidR="00653C5B" w:rsidRPr="00A94875">
          <w:rPr>
            <w:rStyle w:val="Hyperlink"/>
            <w:rFonts w:asciiTheme="majorBidi" w:eastAsiaTheme="majorEastAsia" w:hAnsiTheme="majorBidi" w:cstheme="majorBidi"/>
            <w:sz w:val="24"/>
            <w:szCs w:val="24"/>
            <w:lang w:val="en-GB"/>
          </w:rPr>
          <w:t>Progress update on ITU standardization for economic and policy issues</w:t>
        </w:r>
      </w:hyperlink>
    </w:p>
    <w:p w14:paraId="6657DBE1"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 xml:space="preserve">A new ITU standard under approval provides a framework for solution to combat counterfeit ICT devices. </w:t>
      </w:r>
      <w:proofErr w:type="gramStart"/>
      <w:r w:rsidRPr="00A94875">
        <w:rPr>
          <w:rFonts w:asciiTheme="majorBidi" w:hAnsiTheme="majorBidi" w:cstheme="majorBidi"/>
          <w:szCs w:val="24"/>
          <w:lang w:val="en-GB"/>
        </w:rPr>
        <w:t>This area of work continues to accelerate and has expanded to combat counterfeiting as well as the theft of mobile devices.</w:t>
      </w:r>
      <w:proofErr w:type="gramEnd"/>
      <w:r w:rsidRPr="00A94875">
        <w:rPr>
          <w:rFonts w:asciiTheme="majorBidi" w:hAnsiTheme="majorBidi" w:cstheme="majorBidi"/>
          <w:szCs w:val="24"/>
          <w:lang w:val="en-GB"/>
        </w:rPr>
        <w:t xml:space="preserve"> Renewed emphasis has been placed on the need to concerns surrounding the tampering with or cloning of ICT device identifiers.</w:t>
      </w:r>
    </w:p>
    <w:p w14:paraId="539B2958" w14:textId="77777777" w:rsidR="00653C5B" w:rsidRPr="00A94875" w:rsidRDefault="00770A8C" w:rsidP="009261B2">
      <w:pPr>
        <w:pStyle w:val="ListParagraph"/>
        <w:numPr>
          <w:ilvl w:val="0"/>
          <w:numId w:val="32"/>
        </w:numPr>
        <w:spacing w:after="160" w:line="259" w:lineRule="auto"/>
        <w:rPr>
          <w:rFonts w:asciiTheme="majorBidi" w:hAnsiTheme="majorBidi" w:cstheme="majorBidi"/>
          <w:sz w:val="24"/>
          <w:szCs w:val="24"/>
          <w:lang w:val="en-GB"/>
        </w:rPr>
      </w:pPr>
      <w:hyperlink r:id="rId23" w:history="1">
        <w:r w:rsidR="00653C5B" w:rsidRPr="00A94875">
          <w:rPr>
            <w:rStyle w:val="Hyperlink"/>
            <w:rFonts w:asciiTheme="majorBidi" w:eastAsiaTheme="majorEastAsia" w:hAnsiTheme="majorBidi" w:cstheme="majorBidi"/>
            <w:sz w:val="24"/>
            <w:szCs w:val="24"/>
            <w:lang w:val="en-GB"/>
          </w:rPr>
          <w:t>Combating counterfeit and stolen ICT devices: ITU workshop renews international commitment</w:t>
        </w:r>
      </w:hyperlink>
    </w:p>
    <w:p w14:paraId="028DF04F"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 xml:space="preserve">The span of ITU-T work on </w:t>
      </w:r>
      <w:proofErr w:type="spellStart"/>
      <w:r w:rsidRPr="00A94875">
        <w:rPr>
          <w:rFonts w:asciiTheme="majorBidi" w:hAnsiTheme="majorBidi" w:cstheme="majorBidi"/>
          <w:szCs w:val="24"/>
          <w:lang w:val="en-GB"/>
        </w:rPr>
        <w:t>VoLTE</w:t>
      </w:r>
      <w:proofErr w:type="spellEnd"/>
      <w:r w:rsidRPr="00A94875">
        <w:rPr>
          <w:rFonts w:asciiTheme="majorBidi" w:hAnsiTheme="majorBidi" w:cstheme="majorBidi"/>
          <w:szCs w:val="24"/>
          <w:lang w:val="en-GB"/>
        </w:rPr>
        <w:t>/</w:t>
      </w:r>
      <w:proofErr w:type="spellStart"/>
      <w:r w:rsidRPr="00A94875">
        <w:rPr>
          <w:rFonts w:asciiTheme="majorBidi" w:hAnsiTheme="majorBidi" w:cstheme="majorBidi"/>
          <w:szCs w:val="24"/>
          <w:lang w:val="en-GB"/>
        </w:rPr>
        <w:t>ViLTE</w:t>
      </w:r>
      <w:proofErr w:type="spellEnd"/>
      <w:r w:rsidRPr="00A94875">
        <w:rPr>
          <w:rFonts w:asciiTheme="majorBidi" w:hAnsiTheme="majorBidi" w:cstheme="majorBidi"/>
          <w:szCs w:val="24"/>
          <w:lang w:val="en-GB"/>
        </w:rPr>
        <w:t xml:space="preserve"> includes the deployment of signalling protocols for </w:t>
      </w:r>
      <w:proofErr w:type="spellStart"/>
      <w:r w:rsidRPr="00A94875">
        <w:rPr>
          <w:rFonts w:asciiTheme="majorBidi" w:hAnsiTheme="majorBidi" w:cstheme="majorBidi"/>
          <w:szCs w:val="24"/>
          <w:lang w:val="en-GB"/>
        </w:rPr>
        <w:t>VoLTE</w:t>
      </w:r>
      <w:proofErr w:type="spellEnd"/>
      <w:r w:rsidRPr="00A94875">
        <w:rPr>
          <w:rFonts w:asciiTheme="majorBidi" w:hAnsiTheme="majorBidi" w:cstheme="majorBidi"/>
          <w:szCs w:val="24"/>
          <w:lang w:val="en-GB"/>
        </w:rPr>
        <w:t xml:space="preserve"> interconnection, relevant numbering issues, </w:t>
      </w:r>
      <w:proofErr w:type="spellStart"/>
      <w:r w:rsidRPr="00A94875">
        <w:rPr>
          <w:rFonts w:asciiTheme="majorBidi" w:hAnsiTheme="majorBidi" w:cstheme="majorBidi"/>
          <w:szCs w:val="24"/>
          <w:lang w:val="en-GB"/>
        </w:rPr>
        <w:t>QoS</w:t>
      </w:r>
      <w:proofErr w:type="spellEnd"/>
      <w:r w:rsidRPr="00A94875">
        <w:rPr>
          <w:rFonts w:asciiTheme="majorBidi" w:hAnsiTheme="majorBidi" w:cstheme="majorBidi"/>
          <w:szCs w:val="24"/>
          <w:lang w:val="en-GB"/>
        </w:rPr>
        <w:t xml:space="preserve"> considerations, and emergency calls on </w:t>
      </w:r>
      <w:proofErr w:type="spellStart"/>
      <w:r w:rsidRPr="00A94875">
        <w:rPr>
          <w:rFonts w:asciiTheme="majorBidi" w:hAnsiTheme="majorBidi" w:cstheme="majorBidi"/>
          <w:szCs w:val="24"/>
          <w:lang w:val="en-GB"/>
        </w:rPr>
        <w:t>VoLTE</w:t>
      </w:r>
      <w:proofErr w:type="spellEnd"/>
      <w:r w:rsidRPr="00A94875">
        <w:rPr>
          <w:rFonts w:asciiTheme="majorBidi" w:hAnsiTheme="majorBidi" w:cstheme="majorBidi"/>
          <w:szCs w:val="24"/>
          <w:lang w:val="en-GB"/>
        </w:rPr>
        <w:t xml:space="preserve">-based networks. New ITU standards address the interconnection of </w:t>
      </w:r>
      <w:proofErr w:type="spellStart"/>
      <w:r w:rsidRPr="00A94875">
        <w:rPr>
          <w:rFonts w:asciiTheme="majorBidi" w:hAnsiTheme="majorBidi" w:cstheme="majorBidi"/>
          <w:szCs w:val="24"/>
          <w:lang w:val="en-GB"/>
        </w:rPr>
        <w:t>VoLTE</w:t>
      </w:r>
      <w:proofErr w:type="spellEnd"/>
      <w:r w:rsidRPr="00A94875">
        <w:rPr>
          <w:rFonts w:asciiTheme="majorBidi" w:hAnsiTheme="majorBidi" w:cstheme="majorBidi"/>
          <w:szCs w:val="24"/>
          <w:lang w:val="en-GB"/>
        </w:rPr>
        <w:t>/</w:t>
      </w:r>
      <w:proofErr w:type="spellStart"/>
      <w:r w:rsidRPr="00A94875">
        <w:rPr>
          <w:rFonts w:asciiTheme="majorBidi" w:hAnsiTheme="majorBidi" w:cstheme="majorBidi"/>
          <w:szCs w:val="24"/>
          <w:lang w:val="en-GB"/>
        </w:rPr>
        <w:t>ViLTE</w:t>
      </w:r>
      <w:proofErr w:type="spellEnd"/>
      <w:r w:rsidRPr="00A94875">
        <w:rPr>
          <w:rFonts w:asciiTheme="majorBidi" w:hAnsiTheme="majorBidi" w:cstheme="majorBidi"/>
          <w:szCs w:val="24"/>
          <w:lang w:val="en-GB"/>
        </w:rPr>
        <w:t xml:space="preserve">-based networks and </w:t>
      </w:r>
      <w:proofErr w:type="spellStart"/>
      <w:r w:rsidRPr="00A94875">
        <w:rPr>
          <w:rFonts w:asciiTheme="majorBidi" w:hAnsiTheme="majorBidi" w:cstheme="majorBidi"/>
          <w:szCs w:val="24"/>
          <w:lang w:val="en-GB"/>
        </w:rPr>
        <w:t>VoLTE</w:t>
      </w:r>
      <w:proofErr w:type="spellEnd"/>
      <w:r w:rsidRPr="00A94875">
        <w:rPr>
          <w:rFonts w:asciiTheme="majorBidi" w:hAnsiTheme="majorBidi" w:cstheme="majorBidi"/>
          <w:szCs w:val="24"/>
          <w:lang w:val="en-GB"/>
        </w:rPr>
        <w:t>/</w:t>
      </w:r>
      <w:proofErr w:type="spellStart"/>
      <w:r w:rsidRPr="00A94875">
        <w:rPr>
          <w:rFonts w:asciiTheme="majorBidi" w:hAnsiTheme="majorBidi" w:cstheme="majorBidi"/>
          <w:szCs w:val="24"/>
          <w:lang w:val="en-GB"/>
        </w:rPr>
        <w:t>ViLTE</w:t>
      </w:r>
      <w:proofErr w:type="spellEnd"/>
      <w:r w:rsidRPr="00A94875">
        <w:rPr>
          <w:rFonts w:asciiTheme="majorBidi" w:hAnsiTheme="majorBidi" w:cstheme="majorBidi"/>
          <w:szCs w:val="24"/>
          <w:lang w:val="en-GB"/>
        </w:rPr>
        <w:t xml:space="preserve"> interconnection testing for interworking and roaming scenarios. </w:t>
      </w:r>
    </w:p>
    <w:p w14:paraId="14254734" w14:textId="77777777" w:rsidR="0061725D" w:rsidRPr="00A94875" w:rsidRDefault="00770A8C" w:rsidP="009261B2">
      <w:pPr>
        <w:pStyle w:val="ListParagraph"/>
        <w:numPr>
          <w:ilvl w:val="0"/>
          <w:numId w:val="32"/>
        </w:numPr>
        <w:rPr>
          <w:rFonts w:asciiTheme="majorBidi" w:hAnsiTheme="majorBidi" w:cstheme="majorBidi"/>
          <w:sz w:val="24"/>
          <w:szCs w:val="24"/>
          <w:lang w:val="en-GB"/>
        </w:rPr>
      </w:pPr>
      <w:hyperlink r:id="rId24" w:history="1">
        <w:r w:rsidR="00653C5B" w:rsidRPr="00A94875">
          <w:rPr>
            <w:rStyle w:val="Hyperlink"/>
            <w:rFonts w:asciiTheme="majorBidi" w:eastAsiaTheme="majorEastAsia" w:hAnsiTheme="majorBidi" w:cstheme="majorBidi"/>
            <w:sz w:val="24"/>
            <w:szCs w:val="24"/>
            <w:lang w:val="en-GB"/>
          </w:rPr>
          <w:t xml:space="preserve">Progress update on ITU standardization for </w:t>
        </w:r>
        <w:proofErr w:type="spellStart"/>
        <w:r w:rsidR="00653C5B" w:rsidRPr="00A94875">
          <w:rPr>
            <w:rStyle w:val="Hyperlink"/>
            <w:rFonts w:asciiTheme="majorBidi" w:eastAsiaTheme="majorEastAsia" w:hAnsiTheme="majorBidi" w:cstheme="majorBidi"/>
            <w:sz w:val="24"/>
            <w:szCs w:val="24"/>
            <w:lang w:val="en-GB"/>
          </w:rPr>
          <w:t>VoLTE</w:t>
        </w:r>
        <w:proofErr w:type="spellEnd"/>
        <w:r w:rsidR="00653C5B" w:rsidRPr="00A94875">
          <w:rPr>
            <w:rStyle w:val="Hyperlink"/>
            <w:rFonts w:asciiTheme="majorBidi" w:eastAsiaTheme="majorEastAsia" w:hAnsiTheme="majorBidi" w:cstheme="majorBidi"/>
            <w:sz w:val="24"/>
            <w:szCs w:val="24"/>
            <w:lang w:val="en-GB"/>
          </w:rPr>
          <w:t>/</w:t>
        </w:r>
        <w:proofErr w:type="spellStart"/>
        <w:r w:rsidR="00653C5B" w:rsidRPr="00A94875">
          <w:rPr>
            <w:rStyle w:val="Hyperlink"/>
            <w:rFonts w:asciiTheme="majorBidi" w:eastAsiaTheme="majorEastAsia" w:hAnsiTheme="majorBidi" w:cstheme="majorBidi"/>
            <w:sz w:val="24"/>
            <w:szCs w:val="24"/>
            <w:lang w:val="en-GB"/>
          </w:rPr>
          <w:t>ViLTE</w:t>
        </w:r>
        <w:proofErr w:type="spellEnd"/>
      </w:hyperlink>
    </w:p>
    <w:p w14:paraId="750D8F88" w14:textId="1175C8FC" w:rsidR="00D462E4" w:rsidRPr="00A94875" w:rsidRDefault="00D462E4" w:rsidP="009E5FFA">
      <w:pPr>
        <w:rPr>
          <w:rFonts w:asciiTheme="majorBidi" w:hAnsiTheme="majorBidi" w:cstheme="majorBidi"/>
          <w:szCs w:val="24"/>
          <w:lang w:val="en-GB"/>
        </w:rPr>
      </w:pPr>
      <w:r w:rsidRPr="00A94875">
        <w:rPr>
          <w:rFonts w:asciiTheme="majorBidi" w:hAnsiTheme="majorBidi" w:cstheme="majorBidi"/>
          <w:szCs w:val="24"/>
          <w:lang w:val="en-GB"/>
        </w:rPr>
        <w:t xml:space="preserve">Quantum safe communications and quantum key distribution are new study areas </w:t>
      </w:r>
      <w:proofErr w:type="gramStart"/>
      <w:r w:rsidRPr="00A94875">
        <w:rPr>
          <w:rFonts w:asciiTheme="majorBidi" w:hAnsiTheme="majorBidi" w:cstheme="majorBidi"/>
          <w:szCs w:val="24"/>
          <w:lang w:val="en-GB"/>
        </w:rPr>
        <w:t>being tackled</w:t>
      </w:r>
      <w:proofErr w:type="gramEnd"/>
      <w:r w:rsidRPr="00A94875">
        <w:rPr>
          <w:rFonts w:asciiTheme="majorBidi" w:hAnsiTheme="majorBidi" w:cstheme="majorBidi"/>
          <w:szCs w:val="24"/>
          <w:lang w:val="en-GB"/>
        </w:rPr>
        <w:t xml:space="preserve"> by ITU Study Group 13 and ITU-T Study Group 17, where also new members have joined </w:t>
      </w:r>
      <w:r w:rsidR="00526467" w:rsidRPr="00A94875">
        <w:rPr>
          <w:rFonts w:asciiTheme="majorBidi" w:hAnsiTheme="majorBidi" w:cstheme="majorBidi"/>
          <w:szCs w:val="24"/>
          <w:lang w:val="en-GB"/>
        </w:rPr>
        <w:t>ITU-T.</w:t>
      </w:r>
    </w:p>
    <w:p w14:paraId="0A3382BB" w14:textId="0C38AB3A" w:rsidR="0061725D" w:rsidRPr="00A94875" w:rsidRDefault="0061725D" w:rsidP="009E5FFA">
      <w:pPr>
        <w:rPr>
          <w:rFonts w:asciiTheme="majorBidi" w:hAnsiTheme="majorBidi" w:cstheme="majorBidi"/>
          <w:szCs w:val="24"/>
          <w:lang w:val="en-GB"/>
        </w:rPr>
      </w:pPr>
      <w:r w:rsidRPr="00A94875">
        <w:rPr>
          <w:rFonts w:asciiTheme="majorBidi" w:hAnsiTheme="majorBidi" w:cstheme="majorBidi"/>
          <w:szCs w:val="24"/>
          <w:lang w:val="en-GB"/>
        </w:rPr>
        <w:t xml:space="preserve">Focus Groups </w:t>
      </w:r>
      <w:proofErr w:type="gramStart"/>
      <w:r w:rsidRPr="00A94875">
        <w:rPr>
          <w:rFonts w:asciiTheme="majorBidi" w:hAnsiTheme="majorBidi" w:cstheme="majorBidi"/>
          <w:szCs w:val="24"/>
          <w:lang w:val="en-GB"/>
        </w:rPr>
        <w:t>are formed</w:t>
      </w:r>
      <w:proofErr w:type="gramEnd"/>
      <w:r w:rsidRPr="00A94875">
        <w:rPr>
          <w:rFonts w:asciiTheme="majorBidi" w:hAnsiTheme="majorBidi" w:cstheme="majorBidi"/>
          <w:szCs w:val="24"/>
          <w:lang w:val="en-GB"/>
        </w:rPr>
        <w:t xml:space="preserve"> in response to immediate ICT standardization demands, tasked with establishing the basis for subsequent standardization work in ITU-T Study Groups. These groups are the place to explore new directions in ITU standardization. Seven ITU-T Focus Groups are currently in operation:</w:t>
      </w:r>
    </w:p>
    <w:p w14:paraId="4D0FB2A5" w14:textId="5905AC46" w:rsidR="0061725D" w:rsidRPr="00A94875" w:rsidRDefault="00770A8C" w:rsidP="009261B2">
      <w:pPr>
        <w:pStyle w:val="ListParagraph"/>
        <w:numPr>
          <w:ilvl w:val="0"/>
          <w:numId w:val="32"/>
        </w:numPr>
        <w:rPr>
          <w:rFonts w:asciiTheme="majorBidi" w:hAnsiTheme="majorBidi" w:cstheme="majorBidi"/>
          <w:sz w:val="24"/>
          <w:szCs w:val="24"/>
          <w:lang w:val="en-GB"/>
        </w:rPr>
      </w:pPr>
      <w:hyperlink r:id="rId25" w:history="1">
        <w:r w:rsidR="0061725D" w:rsidRPr="00A94875">
          <w:rPr>
            <w:rStyle w:val="Hyperlink"/>
            <w:rFonts w:asciiTheme="majorBidi" w:hAnsiTheme="majorBidi" w:cstheme="majorBidi"/>
            <w:sz w:val="24"/>
            <w:szCs w:val="24"/>
            <w:lang w:val="en-GB"/>
          </w:rPr>
          <w:t xml:space="preserve">Data Processing and Management to support </w:t>
        </w:r>
        <w:proofErr w:type="spellStart"/>
        <w:r w:rsidR="0061725D" w:rsidRPr="00A94875">
          <w:rPr>
            <w:rStyle w:val="Hyperlink"/>
            <w:rFonts w:asciiTheme="majorBidi" w:hAnsiTheme="majorBidi" w:cstheme="majorBidi"/>
            <w:sz w:val="24"/>
            <w:szCs w:val="24"/>
            <w:lang w:val="en-GB"/>
          </w:rPr>
          <w:t>IoT</w:t>
        </w:r>
        <w:proofErr w:type="spellEnd"/>
        <w:r w:rsidR="0061725D" w:rsidRPr="00A94875">
          <w:rPr>
            <w:rStyle w:val="Hyperlink"/>
            <w:rFonts w:asciiTheme="majorBidi" w:hAnsiTheme="majorBidi" w:cstheme="majorBidi"/>
            <w:sz w:val="24"/>
            <w:szCs w:val="24"/>
            <w:lang w:val="en-GB"/>
          </w:rPr>
          <w:t xml:space="preserve"> and Smart Cities &amp; Communities (FG-DPM)</w:t>
        </w:r>
      </w:hyperlink>
      <w:r w:rsidR="0061725D" w:rsidRPr="00A94875">
        <w:rPr>
          <w:rFonts w:asciiTheme="majorBidi" w:hAnsiTheme="majorBidi" w:cstheme="majorBidi"/>
          <w:sz w:val="24"/>
          <w:szCs w:val="24"/>
          <w:lang w:val="en-GB"/>
        </w:rPr>
        <w:t xml:space="preserve"> </w:t>
      </w:r>
    </w:p>
    <w:p w14:paraId="52A02260" w14:textId="570AF45A" w:rsidR="0061725D" w:rsidRPr="00A94875" w:rsidRDefault="00770A8C" w:rsidP="009261B2">
      <w:pPr>
        <w:pStyle w:val="ListParagraph"/>
        <w:numPr>
          <w:ilvl w:val="0"/>
          <w:numId w:val="32"/>
        </w:numPr>
        <w:rPr>
          <w:rFonts w:asciiTheme="majorBidi" w:hAnsiTheme="majorBidi" w:cstheme="majorBidi"/>
          <w:sz w:val="24"/>
          <w:szCs w:val="24"/>
          <w:lang w:val="en-GB"/>
        </w:rPr>
      </w:pPr>
      <w:hyperlink r:id="rId26" w:history="1">
        <w:r w:rsidR="0061725D" w:rsidRPr="00A94875">
          <w:rPr>
            <w:rStyle w:val="Hyperlink"/>
            <w:rFonts w:asciiTheme="majorBidi" w:hAnsiTheme="majorBidi" w:cstheme="majorBidi"/>
            <w:sz w:val="24"/>
            <w:szCs w:val="24"/>
            <w:lang w:val="en-GB"/>
          </w:rPr>
          <w:t>Digital Currency including Digital Fiat Currency (FG DFC)</w:t>
        </w:r>
      </w:hyperlink>
      <w:r w:rsidR="0061725D" w:rsidRPr="00A94875">
        <w:rPr>
          <w:rFonts w:asciiTheme="majorBidi" w:hAnsiTheme="majorBidi" w:cstheme="majorBidi"/>
          <w:sz w:val="24"/>
          <w:szCs w:val="24"/>
          <w:lang w:val="en-GB"/>
        </w:rPr>
        <w:t xml:space="preserve"> </w:t>
      </w:r>
    </w:p>
    <w:p w14:paraId="1A390E22" w14:textId="78E7559E" w:rsidR="0061725D" w:rsidRPr="00A94875" w:rsidRDefault="00770A8C" w:rsidP="009261B2">
      <w:pPr>
        <w:pStyle w:val="ListParagraph"/>
        <w:numPr>
          <w:ilvl w:val="0"/>
          <w:numId w:val="32"/>
        </w:numPr>
        <w:rPr>
          <w:rFonts w:asciiTheme="majorBidi" w:hAnsiTheme="majorBidi" w:cstheme="majorBidi"/>
          <w:sz w:val="24"/>
          <w:szCs w:val="24"/>
          <w:lang w:val="en-GB"/>
        </w:rPr>
      </w:pPr>
      <w:hyperlink r:id="rId27" w:history="1">
        <w:r w:rsidR="0061725D" w:rsidRPr="00A94875">
          <w:rPr>
            <w:rStyle w:val="Hyperlink"/>
            <w:rFonts w:asciiTheme="majorBidi" w:hAnsiTheme="majorBidi" w:cstheme="majorBidi"/>
            <w:sz w:val="24"/>
            <w:szCs w:val="24"/>
            <w:lang w:val="en-GB"/>
          </w:rPr>
          <w:t>Application of Distributed Ledger Technology (FG DLT)</w:t>
        </w:r>
      </w:hyperlink>
      <w:r w:rsidR="0061725D" w:rsidRPr="00A94875">
        <w:rPr>
          <w:rFonts w:asciiTheme="majorBidi" w:hAnsiTheme="majorBidi" w:cstheme="majorBidi"/>
          <w:sz w:val="24"/>
          <w:szCs w:val="24"/>
          <w:lang w:val="en-GB"/>
        </w:rPr>
        <w:t xml:space="preserve"> </w:t>
      </w:r>
    </w:p>
    <w:p w14:paraId="313DCA19" w14:textId="0637AABA" w:rsidR="0061725D" w:rsidRPr="00A94875" w:rsidRDefault="00770A8C" w:rsidP="009261B2">
      <w:pPr>
        <w:pStyle w:val="ListParagraph"/>
        <w:numPr>
          <w:ilvl w:val="0"/>
          <w:numId w:val="32"/>
        </w:numPr>
        <w:rPr>
          <w:rFonts w:asciiTheme="majorBidi" w:hAnsiTheme="majorBidi" w:cstheme="majorBidi"/>
          <w:sz w:val="24"/>
          <w:szCs w:val="24"/>
          <w:lang w:val="en-GB"/>
        </w:rPr>
      </w:pPr>
      <w:hyperlink r:id="rId28" w:history="1">
        <w:r w:rsidR="0061725D" w:rsidRPr="00A94875">
          <w:rPr>
            <w:rStyle w:val="Hyperlink"/>
            <w:rFonts w:asciiTheme="majorBidi" w:hAnsiTheme="majorBidi" w:cstheme="majorBidi"/>
            <w:sz w:val="24"/>
            <w:szCs w:val="24"/>
            <w:lang w:val="en-GB"/>
          </w:rPr>
          <w:t>Machine Learning for Future Networks including 5G (FG ML5G)</w:t>
        </w:r>
        <w:r w:rsidR="0061725D" w:rsidRPr="00A94875" w:rsidDel="002534EE">
          <w:rPr>
            <w:rStyle w:val="Hyperlink"/>
            <w:rFonts w:asciiTheme="majorBidi" w:hAnsiTheme="majorBidi" w:cstheme="majorBidi"/>
            <w:sz w:val="24"/>
            <w:szCs w:val="24"/>
            <w:lang w:val="en-GB"/>
          </w:rPr>
          <w:t xml:space="preserve"> </w:t>
        </w:r>
      </w:hyperlink>
      <w:r w:rsidR="0061725D" w:rsidRPr="00A94875">
        <w:rPr>
          <w:rFonts w:asciiTheme="majorBidi" w:hAnsiTheme="majorBidi" w:cstheme="majorBidi"/>
          <w:sz w:val="24"/>
          <w:szCs w:val="24"/>
          <w:lang w:val="en-GB"/>
        </w:rPr>
        <w:t xml:space="preserve"> </w:t>
      </w:r>
    </w:p>
    <w:p w14:paraId="1C2BC0E0" w14:textId="34321BE3" w:rsidR="0061725D" w:rsidRPr="00A94875" w:rsidRDefault="00770A8C" w:rsidP="009261B2">
      <w:pPr>
        <w:pStyle w:val="ListParagraph"/>
        <w:numPr>
          <w:ilvl w:val="0"/>
          <w:numId w:val="32"/>
        </w:numPr>
        <w:rPr>
          <w:rFonts w:asciiTheme="majorBidi" w:hAnsiTheme="majorBidi" w:cstheme="majorBidi"/>
          <w:sz w:val="24"/>
          <w:szCs w:val="24"/>
          <w:lang w:val="en-GB"/>
        </w:rPr>
      </w:pPr>
      <w:hyperlink r:id="rId29" w:history="1">
        <w:r w:rsidR="0061725D" w:rsidRPr="00A94875">
          <w:rPr>
            <w:rStyle w:val="Hyperlink"/>
            <w:rFonts w:asciiTheme="majorBidi" w:hAnsiTheme="majorBidi" w:cstheme="majorBidi"/>
            <w:sz w:val="24"/>
            <w:szCs w:val="24"/>
            <w:lang w:val="en-GB"/>
          </w:rPr>
          <w:t>Technologies for Network 2030 (FG NET-2030)</w:t>
        </w:r>
      </w:hyperlink>
      <w:r w:rsidR="0061725D" w:rsidRPr="00A94875">
        <w:rPr>
          <w:rFonts w:asciiTheme="majorBidi" w:hAnsiTheme="majorBidi" w:cstheme="majorBidi"/>
          <w:sz w:val="24"/>
          <w:szCs w:val="24"/>
          <w:lang w:val="en-GB"/>
        </w:rPr>
        <w:t xml:space="preserve"> </w:t>
      </w:r>
    </w:p>
    <w:p w14:paraId="2EC60508" w14:textId="08C2BCF8" w:rsidR="0061725D" w:rsidRPr="00A94875" w:rsidRDefault="00770A8C" w:rsidP="009261B2">
      <w:pPr>
        <w:pStyle w:val="ListParagraph"/>
        <w:numPr>
          <w:ilvl w:val="0"/>
          <w:numId w:val="32"/>
        </w:numPr>
        <w:rPr>
          <w:rFonts w:asciiTheme="majorBidi" w:hAnsiTheme="majorBidi" w:cstheme="majorBidi"/>
          <w:sz w:val="24"/>
          <w:szCs w:val="24"/>
          <w:lang w:val="en-GB"/>
        </w:rPr>
      </w:pPr>
      <w:hyperlink r:id="rId30" w:history="1">
        <w:r w:rsidR="0061725D" w:rsidRPr="00A94875">
          <w:rPr>
            <w:rStyle w:val="Hyperlink"/>
            <w:rFonts w:asciiTheme="majorBidi" w:hAnsiTheme="majorBidi" w:cstheme="majorBidi"/>
            <w:sz w:val="24"/>
            <w:szCs w:val="24"/>
            <w:lang w:val="en-GB"/>
          </w:rPr>
          <w:t>Artificial Intelligence for Health (FG AI4H)</w:t>
        </w:r>
      </w:hyperlink>
    </w:p>
    <w:p w14:paraId="27C74447" w14:textId="27177039" w:rsidR="006944F8" w:rsidRPr="00A94875" w:rsidRDefault="00770A8C" w:rsidP="009261B2">
      <w:pPr>
        <w:pStyle w:val="NormalWeb"/>
        <w:numPr>
          <w:ilvl w:val="0"/>
          <w:numId w:val="32"/>
        </w:numPr>
        <w:rPr>
          <w:lang w:val="en-GB"/>
        </w:rPr>
      </w:pPr>
      <w:hyperlink r:id="rId31" w:history="1">
        <w:r w:rsidR="0061725D" w:rsidRPr="00A94875">
          <w:rPr>
            <w:rStyle w:val="Hyperlink"/>
            <w:rFonts w:asciiTheme="majorBidi" w:hAnsiTheme="majorBidi" w:cstheme="majorBidi"/>
            <w:shd w:val="clear" w:color="auto" w:fill="FFFFFF"/>
            <w:lang w:val="en-GB"/>
          </w:rPr>
          <w:t>Vehicular Multimedia (</w:t>
        </w:r>
        <w:r w:rsidR="0061725D" w:rsidRPr="00A94875">
          <w:rPr>
            <w:rStyle w:val="Hyperlink"/>
            <w:rFonts w:asciiTheme="majorBidi" w:hAnsiTheme="majorBidi" w:cstheme="majorBidi"/>
            <w:bdr w:val="none" w:sz="0" w:space="0" w:color="auto" w:frame="1"/>
            <w:shd w:val="clear" w:color="auto" w:fill="FFFFFF"/>
            <w:lang w:val="en-GB"/>
          </w:rPr>
          <w:t>FG VM)</w:t>
        </w:r>
        <w:r w:rsidR="0061725D" w:rsidRPr="00A94875" w:rsidDel="002534EE">
          <w:rPr>
            <w:rStyle w:val="Hyperlink"/>
            <w:rFonts w:ascii="Times New Roman" w:hAnsi="Times New Roman"/>
            <w:bdr w:val="none" w:sz="0" w:space="0" w:color="auto" w:frame="1"/>
            <w:shd w:val="clear" w:color="auto" w:fill="FFFFFF"/>
            <w:lang w:val="en-GB"/>
          </w:rPr>
          <w:t xml:space="preserve"> </w:t>
        </w:r>
      </w:hyperlink>
      <w:r w:rsidR="0061725D" w:rsidRPr="00A94875">
        <w:rPr>
          <w:rFonts w:ascii="Times New Roman" w:hAnsi="Times New Roman"/>
          <w:color w:val="444444"/>
          <w:shd w:val="clear" w:color="auto" w:fill="FFFFFF"/>
          <w:lang w:val="en-GB"/>
        </w:rPr>
        <w:t xml:space="preserve"> </w:t>
      </w:r>
      <w:r w:rsidR="0061725D" w:rsidRPr="00A94875">
        <w:rPr>
          <w:rFonts w:ascii="Times New Roman" w:hAnsi="Times New Roman"/>
          <w:lang w:val="en-GB"/>
        </w:rPr>
        <w:t xml:space="preserve"> </w:t>
      </w:r>
    </w:p>
    <w:p w14:paraId="22931D1B" w14:textId="77777777" w:rsidR="006944F8" w:rsidRPr="00A94875" w:rsidRDefault="006944F8" w:rsidP="006944F8">
      <w:pPr>
        <w:pStyle w:val="Headingb"/>
        <w:rPr>
          <w:rFonts w:asciiTheme="majorBidi" w:hAnsiTheme="majorBidi" w:cstheme="majorBidi"/>
          <w:i/>
          <w:iCs/>
          <w:sz w:val="28"/>
          <w:szCs w:val="28"/>
          <w:lang w:val="en-GB"/>
        </w:rPr>
      </w:pPr>
      <w:r w:rsidRPr="00A94875">
        <w:rPr>
          <w:rFonts w:asciiTheme="majorBidi" w:hAnsiTheme="majorBidi" w:cstheme="majorBidi"/>
          <w:i/>
          <w:iCs/>
          <w:sz w:val="28"/>
          <w:szCs w:val="28"/>
          <w:lang w:val="en-GB"/>
        </w:rPr>
        <w:lastRenderedPageBreak/>
        <w:t>ITU standardization platform</w:t>
      </w:r>
    </w:p>
    <w:p w14:paraId="3AE4D174" w14:textId="2F7A2B5A" w:rsidR="0037553F" w:rsidRPr="00A94875" w:rsidRDefault="00561B39" w:rsidP="0037553F">
      <w:pPr>
        <w:rPr>
          <w:rFonts w:eastAsia="SimSun"/>
          <w:szCs w:val="24"/>
          <w:lang w:val="en-GB" w:eastAsia="ja-JP"/>
        </w:rPr>
      </w:pPr>
      <w:r w:rsidRPr="00A94875">
        <w:rPr>
          <w:rFonts w:eastAsia="SimSun"/>
          <w:szCs w:val="24"/>
          <w:lang w:val="en-GB"/>
        </w:rPr>
        <w:t xml:space="preserve">ITU-T </w:t>
      </w:r>
      <w:r w:rsidR="00653C5B" w:rsidRPr="00A94875">
        <w:rPr>
          <w:rFonts w:eastAsia="SimSun"/>
          <w:szCs w:val="24"/>
          <w:lang w:val="en-GB"/>
        </w:rPr>
        <w:t xml:space="preserve">membership has taken a sharp upward trajectory. </w:t>
      </w:r>
      <w:r w:rsidR="0037553F" w:rsidRPr="00A94875">
        <w:rPr>
          <w:rFonts w:eastAsia="SimSun"/>
          <w:szCs w:val="24"/>
          <w:lang w:val="en-GB"/>
        </w:rPr>
        <w:t>ITU-T has achieved a significant net increase of 26 new memberships in 2018, a 92 per cent improvement over the net increase achieved in 2017.</w:t>
      </w:r>
      <w:r w:rsidR="0037553F" w:rsidRPr="00A94875">
        <w:rPr>
          <w:rFonts w:eastAsia="SimSun"/>
          <w:bCs/>
          <w:szCs w:val="24"/>
          <w:lang w:val="en-GB"/>
        </w:rPr>
        <w:t xml:space="preserve"> </w:t>
      </w:r>
      <w:r w:rsidR="0037553F" w:rsidRPr="00A94875">
        <w:rPr>
          <w:rFonts w:eastAsia="SimSun"/>
          <w:szCs w:val="24"/>
          <w:lang w:val="en-GB"/>
        </w:rPr>
        <w:t xml:space="preserve">14 Sector Members and 29 Associates have joined ITU-T in 2018, amounting to 43 new members. </w:t>
      </w:r>
      <w:r w:rsidR="0037553F" w:rsidRPr="00A94875">
        <w:rPr>
          <w:rFonts w:eastAsia="SimSun"/>
          <w:szCs w:val="24"/>
          <w:lang w:val="en-GB" w:eastAsia="ja-JP"/>
        </w:rPr>
        <w:t xml:space="preserve">New ITU-T members include </w:t>
      </w:r>
      <w:r w:rsidR="0037553F" w:rsidRPr="00A94875">
        <w:rPr>
          <w:lang w:val="en-GB"/>
        </w:rPr>
        <w:t>mobile virtual network operators and enablers (MVNOs and MVNEs), manufacturers of unmanned aerial vehicles, telematics and automotive companies, OTT service providers, energy utilities, and companies specializing in quantum cryptography and quantum communications</w:t>
      </w:r>
      <w:r w:rsidR="0037553F" w:rsidRPr="00A94875">
        <w:rPr>
          <w:rFonts w:eastAsia="SimSun"/>
          <w:szCs w:val="24"/>
          <w:lang w:val="en-GB" w:eastAsia="ja-JP"/>
        </w:rPr>
        <w:t>.</w:t>
      </w:r>
      <w:r w:rsidR="00567B70" w:rsidRPr="00A94875">
        <w:rPr>
          <w:rFonts w:eastAsia="SimSun"/>
          <w:szCs w:val="24"/>
          <w:lang w:val="en-GB" w:eastAsia="ja-JP"/>
        </w:rPr>
        <w:t xml:space="preserve"> See Section </w:t>
      </w:r>
      <w:r w:rsidR="007C213D" w:rsidRPr="00A94875">
        <w:rPr>
          <w:rFonts w:eastAsia="SimSun"/>
          <w:szCs w:val="24"/>
          <w:lang w:val="en-GB" w:eastAsia="ja-JP"/>
        </w:rPr>
        <w:t xml:space="preserve">8. </w:t>
      </w:r>
    </w:p>
    <w:p w14:paraId="4FB79FFC" w14:textId="65D18C1A" w:rsidR="006E5D42" w:rsidRPr="00A94875" w:rsidRDefault="006E5D42" w:rsidP="009E5FFA">
      <w:pPr>
        <w:rPr>
          <w:lang w:val="en-GB"/>
        </w:rPr>
      </w:pPr>
      <w:proofErr w:type="gramStart"/>
      <w:r w:rsidRPr="00A94875">
        <w:rPr>
          <w:rFonts w:asciiTheme="majorBidi" w:hAnsiTheme="majorBidi" w:cstheme="majorBidi"/>
          <w:lang w:val="en-GB"/>
        </w:rPr>
        <w:t>ITU’s</w:t>
      </w:r>
      <w:proofErr w:type="gramEnd"/>
      <w:r w:rsidRPr="00A94875">
        <w:rPr>
          <w:rFonts w:asciiTheme="majorBidi" w:hAnsiTheme="majorBidi" w:cstheme="majorBidi"/>
          <w:lang w:val="en-GB"/>
        </w:rPr>
        <w:t xml:space="preserve"> Bridging the Standardization Gap (BSG) programme improves the capacity of developing countries to participate in the development and implementation of international ICT standards. </w:t>
      </w:r>
      <w:r w:rsidRPr="00A94875">
        <w:rPr>
          <w:lang w:val="en-GB"/>
        </w:rPr>
        <w:t xml:space="preserve">The revamped BSG Programme is structured around </w:t>
      </w:r>
      <w:proofErr w:type="gramStart"/>
      <w:r w:rsidRPr="00A94875">
        <w:rPr>
          <w:lang w:val="en-GB"/>
        </w:rPr>
        <w:t>5</w:t>
      </w:r>
      <w:proofErr w:type="gramEnd"/>
      <w:r w:rsidRPr="00A94875">
        <w:rPr>
          <w:lang w:val="en-GB"/>
        </w:rPr>
        <w:t xml:space="preserve"> pillars, responding to WTSA Resolution 44. The </w:t>
      </w:r>
      <w:proofErr w:type="gramStart"/>
      <w:r w:rsidRPr="00A94875">
        <w:rPr>
          <w:lang w:val="en-GB"/>
        </w:rPr>
        <w:t>5</w:t>
      </w:r>
      <w:proofErr w:type="gramEnd"/>
      <w:r w:rsidRPr="00A94875">
        <w:rPr>
          <w:lang w:val="en-GB"/>
        </w:rPr>
        <w:t xml:space="preserve"> pillars of the BSG programme are: Engagement, know-how, community, awareness, and partnering.</w:t>
      </w:r>
      <w:r w:rsidR="007C213D" w:rsidRPr="00A94875">
        <w:rPr>
          <w:lang w:val="en-GB"/>
        </w:rPr>
        <w:t xml:space="preserve"> See Section 7. </w:t>
      </w:r>
    </w:p>
    <w:p w14:paraId="4A3B71CD" w14:textId="6EFBCBD7" w:rsidR="00981737" w:rsidRPr="00A94875" w:rsidRDefault="00981737" w:rsidP="009E5FFA">
      <w:pPr>
        <w:rPr>
          <w:lang w:val="en-GB"/>
        </w:rPr>
      </w:pPr>
      <w:r w:rsidRPr="00A94875">
        <w:rPr>
          <w:lang w:val="en-GB"/>
        </w:rPr>
        <w:t>The “</w:t>
      </w:r>
      <w:hyperlink r:id="rId32" w:history="1">
        <w:r w:rsidRPr="00A94875">
          <w:rPr>
            <w:rStyle w:val="Hyperlink"/>
            <w:rFonts w:eastAsiaTheme="majorEastAsia"/>
            <w:lang w:val="en-GB"/>
          </w:rPr>
          <w:t>ICT product conformity database</w:t>
        </w:r>
      </w:hyperlink>
      <w:r w:rsidRPr="00A94875">
        <w:rPr>
          <w:lang w:val="en-GB"/>
        </w:rPr>
        <w:t>” enables industry to publicize the conformance of ICT products and services to ITU-T Recommendations, assisting users in their efforts to select standards-compliant products. The database includes products for e-health, mobile phones compatible with vehicle hands-free terminals, Ethernet, IPTV, and mobile number portability. See Section 2.</w:t>
      </w:r>
    </w:p>
    <w:p w14:paraId="45B3BBFC" w14:textId="5FCA5443" w:rsidR="007C213D" w:rsidRPr="00A94875" w:rsidRDefault="007C213D" w:rsidP="009E5FFA">
      <w:pPr>
        <w:spacing w:after="120"/>
        <w:rPr>
          <w:rFonts w:asciiTheme="majorBidi" w:hAnsiTheme="majorBidi" w:cstheme="majorBidi"/>
          <w:lang w:val="en-GB"/>
        </w:rPr>
      </w:pPr>
      <w:r w:rsidRPr="00A94875">
        <w:rPr>
          <w:rFonts w:asciiTheme="majorBidi" w:hAnsiTheme="majorBidi" w:cstheme="majorBidi"/>
          <w:lang w:val="en-GB"/>
        </w:rPr>
        <w:t xml:space="preserve">Diversity of staff, gender equality and the empowerment of women continue to be among TSB's priorities. TSB continues its efforts to include a gender perspective in all of its activities and programmes under the umbrella of the ITU Gender Task Force. </w:t>
      </w:r>
      <w:proofErr w:type="gramStart"/>
      <w:r w:rsidRPr="00A94875">
        <w:rPr>
          <w:rFonts w:asciiTheme="majorBidi" w:hAnsiTheme="majorBidi" w:cstheme="majorBidi"/>
          <w:lang w:val="en-GB"/>
        </w:rPr>
        <w:t>48 per cent</w:t>
      </w:r>
      <w:proofErr w:type="gramEnd"/>
      <w:r w:rsidRPr="00A94875">
        <w:rPr>
          <w:rFonts w:asciiTheme="majorBidi" w:hAnsiTheme="majorBidi" w:cstheme="majorBidi"/>
          <w:lang w:val="en-GB"/>
        </w:rPr>
        <w:t xml:space="preserve"> of all TSB staff are women. </w:t>
      </w:r>
      <w:proofErr w:type="gramStart"/>
      <w:r w:rsidRPr="00A94875">
        <w:rPr>
          <w:rFonts w:asciiTheme="majorBidi" w:hAnsiTheme="majorBidi" w:cstheme="majorBidi"/>
          <w:lang w:val="en-GB"/>
        </w:rPr>
        <w:t>37 per cent of professional posts are held by women</w:t>
      </w:r>
      <w:proofErr w:type="gramEnd"/>
      <w:r w:rsidRPr="00A94875">
        <w:rPr>
          <w:rFonts w:asciiTheme="majorBidi" w:hAnsiTheme="majorBidi" w:cstheme="majorBidi"/>
          <w:lang w:val="en-GB"/>
        </w:rPr>
        <w:t>, and women hold 67 per cent of posts at P5 level. See Section 9.</w:t>
      </w:r>
    </w:p>
    <w:p w14:paraId="31583039" w14:textId="77777777" w:rsidR="00981737" w:rsidRPr="00A94875" w:rsidRDefault="00981737" w:rsidP="00981737">
      <w:pPr>
        <w:rPr>
          <w:lang w:val="en-GB"/>
        </w:rPr>
      </w:pPr>
      <w:r w:rsidRPr="00A94875">
        <w:rPr>
          <w:lang w:val="en-GB"/>
        </w:rPr>
        <w:t xml:space="preserve">ITU-T continues to provide leadership in promoting collaboration among bodies relevant to ICT standardization. TSB continues to </w:t>
      </w:r>
      <w:r w:rsidRPr="00A94875">
        <w:rPr>
          <w:szCs w:val="24"/>
          <w:lang w:val="en-GB"/>
        </w:rPr>
        <w:t>facilitate an ITU-T presence in activities arranged by other bodies, with a view to promoting other bodies’ engagement with ITU-T workings groups, workshops and related ITU-T collaboration initiatives. See Section 6.</w:t>
      </w:r>
    </w:p>
    <w:p w14:paraId="039CCC59" w14:textId="48A08E34" w:rsidR="00981737" w:rsidRPr="00A94875" w:rsidRDefault="00981737" w:rsidP="009E5FFA">
      <w:pPr>
        <w:rPr>
          <w:rFonts w:asciiTheme="majorBidi" w:hAnsiTheme="majorBidi" w:cstheme="majorBidi"/>
          <w:lang w:val="en-GB"/>
        </w:rPr>
      </w:pPr>
      <w:r w:rsidRPr="00A94875">
        <w:rPr>
          <w:lang w:val="en-GB"/>
        </w:rPr>
        <w:t xml:space="preserve">Version 2 of </w:t>
      </w:r>
      <w:hyperlink r:id="rId33" w:history="1">
        <w:r w:rsidRPr="00A94875">
          <w:rPr>
            <w:rStyle w:val="Hyperlink"/>
            <w:rFonts w:eastAsiaTheme="majorEastAsia"/>
            <w:lang w:val="en-GB"/>
          </w:rPr>
          <w:t>MyWorkspace</w:t>
        </w:r>
      </w:hyperlink>
      <w:r w:rsidRPr="00A94875">
        <w:rPr>
          <w:lang w:val="en-GB"/>
        </w:rPr>
        <w:t xml:space="preserve"> </w:t>
      </w:r>
      <w:proofErr w:type="gramStart"/>
      <w:r w:rsidRPr="00A94875">
        <w:rPr>
          <w:lang w:val="en-GB"/>
        </w:rPr>
        <w:t>has been released</w:t>
      </w:r>
      <w:proofErr w:type="gramEnd"/>
      <w:r w:rsidRPr="00A94875">
        <w:rPr>
          <w:lang w:val="en-GB"/>
        </w:rPr>
        <w:t xml:space="preserve">, with new features based on the feedback from its initial users. </w:t>
      </w:r>
      <w:proofErr w:type="spellStart"/>
      <w:r w:rsidRPr="00A94875">
        <w:rPr>
          <w:lang w:val="en-GB"/>
        </w:rPr>
        <w:t>MyWorkspace</w:t>
      </w:r>
      <w:proofErr w:type="spellEnd"/>
      <w:r w:rsidRPr="00A94875">
        <w:rPr>
          <w:lang w:val="en-GB"/>
        </w:rPr>
        <w:t xml:space="preserve"> is a new personalized webpage for TIES users that provides easy access to the information and services most valued by ITU-T delegates. T</w:t>
      </w:r>
      <w:r w:rsidRPr="00A94875">
        <w:rPr>
          <w:rFonts w:asciiTheme="majorBidi" w:hAnsiTheme="majorBidi" w:cstheme="majorBidi"/>
          <w:lang w:val="en-GB"/>
        </w:rPr>
        <w:t xml:space="preserve">he </w:t>
      </w:r>
      <w:hyperlink r:id="rId34" w:history="1">
        <w:r w:rsidRPr="00A94875">
          <w:rPr>
            <w:rStyle w:val="Hyperlink"/>
            <w:rFonts w:asciiTheme="majorBidi" w:hAnsiTheme="majorBidi" w:cstheme="majorBidi"/>
            <w:lang w:val="en-GB"/>
          </w:rPr>
          <w:t>search engine</w:t>
        </w:r>
      </w:hyperlink>
      <w:r w:rsidRPr="00A94875">
        <w:rPr>
          <w:rFonts w:asciiTheme="majorBidi" w:hAnsiTheme="majorBidi" w:cstheme="majorBidi"/>
          <w:lang w:val="en-GB"/>
        </w:rPr>
        <w:t xml:space="preserve"> returns results from the full collections of ITU documents, publications and web pages. ITU-T Study Groups’ SharePoint collaboration sites continue to </w:t>
      </w:r>
      <w:proofErr w:type="gramStart"/>
      <w:r w:rsidRPr="00A94875">
        <w:rPr>
          <w:rFonts w:asciiTheme="majorBidi" w:hAnsiTheme="majorBidi" w:cstheme="majorBidi"/>
          <w:lang w:val="en-GB"/>
        </w:rPr>
        <w:t>be enhanced</w:t>
      </w:r>
      <w:proofErr w:type="gramEnd"/>
      <w:r w:rsidRPr="00A94875">
        <w:rPr>
          <w:rFonts w:asciiTheme="majorBidi" w:hAnsiTheme="majorBidi" w:cstheme="majorBidi"/>
          <w:lang w:val="en-GB"/>
        </w:rPr>
        <w:t xml:space="preserve">. A new service announcements news channel, </w:t>
      </w:r>
      <w:hyperlink r:id="rId35" w:history="1">
        <w:r w:rsidRPr="00A94875">
          <w:rPr>
            <w:rStyle w:val="Hyperlink"/>
            <w:rFonts w:asciiTheme="majorBidi" w:hAnsiTheme="majorBidi" w:cstheme="majorBidi"/>
            <w:lang w:val="en-GB"/>
          </w:rPr>
          <w:t>http://tsbtech.itu.int/</w:t>
        </w:r>
      </w:hyperlink>
      <w:r w:rsidRPr="00A94875">
        <w:rPr>
          <w:rFonts w:asciiTheme="majorBidi" w:hAnsiTheme="majorBidi" w:cstheme="majorBidi"/>
          <w:lang w:val="en-GB"/>
        </w:rPr>
        <w:t>, provides regular updates on new services and tool enhancements available to ITU-T delegates. See Section 13.</w:t>
      </w:r>
    </w:p>
    <w:p w14:paraId="518BC907" w14:textId="5617CC4B" w:rsidR="006944F8" w:rsidRPr="00A94875" w:rsidRDefault="006944F8" w:rsidP="009E5FFA">
      <w:pPr>
        <w:rPr>
          <w:rFonts w:asciiTheme="majorBidi" w:hAnsiTheme="majorBidi" w:cstheme="majorBidi"/>
          <w:lang w:val="en-GB"/>
        </w:rPr>
      </w:pPr>
      <w:r w:rsidRPr="00A94875">
        <w:rPr>
          <w:rFonts w:asciiTheme="majorBidi" w:hAnsiTheme="majorBidi" w:cstheme="majorBidi"/>
          <w:lang w:val="en-GB"/>
        </w:rPr>
        <w:t>Over 9</w:t>
      </w:r>
      <w:r w:rsidR="001D7B96" w:rsidRPr="00A94875">
        <w:rPr>
          <w:rFonts w:asciiTheme="majorBidi" w:hAnsiTheme="majorBidi" w:cstheme="majorBidi"/>
          <w:lang w:val="en-GB"/>
        </w:rPr>
        <w:t>,5</w:t>
      </w:r>
      <w:r w:rsidRPr="00A94875">
        <w:rPr>
          <w:rFonts w:asciiTheme="majorBidi" w:hAnsiTheme="majorBidi" w:cstheme="majorBidi"/>
          <w:lang w:val="en-GB"/>
        </w:rPr>
        <w:t xml:space="preserve">00 pages of ITU-T Recommendations and Supplements </w:t>
      </w:r>
      <w:proofErr w:type="gramStart"/>
      <w:r w:rsidRPr="00A94875">
        <w:rPr>
          <w:rFonts w:asciiTheme="majorBidi" w:hAnsiTheme="majorBidi" w:cstheme="majorBidi"/>
          <w:lang w:val="en-GB"/>
        </w:rPr>
        <w:t>were published</w:t>
      </w:r>
      <w:proofErr w:type="gramEnd"/>
      <w:r w:rsidRPr="00A94875">
        <w:rPr>
          <w:rFonts w:asciiTheme="majorBidi" w:hAnsiTheme="majorBidi" w:cstheme="majorBidi"/>
          <w:lang w:val="en-GB"/>
        </w:rPr>
        <w:t xml:space="preserve"> between February and September 2018 for free download in </w:t>
      </w:r>
      <w:proofErr w:type="spellStart"/>
      <w:r w:rsidRPr="00A94875">
        <w:rPr>
          <w:rFonts w:asciiTheme="majorBidi" w:hAnsiTheme="majorBidi" w:cstheme="majorBidi"/>
          <w:lang w:val="en-GB"/>
        </w:rPr>
        <w:t>reflowable</w:t>
      </w:r>
      <w:proofErr w:type="spellEnd"/>
      <w:r w:rsidRPr="00A94875">
        <w:rPr>
          <w:rFonts w:asciiTheme="majorBidi" w:hAnsiTheme="majorBidi" w:cstheme="majorBidi"/>
          <w:lang w:val="en-GB"/>
        </w:rPr>
        <w:t xml:space="preserve"> </w:t>
      </w:r>
      <w:proofErr w:type="spellStart"/>
      <w:r w:rsidRPr="00A94875">
        <w:rPr>
          <w:rFonts w:asciiTheme="majorBidi" w:hAnsiTheme="majorBidi" w:cstheme="majorBidi"/>
          <w:lang w:val="en-GB"/>
        </w:rPr>
        <w:t>ePub</w:t>
      </w:r>
      <w:proofErr w:type="spellEnd"/>
      <w:r w:rsidRPr="00A94875">
        <w:rPr>
          <w:rFonts w:asciiTheme="majorBidi" w:hAnsiTheme="majorBidi" w:cstheme="majorBidi"/>
          <w:lang w:val="en-GB"/>
        </w:rPr>
        <w:t xml:space="preserve"> format in addition to the usual PDF format. The ITU product "ITU-T Recommendations and selected Handbooks" continues to </w:t>
      </w:r>
      <w:proofErr w:type="gramStart"/>
      <w:r w:rsidRPr="00A94875">
        <w:rPr>
          <w:rFonts w:asciiTheme="majorBidi" w:hAnsiTheme="majorBidi" w:cstheme="majorBidi"/>
          <w:lang w:val="en-GB"/>
        </w:rPr>
        <w:t>be distributed</w:t>
      </w:r>
      <w:proofErr w:type="gramEnd"/>
      <w:r w:rsidRPr="00A94875">
        <w:rPr>
          <w:rFonts w:asciiTheme="majorBidi" w:hAnsiTheme="majorBidi" w:cstheme="majorBidi"/>
          <w:lang w:val="en-GB"/>
        </w:rPr>
        <w:t xml:space="preserve"> on a quarterly basis as a USB key.</w:t>
      </w:r>
      <w:r w:rsidR="007C213D" w:rsidRPr="00A94875">
        <w:rPr>
          <w:rFonts w:asciiTheme="majorBidi" w:hAnsiTheme="majorBidi" w:cstheme="majorBidi"/>
          <w:lang w:val="en-GB"/>
        </w:rPr>
        <w:t xml:space="preserve"> See Section 11.</w:t>
      </w:r>
    </w:p>
    <w:p w14:paraId="30FC58F4" w14:textId="08877E89" w:rsidR="006E5D42" w:rsidRPr="00A94875" w:rsidRDefault="006E5D42" w:rsidP="009E5FFA">
      <w:pPr>
        <w:rPr>
          <w:rFonts w:asciiTheme="majorBidi" w:hAnsiTheme="majorBidi" w:cstheme="majorBidi"/>
          <w:lang w:val="en-GB"/>
        </w:rPr>
      </w:pPr>
      <w:r w:rsidRPr="00A94875">
        <w:rPr>
          <w:rFonts w:asciiTheme="majorBidi" w:hAnsiTheme="majorBidi" w:cstheme="majorBidi"/>
          <w:lang w:val="en-GB"/>
        </w:rPr>
        <w:t>TSB continues to translate Recommendations approved under the traditional approval process (TAP), as well as all TSAG reports in all the languages of the Union. In 2018, TSB translated 10 AAP Recommendations in the reporting period, in accordance with requests previously received from the ITU-T Study Groups and linguistic groups, and within the allocated translation budget.</w:t>
      </w:r>
      <w:r w:rsidR="007C213D" w:rsidRPr="00A94875">
        <w:rPr>
          <w:rFonts w:asciiTheme="majorBidi" w:hAnsiTheme="majorBidi" w:cstheme="majorBidi"/>
          <w:lang w:val="en-GB"/>
        </w:rPr>
        <w:t xml:space="preserve"> See Section 13.</w:t>
      </w:r>
    </w:p>
    <w:p w14:paraId="345C3661" w14:textId="1AB16571" w:rsidR="006944F8" w:rsidRPr="00A94875" w:rsidRDefault="0037553F" w:rsidP="006944F8">
      <w:pPr>
        <w:rPr>
          <w:highlight w:val="yellow"/>
          <w:lang w:val="en-GB"/>
        </w:rPr>
      </w:pPr>
      <w:r w:rsidRPr="00A94875">
        <w:rPr>
          <w:lang w:val="en-GB"/>
        </w:rPr>
        <w:t>ITU workshops and symposia discuss emerging trends in standardization, increase the visibility of ITU-T work, enhance ITU-T collaboration with other bodies, attract and recruit new ITU-T members, and encourage peer-learning relevant to the development and implementation</w:t>
      </w:r>
      <w:r w:rsidR="007C213D" w:rsidRPr="00A94875">
        <w:rPr>
          <w:lang w:val="en-GB"/>
        </w:rPr>
        <w:t xml:space="preserve"> of international standards. For</w:t>
      </w:r>
      <w:r w:rsidRPr="00A94875">
        <w:rPr>
          <w:lang w:val="en-GB"/>
        </w:rPr>
        <w:t xml:space="preserve"> workshops and symposia held in the reporting period, as well as new and evolving features of these events, </w:t>
      </w:r>
      <w:r w:rsidR="007C213D" w:rsidRPr="00A94875">
        <w:rPr>
          <w:lang w:val="en-GB"/>
        </w:rPr>
        <w:t xml:space="preserve">see </w:t>
      </w:r>
      <w:r w:rsidRPr="00A94875">
        <w:rPr>
          <w:lang w:val="en-GB"/>
        </w:rPr>
        <w:t>S</w:t>
      </w:r>
      <w:r w:rsidR="007C213D" w:rsidRPr="00A94875">
        <w:rPr>
          <w:lang w:val="en-GB"/>
        </w:rPr>
        <w:t>ection 13</w:t>
      </w:r>
      <w:r w:rsidRPr="00A94875">
        <w:rPr>
          <w:lang w:val="en-GB"/>
        </w:rPr>
        <w:t xml:space="preserve">. </w:t>
      </w:r>
      <w:r w:rsidR="006944F8" w:rsidRPr="00A94875">
        <w:rPr>
          <w:rFonts w:asciiTheme="majorBidi" w:hAnsiTheme="majorBidi" w:cstheme="majorBidi"/>
          <w:highlight w:val="yellow"/>
          <w:lang w:val="en-GB"/>
        </w:rPr>
        <w:br w:type="page"/>
      </w:r>
    </w:p>
    <w:p w14:paraId="509EEDAC" w14:textId="77777777" w:rsidR="006944F8" w:rsidRPr="00A94875" w:rsidRDefault="006944F8" w:rsidP="006944F8">
      <w:pPr>
        <w:rPr>
          <w:highlight w:val="yellow"/>
          <w:lang w:val="en-GB"/>
        </w:rPr>
      </w:pPr>
    </w:p>
    <w:p w14:paraId="7C10AF6E" w14:textId="77777777" w:rsidR="006944F8" w:rsidRPr="00A94875" w:rsidRDefault="006944F8" w:rsidP="006944F8">
      <w:pPr>
        <w:pStyle w:val="Heading1"/>
        <w:ind w:left="0" w:firstLine="0"/>
        <w:rPr>
          <w:rFonts w:asciiTheme="majorBidi" w:hAnsiTheme="majorBidi" w:cstheme="majorBidi"/>
          <w:highlight w:val="yellow"/>
          <w:lang w:val="en-GB"/>
        </w:rPr>
      </w:pPr>
      <w:bookmarkStart w:id="6" w:name="_Toc480527765"/>
      <w:bookmarkStart w:id="7" w:name="_Toc530571845"/>
      <w:bookmarkStart w:id="8" w:name="_Toc462664184"/>
      <w:bookmarkStart w:id="9" w:name="_Toc475550127"/>
      <w:bookmarkStart w:id="10" w:name="_Toc416161323"/>
      <w:bookmarkStart w:id="11" w:name="_Toc438553934"/>
      <w:bookmarkStart w:id="12" w:name="_Toc453929055"/>
      <w:bookmarkStart w:id="13" w:name="_Toc453932927"/>
      <w:bookmarkStart w:id="14" w:name="_Toc454295831"/>
      <w:bookmarkStart w:id="15" w:name="_Toc418526228"/>
      <w:bookmarkStart w:id="16" w:name="_Toc462664185"/>
      <w:r w:rsidRPr="00A94875">
        <w:rPr>
          <w:rFonts w:asciiTheme="majorBidi" w:hAnsiTheme="majorBidi" w:cstheme="majorBidi"/>
          <w:lang w:val="en-GB"/>
        </w:rPr>
        <w:t>Annex – Full Report of activities in ITU-T (from February 2018 to October 2018)</w:t>
      </w:r>
      <w:bookmarkEnd w:id="6"/>
      <w:bookmarkEnd w:id="7"/>
    </w:p>
    <w:p w14:paraId="4E3A3098" w14:textId="77777777" w:rsidR="00653C5B" w:rsidRPr="00A94875" w:rsidRDefault="006944F8" w:rsidP="009E5FFA">
      <w:pPr>
        <w:pStyle w:val="Heading1"/>
        <w:rPr>
          <w:rFonts w:asciiTheme="majorBidi" w:hAnsiTheme="majorBidi" w:cstheme="majorBidi"/>
          <w:lang w:val="en-GB"/>
        </w:rPr>
      </w:pPr>
      <w:bookmarkStart w:id="17" w:name="_Toc530571846"/>
      <w:bookmarkStart w:id="18" w:name="_Toc480527766"/>
      <w:r w:rsidRPr="00A94875">
        <w:rPr>
          <w:rFonts w:asciiTheme="majorBidi" w:hAnsiTheme="majorBidi" w:cstheme="majorBidi"/>
          <w:lang w:val="en-GB"/>
        </w:rPr>
        <w:t>1</w:t>
      </w:r>
      <w:r w:rsidRPr="00A94875">
        <w:rPr>
          <w:rFonts w:asciiTheme="majorBidi" w:hAnsiTheme="majorBidi" w:cstheme="majorBidi"/>
          <w:lang w:val="en-GB"/>
        </w:rPr>
        <w:tab/>
      </w:r>
      <w:r w:rsidR="00653C5B" w:rsidRPr="00A94875">
        <w:rPr>
          <w:rFonts w:asciiTheme="majorBidi" w:hAnsiTheme="majorBidi" w:cstheme="majorBidi"/>
          <w:lang w:val="en-GB"/>
        </w:rPr>
        <w:t>Progress achieved in ITU-T standardization</w:t>
      </w:r>
      <w:bookmarkEnd w:id="17"/>
      <w:r w:rsidR="00653C5B" w:rsidRPr="00A94875" w:rsidDel="00A24FAD">
        <w:rPr>
          <w:rFonts w:asciiTheme="majorBidi" w:hAnsiTheme="majorBidi" w:cstheme="majorBidi"/>
          <w:lang w:val="en-GB"/>
        </w:rPr>
        <w:t xml:space="preserve"> </w:t>
      </w:r>
    </w:p>
    <w:p w14:paraId="73A14BA0" w14:textId="2AB6D4E6" w:rsidR="00653C5B" w:rsidRPr="00A94875" w:rsidRDefault="00653C5B" w:rsidP="009E5FFA">
      <w:pPr>
        <w:rPr>
          <w:rFonts w:asciiTheme="majorBidi" w:hAnsiTheme="majorBidi" w:cstheme="majorBidi"/>
          <w:szCs w:val="24"/>
          <w:lang w:val="en-GB"/>
        </w:rPr>
      </w:pPr>
      <w:r w:rsidRPr="00A94875">
        <w:rPr>
          <w:rFonts w:asciiTheme="majorBidi" w:hAnsiTheme="majorBidi" w:cstheme="majorBidi"/>
          <w:szCs w:val="24"/>
          <w:lang w:val="en-GB"/>
        </w:rPr>
        <w:t xml:space="preserve">ITU approved more than 230 new and revised ITU-T Recommendations from February to October 2018. </w:t>
      </w:r>
      <w:r w:rsidR="007C213D" w:rsidRPr="00A94875">
        <w:rPr>
          <w:rFonts w:asciiTheme="majorBidi" w:hAnsiTheme="majorBidi" w:cstheme="majorBidi"/>
          <w:szCs w:val="24"/>
          <w:lang w:val="en-GB"/>
        </w:rPr>
        <w:t>Appendix I lists these ITU-T Recommendations and related texts and summarizes their contents.</w:t>
      </w:r>
    </w:p>
    <w:p w14:paraId="0DDF2B05" w14:textId="54F3B0AE"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 xml:space="preserve">Executive summaries ITU-T Study Group meetings </w:t>
      </w:r>
      <w:proofErr w:type="gramStart"/>
      <w:r w:rsidRPr="00A94875">
        <w:rPr>
          <w:rFonts w:asciiTheme="majorBidi" w:hAnsiTheme="majorBidi" w:cstheme="majorBidi"/>
          <w:szCs w:val="24"/>
          <w:lang w:val="en-GB"/>
        </w:rPr>
        <w:t>can be found</w:t>
      </w:r>
      <w:proofErr w:type="gramEnd"/>
      <w:r w:rsidRPr="00A94875">
        <w:rPr>
          <w:rFonts w:asciiTheme="majorBidi" w:hAnsiTheme="majorBidi" w:cstheme="majorBidi"/>
          <w:szCs w:val="24"/>
          <w:lang w:val="en-GB"/>
        </w:rPr>
        <w:t xml:space="preserve"> on the homepages of </w:t>
      </w:r>
      <w:hyperlink r:id="rId36" w:history="1">
        <w:r w:rsidRPr="00A94875">
          <w:rPr>
            <w:rStyle w:val="Hyperlink"/>
            <w:rFonts w:asciiTheme="majorBidi" w:eastAsiaTheme="majorEastAsia" w:hAnsiTheme="majorBidi" w:cstheme="majorBidi"/>
            <w:szCs w:val="24"/>
            <w:lang w:val="en-GB"/>
          </w:rPr>
          <w:t>ITU-T Study Groups</w:t>
        </w:r>
      </w:hyperlink>
      <w:r w:rsidRPr="00A94875">
        <w:rPr>
          <w:rFonts w:asciiTheme="majorBidi" w:hAnsiTheme="majorBidi" w:cstheme="majorBidi"/>
          <w:szCs w:val="24"/>
          <w:lang w:val="en-GB"/>
        </w:rPr>
        <w:t>. Summaries of the most recent meetings of ITU-T</w:t>
      </w:r>
      <w:r w:rsidR="001A5609">
        <w:rPr>
          <w:rFonts w:asciiTheme="majorBidi" w:hAnsiTheme="majorBidi" w:cstheme="majorBidi"/>
          <w:szCs w:val="24"/>
          <w:lang w:val="en-GB"/>
        </w:rPr>
        <w:t xml:space="preserve"> Study Groups </w:t>
      </w:r>
      <w:proofErr w:type="gramStart"/>
      <w:r w:rsidR="001A5609">
        <w:rPr>
          <w:rFonts w:asciiTheme="majorBidi" w:hAnsiTheme="majorBidi" w:cstheme="majorBidi"/>
          <w:szCs w:val="24"/>
          <w:lang w:val="en-GB"/>
        </w:rPr>
        <w:t>are listed</w:t>
      </w:r>
      <w:proofErr w:type="gramEnd"/>
      <w:r w:rsidR="001A5609">
        <w:rPr>
          <w:rFonts w:asciiTheme="majorBidi" w:hAnsiTheme="majorBidi" w:cstheme="majorBidi"/>
          <w:szCs w:val="24"/>
          <w:lang w:val="en-GB"/>
        </w:rPr>
        <w:t xml:space="preserve"> below.</w:t>
      </w:r>
    </w:p>
    <w:p w14:paraId="458215E4" w14:textId="77777777" w:rsidR="00653C5B" w:rsidRPr="00A94875" w:rsidRDefault="00653C5B" w:rsidP="009261B2">
      <w:pPr>
        <w:pStyle w:val="ListParagraph"/>
        <w:numPr>
          <w:ilvl w:val="0"/>
          <w:numId w:val="49"/>
        </w:numPr>
        <w:spacing w:after="160" w:line="259" w:lineRule="auto"/>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ITU-T Study Group 2 (Operational aspects): </w:t>
      </w:r>
      <w:hyperlink r:id="rId37" w:history="1">
        <w:r w:rsidRPr="00A94875">
          <w:rPr>
            <w:rStyle w:val="Hyperlink"/>
            <w:rFonts w:asciiTheme="majorBidi" w:eastAsiaTheme="majorEastAsia" w:hAnsiTheme="majorBidi" w:cstheme="majorBidi"/>
            <w:sz w:val="24"/>
            <w:szCs w:val="24"/>
            <w:lang w:val="en-GB"/>
          </w:rPr>
          <w:t>Meeting report, July 2018</w:t>
        </w:r>
      </w:hyperlink>
    </w:p>
    <w:p w14:paraId="2A8E92B6" w14:textId="77777777" w:rsidR="00653C5B" w:rsidRPr="00A94875" w:rsidRDefault="00653C5B" w:rsidP="009261B2">
      <w:pPr>
        <w:pStyle w:val="ListParagraph"/>
        <w:numPr>
          <w:ilvl w:val="0"/>
          <w:numId w:val="49"/>
        </w:numPr>
        <w:spacing w:after="160" w:line="259" w:lineRule="auto"/>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ITU-T Study Group 3 (Economic and policy issues): </w:t>
      </w:r>
      <w:hyperlink r:id="rId38" w:history="1">
        <w:r w:rsidRPr="00A94875">
          <w:rPr>
            <w:rStyle w:val="Hyperlink"/>
            <w:rFonts w:asciiTheme="majorBidi" w:eastAsiaTheme="majorEastAsia" w:hAnsiTheme="majorBidi" w:cstheme="majorBidi"/>
            <w:sz w:val="24"/>
            <w:szCs w:val="24"/>
            <w:lang w:val="en-GB"/>
          </w:rPr>
          <w:t>Executive summary, April 2018</w:t>
        </w:r>
      </w:hyperlink>
      <w:r w:rsidRPr="00A94875">
        <w:rPr>
          <w:rFonts w:asciiTheme="majorBidi" w:hAnsiTheme="majorBidi" w:cstheme="majorBidi"/>
          <w:sz w:val="24"/>
          <w:szCs w:val="24"/>
          <w:lang w:val="en-GB"/>
        </w:rPr>
        <w:t xml:space="preserve"> </w:t>
      </w:r>
    </w:p>
    <w:p w14:paraId="3A9F2383" w14:textId="77777777" w:rsidR="00653C5B" w:rsidRPr="00A94875" w:rsidRDefault="00653C5B" w:rsidP="009261B2">
      <w:pPr>
        <w:pStyle w:val="ListParagraph"/>
        <w:numPr>
          <w:ilvl w:val="0"/>
          <w:numId w:val="49"/>
        </w:numPr>
        <w:spacing w:after="160" w:line="259" w:lineRule="auto"/>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ITU-T Study Group 5 (Environment and circular economy): </w:t>
      </w:r>
      <w:hyperlink r:id="rId39" w:history="1">
        <w:r w:rsidRPr="00A94875">
          <w:rPr>
            <w:rStyle w:val="Hyperlink"/>
            <w:rFonts w:asciiTheme="majorBidi" w:eastAsiaTheme="majorEastAsia" w:hAnsiTheme="majorBidi" w:cstheme="majorBidi"/>
            <w:sz w:val="24"/>
            <w:szCs w:val="24"/>
            <w:lang w:val="en-GB"/>
          </w:rPr>
          <w:t>Executive summary, September 2018</w:t>
        </w:r>
      </w:hyperlink>
    </w:p>
    <w:p w14:paraId="062238CD" w14:textId="77777777" w:rsidR="00653C5B" w:rsidRPr="00A94875" w:rsidRDefault="00653C5B" w:rsidP="009261B2">
      <w:pPr>
        <w:pStyle w:val="ListParagraph"/>
        <w:numPr>
          <w:ilvl w:val="0"/>
          <w:numId w:val="49"/>
        </w:numPr>
        <w:spacing w:after="160" w:line="259" w:lineRule="auto"/>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ITU-T Study Group 9 (Broadband cable and TV): </w:t>
      </w:r>
      <w:hyperlink r:id="rId40" w:history="1">
        <w:r w:rsidRPr="00A94875">
          <w:rPr>
            <w:rStyle w:val="Hyperlink"/>
            <w:rFonts w:asciiTheme="majorBidi" w:eastAsiaTheme="majorEastAsia" w:hAnsiTheme="majorBidi" w:cstheme="majorBidi"/>
            <w:sz w:val="24"/>
            <w:szCs w:val="24"/>
            <w:lang w:val="en-GB"/>
          </w:rPr>
          <w:t>Executive summary, January 2018</w:t>
        </w:r>
      </w:hyperlink>
    </w:p>
    <w:p w14:paraId="69E9CCA3" w14:textId="77777777" w:rsidR="00653C5B" w:rsidRPr="00A94875" w:rsidRDefault="00653C5B" w:rsidP="009261B2">
      <w:pPr>
        <w:pStyle w:val="ListParagraph"/>
        <w:numPr>
          <w:ilvl w:val="0"/>
          <w:numId w:val="49"/>
        </w:numPr>
        <w:spacing w:after="160" w:line="259" w:lineRule="auto"/>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ITU-T Study Group 11 (Protocols and test specifications): </w:t>
      </w:r>
      <w:hyperlink r:id="rId41" w:history="1">
        <w:r w:rsidRPr="00A94875">
          <w:rPr>
            <w:rStyle w:val="Hyperlink"/>
            <w:rFonts w:asciiTheme="majorBidi" w:eastAsiaTheme="majorEastAsia" w:hAnsiTheme="majorBidi" w:cstheme="majorBidi"/>
            <w:sz w:val="24"/>
            <w:szCs w:val="24"/>
            <w:lang w:val="en-GB"/>
          </w:rPr>
          <w:t>Executive summary, July 2018</w:t>
        </w:r>
      </w:hyperlink>
      <w:r w:rsidRPr="00A94875">
        <w:rPr>
          <w:rFonts w:asciiTheme="majorBidi" w:hAnsiTheme="majorBidi" w:cstheme="majorBidi"/>
          <w:sz w:val="24"/>
          <w:szCs w:val="24"/>
          <w:lang w:val="en-GB"/>
        </w:rPr>
        <w:t xml:space="preserve"> </w:t>
      </w:r>
    </w:p>
    <w:p w14:paraId="495C83F2" w14:textId="77777777" w:rsidR="00653C5B" w:rsidRPr="00A94875" w:rsidRDefault="00653C5B" w:rsidP="009261B2">
      <w:pPr>
        <w:pStyle w:val="ListParagraph"/>
        <w:numPr>
          <w:ilvl w:val="0"/>
          <w:numId w:val="49"/>
        </w:numPr>
        <w:spacing w:after="160" w:line="259" w:lineRule="auto"/>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ITU-T Study Group 12 (Performance, </w:t>
      </w:r>
      <w:proofErr w:type="spellStart"/>
      <w:r w:rsidRPr="00A94875">
        <w:rPr>
          <w:rFonts w:asciiTheme="majorBidi" w:hAnsiTheme="majorBidi" w:cstheme="majorBidi"/>
          <w:sz w:val="24"/>
          <w:szCs w:val="24"/>
          <w:lang w:val="en-GB"/>
        </w:rPr>
        <w:t>QoS</w:t>
      </w:r>
      <w:proofErr w:type="spellEnd"/>
      <w:r w:rsidRPr="00A94875">
        <w:rPr>
          <w:rFonts w:asciiTheme="majorBidi" w:hAnsiTheme="majorBidi" w:cstheme="majorBidi"/>
          <w:sz w:val="24"/>
          <w:szCs w:val="24"/>
          <w:lang w:val="en-GB"/>
        </w:rPr>
        <w:t xml:space="preserve"> and </w:t>
      </w:r>
      <w:proofErr w:type="spellStart"/>
      <w:r w:rsidRPr="00A94875">
        <w:rPr>
          <w:rFonts w:asciiTheme="majorBidi" w:hAnsiTheme="majorBidi" w:cstheme="majorBidi"/>
          <w:sz w:val="24"/>
          <w:szCs w:val="24"/>
          <w:lang w:val="en-GB"/>
        </w:rPr>
        <w:t>QoE</w:t>
      </w:r>
      <w:proofErr w:type="spellEnd"/>
      <w:r w:rsidRPr="00A94875">
        <w:rPr>
          <w:rFonts w:asciiTheme="majorBidi" w:hAnsiTheme="majorBidi" w:cstheme="majorBidi"/>
          <w:sz w:val="24"/>
          <w:szCs w:val="24"/>
          <w:lang w:val="en-GB"/>
        </w:rPr>
        <w:t xml:space="preserve">): </w:t>
      </w:r>
      <w:hyperlink r:id="rId42" w:history="1">
        <w:r w:rsidRPr="00A94875">
          <w:rPr>
            <w:rStyle w:val="Hyperlink"/>
            <w:rFonts w:asciiTheme="majorBidi" w:eastAsiaTheme="majorEastAsia" w:hAnsiTheme="majorBidi" w:cstheme="majorBidi"/>
            <w:sz w:val="24"/>
            <w:szCs w:val="24"/>
            <w:lang w:val="en-GB"/>
          </w:rPr>
          <w:t>Executive summary, May 2018</w:t>
        </w:r>
      </w:hyperlink>
    </w:p>
    <w:p w14:paraId="7D3EC8FB" w14:textId="77777777" w:rsidR="00653C5B" w:rsidRPr="00A94875" w:rsidRDefault="00653C5B" w:rsidP="009261B2">
      <w:pPr>
        <w:pStyle w:val="ListParagraph"/>
        <w:numPr>
          <w:ilvl w:val="0"/>
          <w:numId w:val="49"/>
        </w:numPr>
        <w:spacing w:after="160" w:line="259" w:lineRule="auto"/>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ITU-T Study Group 13 (Future networks and cloud): </w:t>
      </w:r>
      <w:hyperlink r:id="rId43" w:history="1">
        <w:r w:rsidRPr="00A94875">
          <w:rPr>
            <w:rStyle w:val="Hyperlink"/>
            <w:rFonts w:asciiTheme="majorBidi" w:eastAsiaTheme="majorEastAsia" w:hAnsiTheme="majorBidi" w:cstheme="majorBidi"/>
            <w:sz w:val="24"/>
            <w:szCs w:val="24"/>
            <w:lang w:val="en-GB"/>
          </w:rPr>
          <w:t>Executive summary, July 2018</w:t>
        </w:r>
      </w:hyperlink>
    </w:p>
    <w:p w14:paraId="6CB13EDD" w14:textId="77777777" w:rsidR="00653C5B" w:rsidRPr="00A94875" w:rsidRDefault="00653C5B" w:rsidP="009261B2">
      <w:pPr>
        <w:pStyle w:val="ListParagraph"/>
        <w:numPr>
          <w:ilvl w:val="0"/>
          <w:numId w:val="49"/>
        </w:numPr>
        <w:spacing w:after="160" w:line="259" w:lineRule="auto"/>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ITU-T Study Group 15 (Transport, access and home): </w:t>
      </w:r>
      <w:hyperlink r:id="rId44" w:history="1">
        <w:r w:rsidRPr="00A94875">
          <w:rPr>
            <w:rStyle w:val="Hyperlink"/>
            <w:rFonts w:asciiTheme="majorBidi" w:eastAsiaTheme="majorEastAsia" w:hAnsiTheme="majorBidi" w:cstheme="majorBidi"/>
            <w:sz w:val="24"/>
            <w:szCs w:val="24"/>
            <w:lang w:val="en-GB"/>
          </w:rPr>
          <w:t>Executive summary, October 2018</w:t>
        </w:r>
      </w:hyperlink>
    </w:p>
    <w:p w14:paraId="66C5A3E3" w14:textId="77777777" w:rsidR="00653C5B" w:rsidRPr="00A94875" w:rsidRDefault="00653C5B" w:rsidP="009261B2">
      <w:pPr>
        <w:pStyle w:val="ListParagraph"/>
        <w:numPr>
          <w:ilvl w:val="0"/>
          <w:numId w:val="49"/>
        </w:numPr>
        <w:spacing w:after="160" w:line="259" w:lineRule="auto"/>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ITU-T Study Group 16 (Multimedia): </w:t>
      </w:r>
      <w:hyperlink r:id="rId45" w:history="1">
        <w:r w:rsidRPr="00A94875">
          <w:rPr>
            <w:rStyle w:val="Hyperlink"/>
            <w:rFonts w:asciiTheme="majorBidi" w:eastAsiaTheme="majorEastAsia" w:hAnsiTheme="majorBidi" w:cstheme="majorBidi"/>
            <w:sz w:val="24"/>
            <w:szCs w:val="24"/>
            <w:lang w:val="en-GB"/>
          </w:rPr>
          <w:t>Executive summary, July 2018</w:t>
        </w:r>
      </w:hyperlink>
    </w:p>
    <w:p w14:paraId="472D2231" w14:textId="77777777" w:rsidR="00653C5B" w:rsidRPr="00A94875" w:rsidRDefault="00653C5B" w:rsidP="009261B2">
      <w:pPr>
        <w:pStyle w:val="ListParagraph"/>
        <w:numPr>
          <w:ilvl w:val="0"/>
          <w:numId w:val="49"/>
        </w:numPr>
        <w:spacing w:after="160" w:line="259" w:lineRule="auto"/>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ITU-T Study Group 17 (Security): </w:t>
      </w:r>
      <w:hyperlink r:id="rId46" w:history="1">
        <w:r w:rsidRPr="00A94875">
          <w:rPr>
            <w:rStyle w:val="Hyperlink"/>
            <w:rFonts w:asciiTheme="majorBidi" w:eastAsiaTheme="majorEastAsia" w:hAnsiTheme="majorBidi" w:cstheme="majorBidi"/>
            <w:sz w:val="24"/>
            <w:szCs w:val="24"/>
            <w:lang w:val="en-GB"/>
          </w:rPr>
          <w:t>Executive summary, September 2018</w:t>
        </w:r>
      </w:hyperlink>
    </w:p>
    <w:p w14:paraId="29858CC4" w14:textId="77777777" w:rsidR="00653C5B" w:rsidRPr="00A94875" w:rsidRDefault="00653C5B" w:rsidP="009261B2">
      <w:pPr>
        <w:pStyle w:val="ListParagraph"/>
        <w:numPr>
          <w:ilvl w:val="0"/>
          <w:numId w:val="49"/>
        </w:numPr>
        <w:spacing w:after="160" w:line="259" w:lineRule="auto"/>
        <w:rPr>
          <w:rFonts w:asciiTheme="majorBidi" w:hAnsiTheme="majorBidi" w:cstheme="majorBidi"/>
          <w:sz w:val="24"/>
          <w:szCs w:val="24"/>
          <w:lang w:val="en-GB"/>
        </w:rPr>
      </w:pPr>
      <w:r w:rsidRPr="00A94875">
        <w:rPr>
          <w:rFonts w:asciiTheme="majorBidi" w:hAnsiTheme="majorBidi" w:cstheme="majorBidi"/>
          <w:sz w:val="24"/>
          <w:szCs w:val="24"/>
          <w:lang w:val="en-GB"/>
        </w:rPr>
        <w:t>ITU-T Study Group 20 (</w:t>
      </w:r>
      <w:proofErr w:type="spellStart"/>
      <w:r w:rsidRPr="00A94875">
        <w:rPr>
          <w:rFonts w:asciiTheme="majorBidi" w:hAnsiTheme="majorBidi" w:cstheme="majorBidi"/>
          <w:sz w:val="24"/>
          <w:szCs w:val="24"/>
          <w:lang w:val="en-GB"/>
        </w:rPr>
        <w:t>IoT</w:t>
      </w:r>
      <w:proofErr w:type="spellEnd"/>
      <w:r w:rsidRPr="00A94875">
        <w:rPr>
          <w:rFonts w:asciiTheme="majorBidi" w:hAnsiTheme="majorBidi" w:cstheme="majorBidi"/>
          <w:sz w:val="24"/>
          <w:szCs w:val="24"/>
          <w:lang w:val="en-GB"/>
        </w:rPr>
        <w:t xml:space="preserve"> and smart cities): </w:t>
      </w:r>
      <w:hyperlink r:id="rId47" w:history="1">
        <w:r w:rsidRPr="00A94875">
          <w:rPr>
            <w:rStyle w:val="Hyperlink"/>
            <w:rFonts w:asciiTheme="majorBidi" w:eastAsiaTheme="majorEastAsia" w:hAnsiTheme="majorBidi" w:cstheme="majorBidi"/>
            <w:sz w:val="24"/>
            <w:szCs w:val="24"/>
            <w:lang w:val="en-GB"/>
          </w:rPr>
          <w:t>Executive summary, May 2018</w:t>
        </w:r>
      </w:hyperlink>
    </w:p>
    <w:p w14:paraId="3736089F" w14:textId="23FFB4CA" w:rsidR="0061725D" w:rsidRPr="00A94875" w:rsidRDefault="0061725D" w:rsidP="009E5FFA">
      <w:pPr>
        <w:pStyle w:val="ListParagraph"/>
        <w:rPr>
          <w:rFonts w:asciiTheme="majorBidi" w:hAnsiTheme="majorBidi" w:cstheme="majorBidi"/>
          <w:szCs w:val="24"/>
          <w:lang w:val="en-GB"/>
        </w:rPr>
      </w:pPr>
    </w:p>
    <w:p w14:paraId="03760250"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 xml:space="preserve">An estimated 95 per cent of international traffic runs over optical transport networks built in conformance with ITU standards. New ITU standards for transport, access and home address radio over fibre, multi-vendor interoperable 100G coherent DWDM (dense wavelength division multiplexing) line interfaces, fibre-optic cable installation in remote areas, software-defined networking, visible light communications, and synchronization for IMT-2020/5G.  </w:t>
      </w:r>
    </w:p>
    <w:p w14:paraId="614378FF" w14:textId="77777777" w:rsidR="00653C5B" w:rsidRPr="00A94875" w:rsidRDefault="00770A8C" w:rsidP="009261B2">
      <w:pPr>
        <w:pStyle w:val="ListParagraph"/>
        <w:numPr>
          <w:ilvl w:val="0"/>
          <w:numId w:val="48"/>
        </w:numPr>
        <w:spacing w:after="160" w:line="259" w:lineRule="auto"/>
        <w:rPr>
          <w:rFonts w:asciiTheme="majorBidi" w:hAnsiTheme="majorBidi" w:cstheme="majorBidi"/>
          <w:sz w:val="24"/>
          <w:szCs w:val="24"/>
          <w:lang w:val="en-GB"/>
        </w:rPr>
      </w:pPr>
      <w:hyperlink r:id="rId48" w:history="1">
        <w:r w:rsidR="00653C5B" w:rsidRPr="00A94875">
          <w:rPr>
            <w:rStyle w:val="Hyperlink"/>
            <w:rFonts w:asciiTheme="majorBidi" w:eastAsiaTheme="majorEastAsia" w:hAnsiTheme="majorBidi" w:cstheme="majorBidi"/>
            <w:sz w:val="24"/>
            <w:szCs w:val="24"/>
            <w:lang w:val="en-GB"/>
          </w:rPr>
          <w:t>Progress update on ITU standardization for transport, access and home</w:t>
        </w:r>
      </w:hyperlink>
    </w:p>
    <w:p w14:paraId="7485C8D8"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 xml:space="preserve">Video will account for over 80 per cent of all Internet traffic by 2020. This collaborative video work of IEC, ISO and ITU </w:t>
      </w:r>
      <w:proofErr w:type="gramStart"/>
      <w:r w:rsidRPr="00A94875">
        <w:rPr>
          <w:rFonts w:asciiTheme="majorBidi" w:hAnsiTheme="majorBidi" w:cstheme="majorBidi"/>
          <w:szCs w:val="24"/>
          <w:lang w:val="en-GB"/>
        </w:rPr>
        <w:t>has been honoured</w:t>
      </w:r>
      <w:proofErr w:type="gramEnd"/>
      <w:r w:rsidRPr="00A94875">
        <w:rPr>
          <w:rFonts w:asciiTheme="majorBidi" w:hAnsiTheme="majorBidi" w:cstheme="majorBidi"/>
          <w:szCs w:val="24"/>
          <w:lang w:val="en-GB"/>
        </w:rPr>
        <w:t xml:space="preserve"> with two Primetime </w:t>
      </w:r>
      <w:proofErr w:type="spellStart"/>
      <w:r w:rsidRPr="00A94875">
        <w:rPr>
          <w:rFonts w:asciiTheme="majorBidi" w:hAnsiTheme="majorBidi" w:cstheme="majorBidi"/>
          <w:szCs w:val="24"/>
          <w:lang w:val="en-GB"/>
        </w:rPr>
        <w:t>Emmy</w:t>
      </w:r>
      <w:proofErr w:type="spellEnd"/>
      <w:r w:rsidRPr="00A94875">
        <w:rPr>
          <w:rFonts w:asciiTheme="majorBidi" w:hAnsiTheme="majorBidi" w:cstheme="majorBidi"/>
          <w:szCs w:val="24"/>
          <w:lang w:val="en-GB"/>
        </w:rPr>
        <w:t xml:space="preserve"> Awards, the first in 2008 in recognition of ITU H.264 'Advanced Video Coding' and the second in 2017 in recognition of ITU H.265 'High Efficiency Video Coding'. The new Versatile Video Coding projects is reporting strong progress. </w:t>
      </w:r>
    </w:p>
    <w:p w14:paraId="4B76EA1F" w14:textId="77777777" w:rsidR="00653C5B" w:rsidRPr="00A94875" w:rsidRDefault="00770A8C" w:rsidP="009261B2">
      <w:pPr>
        <w:pStyle w:val="ListParagraph"/>
        <w:numPr>
          <w:ilvl w:val="0"/>
          <w:numId w:val="47"/>
        </w:numPr>
        <w:spacing w:after="160" w:line="259" w:lineRule="auto"/>
        <w:rPr>
          <w:rFonts w:asciiTheme="majorBidi" w:hAnsiTheme="majorBidi" w:cstheme="majorBidi"/>
          <w:sz w:val="24"/>
          <w:szCs w:val="24"/>
          <w:lang w:val="en-GB"/>
        </w:rPr>
      </w:pPr>
      <w:hyperlink r:id="rId49" w:history="1">
        <w:r w:rsidR="00653C5B" w:rsidRPr="00A94875">
          <w:rPr>
            <w:rStyle w:val="Hyperlink"/>
            <w:rFonts w:asciiTheme="majorBidi" w:eastAsiaTheme="majorEastAsia" w:hAnsiTheme="majorBidi" w:cstheme="majorBidi"/>
            <w:sz w:val="24"/>
            <w:szCs w:val="24"/>
            <w:lang w:val="en-GB"/>
          </w:rPr>
          <w:t>Beyond HEVC: Versatile Video Coding project starts strongly</w:t>
        </w:r>
      </w:hyperlink>
      <w:r w:rsidR="00653C5B" w:rsidRPr="00A94875">
        <w:rPr>
          <w:rFonts w:asciiTheme="majorBidi" w:hAnsiTheme="majorBidi" w:cstheme="majorBidi"/>
          <w:sz w:val="24"/>
          <w:szCs w:val="24"/>
          <w:lang w:val="en-GB"/>
        </w:rPr>
        <w:t xml:space="preserve"> </w:t>
      </w:r>
    </w:p>
    <w:p w14:paraId="2C009795"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 xml:space="preserve">High priority </w:t>
      </w:r>
      <w:proofErr w:type="gramStart"/>
      <w:r w:rsidRPr="00A94875">
        <w:rPr>
          <w:rFonts w:asciiTheme="majorBidi" w:hAnsiTheme="majorBidi" w:cstheme="majorBidi"/>
          <w:szCs w:val="24"/>
          <w:lang w:val="en-GB"/>
        </w:rPr>
        <w:t>has been assigned</w:t>
      </w:r>
      <w:proofErr w:type="gramEnd"/>
      <w:r w:rsidRPr="00A94875">
        <w:rPr>
          <w:rFonts w:asciiTheme="majorBidi" w:hAnsiTheme="majorBidi" w:cstheme="majorBidi"/>
          <w:szCs w:val="24"/>
          <w:lang w:val="en-GB"/>
        </w:rPr>
        <w:t xml:space="preserve"> to ITU-T standardization work on the non-radio elements of IMT-2020 (5G) systems. Software-driven network management and orchestration continues to transform telecom operations. ITU-T’s 5G work is supporting this transformation with the development of new standards for networking innovation, the evolution of the transport network, and environmental sustainability.</w:t>
      </w:r>
    </w:p>
    <w:p w14:paraId="2DC3ED52" w14:textId="77777777" w:rsidR="00653C5B" w:rsidRPr="00A94875" w:rsidRDefault="00770A8C" w:rsidP="009261B2">
      <w:pPr>
        <w:pStyle w:val="ListParagraph"/>
        <w:numPr>
          <w:ilvl w:val="0"/>
          <w:numId w:val="46"/>
        </w:numPr>
        <w:spacing w:after="160" w:line="259" w:lineRule="auto"/>
        <w:rPr>
          <w:rFonts w:asciiTheme="majorBidi" w:hAnsiTheme="majorBidi" w:cstheme="majorBidi"/>
          <w:sz w:val="24"/>
          <w:szCs w:val="24"/>
          <w:lang w:val="en-GB"/>
        </w:rPr>
      </w:pPr>
      <w:hyperlink r:id="rId50" w:history="1">
        <w:r w:rsidR="00653C5B" w:rsidRPr="00A94875">
          <w:rPr>
            <w:rStyle w:val="Hyperlink"/>
            <w:rFonts w:asciiTheme="majorBidi" w:eastAsiaTheme="majorEastAsia" w:hAnsiTheme="majorBidi" w:cstheme="majorBidi"/>
            <w:sz w:val="24"/>
            <w:szCs w:val="24"/>
            <w:lang w:val="en-GB"/>
          </w:rPr>
          <w:t>ITU-T Study Group 15 accelerates work on 5G transport</w:t>
        </w:r>
      </w:hyperlink>
    </w:p>
    <w:p w14:paraId="5074337C"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ITU-T standardization work for the Internet of Things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and smart cities aims to support interoperability and efficient data processing and management. The standardization of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test specifications is accelerating, supported by the increasing collaboration of ITU-T and oneM2M. More than 50 cities worldwide are measuring their progress using ‘Key Performance Indicators for Smart Sustainable Cities’ based on ITU standards, indicators promoted by the ‘United for Smart Sustainable Cities (U4SSC) initiative’. </w:t>
      </w:r>
    </w:p>
    <w:p w14:paraId="14E80DF1" w14:textId="77777777" w:rsidR="00653C5B" w:rsidRPr="00A94875" w:rsidRDefault="00770A8C" w:rsidP="009261B2">
      <w:pPr>
        <w:pStyle w:val="ListParagraph"/>
        <w:numPr>
          <w:ilvl w:val="0"/>
          <w:numId w:val="45"/>
        </w:numPr>
        <w:spacing w:after="160" w:line="259" w:lineRule="auto"/>
        <w:rPr>
          <w:rFonts w:asciiTheme="majorBidi" w:hAnsiTheme="majorBidi" w:cstheme="majorBidi"/>
          <w:sz w:val="24"/>
          <w:szCs w:val="24"/>
          <w:lang w:val="en-GB"/>
        </w:rPr>
      </w:pPr>
      <w:hyperlink r:id="rId51" w:history="1">
        <w:r w:rsidR="00653C5B" w:rsidRPr="00A94875">
          <w:rPr>
            <w:rStyle w:val="Hyperlink"/>
            <w:rFonts w:asciiTheme="majorBidi" w:eastAsiaTheme="majorEastAsia" w:hAnsiTheme="majorBidi" w:cstheme="majorBidi"/>
            <w:sz w:val="24"/>
            <w:szCs w:val="24"/>
            <w:lang w:val="en-GB"/>
          </w:rPr>
          <w:t>New ITU case study maps the Moscow ‘smart city’ journey</w:t>
        </w:r>
      </w:hyperlink>
    </w:p>
    <w:p w14:paraId="256B8DA0"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lastRenderedPageBreak/>
        <w:t xml:space="preserve">The ITU-T Focus Group on Artificial Intelligence for Health (FG AI4H), driven in close collaboration by ITU and the World Health Organization (WHO), is working towards the establishment of a framework and associated process for the performance benchmarking of ‘AI for Health’ algorithms. Iterative </w:t>
      </w:r>
      <w:r w:rsidRPr="00A94875">
        <w:rPr>
          <w:rStyle w:val="Emphasis"/>
          <w:rFonts w:asciiTheme="majorBidi" w:hAnsiTheme="majorBidi" w:cstheme="majorBidi"/>
          <w:szCs w:val="24"/>
          <w:lang w:val="en-GB"/>
        </w:rPr>
        <w:t>Calls for Proposals</w:t>
      </w:r>
      <w:r w:rsidRPr="00A94875">
        <w:rPr>
          <w:rFonts w:asciiTheme="majorBidi" w:hAnsiTheme="majorBidi" w:cstheme="majorBidi"/>
          <w:szCs w:val="24"/>
          <w:lang w:val="en-GB"/>
        </w:rPr>
        <w:t xml:space="preserve"> will guide the Focus Group’s development of evaluation methods to assess the degree to which ‘AI for Health’ use cases have achieved Proof of Concept.</w:t>
      </w:r>
    </w:p>
    <w:p w14:paraId="2A24FA02" w14:textId="77777777" w:rsidR="00653C5B" w:rsidRPr="00A94875" w:rsidRDefault="00770A8C" w:rsidP="009261B2">
      <w:pPr>
        <w:pStyle w:val="ListParagraph"/>
        <w:numPr>
          <w:ilvl w:val="0"/>
          <w:numId w:val="44"/>
        </w:numPr>
        <w:spacing w:after="160" w:line="259" w:lineRule="auto"/>
        <w:rPr>
          <w:rFonts w:asciiTheme="majorBidi" w:hAnsiTheme="majorBidi" w:cstheme="majorBidi"/>
          <w:sz w:val="24"/>
          <w:szCs w:val="24"/>
          <w:lang w:val="en-GB"/>
        </w:rPr>
      </w:pPr>
      <w:hyperlink r:id="rId52" w:history="1">
        <w:r w:rsidR="00653C5B" w:rsidRPr="00A94875">
          <w:rPr>
            <w:rStyle w:val="Hyperlink"/>
            <w:rFonts w:asciiTheme="majorBidi" w:eastAsiaTheme="majorEastAsia" w:hAnsiTheme="majorBidi" w:cstheme="majorBidi"/>
            <w:sz w:val="24"/>
            <w:szCs w:val="24"/>
            <w:lang w:val="en-GB"/>
          </w:rPr>
          <w:t>Artificial Intelligence for Health: ITU and WHO call for proposals</w:t>
        </w:r>
      </w:hyperlink>
    </w:p>
    <w:p w14:paraId="6797F21F"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A new ITU standard offers guidelines for the safe listening of music players in support of the WHO ‘Make Listening Safe’ initiative. The new standard highlights the motivations behind its development: “Hearing loss can occur as a consequence of listening to high levels of sound over prolonged periods of time. The unsafe use of personal audio devices poses a threat to the hearing of millions.”</w:t>
      </w:r>
    </w:p>
    <w:p w14:paraId="4B306F78" w14:textId="77777777" w:rsidR="00653C5B" w:rsidRPr="00A94875" w:rsidRDefault="00770A8C" w:rsidP="009261B2">
      <w:pPr>
        <w:pStyle w:val="ListParagraph"/>
        <w:numPr>
          <w:ilvl w:val="0"/>
          <w:numId w:val="43"/>
        </w:numPr>
        <w:spacing w:after="160" w:line="259" w:lineRule="auto"/>
        <w:rPr>
          <w:rFonts w:asciiTheme="majorBidi" w:hAnsiTheme="majorBidi" w:cstheme="majorBidi"/>
          <w:sz w:val="24"/>
          <w:szCs w:val="24"/>
          <w:lang w:val="en-GB"/>
        </w:rPr>
      </w:pPr>
      <w:hyperlink r:id="rId53" w:history="1">
        <w:r w:rsidR="00653C5B" w:rsidRPr="00A94875">
          <w:rPr>
            <w:rStyle w:val="Hyperlink"/>
            <w:rFonts w:asciiTheme="majorBidi" w:eastAsiaTheme="majorEastAsia" w:hAnsiTheme="majorBidi" w:cstheme="majorBidi"/>
            <w:sz w:val="24"/>
            <w:szCs w:val="24"/>
            <w:lang w:val="en-GB"/>
          </w:rPr>
          <w:t>Listen responsibly: New ITU standard to prevent audio devices from causing hearing loss</w:t>
        </w:r>
      </w:hyperlink>
    </w:p>
    <w:p w14:paraId="1C313121"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 xml:space="preserve">New and updated conformance testing specifications for the ITU-T H.810 Continua Design Guidelines (CDG) in the ITU-T H.810-series of Recommendations reflect updates contained in </w:t>
      </w:r>
      <w:proofErr w:type="gramStart"/>
      <w:r w:rsidRPr="00A94875">
        <w:rPr>
          <w:rFonts w:asciiTheme="majorBidi" w:hAnsiTheme="majorBidi" w:cstheme="majorBidi"/>
          <w:szCs w:val="24"/>
          <w:lang w:val="en-GB"/>
        </w:rPr>
        <w:t>4th</w:t>
      </w:r>
      <w:proofErr w:type="gramEnd"/>
      <w:r w:rsidRPr="00A94875">
        <w:rPr>
          <w:rFonts w:asciiTheme="majorBidi" w:hAnsiTheme="majorBidi" w:cstheme="majorBidi"/>
          <w:szCs w:val="24"/>
          <w:lang w:val="en-GB"/>
        </w:rPr>
        <w:t xml:space="preserve"> edition ("Keratin", CDG 2017), with 6 new and 7 revised draft texts under approval. The updates cover testing for new device specializations for power status monitoring and updated glucose monitors, and updates the PCD-1 observation upload capability. ITU-T H.820 contains an overall </w:t>
      </w:r>
      <w:proofErr w:type="gramStart"/>
      <w:r w:rsidRPr="00A94875">
        <w:rPr>
          <w:rFonts w:asciiTheme="majorBidi" w:hAnsiTheme="majorBidi" w:cstheme="majorBidi"/>
          <w:szCs w:val="24"/>
          <w:lang w:val="en-GB"/>
        </w:rPr>
        <w:t>conformity assessment test plan</w:t>
      </w:r>
      <w:proofErr w:type="gramEnd"/>
      <w:r w:rsidRPr="00A94875">
        <w:rPr>
          <w:rFonts w:asciiTheme="majorBidi" w:hAnsiTheme="majorBidi" w:cstheme="majorBidi"/>
          <w:szCs w:val="24"/>
          <w:lang w:val="en-GB"/>
        </w:rPr>
        <w:t xml:space="preserve"> for testing conformance for H.810 systems.</w:t>
      </w:r>
    </w:p>
    <w:p w14:paraId="26366CFF" w14:textId="77777777" w:rsidR="00653C5B" w:rsidRPr="00A94875" w:rsidRDefault="00770A8C" w:rsidP="009261B2">
      <w:pPr>
        <w:pStyle w:val="ListParagraph"/>
        <w:numPr>
          <w:ilvl w:val="0"/>
          <w:numId w:val="42"/>
        </w:numPr>
        <w:spacing w:after="160" w:line="259" w:lineRule="auto"/>
        <w:rPr>
          <w:rFonts w:asciiTheme="majorBidi" w:hAnsiTheme="majorBidi" w:cstheme="majorBidi"/>
          <w:sz w:val="24"/>
          <w:szCs w:val="24"/>
          <w:lang w:val="en-GB"/>
        </w:rPr>
      </w:pPr>
      <w:hyperlink r:id="rId54" w:history="1">
        <w:r w:rsidR="00653C5B" w:rsidRPr="00A94875">
          <w:rPr>
            <w:rStyle w:val="Hyperlink"/>
            <w:rFonts w:asciiTheme="majorBidi" w:eastAsiaTheme="majorEastAsia" w:hAnsiTheme="majorBidi" w:cstheme="majorBidi"/>
            <w:sz w:val="24"/>
            <w:szCs w:val="24"/>
            <w:lang w:val="en-GB"/>
          </w:rPr>
          <w:t>Progress update on ITU standardization for e-health</w:t>
        </w:r>
      </w:hyperlink>
      <w:r w:rsidR="00653C5B" w:rsidRPr="00A94875">
        <w:rPr>
          <w:rFonts w:asciiTheme="majorBidi" w:hAnsiTheme="majorBidi" w:cstheme="majorBidi"/>
          <w:sz w:val="24"/>
          <w:szCs w:val="24"/>
          <w:lang w:val="en-GB"/>
        </w:rPr>
        <w:t xml:space="preserve"> </w:t>
      </w:r>
    </w:p>
    <w:p w14:paraId="11003A59"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ITU-T work on performance, quality of service (</w:t>
      </w:r>
      <w:proofErr w:type="spellStart"/>
      <w:r w:rsidRPr="00A94875">
        <w:rPr>
          <w:rFonts w:asciiTheme="majorBidi" w:hAnsiTheme="majorBidi" w:cstheme="majorBidi"/>
          <w:szCs w:val="24"/>
          <w:lang w:val="en-GB"/>
        </w:rPr>
        <w:t>QoS</w:t>
      </w:r>
      <w:proofErr w:type="spellEnd"/>
      <w:r w:rsidRPr="00A94875">
        <w:rPr>
          <w:rFonts w:asciiTheme="majorBidi" w:hAnsiTheme="majorBidi" w:cstheme="majorBidi"/>
          <w:szCs w:val="24"/>
          <w:lang w:val="en-GB"/>
        </w:rPr>
        <w:t>) and quality of experience (</w:t>
      </w:r>
      <w:proofErr w:type="spellStart"/>
      <w:r w:rsidRPr="00A94875">
        <w:rPr>
          <w:rFonts w:asciiTheme="majorBidi" w:hAnsiTheme="majorBidi" w:cstheme="majorBidi"/>
          <w:szCs w:val="24"/>
          <w:lang w:val="en-GB"/>
        </w:rPr>
        <w:t>QoE</w:t>
      </w:r>
      <w:proofErr w:type="spellEnd"/>
      <w:r w:rsidRPr="00A94875">
        <w:rPr>
          <w:rFonts w:asciiTheme="majorBidi" w:hAnsiTheme="majorBidi" w:cstheme="majorBidi"/>
          <w:szCs w:val="24"/>
          <w:lang w:val="en-GB"/>
        </w:rPr>
        <w:t xml:space="preserve">) continues to evolve rapidly, in tune with the advances of the ICT industry. New ITU standards address the quality of video gaming, video-telephony applications, communications involving vehicles, adaptive bitrate video streaming, and ICT services at major sporting and entertainment events. ITU-T work to provide technical guidance to regulators promoting </w:t>
      </w:r>
      <w:proofErr w:type="spellStart"/>
      <w:r w:rsidRPr="00A94875">
        <w:rPr>
          <w:rFonts w:asciiTheme="majorBidi" w:hAnsiTheme="majorBidi" w:cstheme="majorBidi"/>
          <w:szCs w:val="24"/>
          <w:lang w:val="en-GB"/>
        </w:rPr>
        <w:t>QoS</w:t>
      </w:r>
      <w:proofErr w:type="spellEnd"/>
      <w:r w:rsidRPr="00A94875">
        <w:rPr>
          <w:rFonts w:asciiTheme="majorBidi" w:hAnsiTheme="majorBidi" w:cstheme="majorBidi"/>
          <w:szCs w:val="24"/>
          <w:lang w:val="en-GB"/>
        </w:rPr>
        <w:t xml:space="preserve"> is gaining a progressively larger share of the ITU standardization work programme.</w:t>
      </w:r>
    </w:p>
    <w:p w14:paraId="50CB154A" w14:textId="77777777" w:rsidR="00653C5B" w:rsidRPr="00A94875" w:rsidRDefault="00770A8C" w:rsidP="009261B2">
      <w:pPr>
        <w:pStyle w:val="ListParagraph"/>
        <w:numPr>
          <w:ilvl w:val="0"/>
          <w:numId w:val="41"/>
        </w:numPr>
        <w:spacing w:after="160" w:line="259" w:lineRule="auto"/>
        <w:rPr>
          <w:rFonts w:asciiTheme="majorBidi" w:hAnsiTheme="majorBidi" w:cstheme="majorBidi"/>
          <w:sz w:val="24"/>
          <w:szCs w:val="24"/>
          <w:lang w:val="en-GB"/>
        </w:rPr>
      </w:pPr>
      <w:hyperlink r:id="rId55" w:history="1">
        <w:r w:rsidR="00653C5B" w:rsidRPr="00A94875">
          <w:rPr>
            <w:rStyle w:val="Hyperlink"/>
            <w:rFonts w:asciiTheme="majorBidi" w:eastAsiaTheme="majorEastAsia" w:hAnsiTheme="majorBidi" w:cstheme="majorBidi"/>
            <w:sz w:val="24"/>
            <w:szCs w:val="24"/>
            <w:lang w:val="en-GB"/>
          </w:rPr>
          <w:t>ITU workshop on Quality of Service regulation</w:t>
        </w:r>
      </w:hyperlink>
    </w:p>
    <w:p w14:paraId="19FC9120"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 xml:space="preserve">ITU-T offers a neutral platform for the international community to strengthen the ties between technical innovation, business needs and economic and policy requirements. New ITU standards under approval address the relationship between network operators and providers of over-the-top (OTT) services competition in mobile financial services, and principles for a unified format of price/tariffs/rates-lists used for exchanging telephone traffic. </w:t>
      </w:r>
    </w:p>
    <w:p w14:paraId="095838EB" w14:textId="77777777" w:rsidR="00653C5B" w:rsidRPr="00A94875" w:rsidRDefault="00770A8C" w:rsidP="009261B2">
      <w:pPr>
        <w:pStyle w:val="ListParagraph"/>
        <w:numPr>
          <w:ilvl w:val="0"/>
          <w:numId w:val="40"/>
        </w:numPr>
        <w:spacing w:after="160" w:line="259" w:lineRule="auto"/>
        <w:rPr>
          <w:rFonts w:asciiTheme="majorBidi" w:hAnsiTheme="majorBidi" w:cstheme="majorBidi"/>
          <w:sz w:val="24"/>
          <w:szCs w:val="24"/>
          <w:lang w:val="en-GB"/>
        </w:rPr>
      </w:pPr>
      <w:hyperlink r:id="rId56" w:history="1">
        <w:r w:rsidR="00653C5B" w:rsidRPr="00A94875">
          <w:rPr>
            <w:rStyle w:val="Hyperlink"/>
            <w:rFonts w:asciiTheme="majorBidi" w:eastAsiaTheme="majorEastAsia" w:hAnsiTheme="majorBidi" w:cstheme="majorBidi"/>
            <w:sz w:val="24"/>
            <w:szCs w:val="24"/>
            <w:lang w:val="en-GB"/>
          </w:rPr>
          <w:t>Progress update on ITU standardization for economic and policy issues</w:t>
        </w:r>
      </w:hyperlink>
    </w:p>
    <w:p w14:paraId="188C3D01"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 xml:space="preserve">A new ITU standard under approval provides a framework for solution to combat counterfeit ICT devices. </w:t>
      </w:r>
      <w:proofErr w:type="gramStart"/>
      <w:r w:rsidRPr="00A94875">
        <w:rPr>
          <w:rFonts w:asciiTheme="majorBidi" w:hAnsiTheme="majorBidi" w:cstheme="majorBidi"/>
          <w:szCs w:val="24"/>
          <w:lang w:val="en-GB"/>
        </w:rPr>
        <w:t>This area of work continues to accelerate and has expanded to combat counterfeiting as well as the theft of mobile devices.</w:t>
      </w:r>
      <w:proofErr w:type="gramEnd"/>
      <w:r w:rsidRPr="00A94875">
        <w:rPr>
          <w:rFonts w:asciiTheme="majorBidi" w:hAnsiTheme="majorBidi" w:cstheme="majorBidi"/>
          <w:szCs w:val="24"/>
          <w:lang w:val="en-GB"/>
        </w:rPr>
        <w:t xml:space="preserve"> Renewed emphasis has been placed on the need to concerns surrounding the tampering with or cloning of ICT device identifiers.</w:t>
      </w:r>
    </w:p>
    <w:p w14:paraId="570D1A97" w14:textId="77777777" w:rsidR="00653C5B" w:rsidRPr="00A94875" w:rsidRDefault="00770A8C" w:rsidP="009261B2">
      <w:pPr>
        <w:pStyle w:val="ListParagraph"/>
        <w:numPr>
          <w:ilvl w:val="0"/>
          <w:numId w:val="39"/>
        </w:numPr>
        <w:spacing w:after="160" w:line="259" w:lineRule="auto"/>
        <w:rPr>
          <w:rFonts w:asciiTheme="majorBidi" w:hAnsiTheme="majorBidi" w:cstheme="majorBidi"/>
          <w:sz w:val="24"/>
          <w:szCs w:val="24"/>
          <w:lang w:val="en-GB"/>
        </w:rPr>
      </w:pPr>
      <w:hyperlink r:id="rId57" w:history="1">
        <w:r w:rsidR="00653C5B" w:rsidRPr="00A94875">
          <w:rPr>
            <w:rStyle w:val="Hyperlink"/>
            <w:rFonts w:asciiTheme="majorBidi" w:eastAsiaTheme="majorEastAsia" w:hAnsiTheme="majorBidi" w:cstheme="majorBidi"/>
            <w:sz w:val="24"/>
            <w:szCs w:val="24"/>
            <w:lang w:val="en-GB"/>
          </w:rPr>
          <w:t>Combating counterfeit and stolen ICT devices: ITU workshop renews international commitment</w:t>
        </w:r>
      </w:hyperlink>
    </w:p>
    <w:p w14:paraId="2CC1FAC8" w14:textId="77777777" w:rsidR="00653C5B" w:rsidRPr="00A94875" w:rsidRDefault="00653C5B" w:rsidP="00653C5B">
      <w:pPr>
        <w:rPr>
          <w:rFonts w:asciiTheme="majorBidi" w:hAnsiTheme="majorBidi" w:cstheme="majorBidi"/>
          <w:szCs w:val="24"/>
          <w:lang w:val="en-GB"/>
        </w:rPr>
      </w:pPr>
      <w:r w:rsidRPr="00A94875">
        <w:rPr>
          <w:rFonts w:asciiTheme="majorBidi" w:hAnsiTheme="majorBidi" w:cstheme="majorBidi"/>
          <w:szCs w:val="24"/>
          <w:lang w:val="en-GB"/>
        </w:rPr>
        <w:t xml:space="preserve">The span of ITU-T work on </w:t>
      </w:r>
      <w:proofErr w:type="spellStart"/>
      <w:r w:rsidRPr="00A94875">
        <w:rPr>
          <w:rFonts w:asciiTheme="majorBidi" w:hAnsiTheme="majorBidi" w:cstheme="majorBidi"/>
          <w:szCs w:val="24"/>
          <w:lang w:val="en-GB"/>
        </w:rPr>
        <w:t>VoLTE</w:t>
      </w:r>
      <w:proofErr w:type="spellEnd"/>
      <w:r w:rsidRPr="00A94875">
        <w:rPr>
          <w:rFonts w:asciiTheme="majorBidi" w:hAnsiTheme="majorBidi" w:cstheme="majorBidi"/>
          <w:szCs w:val="24"/>
          <w:lang w:val="en-GB"/>
        </w:rPr>
        <w:t>/</w:t>
      </w:r>
      <w:proofErr w:type="spellStart"/>
      <w:r w:rsidRPr="00A94875">
        <w:rPr>
          <w:rFonts w:asciiTheme="majorBidi" w:hAnsiTheme="majorBidi" w:cstheme="majorBidi"/>
          <w:szCs w:val="24"/>
          <w:lang w:val="en-GB"/>
        </w:rPr>
        <w:t>ViLTE</w:t>
      </w:r>
      <w:proofErr w:type="spellEnd"/>
      <w:r w:rsidRPr="00A94875">
        <w:rPr>
          <w:rFonts w:asciiTheme="majorBidi" w:hAnsiTheme="majorBidi" w:cstheme="majorBidi"/>
          <w:szCs w:val="24"/>
          <w:lang w:val="en-GB"/>
        </w:rPr>
        <w:t xml:space="preserve"> includes the deployment of signalling protocols for </w:t>
      </w:r>
      <w:proofErr w:type="spellStart"/>
      <w:r w:rsidRPr="00A94875">
        <w:rPr>
          <w:rFonts w:asciiTheme="majorBidi" w:hAnsiTheme="majorBidi" w:cstheme="majorBidi"/>
          <w:szCs w:val="24"/>
          <w:lang w:val="en-GB"/>
        </w:rPr>
        <w:t>VoLTE</w:t>
      </w:r>
      <w:proofErr w:type="spellEnd"/>
      <w:r w:rsidRPr="00A94875">
        <w:rPr>
          <w:rFonts w:asciiTheme="majorBidi" w:hAnsiTheme="majorBidi" w:cstheme="majorBidi"/>
          <w:szCs w:val="24"/>
          <w:lang w:val="en-GB"/>
        </w:rPr>
        <w:t xml:space="preserve"> interconnection, relevant numbering issues, </w:t>
      </w:r>
      <w:proofErr w:type="spellStart"/>
      <w:r w:rsidRPr="00A94875">
        <w:rPr>
          <w:rFonts w:asciiTheme="majorBidi" w:hAnsiTheme="majorBidi" w:cstheme="majorBidi"/>
          <w:szCs w:val="24"/>
          <w:lang w:val="en-GB"/>
        </w:rPr>
        <w:t>QoS</w:t>
      </w:r>
      <w:proofErr w:type="spellEnd"/>
      <w:r w:rsidRPr="00A94875">
        <w:rPr>
          <w:rFonts w:asciiTheme="majorBidi" w:hAnsiTheme="majorBidi" w:cstheme="majorBidi"/>
          <w:szCs w:val="24"/>
          <w:lang w:val="en-GB"/>
        </w:rPr>
        <w:t xml:space="preserve"> considerations, and emergency calls on </w:t>
      </w:r>
      <w:proofErr w:type="spellStart"/>
      <w:r w:rsidRPr="00A94875">
        <w:rPr>
          <w:rFonts w:asciiTheme="majorBidi" w:hAnsiTheme="majorBidi" w:cstheme="majorBidi"/>
          <w:szCs w:val="24"/>
          <w:lang w:val="en-GB"/>
        </w:rPr>
        <w:t>VoLTE</w:t>
      </w:r>
      <w:proofErr w:type="spellEnd"/>
      <w:r w:rsidRPr="00A94875">
        <w:rPr>
          <w:rFonts w:asciiTheme="majorBidi" w:hAnsiTheme="majorBidi" w:cstheme="majorBidi"/>
          <w:szCs w:val="24"/>
          <w:lang w:val="en-GB"/>
        </w:rPr>
        <w:t xml:space="preserve">-based networks. New ITU standards address the interconnection of </w:t>
      </w:r>
      <w:proofErr w:type="spellStart"/>
      <w:r w:rsidRPr="00A94875">
        <w:rPr>
          <w:rFonts w:asciiTheme="majorBidi" w:hAnsiTheme="majorBidi" w:cstheme="majorBidi"/>
          <w:szCs w:val="24"/>
          <w:lang w:val="en-GB"/>
        </w:rPr>
        <w:t>VoLTE</w:t>
      </w:r>
      <w:proofErr w:type="spellEnd"/>
      <w:r w:rsidRPr="00A94875">
        <w:rPr>
          <w:rFonts w:asciiTheme="majorBidi" w:hAnsiTheme="majorBidi" w:cstheme="majorBidi"/>
          <w:szCs w:val="24"/>
          <w:lang w:val="en-GB"/>
        </w:rPr>
        <w:t>/</w:t>
      </w:r>
      <w:proofErr w:type="spellStart"/>
      <w:r w:rsidRPr="00A94875">
        <w:rPr>
          <w:rFonts w:asciiTheme="majorBidi" w:hAnsiTheme="majorBidi" w:cstheme="majorBidi"/>
          <w:szCs w:val="24"/>
          <w:lang w:val="en-GB"/>
        </w:rPr>
        <w:t>ViLTE</w:t>
      </w:r>
      <w:proofErr w:type="spellEnd"/>
      <w:r w:rsidRPr="00A94875">
        <w:rPr>
          <w:rFonts w:asciiTheme="majorBidi" w:hAnsiTheme="majorBidi" w:cstheme="majorBidi"/>
          <w:szCs w:val="24"/>
          <w:lang w:val="en-GB"/>
        </w:rPr>
        <w:t xml:space="preserve">-based networks and </w:t>
      </w:r>
      <w:proofErr w:type="spellStart"/>
      <w:r w:rsidRPr="00A94875">
        <w:rPr>
          <w:rFonts w:asciiTheme="majorBidi" w:hAnsiTheme="majorBidi" w:cstheme="majorBidi"/>
          <w:szCs w:val="24"/>
          <w:lang w:val="en-GB"/>
        </w:rPr>
        <w:t>VoLTE</w:t>
      </w:r>
      <w:proofErr w:type="spellEnd"/>
      <w:r w:rsidRPr="00A94875">
        <w:rPr>
          <w:rFonts w:asciiTheme="majorBidi" w:hAnsiTheme="majorBidi" w:cstheme="majorBidi"/>
          <w:szCs w:val="24"/>
          <w:lang w:val="en-GB"/>
        </w:rPr>
        <w:t>/</w:t>
      </w:r>
      <w:proofErr w:type="spellStart"/>
      <w:r w:rsidRPr="00A94875">
        <w:rPr>
          <w:rFonts w:asciiTheme="majorBidi" w:hAnsiTheme="majorBidi" w:cstheme="majorBidi"/>
          <w:szCs w:val="24"/>
          <w:lang w:val="en-GB"/>
        </w:rPr>
        <w:t>ViLTE</w:t>
      </w:r>
      <w:proofErr w:type="spellEnd"/>
      <w:r w:rsidRPr="00A94875">
        <w:rPr>
          <w:rFonts w:asciiTheme="majorBidi" w:hAnsiTheme="majorBidi" w:cstheme="majorBidi"/>
          <w:szCs w:val="24"/>
          <w:lang w:val="en-GB"/>
        </w:rPr>
        <w:t xml:space="preserve"> interconnection testing for interworking and roaming scenarios. </w:t>
      </w:r>
    </w:p>
    <w:p w14:paraId="272707E6" w14:textId="5E624151" w:rsidR="006944F8" w:rsidRPr="00950992" w:rsidRDefault="00770A8C" w:rsidP="009261B2">
      <w:pPr>
        <w:pStyle w:val="ListParagraph"/>
        <w:numPr>
          <w:ilvl w:val="0"/>
          <w:numId w:val="38"/>
        </w:numPr>
        <w:spacing w:after="160" w:line="259" w:lineRule="auto"/>
        <w:rPr>
          <w:rStyle w:val="Hyperlink"/>
          <w:rFonts w:asciiTheme="majorBidi" w:hAnsiTheme="majorBidi" w:cstheme="majorBidi"/>
          <w:color w:val="auto"/>
          <w:sz w:val="24"/>
          <w:szCs w:val="24"/>
          <w:u w:val="none"/>
          <w:lang w:val="en-GB"/>
        </w:rPr>
      </w:pPr>
      <w:hyperlink r:id="rId58" w:history="1">
        <w:r w:rsidR="00653C5B" w:rsidRPr="00A94875">
          <w:rPr>
            <w:rStyle w:val="Hyperlink"/>
            <w:rFonts w:asciiTheme="majorBidi" w:eastAsiaTheme="majorEastAsia" w:hAnsiTheme="majorBidi" w:cstheme="majorBidi"/>
            <w:sz w:val="24"/>
            <w:szCs w:val="24"/>
            <w:lang w:val="en-GB"/>
          </w:rPr>
          <w:t xml:space="preserve">Progress update on ITU standardization for </w:t>
        </w:r>
        <w:proofErr w:type="spellStart"/>
        <w:r w:rsidR="00653C5B" w:rsidRPr="00A94875">
          <w:rPr>
            <w:rStyle w:val="Hyperlink"/>
            <w:rFonts w:asciiTheme="majorBidi" w:eastAsiaTheme="majorEastAsia" w:hAnsiTheme="majorBidi" w:cstheme="majorBidi"/>
            <w:sz w:val="24"/>
            <w:szCs w:val="24"/>
            <w:lang w:val="en-GB"/>
          </w:rPr>
          <w:t>VoLTE</w:t>
        </w:r>
        <w:proofErr w:type="spellEnd"/>
        <w:r w:rsidR="00653C5B" w:rsidRPr="00A94875">
          <w:rPr>
            <w:rStyle w:val="Hyperlink"/>
            <w:rFonts w:asciiTheme="majorBidi" w:eastAsiaTheme="majorEastAsia" w:hAnsiTheme="majorBidi" w:cstheme="majorBidi"/>
            <w:sz w:val="24"/>
            <w:szCs w:val="24"/>
            <w:lang w:val="en-GB"/>
          </w:rPr>
          <w:t>/</w:t>
        </w:r>
        <w:proofErr w:type="spellStart"/>
        <w:r w:rsidR="00653C5B" w:rsidRPr="00A94875">
          <w:rPr>
            <w:rStyle w:val="Hyperlink"/>
            <w:rFonts w:asciiTheme="majorBidi" w:eastAsiaTheme="majorEastAsia" w:hAnsiTheme="majorBidi" w:cstheme="majorBidi"/>
            <w:sz w:val="24"/>
            <w:szCs w:val="24"/>
            <w:lang w:val="en-GB"/>
          </w:rPr>
          <w:t>ViLTE</w:t>
        </w:r>
        <w:proofErr w:type="spellEnd"/>
      </w:hyperlink>
      <w:bookmarkEnd w:id="8"/>
      <w:bookmarkEnd w:id="9"/>
      <w:bookmarkEnd w:id="18"/>
    </w:p>
    <w:p w14:paraId="5DA17CE1" w14:textId="1479C6C0" w:rsidR="00950992" w:rsidRPr="00A94875" w:rsidRDefault="00950992" w:rsidP="00950992">
      <w:pPr>
        <w:rPr>
          <w:rFonts w:asciiTheme="majorBidi" w:hAnsiTheme="majorBidi" w:cstheme="majorBidi"/>
          <w:szCs w:val="24"/>
          <w:lang w:val="en-GB"/>
        </w:rPr>
      </w:pPr>
      <w:r w:rsidRPr="00A94875">
        <w:rPr>
          <w:rFonts w:asciiTheme="majorBidi" w:hAnsiTheme="majorBidi" w:cstheme="majorBidi"/>
          <w:szCs w:val="24"/>
          <w:lang w:val="en-GB"/>
        </w:rPr>
        <w:t xml:space="preserve">Quantum safe communications and quantum key distribution are new study areas </w:t>
      </w:r>
      <w:proofErr w:type="gramStart"/>
      <w:r w:rsidRPr="00A94875">
        <w:rPr>
          <w:rFonts w:asciiTheme="majorBidi" w:hAnsiTheme="majorBidi" w:cstheme="majorBidi"/>
          <w:szCs w:val="24"/>
          <w:lang w:val="en-GB"/>
        </w:rPr>
        <w:t>being tackled</w:t>
      </w:r>
      <w:proofErr w:type="gramEnd"/>
      <w:r w:rsidRPr="00A94875">
        <w:rPr>
          <w:rFonts w:asciiTheme="majorBidi" w:hAnsiTheme="majorBidi" w:cstheme="majorBidi"/>
          <w:szCs w:val="24"/>
          <w:lang w:val="en-GB"/>
        </w:rPr>
        <w:t xml:space="preserve"> by ITU Study Group 13 and ITU-T Study Group 17, where also new members have joined ITU-T.</w:t>
      </w:r>
    </w:p>
    <w:p w14:paraId="1A22D8C3" w14:textId="77777777" w:rsidR="00950992" w:rsidRPr="00950992" w:rsidRDefault="00950992" w:rsidP="00950992">
      <w:pPr>
        <w:spacing w:after="160" w:line="259" w:lineRule="auto"/>
        <w:rPr>
          <w:rFonts w:asciiTheme="majorBidi" w:hAnsiTheme="majorBidi" w:cstheme="majorBidi"/>
          <w:szCs w:val="24"/>
          <w:lang w:val="en-GB"/>
        </w:rPr>
      </w:pPr>
    </w:p>
    <w:p w14:paraId="54B5A0A5" w14:textId="77777777" w:rsidR="006944F8" w:rsidRPr="00A94875" w:rsidRDefault="00653C5B" w:rsidP="001A5609">
      <w:pPr>
        <w:pStyle w:val="Heading1"/>
        <w:rPr>
          <w:rFonts w:asciiTheme="majorBidi" w:eastAsiaTheme="minorEastAsia" w:hAnsiTheme="majorBidi" w:cstheme="majorBidi"/>
          <w:lang w:val="en-GB"/>
        </w:rPr>
      </w:pPr>
      <w:bookmarkStart w:id="19" w:name="_2.8_IPTV_and"/>
      <w:bookmarkStart w:id="20" w:name="a353677d2-7347-4cd3-8301-15d8ee365aeb"/>
      <w:bookmarkStart w:id="21" w:name="_3.4_e-Health"/>
      <w:bookmarkStart w:id="22" w:name="_3.6_Aviation_applications"/>
      <w:bookmarkStart w:id="23" w:name="_Toc416161352"/>
      <w:bookmarkStart w:id="24" w:name="_Toc438553972"/>
      <w:bookmarkStart w:id="25" w:name="_Toc453929091"/>
      <w:bookmarkStart w:id="26" w:name="_Toc453932962"/>
      <w:bookmarkStart w:id="27" w:name="_Toc454295868"/>
      <w:bookmarkStart w:id="28" w:name="_Toc462664223"/>
      <w:bookmarkStart w:id="29" w:name="_Toc480527817"/>
      <w:bookmarkStart w:id="30" w:name="_Toc530571847"/>
      <w:bookmarkEnd w:id="10"/>
      <w:bookmarkEnd w:id="11"/>
      <w:bookmarkEnd w:id="12"/>
      <w:bookmarkEnd w:id="13"/>
      <w:bookmarkEnd w:id="14"/>
      <w:bookmarkEnd w:id="15"/>
      <w:bookmarkEnd w:id="16"/>
      <w:bookmarkEnd w:id="19"/>
      <w:bookmarkEnd w:id="20"/>
      <w:bookmarkEnd w:id="21"/>
      <w:bookmarkEnd w:id="22"/>
      <w:r w:rsidRPr="00A94875">
        <w:rPr>
          <w:rFonts w:asciiTheme="majorBidi" w:eastAsiaTheme="minorEastAsia" w:hAnsiTheme="majorBidi" w:cstheme="majorBidi"/>
          <w:lang w:val="en-GB"/>
        </w:rPr>
        <w:lastRenderedPageBreak/>
        <w:t>2</w:t>
      </w:r>
      <w:r w:rsidR="006944F8" w:rsidRPr="00A94875">
        <w:rPr>
          <w:rFonts w:asciiTheme="majorBidi" w:eastAsiaTheme="minorEastAsia" w:hAnsiTheme="majorBidi" w:cstheme="majorBidi"/>
          <w:lang w:val="en-GB"/>
        </w:rPr>
        <w:tab/>
        <w:t>Conformity, interoperability</w:t>
      </w:r>
      <w:bookmarkEnd w:id="23"/>
      <w:r w:rsidR="006944F8" w:rsidRPr="00A94875">
        <w:rPr>
          <w:rFonts w:asciiTheme="majorBidi" w:eastAsiaTheme="minorEastAsia" w:hAnsiTheme="majorBidi" w:cstheme="majorBidi"/>
          <w:lang w:val="en-GB"/>
        </w:rPr>
        <w:t xml:space="preserve"> and testing</w:t>
      </w:r>
      <w:bookmarkEnd w:id="24"/>
      <w:bookmarkEnd w:id="25"/>
      <w:bookmarkEnd w:id="26"/>
      <w:bookmarkEnd w:id="27"/>
      <w:bookmarkEnd w:id="28"/>
      <w:bookmarkEnd w:id="29"/>
      <w:bookmarkEnd w:id="30"/>
    </w:p>
    <w:p w14:paraId="1F7CA4EA" w14:textId="2A185BC0" w:rsidR="006944F8" w:rsidRPr="00A94875" w:rsidRDefault="00653C5B" w:rsidP="001A5609">
      <w:pPr>
        <w:pStyle w:val="Heading2"/>
        <w:rPr>
          <w:rFonts w:asciiTheme="majorBidi" w:hAnsiTheme="majorBidi" w:cstheme="majorBidi"/>
          <w:lang w:val="en-GB"/>
        </w:rPr>
      </w:pPr>
      <w:bookmarkStart w:id="31" w:name="_Toc462664224"/>
      <w:bookmarkStart w:id="32" w:name="_Toc480527818"/>
      <w:bookmarkStart w:id="33" w:name="_Toc530571848"/>
      <w:bookmarkStart w:id="34" w:name="_Toc453929092"/>
      <w:bookmarkStart w:id="35" w:name="_Toc453932963"/>
      <w:bookmarkStart w:id="36" w:name="_Toc454295869"/>
      <w:r w:rsidRPr="00A94875">
        <w:rPr>
          <w:rFonts w:asciiTheme="majorBidi" w:hAnsiTheme="majorBidi" w:cstheme="majorBidi"/>
          <w:lang w:val="en-GB"/>
        </w:rPr>
        <w:t>2</w:t>
      </w:r>
      <w:r w:rsidR="006944F8" w:rsidRPr="00A94875">
        <w:rPr>
          <w:rFonts w:asciiTheme="majorBidi" w:hAnsiTheme="majorBidi" w:cstheme="majorBidi"/>
          <w:lang w:val="en-GB"/>
        </w:rPr>
        <w:t>.1</w:t>
      </w:r>
      <w:r w:rsidR="006944F8" w:rsidRPr="00A94875">
        <w:rPr>
          <w:rFonts w:asciiTheme="majorBidi" w:hAnsiTheme="majorBidi" w:cstheme="majorBidi"/>
          <w:lang w:val="en-GB"/>
        </w:rPr>
        <w:tab/>
        <w:t>Conformance Assessment Steering Committee (CASC)</w:t>
      </w:r>
      <w:bookmarkEnd w:id="31"/>
      <w:bookmarkEnd w:id="32"/>
      <w:bookmarkEnd w:id="33"/>
    </w:p>
    <w:p w14:paraId="0BCF79D5" w14:textId="77777777" w:rsidR="006944F8" w:rsidRPr="00A94875" w:rsidRDefault="006944F8" w:rsidP="006944F8">
      <w:pPr>
        <w:snapToGrid w:val="0"/>
        <w:rPr>
          <w:rFonts w:asciiTheme="majorBidi" w:hAnsiTheme="majorBidi" w:cstheme="majorBidi"/>
          <w:lang w:val="en-GB"/>
        </w:rPr>
      </w:pPr>
      <w:r w:rsidRPr="00A94875">
        <w:rPr>
          <w:rFonts w:asciiTheme="majorBidi" w:hAnsiTheme="majorBidi" w:cstheme="majorBidi"/>
          <w:lang w:val="en-GB"/>
        </w:rPr>
        <w:t xml:space="preserve">The main objective of ITU-T CASC is to set up criteria, rules and procedures to recognize Test Laboratories (TL) with competence in ITU-T Recommendation(s) and register these TLs in the ITU recognized TL list. This effort </w:t>
      </w:r>
      <w:proofErr w:type="gramStart"/>
      <w:r w:rsidRPr="00A94875">
        <w:rPr>
          <w:rFonts w:asciiTheme="majorBidi" w:hAnsiTheme="majorBidi" w:cstheme="majorBidi"/>
          <w:lang w:val="en-GB"/>
        </w:rPr>
        <w:t>is supported</w:t>
      </w:r>
      <w:proofErr w:type="gramEnd"/>
      <w:r w:rsidRPr="00A94875">
        <w:rPr>
          <w:rFonts w:asciiTheme="majorBidi" w:hAnsiTheme="majorBidi" w:cstheme="majorBidi"/>
          <w:lang w:val="en-GB"/>
        </w:rPr>
        <w:t xml:space="preserve"> by a guideline "Testing laboratories recognition procedure" agreed by ITU-T SG11 in 2015. According to requests received from ITU members and ITU-T Study Groups, ITU-T CASC established a list of ITU-T Recommendations (e.g., ITU-T P.1140, ITU-T P.1100 and P.1110, and ITU-T K.116) which may become subjects of the future joint certification schemes.</w:t>
      </w:r>
    </w:p>
    <w:p w14:paraId="3181852B" w14:textId="77777777" w:rsidR="006944F8" w:rsidRPr="00A94875" w:rsidRDefault="006944F8" w:rsidP="006944F8">
      <w:pPr>
        <w:pStyle w:val="normalWSIS"/>
        <w:numPr>
          <w:ilvl w:val="0"/>
          <w:numId w:val="0"/>
        </w:numPr>
        <w:spacing w:after="120"/>
        <w:jc w:val="left"/>
        <w:rPr>
          <w:rFonts w:asciiTheme="majorBidi" w:hAnsiTheme="majorBidi" w:cstheme="majorBidi"/>
          <w:sz w:val="24"/>
          <w:szCs w:val="24"/>
          <w:lang w:val="en-GB"/>
        </w:rPr>
      </w:pPr>
      <w:r w:rsidRPr="00A94875">
        <w:rPr>
          <w:rFonts w:asciiTheme="majorBidi" w:hAnsiTheme="majorBidi" w:cstheme="majorBidi"/>
          <w:sz w:val="24"/>
          <w:szCs w:val="24"/>
          <w:lang w:val="en-GB"/>
        </w:rPr>
        <w:t>ITU-T CASC continue collaboration with existing conformity assessment systems and schemes such as IEC and ILAC, including participation in a new Task Force “ITU requirements” which was set up by IECEE Certification Management Committee (CMC).</w:t>
      </w:r>
    </w:p>
    <w:p w14:paraId="50DEA394" w14:textId="77777777" w:rsidR="006944F8" w:rsidRPr="00A94875" w:rsidRDefault="006944F8" w:rsidP="006944F8">
      <w:pPr>
        <w:pStyle w:val="normalWSIS"/>
        <w:numPr>
          <w:ilvl w:val="0"/>
          <w:numId w:val="0"/>
        </w:numPr>
        <w:spacing w:after="120"/>
        <w:jc w:val="left"/>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In July 2018, IEC presented the draft Operational Document (OD) named “ICT Laboratory Recognition Service on ITU–T Recommendations”, which specifies the requirements and processes of the ICT Laboratory Recognition Service based on ITU–T Recommendations. This service </w:t>
      </w:r>
      <w:proofErr w:type="gramStart"/>
      <w:r w:rsidRPr="00A94875">
        <w:rPr>
          <w:rFonts w:asciiTheme="majorBidi" w:hAnsiTheme="majorBidi" w:cstheme="majorBidi"/>
          <w:sz w:val="24"/>
          <w:szCs w:val="24"/>
          <w:lang w:val="en-GB"/>
        </w:rPr>
        <w:t>is based</w:t>
      </w:r>
      <w:proofErr w:type="gramEnd"/>
      <w:r w:rsidRPr="00A94875">
        <w:rPr>
          <w:rFonts w:asciiTheme="majorBidi" w:hAnsiTheme="majorBidi" w:cstheme="majorBidi"/>
          <w:sz w:val="24"/>
          <w:szCs w:val="24"/>
          <w:lang w:val="en-GB"/>
        </w:rPr>
        <w:t xml:space="preserve"> on IECEE peer assessment processes by using ITU-T recommendations and it will become a standalone service provided by IECEE CB scheme.</w:t>
      </w:r>
    </w:p>
    <w:p w14:paraId="08364042" w14:textId="77777777" w:rsidR="006944F8" w:rsidRPr="00A94875" w:rsidRDefault="006944F8" w:rsidP="006944F8">
      <w:pPr>
        <w:pStyle w:val="normalWSIS"/>
        <w:numPr>
          <w:ilvl w:val="0"/>
          <w:numId w:val="0"/>
        </w:numPr>
        <w:spacing w:after="120"/>
        <w:jc w:val="left"/>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It was decided to seek approval of the conceptual, draft, OD in IECEE first, and then CASC will develop its own </w:t>
      </w:r>
      <w:proofErr w:type="gramStart"/>
      <w:r w:rsidRPr="00A94875">
        <w:rPr>
          <w:rFonts w:asciiTheme="majorBidi" w:hAnsiTheme="majorBidi" w:cstheme="majorBidi"/>
          <w:sz w:val="24"/>
          <w:szCs w:val="24"/>
          <w:lang w:val="en-GB"/>
        </w:rPr>
        <w:t>guideline which</w:t>
      </w:r>
      <w:proofErr w:type="gramEnd"/>
      <w:r w:rsidRPr="00A94875">
        <w:rPr>
          <w:rFonts w:asciiTheme="majorBidi" w:hAnsiTheme="majorBidi" w:cstheme="majorBidi"/>
          <w:sz w:val="24"/>
          <w:szCs w:val="24"/>
          <w:lang w:val="en-GB"/>
        </w:rPr>
        <w:t xml:space="preserve"> would refer to the OD accordingly.</w:t>
      </w:r>
    </w:p>
    <w:p w14:paraId="244BCF23" w14:textId="77777777" w:rsidR="006944F8" w:rsidRPr="00A94875" w:rsidRDefault="006944F8" w:rsidP="006944F8">
      <w:pPr>
        <w:pStyle w:val="normalWSIS"/>
        <w:numPr>
          <w:ilvl w:val="0"/>
          <w:numId w:val="0"/>
        </w:numPr>
        <w:spacing w:after="120"/>
        <w:jc w:val="left"/>
        <w:rPr>
          <w:rFonts w:asciiTheme="majorBidi" w:hAnsiTheme="majorBidi" w:cstheme="majorBidi"/>
          <w:sz w:val="24"/>
          <w:szCs w:val="24"/>
          <w:lang w:val="en-GB"/>
        </w:rPr>
      </w:pPr>
      <w:r w:rsidRPr="00A94875">
        <w:rPr>
          <w:rFonts w:asciiTheme="majorBidi" w:hAnsiTheme="majorBidi" w:cstheme="majorBidi"/>
          <w:sz w:val="24"/>
          <w:szCs w:val="24"/>
          <w:lang w:val="en-GB"/>
        </w:rPr>
        <w:t xml:space="preserve">The next meeting will take place during next SG11 meeting in March 2019. More details are available on the ITU-T CASC </w:t>
      </w:r>
      <w:hyperlink r:id="rId59" w:history="1">
        <w:r w:rsidRPr="00A94875">
          <w:rPr>
            <w:rStyle w:val="Hyperlink"/>
            <w:rFonts w:asciiTheme="majorBidi" w:hAnsiTheme="majorBidi" w:cstheme="majorBidi"/>
            <w:sz w:val="24"/>
            <w:szCs w:val="24"/>
            <w:lang w:val="en-GB"/>
          </w:rPr>
          <w:t>web page</w:t>
        </w:r>
      </w:hyperlink>
      <w:r w:rsidRPr="00A94875">
        <w:rPr>
          <w:rFonts w:asciiTheme="majorBidi" w:hAnsiTheme="majorBidi" w:cstheme="majorBidi"/>
          <w:sz w:val="24"/>
          <w:szCs w:val="24"/>
          <w:lang w:val="en-GB"/>
        </w:rPr>
        <w:t>.</w:t>
      </w:r>
    </w:p>
    <w:p w14:paraId="0B563D2C" w14:textId="0384A381" w:rsidR="006944F8" w:rsidRPr="00A94875" w:rsidRDefault="00D64AF8" w:rsidP="006944F8">
      <w:pPr>
        <w:pStyle w:val="Heading2"/>
        <w:rPr>
          <w:rFonts w:asciiTheme="majorBidi" w:hAnsiTheme="majorBidi" w:cstheme="majorBidi"/>
          <w:lang w:val="en-GB"/>
        </w:rPr>
      </w:pPr>
      <w:bookmarkStart w:id="37" w:name="_Toc462664225"/>
      <w:bookmarkStart w:id="38" w:name="_Toc480527819"/>
      <w:bookmarkStart w:id="39" w:name="_Toc530571849"/>
      <w:bookmarkStart w:id="40" w:name="_Toc453932965"/>
      <w:bookmarkStart w:id="41" w:name="_Toc438553975"/>
      <w:bookmarkStart w:id="42" w:name="_Toc453929094"/>
      <w:bookmarkStart w:id="43" w:name="_Toc454295871"/>
      <w:r w:rsidRPr="00A94875">
        <w:rPr>
          <w:rFonts w:asciiTheme="majorBidi" w:hAnsiTheme="majorBidi" w:cstheme="majorBidi"/>
          <w:lang w:val="en-GB"/>
        </w:rPr>
        <w:t>2</w:t>
      </w:r>
      <w:r w:rsidR="006944F8" w:rsidRPr="00A94875">
        <w:rPr>
          <w:rFonts w:asciiTheme="majorBidi" w:hAnsiTheme="majorBidi" w:cstheme="majorBidi"/>
          <w:lang w:val="en-GB"/>
        </w:rPr>
        <w:t>.2</w:t>
      </w:r>
      <w:r w:rsidR="006944F8" w:rsidRPr="00A94875">
        <w:rPr>
          <w:rFonts w:asciiTheme="majorBidi" w:hAnsiTheme="majorBidi" w:cstheme="majorBidi"/>
          <w:lang w:val="en-GB"/>
        </w:rPr>
        <w:tab/>
        <w:t>ICT Product Conformity Database</w:t>
      </w:r>
      <w:bookmarkEnd w:id="37"/>
      <w:bookmarkEnd w:id="38"/>
      <w:bookmarkEnd w:id="39"/>
    </w:p>
    <w:p w14:paraId="06757118" w14:textId="77777777" w:rsidR="006944F8" w:rsidRPr="00A94875" w:rsidRDefault="006944F8" w:rsidP="006944F8">
      <w:pPr>
        <w:rPr>
          <w:color w:val="555555"/>
          <w:sz w:val="21"/>
          <w:lang w:val="en-GB"/>
        </w:rPr>
      </w:pPr>
      <w:r w:rsidRPr="00A94875">
        <w:rPr>
          <w:lang w:val="en-GB"/>
        </w:rPr>
        <w:t>The “</w:t>
      </w:r>
      <w:hyperlink r:id="rId60" w:history="1">
        <w:r w:rsidRPr="00A94875">
          <w:rPr>
            <w:rStyle w:val="Hyperlink"/>
            <w:rFonts w:eastAsiaTheme="majorEastAsia"/>
            <w:lang w:val="en-GB"/>
          </w:rPr>
          <w:t>ICT product conformity database</w:t>
        </w:r>
      </w:hyperlink>
      <w:r w:rsidRPr="00A94875">
        <w:rPr>
          <w:lang w:val="en-GB"/>
        </w:rPr>
        <w:t xml:space="preserve">” enables industry to publicize the conformance of ICT products and services to ITU-T Recommendations, assisting users in their efforts to select standards-compliant products. Four categories of products and services </w:t>
      </w:r>
      <w:proofErr w:type="gramStart"/>
      <w:r w:rsidRPr="00A94875">
        <w:rPr>
          <w:lang w:val="en-GB"/>
        </w:rPr>
        <w:t>have been submitted</w:t>
      </w:r>
      <w:proofErr w:type="gramEnd"/>
      <w:r w:rsidRPr="00A94875">
        <w:rPr>
          <w:lang w:val="en-GB"/>
        </w:rPr>
        <w:t xml:space="preserve"> to the database:</w:t>
      </w:r>
    </w:p>
    <w:p w14:paraId="62804A5B" w14:textId="77777777" w:rsidR="006944F8" w:rsidRPr="00A94875" w:rsidRDefault="006944F8" w:rsidP="009261B2">
      <w:pPr>
        <w:numPr>
          <w:ilvl w:val="0"/>
          <w:numId w:val="37"/>
        </w:numPr>
        <w:rPr>
          <w:i/>
          <w:lang w:val="en-GB"/>
        </w:rPr>
      </w:pPr>
      <w:proofErr w:type="gramStart"/>
      <w:r w:rsidRPr="00A94875">
        <w:rPr>
          <w:b/>
          <w:bCs/>
          <w:lang w:val="en-GB"/>
        </w:rPr>
        <w:t>e-Health</w:t>
      </w:r>
      <w:proofErr w:type="gramEnd"/>
      <w:r w:rsidRPr="00A94875">
        <w:rPr>
          <w:lang w:val="en-GB"/>
        </w:rPr>
        <w:t xml:space="preserve"> solutions complying with the specifications of ITU-T H.810 “Interoperability design guidelines for personal health systems”, a transposition of the Continua Design Guidelines.</w:t>
      </w:r>
      <w:r w:rsidRPr="00A94875">
        <w:rPr>
          <w:lang w:val="en-GB"/>
        </w:rPr>
        <w:br/>
      </w:r>
      <w:r w:rsidRPr="00A94875">
        <w:rPr>
          <w:i/>
          <w:lang w:val="en-GB"/>
        </w:rPr>
        <w:t xml:space="preserve">Note: Six new texts </w:t>
      </w:r>
      <w:proofErr w:type="gramStart"/>
      <w:r w:rsidRPr="00A94875">
        <w:rPr>
          <w:i/>
          <w:lang w:val="en-GB"/>
        </w:rPr>
        <w:t>were added</w:t>
      </w:r>
      <w:proofErr w:type="gramEnd"/>
      <w:r w:rsidRPr="00A94875">
        <w:rPr>
          <w:i/>
          <w:lang w:val="en-GB"/>
        </w:rPr>
        <w:t xml:space="preserve"> to the series of</w:t>
      </w:r>
      <w:r w:rsidRPr="00A94875">
        <w:rPr>
          <w:b/>
          <w:bCs/>
          <w:i/>
          <w:lang w:val="en-GB"/>
        </w:rPr>
        <w:t xml:space="preserve"> </w:t>
      </w:r>
      <w:r w:rsidRPr="00A94875">
        <w:rPr>
          <w:i/>
          <w:lang w:val="en-GB"/>
        </w:rPr>
        <w:t xml:space="preserve">Recommendations in the ITU-T H.820-H.850 series for conformance testing of e-Health solutions complying with the specifications of ITU-T H.810 “Interoperability design guidelines for personal health systems”. Seven existing testing specifications </w:t>
      </w:r>
      <w:proofErr w:type="gramStart"/>
      <w:r w:rsidRPr="00A94875">
        <w:rPr>
          <w:i/>
          <w:lang w:val="en-GB"/>
        </w:rPr>
        <w:t>were revised</w:t>
      </w:r>
      <w:proofErr w:type="gramEnd"/>
      <w:r w:rsidRPr="00A94875">
        <w:rPr>
          <w:i/>
          <w:lang w:val="en-GB"/>
        </w:rPr>
        <w:t xml:space="preserve">. The updates allow testing of implementations complying with the </w:t>
      </w:r>
      <w:proofErr w:type="gramStart"/>
      <w:r w:rsidRPr="00A94875">
        <w:rPr>
          <w:i/>
          <w:lang w:val="en-GB"/>
        </w:rPr>
        <w:t>4th</w:t>
      </w:r>
      <w:proofErr w:type="gramEnd"/>
      <w:r w:rsidRPr="00A94875">
        <w:rPr>
          <w:i/>
          <w:lang w:val="en-GB"/>
        </w:rPr>
        <w:t xml:space="preserve"> edition of ITU-T H.810.</w:t>
      </w:r>
    </w:p>
    <w:p w14:paraId="6EB17E71" w14:textId="5349165E" w:rsidR="006944F8" w:rsidRPr="00A94875" w:rsidRDefault="006944F8" w:rsidP="009261B2">
      <w:pPr>
        <w:numPr>
          <w:ilvl w:val="0"/>
          <w:numId w:val="37"/>
        </w:numPr>
        <w:rPr>
          <w:rFonts w:asciiTheme="majorBidi" w:hAnsiTheme="majorBidi" w:cstheme="majorBidi"/>
          <w:lang w:val="en-GB"/>
        </w:rPr>
      </w:pPr>
      <w:r w:rsidRPr="00A94875">
        <w:rPr>
          <w:b/>
          <w:bCs/>
          <w:lang w:val="en-GB"/>
        </w:rPr>
        <w:t>Mobile phones</w:t>
      </w:r>
      <w:r w:rsidRPr="00A94875">
        <w:rPr>
          <w:lang w:val="en-GB"/>
        </w:rPr>
        <w:t xml:space="preserve"> compatible with Bluetooth-enabled vehicle hands-free terminals. This compatibility is determined in accordance with the ‘Chapter 12 tests’ (“Verification of the transmission performance of short-range wireless (SRW) transmission enabled phones”) of ITU-T P.1100 and ITU-T P.1110. </w:t>
      </w:r>
    </w:p>
    <w:p w14:paraId="2A4C98C8" w14:textId="77777777" w:rsidR="006944F8" w:rsidRPr="00A94875" w:rsidRDefault="006944F8" w:rsidP="009261B2">
      <w:pPr>
        <w:numPr>
          <w:ilvl w:val="0"/>
          <w:numId w:val="37"/>
        </w:numPr>
        <w:rPr>
          <w:lang w:val="en-GB"/>
        </w:rPr>
      </w:pPr>
      <w:r w:rsidRPr="00A94875">
        <w:rPr>
          <w:b/>
          <w:bCs/>
          <w:lang w:val="en-GB"/>
        </w:rPr>
        <w:t xml:space="preserve">Ethernet </w:t>
      </w:r>
      <w:r w:rsidRPr="00A94875">
        <w:rPr>
          <w:lang w:val="en-GB"/>
        </w:rPr>
        <w:t xml:space="preserve">products complying with ITU-T G.8011/Y.1307 “Ethernet Services Characteristics”. This standard as well as the corresponding tests </w:t>
      </w:r>
      <w:proofErr w:type="gramStart"/>
      <w:r w:rsidRPr="00A94875">
        <w:rPr>
          <w:lang w:val="en-GB"/>
        </w:rPr>
        <w:t>are based</w:t>
      </w:r>
      <w:proofErr w:type="gramEnd"/>
      <w:r w:rsidRPr="00A94875">
        <w:rPr>
          <w:lang w:val="en-GB"/>
        </w:rPr>
        <w:t xml:space="preserve"> on the work of MEF (formerly called Metro Ethernet Forum).</w:t>
      </w:r>
    </w:p>
    <w:p w14:paraId="578E0181" w14:textId="77777777" w:rsidR="006944F8" w:rsidRPr="00A94875" w:rsidRDefault="006944F8" w:rsidP="009261B2">
      <w:pPr>
        <w:numPr>
          <w:ilvl w:val="0"/>
          <w:numId w:val="37"/>
        </w:numPr>
        <w:rPr>
          <w:lang w:val="en-GB"/>
        </w:rPr>
      </w:pPr>
      <w:r w:rsidRPr="00A94875">
        <w:rPr>
          <w:b/>
          <w:bCs/>
          <w:lang w:val="en-GB"/>
        </w:rPr>
        <w:t xml:space="preserve">IPTV </w:t>
      </w:r>
      <w:r w:rsidRPr="00A94875">
        <w:rPr>
          <w:lang w:val="en-GB"/>
        </w:rPr>
        <w:t xml:space="preserve">products meet the requirements of </w:t>
      </w:r>
      <w:hyperlink r:id="rId61" w:history="1">
        <w:r w:rsidRPr="00A94875">
          <w:rPr>
            <w:rStyle w:val="Hyperlink"/>
            <w:rFonts w:cstheme="majorBidi"/>
            <w:lang w:val="en-GB"/>
          </w:rPr>
          <w:t>ITU-T H.721</w:t>
        </w:r>
      </w:hyperlink>
      <w:r w:rsidRPr="00A94875">
        <w:rPr>
          <w:rFonts w:asciiTheme="majorBidi" w:hAnsiTheme="majorBidi" w:cstheme="majorBidi"/>
          <w:lang w:val="en-GB"/>
        </w:rPr>
        <w:t xml:space="preserve"> </w:t>
      </w:r>
      <w:r w:rsidRPr="00A94875">
        <w:rPr>
          <w:lang w:val="en-GB"/>
        </w:rPr>
        <w:t xml:space="preserve">“IPTV terminal devices: Basic Model” and </w:t>
      </w:r>
      <w:hyperlink r:id="rId62" w:history="1">
        <w:r w:rsidRPr="00A94875">
          <w:rPr>
            <w:rStyle w:val="Hyperlink"/>
            <w:rFonts w:asciiTheme="majorBidi" w:hAnsiTheme="majorBidi" w:cstheme="majorBidi"/>
            <w:szCs w:val="24"/>
            <w:lang w:val="en-GB"/>
          </w:rPr>
          <w:t>ITU-T H.702</w:t>
        </w:r>
      </w:hyperlink>
      <w:r w:rsidRPr="00A94875">
        <w:rPr>
          <w:rFonts w:asciiTheme="majorBidi" w:hAnsiTheme="majorBidi" w:cstheme="majorBidi"/>
          <w:szCs w:val="24"/>
          <w:lang w:val="en-GB"/>
        </w:rPr>
        <w:t xml:space="preserve"> “</w:t>
      </w:r>
      <w:r w:rsidRPr="00A94875">
        <w:rPr>
          <w:lang w:val="en-GB"/>
        </w:rPr>
        <w:t xml:space="preserve">Accessibility profiles for IPTV systems”, tested to </w:t>
      </w:r>
      <w:hyperlink r:id="rId63" w:history="1">
        <w:r w:rsidRPr="00A94875">
          <w:rPr>
            <w:rStyle w:val="Hyperlink"/>
            <w:rFonts w:asciiTheme="majorBidi" w:hAnsiTheme="majorBidi" w:cstheme="majorBidi"/>
            <w:lang w:val="en-GB"/>
          </w:rPr>
          <w:t>HSTP-CONF H721</w:t>
        </w:r>
      </w:hyperlink>
      <w:r w:rsidRPr="00A94875">
        <w:rPr>
          <w:rFonts w:asciiTheme="majorBidi" w:hAnsiTheme="majorBidi" w:cstheme="majorBidi"/>
          <w:lang w:val="en-GB"/>
        </w:rPr>
        <w:t xml:space="preserve"> </w:t>
      </w:r>
      <w:r w:rsidRPr="00A94875">
        <w:rPr>
          <w:rFonts w:asciiTheme="majorBidi" w:hAnsiTheme="majorBidi" w:cstheme="majorBidi"/>
          <w:szCs w:val="24"/>
          <w:lang w:val="en-GB"/>
        </w:rPr>
        <w:t xml:space="preserve">and </w:t>
      </w:r>
      <w:hyperlink r:id="rId64" w:history="1">
        <w:r w:rsidRPr="00A94875">
          <w:rPr>
            <w:rStyle w:val="Hyperlink"/>
            <w:rFonts w:asciiTheme="majorBidi" w:hAnsiTheme="majorBidi" w:cstheme="majorBidi"/>
            <w:szCs w:val="24"/>
            <w:lang w:val="en-GB"/>
          </w:rPr>
          <w:t>HSTP-CONF-H702</w:t>
        </w:r>
      </w:hyperlink>
      <w:r w:rsidRPr="00A94875">
        <w:rPr>
          <w:rStyle w:val="Hyperlink"/>
          <w:rFonts w:asciiTheme="majorBidi" w:hAnsiTheme="majorBidi" w:cstheme="majorBidi"/>
          <w:szCs w:val="24"/>
          <w:lang w:val="en-GB"/>
        </w:rPr>
        <w:t>.</w:t>
      </w:r>
    </w:p>
    <w:p w14:paraId="7DDC8B53" w14:textId="77777777" w:rsidR="006944F8" w:rsidRPr="00A94875" w:rsidRDefault="006944F8" w:rsidP="009261B2">
      <w:pPr>
        <w:numPr>
          <w:ilvl w:val="0"/>
          <w:numId w:val="37"/>
        </w:numPr>
        <w:rPr>
          <w:lang w:val="en-GB"/>
        </w:rPr>
      </w:pPr>
      <w:r w:rsidRPr="00A94875">
        <w:rPr>
          <w:b/>
          <w:lang w:val="en-GB"/>
        </w:rPr>
        <w:t>Mobile Number Portability (MNP)</w:t>
      </w:r>
      <w:r w:rsidRPr="00A94875">
        <w:rPr>
          <w:lang w:val="en-GB"/>
        </w:rPr>
        <w:t xml:space="preserve"> products comply with ITU-T Q.Suppl.4/ITU-T Q.3905.</w:t>
      </w:r>
    </w:p>
    <w:p w14:paraId="10D9EAB6" w14:textId="69941C9B" w:rsidR="006944F8" w:rsidRPr="00A94875" w:rsidRDefault="006944F8" w:rsidP="009E5FFA">
      <w:pPr>
        <w:rPr>
          <w:rFonts w:asciiTheme="majorBidi" w:hAnsiTheme="majorBidi" w:cstheme="majorBidi"/>
          <w:lang w:val="en-GB" w:eastAsia="en-US"/>
        </w:rPr>
      </w:pPr>
      <w:r w:rsidRPr="00A94875">
        <w:rPr>
          <w:rFonts w:asciiTheme="majorBidi" w:hAnsiTheme="majorBidi" w:cstheme="majorBidi"/>
          <w:lang w:val="en-GB" w:eastAsia="en-US"/>
        </w:rPr>
        <w:lastRenderedPageBreak/>
        <w:t xml:space="preserve">A Technical Paper FSTP-CONF-F921 </w:t>
      </w:r>
      <w:proofErr w:type="gramStart"/>
      <w:r w:rsidRPr="00A94875">
        <w:rPr>
          <w:rFonts w:asciiTheme="majorBidi" w:hAnsiTheme="majorBidi" w:cstheme="majorBidi"/>
          <w:lang w:val="en-GB" w:eastAsia="en-US"/>
        </w:rPr>
        <w:t>was also approved</w:t>
      </w:r>
      <w:proofErr w:type="gramEnd"/>
      <w:r w:rsidRPr="00A94875">
        <w:rPr>
          <w:rFonts w:asciiTheme="majorBidi" w:hAnsiTheme="majorBidi" w:cstheme="majorBidi"/>
          <w:lang w:val="en-GB" w:eastAsia="en-US"/>
        </w:rPr>
        <w:t xml:space="preserve">, which allows conformance testing of deployments of </w:t>
      </w:r>
      <w:r w:rsidR="00A24FAD" w:rsidRPr="00A94875">
        <w:rPr>
          <w:rFonts w:asciiTheme="majorBidi" w:hAnsiTheme="majorBidi" w:cstheme="majorBidi"/>
          <w:lang w:val="en-GB" w:eastAsia="en-US"/>
        </w:rPr>
        <w:t xml:space="preserve">systems </w:t>
      </w:r>
      <w:r w:rsidRPr="00A94875">
        <w:rPr>
          <w:rFonts w:asciiTheme="majorBidi" w:hAnsiTheme="majorBidi" w:cstheme="majorBidi"/>
          <w:lang w:val="en-GB" w:eastAsia="en-US"/>
        </w:rPr>
        <w:t>compl</w:t>
      </w:r>
      <w:r w:rsidR="00A24FAD" w:rsidRPr="00A94875">
        <w:rPr>
          <w:rFonts w:asciiTheme="majorBidi" w:hAnsiTheme="majorBidi" w:cstheme="majorBidi"/>
          <w:lang w:val="en-GB" w:eastAsia="en-US"/>
        </w:rPr>
        <w:t>ying with Recommendation</w:t>
      </w:r>
      <w:r w:rsidRPr="00A94875">
        <w:rPr>
          <w:rFonts w:asciiTheme="majorBidi" w:hAnsiTheme="majorBidi" w:cstheme="majorBidi"/>
          <w:lang w:val="en-GB" w:eastAsia="en-US"/>
        </w:rPr>
        <w:t xml:space="preserve"> ITU-T F.921 "Audio-based indoor and outdoor network navigation system for persons with vision impairment".</w:t>
      </w:r>
    </w:p>
    <w:p w14:paraId="57338550" w14:textId="2875368B" w:rsidR="00D64AF8" w:rsidRPr="00A94875" w:rsidRDefault="00D64AF8" w:rsidP="009E5FFA">
      <w:pPr>
        <w:pStyle w:val="Heading2"/>
        <w:rPr>
          <w:rFonts w:asciiTheme="majorBidi" w:hAnsiTheme="majorBidi" w:cstheme="majorBidi"/>
          <w:lang w:val="en-GB"/>
        </w:rPr>
      </w:pPr>
      <w:bookmarkStart w:id="44" w:name="_Toc530571850"/>
      <w:r w:rsidRPr="00A94875">
        <w:rPr>
          <w:rFonts w:asciiTheme="majorBidi" w:hAnsiTheme="majorBidi" w:cstheme="majorBidi"/>
          <w:lang w:val="en-GB"/>
        </w:rPr>
        <w:t>2.3</w:t>
      </w:r>
      <w:r w:rsidRPr="00A94875">
        <w:rPr>
          <w:rFonts w:asciiTheme="majorBidi" w:hAnsiTheme="majorBidi" w:cstheme="majorBidi"/>
          <w:lang w:val="en-GB"/>
        </w:rPr>
        <w:tab/>
        <w:t>Testing Internet of Things</w:t>
      </w:r>
      <w:bookmarkEnd w:id="44"/>
    </w:p>
    <w:p w14:paraId="1AEF4BB8" w14:textId="77777777" w:rsidR="00D64AF8" w:rsidRPr="00A94875" w:rsidRDefault="00D64AF8" w:rsidP="00D64AF8">
      <w:pPr>
        <w:rPr>
          <w:rFonts w:asciiTheme="majorBidi" w:hAnsiTheme="majorBidi" w:cstheme="majorBidi"/>
          <w:bCs/>
          <w:lang w:val="en-GB"/>
        </w:rPr>
      </w:pPr>
      <w:r w:rsidRPr="00A94875">
        <w:rPr>
          <w:rFonts w:asciiTheme="majorBidi" w:hAnsiTheme="majorBidi" w:cstheme="majorBidi"/>
          <w:bCs/>
          <w:lang w:val="en-GB"/>
        </w:rPr>
        <w:t xml:space="preserve">Membership has approved the new ITU standard, Recommendation ITU-T Q.4060 “The structure of the testing of heterogeneous Internet of Things gateways in a laboratory environment”. Following the completion of this standard, a new subcategory of the </w:t>
      </w:r>
      <w:proofErr w:type="spellStart"/>
      <w:r w:rsidRPr="00A94875">
        <w:rPr>
          <w:rFonts w:asciiTheme="majorBidi" w:hAnsiTheme="majorBidi" w:cstheme="majorBidi"/>
          <w:bCs/>
          <w:lang w:val="en-GB"/>
        </w:rPr>
        <w:t>Q.series</w:t>
      </w:r>
      <w:proofErr w:type="spellEnd"/>
      <w:r w:rsidRPr="00A94875">
        <w:rPr>
          <w:rFonts w:asciiTheme="majorBidi" w:hAnsiTheme="majorBidi" w:cstheme="majorBidi"/>
          <w:bCs/>
          <w:lang w:val="en-GB"/>
        </w:rPr>
        <w:t xml:space="preserve"> </w:t>
      </w:r>
      <w:proofErr w:type="gramStart"/>
      <w:r w:rsidRPr="00A94875">
        <w:rPr>
          <w:rFonts w:asciiTheme="majorBidi" w:hAnsiTheme="majorBidi" w:cstheme="majorBidi"/>
          <w:bCs/>
          <w:lang w:val="en-GB"/>
        </w:rPr>
        <w:t>was established</w:t>
      </w:r>
      <w:proofErr w:type="gramEnd"/>
      <w:r w:rsidRPr="00A94875">
        <w:rPr>
          <w:rFonts w:asciiTheme="majorBidi" w:hAnsiTheme="majorBidi" w:cstheme="majorBidi"/>
          <w:bCs/>
          <w:lang w:val="en-GB"/>
        </w:rPr>
        <w:t xml:space="preserve">: Q.4060-Q.4099 “Testing specifications for IMT-2020 and </w:t>
      </w:r>
      <w:proofErr w:type="spellStart"/>
      <w:r w:rsidRPr="00A94875">
        <w:rPr>
          <w:rFonts w:asciiTheme="majorBidi" w:hAnsiTheme="majorBidi" w:cstheme="majorBidi"/>
          <w:bCs/>
          <w:lang w:val="en-GB"/>
        </w:rPr>
        <w:t>IoT</w:t>
      </w:r>
      <w:proofErr w:type="spellEnd"/>
      <w:r w:rsidRPr="00A94875">
        <w:rPr>
          <w:rFonts w:asciiTheme="majorBidi" w:hAnsiTheme="majorBidi" w:cstheme="majorBidi"/>
          <w:bCs/>
          <w:lang w:val="en-GB"/>
        </w:rPr>
        <w:t>”.</w:t>
      </w:r>
    </w:p>
    <w:p w14:paraId="69389FFE" w14:textId="77777777" w:rsidR="00D64AF8" w:rsidRPr="00A94875" w:rsidRDefault="00D64AF8" w:rsidP="00D64AF8">
      <w:pPr>
        <w:rPr>
          <w:rFonts w:asciiTheme="majorBidi" w:hAnsiTheme="majorBidi" w:cstheme="majorBidi"/>
          <w:bCs/>
          <w:lang w:val="en-GB"/>
        </w:rPr>
      </w:pPr>
      <w:r w:rsidRPr="00A94875">
        <w:rPr>
          <w:rFonts w:asciiTheme="majorBidi" w:hAnsiTheme="majorBidi" w:cstheme="majorBidi"/>
          <w:bCs/>
          <w:lang w:val="en-GB"/>
        </w:rPr>
        <w:t xml:space="preserve">ITU-T is developing three work items on </w:t>
      </w:r>
      <w:proofErr w:type="spellStart"/>
      <w:r w:rsidRPr="00A94875">
        <w:rPr>
          <w:rFonts w:asciiTheme="majorBidi" w:hAnsiTheme="majorBidi" w:cstheme="majorBidi"/>
          <w:bCs/>
          <w:lang w:val="en-GB"/>
        </w:rPr>
        <w:t>IoT</w:t>
      </w:r>
      <w:proofErr w:type="spellEnd"/>
      <w:r w:rsidRPr="00A94875">
        <w:rPr>
          <w:rFonts w:asciiTheme="majorBidi" w:hAnsiTheme="majorBidi" w:cstheme="majorBidi"/>
          <w:bCs/>
          <w:lang w:val="en-GB"/>
        </w:rPr>
        <w:t xml:space="preserve"> testing:</w:t>
      </w:r>
    </w:p>
    <w:p w14:paraId="3C5EBE6C" w14:textId="4CC242BE" w:rsidR="00D64AF8" w:rsidRPr="00A94875" w:rsidRDefault="00D64AF8" w:rsidP="00D64AF8">
      <w:pPr>
        <w:numPr>
          <w:ilvl w:val="0"/>
          <w:numId w:val="12"/>
        </w:numPr>
        <w:tabs>
          <w:tab w:val="clear" w:pos="794"/>
          <w:tab w:val="clear" w:pos="1191"/>
          <w:tab w:val="clear" w:pos="1588"/>
          <w:tab w:val="clear" w:pos="1985"/>
          <w:tab w:val="left" w:pos="1134"/>
          <w:tab w:val="left" w:pos="1871"/>
          <w:tab w:val="left" w:pos="2268"/>
        </w:tabs>
        <w:rPr>
          <w:rFonts w:asciiTheme="majorBidi" w:hAnsiTheme="majorBidi" w:cstheme="majorBidi"/>
          <w:bCs/>
          <w:lang w:val="en-GB"/>
        </w:rPr>
      </w:pPr>
      <w:r w:rsidRPr="00A94875">
        <w:rPr>
          <w:rFonts w:asciiTheme="majorBidi" w:hAnsiTheme="majorBidi" w:cstheme="majorBidi"/>
          <w:bCs/>
          <w:lang w:val="en-GB"/>
        </w:rPr>
        <w:t xml:space="preserve">Q.39_FW_Test_ID_IoT “The framework of testing of identification systems used in </w:t>
      </w:r>
      <w:proofErr w:type="spellStart"/>
      <w:r w:rsidRPr="00A94875">
        <w:rPr>
          <w:rFonts w:asciiTheme="majorBidi" w:hAnsiTheme="majorBidi" w:cstheme="majorBidi"/>
          <w:bCs/>
          <w:lang w:val="en-GB"/>
        </w:rPr>
        <w:t>IoT</w:t>
      </w:r>
      <w:proofErr w:type="spellEnd"/>
      <w:r w:rsidRPr="00A94875">
        <w:rPr>
          <w:rFonts w:asciiTheme="majorBidi" w:hAnsiTheme="majorBidi" w:cstheme="majorBidi"/>
          <w:bCs/>
          <w:lang w:val="en-GB"/>
        </w:rPr>
        <w:t>”</w:t>
      </w:r>
    </w:p>
    <w:p w14:paraId="19BC0556" w14:textId="03D66D95" w:rsidR="00D64AF8" w:rsidRPr="00A94875" w:rsidRDefault="00D64AF8" w:rsidP="00D64AF8">
      <w:pPr>
        <w:numPr>
          <w:ilvl w:val="0"/>
          <w:numId w:val="12"/>
        </w:numPr>
        <w:tabs>
          <w:tab w:val="clear" w:pos="794"/>
          <w:tab w:val="clear" w:pos="1191"/>
          <w:tab w:val="clear" w:pos="1588"/>
          <w:tab w:val="clear" w:pos="1985"/>
          <w:tab w:val="left" w:pos="1134"/>
          <w:tab w:val="left" w:pos="1871"/>
          <w:tab w:val="left" w:pos="2268"/>
        </w:tabs>
        <w:rPr>
          <w:rFonts w:asciiTheme="majorBidi" w:hAnsiTheme="majorBidi" w:cstheme="majorBidi"/>
          <w:bCs/>
          <w:lang w:val="en-GB"/>
        </w:rPr>
      </w:pPr>
      <w:r w:rsidRPr="00A94875">
        <w:rPr>
          <w:rFonts w:asciiTheme="majorBidi" w:hAnsiTheme="majorBidi" w:cstheme="majorBidi"/>
          <w:bCs/>
          <w:lang w:val="en-GB"/>
        </w:rPr>
        <w:t>Q.TI-TEST “Framework of model network for Tactile Internet testing”</w:t>
      </w:r>
    </w:p>
    <w:p w14:paraId="0008A403" w14:textId="38268A61" w:rsidR="00D64AF8" w:rsidRPr="00A94875" w:rsidRDefault="00D64AF8" w:rsidP="009E5FFA">
      <w:pPr>
        <w:numPr>
          <w:ilvl w:val="0"/>
          <w:numId w:val="12"/>
        </w:numPr>
        <w:tabs>
          <w:tab w:val="clear" w:pos="794"/>
          <w:tab w:val="clear" w:pos="1191"/>
          <w:tab w:val="clear" w:pos="1588"/>
          <w:tab w:val="clear" w:pos="1985"/>
          <w:tab w:val="left" w:pos="1134"/>
          <w:tab w:val="left" w:pos="1871"/>
          <w:tab w:val="left" w:pos="2268"/>
        </w:tabs>
        <w:rPr>
          <w:rFonts w:asciiTheme="majorBidi" w:hAnsiTheme="majorBidi" w:cstheme="majorBidi"/>
          <w:bCs/>
          <w:lang w:val="en-GB"/>
        </w:rPr>
      </w:pPr>
      <w:proofErr w:type="spellStart"/>
      <w:r w:rsidRPr="00A94875">
        <w:rPr>
          <w:rFonts w:asciiTheme="majorBidi" w:hAnsiTheme="majorBidi" w:cstheme="majorBidi"/>
          <w:bCs/>
          <w:lang w:val="en-GB"/>
        </w:rPr>
        <w:t>Q.FW_IoT</w:t>
      </w:r>
      <w:proofErr w:type="spellEnd"/>
      <w:r w:rsidRPr="00A94875">
        <w:rPr>
          <w:rFonts w:asciiTheme="majorBidi" w:hAnsiTheme="majorBidi" w:cstheme="majorBidi"/>
          <w:bCs/>
          <w:lang w:val="en-GB"/>
        </w:rPr>
        <w:t xml:space="preserve">/Test “Framework for </w:t>
      </w:r>
      <w:proofErr w:type="spellStart"/>
      <w:r w:rsidRPr="00A94875">
        <w:rPr>
          <w:rFonts w:asciiTheme="majorBidi" w:hAnsiTheme="majorBidi" w:cstheme="majorBidi"/>
          <w:bCs/>
          <w:lang w:val="en-GB"/>
        </w:rPr>
        <w:t>IoT</w:t>
      </w:r>
      <w:proofErr w:type="spellEnd"/>
      <w:r w:rsidRPr="00A94875">
        <w:rPr>
          <w:rFonts w:asciiTheme="majorBidi" w:hAnsiTheme="majorBidi" w:cstheme="majorBidi"/>
          <w:bCs/>
          <w:lang w:val="en-GB"/>
        </w:rPr>
        <w:t xml:space="preserve"> Testing”</w:t>
      </w:r>
    </w:p>
    <w:p w14:paraId="6688A49C" w14:textId="77777777" w:rsidR="00D64AF8" w:rsidRPr="00A94875" w:rsidRDefault="00D64AF8" w:rsidP="00D64AF8">
      <w:pPr>
        <w:tabs>
          <w:tab w:val="left" w:pos="1134"/>
          <w:tab w:val="left" w:pos="1871"/>
          <w:tab w:val="left" w:pos="2268"/>
        </w:tabs>
        <w:rPr>
          <w:rFonts w:asciiTheme="majorBidi" w:hAnsiTheme="majorBidi" w:cstheme="majorBidi"/>
          <w:bCs/>
          <w:lang w:val="en-GB"/>
        </w:rPr>
      </w:pPr>
      <w:r w:rsidRPr="00A94875">
        <w:rPr>
          <w:rFonts w:asciiTheme="majorBidi" w:hAnsiTheme="majorBidi" w:cstheme="majorBidi"/>
          <w:bCs/>
          <w:lang w:val="en-GB"/>
        </w:rPr>
        <w:t xml:space="preserve">Membership has approved the following new standards:  </w:t>
      </w:r>
    </w:p>
    <w:p w14:paraId="231FE43E" w14:textId="77777777" w:rsidR="00D64AF8" w:rsidRPr="00A94875" w:rsidRDefault="00D64AF8" w:rsidP="009261B2">
      <w:pPr>
        <w:pStyle w:val="ListParagraph"/>
        <w:numPr>
          <w:ilvl w:val="0"/>
          <w:numId w:val="36"/>
        </w:numPr>
        <w:tabs>
          <w:tab w:val="left" w:pos="1134"/>
          <w:tab w:val="left" w:pos="1871"/>
          <w:tab w:val="left" w:pos="2268"/>
        </w:tabs>
        <w:spacing w:before="120"/>
        <w:contextualSpacing w:val="0"/>
        <w:rPr>
          <w:rFonts w:asciiTheme="majorBidi" w:hAnsiTheme="majorBidi" w:cstheme="majorBidi"/>
          <w:bCs/>
          <w:szCs w:val="24"/>
          <w:lang w:val="en-GB"/>
        </w:rPr>
      </w:pPr>
      <w:r w:rsidRPr="00A94875">
        <w:rPr>
          <w:rFonts w:asciiTheme="majorBidi" w:hAnsiTheme="majorBidi" w:cstheme="majorBidi"/>
          <w:bCs/>
          <w:sz w:val="24"/>
          <w:szCs w:val="24"/>
          <w:lang w:val="en-GB"/>
        </w:rPr>
        <w:t>Recommendation ITU-T Y.4500.13 “oneM2M- Interoperability Testing”</w:t>
      </w:r>
    </w:p>
    <w:p w14:paraId="01BD5789" w14:textId="38D997DF" w:rsidR="00D64AF8" w:rsidRPr="00A94875" w:rsidRDefault="00D64AF8" w:rsidP="009261B2">
      <w:pPr>
        <w:pStyle w:val="ListParagraph"/>
        <w:numPr>
          <w:ilvl w:val="0"/>
          <w:numId w:val="36"/>
        </w:numPr>
        <w:tabs>
          <w:tab w:val="left" w:pos="1134"/>
          <w:tab w:val="left" w:pos="1871"/>
          <w:tab w:val="left" w:pos="2268"/>
        </w:tabs>
        <w:spacing w:before="120"/>
        <w:contextualSpacing w:val="0"/>
        <w:rPr>
          <w:rFonts w:asciiTheme="majorBidi" w:hAnsiTheme="majorBidi" w:cstheme="majorBidi"/>
          <w:bCs/>
          <w:szCs w:val="24"/>
          <w:lang w:val="en-GB"/>
        </w:rPr>
      </w:pPr>
      <w:r w:rsidRPr="00A94875">
        <w:rPr>
          <w:rFonts w:asciiTheme="majorBidi" w:hAnsiTheme="majorBidi" w:cstheme="majorBidi"/>
          <w:bCs/>
          <w:sz w:val="24"/>
          <w:szCs w:val="24"/>
          <w:lang w:val="en-GB"/>
        </w:rPr>
        <w:t>Recommendation ITU-T Y.4500.15 “oneM2M- Testing framework”</w:t>
      </w:r>
    </w:p>
    <w:p w14:paraId="2B849DA0" w14:textId="7F0C9E3A" w:rsidR="006944F8" w:rsidRPr="00A94875" w:rsidRDefault="00D64AF8" w:rsidP="009E5FFA">
      <w:pPr>
        <w:pStyle w:val="Heading1"/>
        <w:spacing w:before="240"/>
        <w:rPr>
          <w:rFonts w:asciiTheme="majorBidi" w:hAnsiTheme="majorBidi" w:cstheme="majorBidi"/>
          <w:b w:val="0"/>
          <w:bCs/>
          <w:sz w:val="22"/>
          <w:lang w:val="en-GB"/>
        </w:rPr>
      </w:pPr>
      <w:bookmarkStart w:id="45" w:name="_Toc438553988"/>
      <w:bookmarkStart w:id="46" w:name="_Toc453929112"/>
      <w:bookmarkStart w:id="47" w:name="_Toc453932983"/>
      <w:bookmarkStart w:id="48" w:name="_Toc454295889"/>
      <w:bookmarkStart w:id="49" w:name="_Toc462664270"/>
      <w:bookmarkStart w:id="50" w:name="_Toc480527824"/>
      <w:bookmarkStart w:id="51" w:name="_Toc530571851"/>
      <w:bookmarkStart w:id="52" w:name="_Toc416161354"/>
      <w:bookmarkStart w:id="53" w:name="_Toc438553977"/>
      <w:bookmarkStart w:id="54" w:name="_Toc453929096"/>
      <w:bookmarkStart w:id="55" w:name="_Toc453932967"/>
      <w:bookmarkStart w:id="56" w:name="_Toc454295873"/>
      <w:bookmarkStart w:id="57" w:name="_Toc462664237"/>
      <w:bookmarkEnd w:id="34"/>
      <w:bookmarkEnd w:id="35"/>
      <w:bookmarkEnd w:id="36"/>
      <w:bookmarkEnd w:id="40"/>
      <w:bookmarkEnd w:id="41"/>
      <w:bookmarkEnd w:id="42"/>
      <w:bookmarkEnd w:id="43"/>
      <w:r w:rsidRPr="00A94875">
        <w:rPr>
          <w:rFonts w:asciiTheme="majorBidi" w:eastAsiaTheme="minorEastAsia" w:hAnsiTheme="majorBidi" w:cstheme="majorBidi"/>
          <w:lang w:val="en-GB"/>
        </w:rPr>
        <w:t>3</w:t>
      </w:r>
      <w:r w:rsidR="006944F8" w:rsidRPr="00A94875">
        <w:rPr>
          <w:rFonts w:asciiTheme="majorBidi" w:eastAsiaTheme="minorEastAsia" w:hAnsiTheme="majorBidi" w:cstheme="majorBidi"/>
          <w:lang w:val="en-GB"/>
        </w:rPr>
        <w:tab/>
      </w:r>
      <w:r w:rsidR="003F40B4" w:rsidRPr="00A94875">
        <w:rPr>
          <w:rFonts w:asciiTheme="majorBidi" w:eastAsiaTheme="minorEastAsia" w:hAnsiTheme="majorBidi" w:cstheme="majorBidi"/>
          <w:lang w:val="en-GB"/>
        </w:rPr>
        <w:t>Accessible ITU-T meetings</w:t>
      </w:r>
      <w:bookmarkEnd w:id="45"/>
      <w:bookmarkEnd w:id="46"/>
      <w:bookmarkEnd w:id="47"/>
      <w:bookmarkEnd w:id="48"/>
      <w:bookmarkEnd w:id="49"/>
      <w:bookmarkEnd w:id="50"/>
      <w:bookmarkEnd w:id="51"/>
    </w:p>
    <w:p w14:paraId="2365D2FE"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ITU-T provides services such as sign-language interpretation and captioning, and financial support in some cases, to engage persons with disabilities in the ITU-T standardization process.</w:t>
      </w:r>
    </w:p>
    <w:p w14:paraId="52DB156C" w14:textId="1F48191C" w:rsidR="003F40B4" w:rsidRPr="00A94875" w:rsidRDefault="006944F8" w:rsidP="003F40B4">
      <w:pPr>
        <w:rPr>
          <w:rFonts w:asciiTheme="majorBidi" w:hAnsiTheme="majorBidi" w:cstheme="majorBidi"/>
          <w:lang w:val="en-GB"/>
        </w:rPr>
      </w:pPr>
      <w:r w:rsidRPr="00A94875">
        <w:rPr>
          <w:rFonts w:asciiTheme="majorBidi" w:hAnsiTheme="majorBidi" w:cstheme="majorBidi"/>
          <w:lang w:val="en-GB"/>
        </w:rPr>
        <w:t xml:space="preserve">As an activity of </w:t>
      </w:r>
      <w:hyperlink r:id="rId65" w:history="1">
        <w:r w:rsidRPr="00A94875">
          <w:rPr>
            <w:rStyle w:val="Hyperlink"/>
            <w:rFonts w:asciiTheme="majorBidi" w:hAnsiTheme="majorBidi" w:cstheme="majorBidi"/>
            <w:lang w:val="en-GB"/>
          </w:rPr>
          <w:t>JCA-AHF</w:t>
        </w:r>
      </w:hyperlink>
      <w:r w:rsidRPr="00A94875">
        <w:rPr>
          <w:rFonts w:asciiTheme="majorBidi" w:hAnsiTheme="majorBidi" w:cstheme="majorBidi"/>
          <w:lang w:val="en-GB"/>
        </w:rPr>
        <w:t xml:space="preserve"> in addition to its meetings (since last TSAG in February 2018, a meeting was held in Ljubljana, Slovenia on 18 July 2018, report is submitted to TSAG)</w:t>
      </w:r>
      <w:r w:rsidR="003F40B4" w:rsidRPr="00A94875">
        <w:rPr>
          <w:rFonts w:asciiTheme="majorBidi" w:hAnsiTheme="majorBidi" w:cstheme="majorBidi"/>
          <w:lang w:val="en-GB"/>
        </w:rPr>
        <w:t xml:space="preserve">, </w:t>
      </w:r>
      <w:r w:rsidRPr="00A94875">
        <w:rPr>
          <w:rFonts w:asciiTheme="majorBidi" w:hAnsiTheme="majorBidi" w:cstheme="majorBidi"/>
          <w:lang w:val="en-GB"/>
        </w:rPr>
        <w:t>JCA-AHF organized a workshop on “</w:t>
      </w:r>
      <w:hyperlink r:id="rId66" w:anchor="intro" w:history="1">
        <w:r w:rsidRPr="00A94875">
          <w:rPr>
            <w:rStyle w:val="Hyperlink"/>
            <w:rFonts w:asciiTheme="majorBidi" w:hAnsiTheme="majorBidi" w:cstheme="majorBidi"/>
            <w:lang w:val="en-GB"/>
          </w:rPr>
          <w:t>Achieving an inclusive society by designing and implementing accessible ICTs</w:t>
        </w:r>
      </w:hyperlink>
      <w:r w:rsidRPr="00A94875">
        <w:rPr>
          <w:rFonts w:asciiTheme="majorBidi" w:hAnsiTheme="majorBidi" w:cstheme="majorBidi"/>
          <w:lang w:val="en-GB"/>
        </w:rPr>
        <w:t xml:space="preserve">” on 22 March 2018 at </w:t>
      </w:r>
      <w:hyperlink r:id="rId67" w:anchor="intro" w:history="1">
        <w:r w:rsidRPr="00A94875">
          <w:rPr>
            <w:rStyle w:val="Hyperlink"/>
            <w:rFonts w:asciiTheme="majorBidi" w:hAnsiTheme="majorBidi" w:cstheme="majorBidi"/>
            <w:lang w:val="en-GB"/>
          </w:rPr>
          <w:t>WSIS Forum 2018</w:t>
        </w:r>
      </w:hyperlink>
      <w:r w:rsidRPr="00A94875">
        <w:rPr>
          <w:rFonts w:asciiTheme="majorBidi" w:hAnsiTheme="majorBidi" w:cstheme="majorBidi"/>
          <w:lang w:val="en-GB"/>
        </w:rPr>
        <w:t xml:space="preserve">. </w:t>
      </w:r>
    </w:p>
    <w:p w14:paraId="1AACAB2B" w14:textId="1460F9D6" w:rsidR="006944F8" w:rsidRPr="00A94875" w:rsidRDefault="006944F8" w:rsidP="009E5FFA">
      <w:pPr>
        <w:rPr>
          <w:rFonts w:asciiTheme="majorBidi" w:hAnsiTheme="majorBidi" w:cstheme="majorBidi"/>
          <w:lang w:val="en-GB"/>
        </w:rPr>
      </w:pPr>
      <w:r w:rsidRPr="00A94875">
        <w:rPr>
          <w:rFonts w:asciiTheme="majorBidi" w:hAnsiTheme="majorBidi" w:cstheme="majorBidi"/>
          <w:lang w:val="en-GB"/>
        </w:rPr>
        <w:t xml:space="preserve">During this workshop, the first trial within ITU of remote American Sign Language (ASL) Interpretation </w:t>
      </w:r>
      <w:proofErr w:type="gramStart"/>
      <w:r w:rsidRPr="00A94875">
        <w:rPr>
          <w:rFonts w:asciiTheme="majorBidi" w:hAnsiTheme="majorBidi" w:cstheme="majorBidi"/>
          <w:lang w:val="en-GB"/>
        </w:rPr>
        <w:t>was successfully conducted</w:t>
      </w:r>
      <w:proofErr w:type="gramEnd"/>
      <w:r w:rsidRPr="00A94875">
        <w:rPr>
          <w:rFonts w:asciiTheme="majorBidi" w:hAnsiTheme="majorBidi" w:cstheme="majorBidi"/>
          <w:lang w:val="en-GB"/>
        </w:rPr>
        <w:t xml:space="preserve"> with the ASL interpreters being based in Florida, USA and received at ITU headquarters. Remote SL interpretation is not expected to replace on</w:t>
      </w:r>
      <w:r w:rsidR="0037553F" w:rsidRPr="00A94875">
        <w:rPr>
          <w:rFonts w:asciiTheme="majorBidi" w:hAnsiTheme="majorBidi" w:cstheme="majorBidi"/>
          <w:lang w:val="en-GB"/>
        </w:rPr>
        <w:t>-</w:t>
      </w:r>
      <w:r w:rsidRPr="00A94875">
        <w:rPr>
          <w:rFonts w:asciiTheme="majorBidi" w:hAnsiTheme="majorBidi" w:cstheme="majorBidi"/>
          <w:lang w:val="en-GB"/>
        </w:rPr>
        <w:t>site SL interpreters</w:t>
      </w:r>
      <w:r w:rsidR="0037553F" w:rsidRPr="00A94875">
        <w:rPr>
          <w:rFonts w:asciiTheme="majorBidi" w:hAnsiTheme="majorBidi" w:cstheme="majorBidi"/>
          <w:lang w:val="en-GB"/>
        </w:rPr>
        <w:t xml:space="preserve"> but has proven valuable in situations where it not </w:t>
      </w:r>
      <w:r w:rsidRPr="00A94875">
        <w:rPr>
          <w:rFonts w:asciiTheme="majorBidi" w:hAnsiTheme="majorBidi" w:cstheme="majorBidi"/>
          <w:lang w:val="en-GB"/>
        </w:rPr>
        <w:t xml:space="preserve">possible </w:t>
      </w:r>
      <w:r w:rsidR="0037553F" w:rsidRPr="00A94875">
        <w:rPr>
          <w:rFonts w:asciiTheme="majorBidi" w:hAnsiTheme="majorBidi" w:cstheme="majorBidi"/>
          <w:lang w:val="en-GB"/>
        </w:rPr>
        <w:t xml:space="preserve">to secure an </w:t>
      </w:r>
      <w:r w:rsidRPr="00A94875">
        <w:rPr>
          <w:rFonts w:asciiTheme="majorBidi" w:hAnsiTheme="majorBidi" w:cstheme="majorBidi"/>
          <w:lang w:val="en-GB"/>
        </w:rPr>
        <w:t>on</w:t>
      </w:r>
      <w:r w:rsidR="0037553F" w:rsidRPr="00A94875">
        <w:rPr>
          <w:rFonts w:asciiTheme="majorBidi" w:hAnsiTheme="majorBidi" w:cstheme="majorBidi"/>
          <w:lang w:val="en-GB"/>
        </w:rPr>
        <w:t>-</w:t>
      </w:r>
      <w:r w:rsidRPr="00A94875">
        <w:rPr>
          <w:rFonts w:asciiTheme="majorBidi" w:hAnsiTheme="majorBidi" w:cstheme="majorBidi"/>
          <w:lang w:val="en-GB"/>
        </w:rPr>
        <w:t>site SL interpreter in a specific language at any given time</w:t>
      </w:r>
      <w:r w:rsidR="0061725D" w:rsidRPr="00A94875">
        <w:rPr>
          <w:rFonts w:asciiTheme="majorBidi" w:hAnsiTheme="majorBidi" w:cstheme="majorBidi"/>
          <w:lang w:val="en-GB"/>
        </w:rPr>
        <w:t>, f</w:t>
      </w:r>
      <w:r w:rsidRPr="00A94875">
        <w:rPr>
          <w:rFonts w:asciiTheme="majorBidi" w:hAnsiTheme="majorBidi" w:cstheme="majorBidi"/>
          <w:lang w:val="en-GB"/>
        </w:rPr>
        <w:t xml:space="preserve">or example, </w:t>
      </w:r>
      <w:r w:rsidR="0061725D" w:rsidRPr="00A94875">
        <w:rPr>
          <w:rFonts w:asciiTheme="majorBidi" w:hAnsiTheme="majorBidi" w:cstheme="majorBidi"/>
          <w:lang w:val="en-GB"/>
        </w:rPr>
        <w:t xml:space="preserve">at the above-mentioned workshop </w:t>
      </w:r>
      <w:proofErr w:type="spellStart"/>
      <w:r w:rsidR="0061725D" w:rsidRPr="00A94875">
        <w:rPr>
          <w:rFonts w:asciiTheme="majorBidi" w:hAnsiTheme="majorBidi" w:cstheme="majorBidi"/>
          <w:lang w:val="en-GB"/>
        </w:rPr>
        <w:t>withing</w:t>
      </w:r>
      <w:proofErr w:type="spellEnd"/>
      <w:r w:rsidR="0061725D" w:rsidRPr="00A94875">
        <w:rPr>
          <w:rFonts w:asciiTheme="majorBidi" w:hAnsiTheme="majorBidi" w:cstheme="majorBidi"/>
          <w:lang w:val="en-GB"/>
        </w:rPr>
        <w:t xml:space="preserve"> </w:t>
      </w:r>
      <w:r w:rsidRPr="00A94875">
        <w:rPr>
          <w:rFonts w:asciiTheme="majorBidi" w:hAnsiTheme="majorBidi" w:cstheme="majorBidi"/>
          <w:lang w:val="en-GB"/>
        </w:rPr>
        <w:t>WSIS Forum 2018.</w:t>
      </w:r>
    </w:p>
    <w:p w14:paraId="6D2F5E65" w14:textId="675D4980" w:rsidR="006944F8" w:rsidRPr="00A94875" w:rsidRDefault="00D64AF8" w:rsidP="006944F8">
      <w:pPr>
        <w:pStyle w:val="Heading1"/>
        <w:rPr>
          <w:rFonts w:asciiTheme="majorBidi" w:eastAsiaTheme="minorEastAsia" w:hAnsiTheme="majorBidi" w:cstheme="majorBidi"/>
          <w:lang w:val="en-GB"/>
        </w:rPr>
      </w:pPr>
      <w:bookmarkStart w:id="58" w:name="_Toc480527828"/>
      <w:bookmarkStart w:id="59" w:name="_Toc530571852"/>
      <w:r w:rsidRPr="00A94875">
        <w:rPr>
          <w:rFonts w:asciiTheme="majorBidi" w:eastAsiaTheme="minorEastAsia" w:hAnsiTheme="majorBidi" w:cstheme="majorBidi"/>
          <w:lang w:val="en-GB"/>
        </w:rPr>
        <w:t>4</w:t>
      </w:r>
      <w:r w:rsidR="006944F8" w:rsidRPr="00A94875">
        <w:rPr>
          <w:rFonts w:asciiTheme="majorBidi" w:eastAsiaTheme="minorEastAsia" w:hAnsiTheme="majorBidi" w:cstheme="majorBidi"/>
          <w:lang w:val="en-GB"/>
        </w:rPr>
        <w:tab/>
        <w:t>Intellectual property rights</w:t>
      </w:r>
      <w:bookmarkEnd w:id="52"/>
      <w:bookmarkEnd w:id="53"/>
      <w:bookmarkEnd w:id="54"/>
      <w:bookmarkEnd w:id="55"/>
      <w:bookmarkEnd w:id="56"/>
      <w:bookmarkEnd w:id="57"/>
      <w:bookmarkEnd w:id="58"/>
      <w:bookmarkEnd w:id="59"/>
    </w:p>
    <w:p w14:paraId="7369A933" w14:textId="666DFF6A" w:rsidR="006944F8" w:rsidRPr="00A94875" w:rsidRDefault="006944F8" w:rsidP="006944F8">
      <w:pPr>
        <w:rPr>
          <w:rFonts w:asciiTheme="majorBidi" w:hAnsiTheme="majorBidi" w:cstheme="majorBidi"/>
          <w:highlight w:val="yellow"/>
          <w:lang w:val="en-GB"/>
        </w:rPr>
      </w:pPr>
      <w:r w:rsidRPr="00A94875">
        <w:rPr>
          <w:rFonts w:asciiTheme="majorBidi" w:hAnsiTheme="majorBidi" w:cstheme="majorBidi"/>
          <w:lang w:val="en-GB"/>
        </w:rPr>
        <w:t xml:space="preserve">The </w:t>
      </w:r>
      <w:hyperlink r:id="rId68" w:history="1">
        <w:r w:rsidRPr="00A94875">
          <w:rPr>
            <w:rStyle w:val="Hyperlink"/>
            <w:rFonts w:asciiTheme="majorBidi" w:hAnsiTheme="majorBidi" w:cstheme="majorBidi"/>
            <w:lang w:val="en-GB"/>
          </w:rPr>
          <w:t>TSB Director’s Ad Hoc Group on Intellectual Property Rights (IPR AHG)</w:t>
        </w:r>
      </w:hyperlink>
      <w:r w:rsidRPr="00A94875">
        <w:rPr>
          <w:rFonts w:asciiTheme="majorBidi" w:hAnsiTheme="majorBidi" w:cstheme="majorBidi"/>
          <w:lang w:val="en-GB"/>
        </w:rPr>
        <w:t xml:space="preserve"> continues its work to protect the integrity of the standards-development process by clarifying aspects of the </w:t>
      </w:r>
      <w:hyperlink r:id="rId69" w:history="1">
        <w:r w:rsidRPr="00A94875">
          <w:rPr>
            <w:rStyle w:val="Hyperlink"/>
            <w:rFonts w:asciiTheme="majorBidi" w:hAnsiTheme="majorBidi" w:cstheme="majorBidi"/>
            <w:lang w:val="en-GB"/>
          </w:rPr>
          <w:t>ITU-R/ITU-T/ISO/IEC Patent Policy and related Guidelines</w:t>
        </w:r>
      </w:hyperlink>
      <w:r w:rsidRPr="00A94875">
        <w:rPr>
          <w:rFonts w:asciiTheme="majorBidi" w:hAnsiTheme="majorBidi" w:cstheme="majorBidi"/>
          <w:lang w:val="en-GB"/>
        </w:rPr>
        <w:t xml:space="preserve"> – the Union's main tool to manage the challenges associated with the incorporation of patents in </w:t>
      </w:r>
      <w:hyperlink r:id="rId70" w:history="1">
        <w:r w:rsidRPr="00A94875">
          <w:rPr>
            <w:rStyle w:val="Hyperlink"/>
            <w:rFonts w:asciiTheme="majorBidi" w:hAnsiTheme="majorBidi" w:cstheme="majorBidi"/>
            <w:lang w:val="en-GB"/>
          </w:rPr>
          <w:t>ITU-T and ITU-R Recommendations</w:t>
        </w:r>
      </w:hyperlink>
      <w:bookmarkStart w:id="60" w:name="_10.1_TSB_Director's"/>
      <w:bookmarkEnd w:id="60"/>
      <w:r w:rsidRPr="00A94875">
        <w:rPr>
          <w:rFonts w:asciiTheme="majorBidi" w:hAnsiTheme="majorBidi" w:cstheme="majorBidi"/>
          <w:lang w:val="en-GB"/>
        </w:rPr>
        <w:t xml:space="preserve">. The next meeting of the group will take place in ITU </w:t>
      </w:r>
      <w:r w:rsidR="00A23389" w:rsidRPr="00A94875">
        <w:rPr>
          <w:rFonts w:asciiTheme="majorBidi" w:hAnsiTheme="majorBidi" w:cstheme="majorBidi"/>
          <w:lang w:val="en-GB"/>
        </w:rPr>
        <w:t xml:space="preserve">headquarters </w:t>
      </w:r>
      <w:r w:rsidRPr="00A94875">
        <w:rPr>
          <w:rFonts w:asciiTheme="majorBidi" w:hAnsiTheme="majorBidi" w:cstheme="majorBidi"/>
          <w:lang w:val="en-GB"/>
        </w:rPr>
        <w:t xml:space="preserve">in Geneva, 28 January 2019. The meeting </w:t>
      </w:r>
      <w:proofErr w:type="gramStart"/>
      <w:r w:rsidRPr="00A94875">
        <w:rPr>
          <w:rFonts w:asciiTheme="majorBidi" w:hAnsiTheme="majorBidi" w:cstheme="majorBidi"/>
          <w:lang w:val="en-GB"/>
        </w:rPr>
        <w:t>will be followed</w:t>
      </w:r>
      <w:proofErr w:type="gramEnd"/>
      <w:r w:rsidRPr="00A94875">
        <w:rPr>
          <w:rFonts w:asciiTheme="majorBidi" w:hAnsiTheme="majorBidi" w:cstheme="majorBidi"/>
          <w:lang w:val="en-GB"/>
        </w:rPr>
        <w:t xml:space="preserve"> by the third joint ITU-NGMN workshop on open source</w:t>
      </w:r>
      <w:r w:rsidR="00D006F1" w:rsidRPr="00A94875">
        <w:rPr>
          <w:rFonts w:asciiTheme="majorBidi" w:hAnsiTheme="majorBidi" w:cstheme="majorBidi"/>
          <w:lang w:val="en-GB"/>
        </w:rPr>
        <w:t xml:space="preserve">, </w:t>
      </w:r>
      <w:r w:rsidRPr="00A94875">
        <w:rPr>
          <w:rFonts w:asciiTheme="majorBidi" w:hAnsiTheme="majorBidi" w:cstheme="majorBidi"/>
          <w:lang w:val="en-GB"/>
        </w:rPr>
        <w:t>29</w:t>
      </w:r>
      <w:r w:rsidR="00D006F1" w:rsidRPr="00A94875">
        <w:rPr>
          <w:rFonts w:asciiTheme="majorBidi" w:hAnsiTheme="majorBidi" w:cstheme="majorBidi"/>
          <w:lang w:val="en-GB"/>
        </w:rPr>
        <w:t>-</w:t>
      </w:r>
      <w:r w:rsidRPr="00A94875">
        <w:rPr>
          <w:rFonts w:asciiTheme="majorBidi" w:hAnsiTheme="majorBidi" w:cstheme="majorBidi"/>
          <w:lang w:val="en-GB"/>
        </w:rPr>
        <w:t>30 January 2019</w:t>
      </w:r>
      <w:r w:rsidR="00D006F1" w:rsidRPr="00A94875">
        <w:rPr>
          <w:rFonts w:asciiTheme="majorBidi" w:hAnsiTheme="majorBidi" w:cstheme="majorBidi"/>
          <w:lang w:val="en-GB"/>
        </w:rPr>
        <w:t xml:space="preserve">, </w:t>
      </w:r>
      <w:r w:rsidRPr="00A94875">
        <w:rPr>
          <w:rFonts w:asciiTheme="majorBidi" w:hAnsiTheme="majorBidi" w:cstheme="majorBidi"/>
          <w:lang w:val="en-GB"/>
        </w:rPr>
        <w:t>and a meeting of the NGMN IPR Group</w:t>
      </w:r>
      <w:r w:rsidR="00D006F1" w:rsidRPr="00A94875">
        <w:rPr>
          <w:rFonts w:asciiTheme="majorBidi" w:hAnsiTheme="majorBidi" w:cstheme="majorBidi"/>
          <w:lang w:val="en-GB"/>
        </w:rPr>
        <w:t xml:space="preserve">, </w:t>
      </w:r>
      <w:r w:rsidRPr="00A94875">
        <w:rPr>
          <w:rFonts w:asciiTheme="majorBidi" w:hAnsiTheme="majorBidi" w:cstheme="majorBidi"/>
          <w:lang w:val="en-GB"/>
        </w:rPr>
        <w:t>31 January 2019.</w:t>
      </w:r>
    </w:p>
    <w:p w14:paraId="0BDAECC9" w14:textId="1240C990" w:rsidR="006944F8" w:rsidRPr="00A94875" w:rsidRDefault="00D64AF8" w:rsidP="006944F8">
      <w:pPr>
        <w:pStyle w:val="Heading1"/>
        <w:rPr>
          <w:rFonts w:asciiTheme="majorBidi" w:hAnsiTheme="majorBidi" w:cstheme="majorBidi"/>
          <w:lang w:val="en-GB"/>
        </w:rPr>
      </w:pPr>
      <w:bookmarkStart w:id="61" w:name="_Toc480527831"/>
      <w:bookmarkStart w:id="62" w:name="_Toc530571853"/>
      <w:bookmarkStart w:id="63" w:name="_Toc438553939"/>
      <w:bookmarkStart w:id="64" w:name="_Toc453929065"/>
      <w:bookmarkStart w:id="65" w:name="_Toc453932937"/>
      <w:bookmarkStart w:id="66" w:name="_Toc454295841"/>
      <w:r w:rsidRPr="00A94875">
        <w:rPr>
          <w:rFonts w:asciiTheme="majorBidi" w:eastAsiaTheme="minorEastAsia" w:hAnsiTheme="majorBidi" w:cstheme="majorBidi"/>
          <w:lang w:val="en-GB"/>
        </w:rPr>
        <w:t>5</w:t>
      </w:r>
      <w:r w:rsidR="006944F8" w:rsidRPr="00A94875">
        <w:rPr>
          <w:rFonts w:asciiTheme="majorBidi" w:eastAsiaTheme="minorEastAsia" w:hAnsiTheme="majorBidi" w:cstheme="majorBidi"/>
          <w:lang w:val="en-GB"/>
        </w:rPr>
        <w:tab/>
      </w:r>
      <w:r w:rsidR="006944F8" w:rsidRPr="00A94875">
        <w:rPr>
          <w:rFonts w:asciiTheme="majorBidi" w:hAnsiTheme="majorBidi" w:cstheme="majorBidi"/>
          <w:lang w:val="en-GB"/>
        </w:rPr>
        <w:t>ITU-T Focus Groups: Exploring new directions in ITU standardization</w:t>
      </w:r>
      <w:bookmarkEnd w:id="61"/>
      <w:bookmarkEnd w:id="62"/>
    </w:p>
    <w:p w14:paraId="68BAA4AC"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 xml:space="preserve">Focus Groups </w:t>
      </w:r>
      <w:proofErr w:type="gramStart"/>
      <w:r w:rsidRPr="00A94875">
        <w:rPr>
          <w:rFonts w:asciiTheme="majorBidi" w:hAnsiTheme="majorBidi" w:cstheme="majorBidi"/>
          <w:lang w:val="en-GB"/>
        </w:rPr>
        <w:t>are formed</w:t>
      </w:r>
      <w:proofErr w:type="gramEnd"/>
      <w:r w:rsidRPr="00A94875">
        <w:rPr>
          <w:rFonts w:asciiTheme="majorBidi" w:hAnsiTheme="majorBidi" w:cstheme="majorBidi"/>
          <w:lang w:val="en-GB"/>
        </w:rPr>
        <w:t xml:space="preserve"> in response to immediate ICT standardization demands, tasked with establishing the basis for subsequent standardization work in ITU-T Study Groups. These groups are the place to explore new directions in ITU standardization. Focus Groups are open to ITU members as well as organizations outside ITU's membership, and these groups </w:t>
      </w:r>
      <w:proofErr w:type="gramStart"/>
      <w:r w:rsidRPr="00A94875">
        <w:rPr>
          <w:rFonts w:asciiTheme="majorBidi" w:hAnsiTheme="majorBidi" w:cstheme="majorBidi"/>
          <w:lang w:val="en-GB"/>
        </w:rPr>
        <w:t>are afforded</w:t>
      </w:r>
      <w:proofErr w:type="gramEnd"/>
      <w:r w:rsidRPr="00A94875">
        <w:rPr>
          <w:rFonts w:asciiTheme="majorBidi" w:hAnsiTheme="majorBidi" w:cstheme="majorBidi"/>
          <w:lang w:val="en-GB"/>
        </w:rPr>
        <w:t xml:space="preserve"> great flexibility in their chosen deliverables and working methods.</w:t>
      </w:r>
    </w:p>
    <w:p w14:paraId="5B4C4987" w14:textId="5A8166F0" w:rsidR="006944F8" w:rsidRPr="00A94875" w:rsidRDefault="00D64AF8" w:rsidP="006944F8">
      <w:pPr>
        <w:pStyle w:val="Heading2"/>
        <w:rPr>
          <w:rFonts w:asciiTheme="majorBidi" w:hAnsiTheme="majorBidi" w:cstheme="majorBidi"/>
          <w:lang w:val="en-GB"/>
        </w:rPr>
      </w:pPr>
      <w:bookmarkStart w:id="67" w:name="_Toc530571854"/>
      <w:bookmarkStart w:id="68" w:name="_Toc480527833"/>
      <w:bookmarkEnd w:id="63"/>
      <w:bookmarkEnd w:id="64"/>
      <w:bookmarkEnd w:id="65"/>
      <w:bookmarkEnd w:id="66"/>
      <w:r w:rsidRPr="00A94875">
        <w:rPr>
          <w:rFonts w:asciiTheme="majorBidi" w:hAnsiTheme="majorBidi" w:cstheme="majorBidi"/>
          <w:lang w:val="en-GB"/>
        </w:rPr>
        <w:lastRenderedPageBreak/>
        <w:t>5</w:t>
      </w:r>
      <w:r w:rsidR="006944F8" w:rsidRPr="00A94875">
        <w:rPr>
          <w:rFonts w:asciiTheme="majorBidi" w:hAnsiTheme="majorBidi" w:cstheme="majorBidi"/>
          <w:lang w:val="en-GB"/>
        </w:rPr>
        <w:t>.1</w:t>
      </w:r>
      <w:r w:rsidR="006944F8" w:rsidRPr="00A94875">
        <w:rPr>
          <w:rFonts w:asciiTheme="majorBidi" w:hAnsiTheme="majorBidi" w:cstheme="majorBidi"/>
          <w:lang w:val="en-GB"/>
        </w:rPr>
        <w:tab/>
        <w:t xml:space="preserve">Data Processing and Management to support </w:t>
      </w:r>
      <w:proofErr w:type="spellStart"/>
      <w:r w:rsidR="006944F8" w:rsidRPr="00A94875">
        <w:rPr>
          <w:rFonts w:asciiTheme="majorBidi" w:hAnsiTheme="majorBidi" w:cstheme="majorBidi"/>
          <w:lang w:val="en-GB"/>
        </w:rPr>
        <w:t>IoT</w:t>
      </w:r>
      <w:proofErr w:type="spellEnd"/>
      <w:r w:rsidR="006944F8" w:rsidRPr="00A94875">
        <w:rPr>
          <w:rFonts w:asciiTheme="majorBidi" w:hAnsiTheme="majorBidi" w:cstheme="majorBidi"/>
          <w:lang w:val="en-GB"/>
        </w:rPr>
        <w:t xml:space="preserve"> and Smart Cities &amp; Communities</w:t>
      </w:r>
      <w:bookmarkEnd w:id="67"/>
    </w:p>
    <w:p w14:paraId="18ADA13A" w14:textId="014EE178" w:rsidR="006944F8" w:rsidRPr="00A94875" w:rsidRDefault="006944F8" w:rsidP="009E5FFA">
      <w:pPr>
        <w:rPr>
          <w:lang w:val="en-GB"/>
        </w:rPr>
      </w:pPr>
      <w:r w:rsidRPr="00A94875">
        <w:rPr>
          <w:lang w:val="en-GB"/>
        </w:rPr>
        <w:t xml:space="preserve">The </w:t>
      </w:r>
      <w:hyperlink r:id="rId71" w:history="1">
        <w:r w:rsidR="002534EE" w:rsidRPr="00A94875">
          <w:rPr>
            <w:rStyle w:val="Hyperlink"/>
            <w:lang w:val="en-GB"/>
          </w:rPr>
          <w:t xml:space="preserve">ITU-T </w:t>
        </w:r>
        <w:r w:rsidRPr="00A94875">
          <w:rPr>
            <w:rStyle w:val="Hyperlink"/>
            <w:lang w:val="en-GB"/>
          </w:rPr>
          <w:t xml:space="preserve">Focus Group on Data Processing and Management to support </w:t>
        </w:r>
        <w:proofErr w:type="spellStart"/>
        <w:r w:rsidRPr="00A94875">
          <w:rPr>
            <w:rStyle w:val="Hyperlink"/>
            <w:lang w:val="en-GB"/>
          </w:rPr>
          <w:t>IoT</w:t>
        </w:r>
        <w:proofErr w:type="spellEnd"/>
        <w:r w:rsidRPr="00A94875">
          <w:rPr>
            <w:rStyle w:val="Hyperlink"/>
            <w:lang w:val="en-GB"/>
          </w:rPr>
          <w:t xml:space="preserve"> and Smart Cities &amp; Communities (FG-DPM)</w:t>
        </w:r>
      </w:hyperlink>
      <w:r w:rsidRPr="00A94875">
        <w:rPr>
          <w:lang w:val="en-GB"/>
        </w:rPr>
        <w:t xml:space="preserve"> </w:t>
      </w:r>
      <w:r w:rsidR="00AD6561" w:rsidRPr="00A94875">
        <w:rPr>
          <w:lang w:val="en-GB"/>
        </w:rPr>
        <w:t xml:space="preserve">is </w:t>
      </w:r>
      <w:r w:rsidRPr="00A94875">
        <w:rPr>
          <w:lang w:val="en-GB"/>
        </w:rPr>
        <w:t>develop</w:t>
      </w:r>
      <w:r w:rsidR="00AD6561" w:rsidRPr="00A94875">
        <w:rPr>
          <w:lang w:val="en-GB"/>
        </w:rPr>
        <w:t>ing</w:t>
      </w:r>
      <w:r w:rsidRPr="00A94875">
        <w:rPr>
          <w:lang w:val="en-GB"/>
        </w:rPr>
        <w:t xml:space="preserve"> a standardization roadmap for data management, taking into consideration the activities currently undertaken by the various standards developing organizations (SDOs) and forums. FG-DPM </w:t>
      </w:r>
      <w:r w:rsidR="00AD6561" w:rsidRPr="00A94875">
        <w:rPr>
          <w:lang w:val="en-GB"/>
        </w:rPr>
        <w:t>is</w:t>
      </w:r>
      <w:r w:rsidRPr="00A94875">
        <w:rPr>
          <w:lang w:val="en-GB"/>
        </w:rPr>
        <w:t xml:space="preserve"> study</w:t>
      </w:r>
      <w:r w:rsidR="00AD6561" w:rsidRPr="00A94875">
        <w:rPr>
          <w:lang w:val="en-GB"/>
        </w:rPr>
        <w:t>ing</w:t>
      </w:r>
      <w:r w:rsidRPr="00A94875">
        <w:rPr>
          <w:lang w:val="en-GB"/>
        </w:rPr>
        <w:t>, review</w:t>
      </w:r>
      <w:r w:rsidR="00AD6561" w:rsidRPr="00A94875">
        <w:rPr>
          <w:lang w:val="en-GB"/>
        </w:rPr>
        <w:t>ing</w:t>
      </w:r>
      <w:r w:rsidRPr="00A94875">
        <w:rPr>
          <w:lang w:val="en-GB"/>
        </w:rPr>
        <w:t xml:space="preserve"> and survey</w:t>
      </w:r>
      <w:r w:rsidR="00AD6561" w:rsidRPr="00A94875">
        <w:rPr>
          <w:lang w:val="en-GB"/>
        </w:rPr>
        <w:t>ing</w:t>
      </w:r>
      <w:r w:rsidRPr="00A94875">
        <w:rPr>
          <w:lang w:val="en-GB"/>
        </w:rPr>
        <w:t xml:space="preserve"> existing technologies, platforms, guidelines and standards for data processing and management</w:t>
      </w:r>
      <w:r w:rsidR="00582EFF" w:rsidRPr="00A94875">
        <w:rPr>
          <w:lang w:val="en-GB"/>
        </w:rPr>
        <w:t>,</w:t>
      </w:r>
      <w:r w:rsidRPr="00A94875">
        <w:rPr>
          <w:lang w:val="en-GB"/>
        </w:rPr>
        <w:t xml:space="preserve"> including data format</w:t>
      </w:r>
      <w:r w:rsidR="00582EFF" w:rsidRPr="00A94875">
        <w:rPr>
          <w:lang w:val="en-GB"/>
        </w:rPr>
        <w:t>s,</w:t>
      </w:r>
      <w:r w:rsidRPr="00A94875">
        <w:rPr>
          <w:lang w:val="en-GB"/>
        </w:rPr>
        <w:t xml:space="preserve"> in support of </w:t>
      </w:r>
      <w:proofErr w:type="spellStart"/>
      <w:r w:rsidRPr="00A94875">
        <w:rPr>
          <w:lang w:val="en-GB"/>
        </w:rPr>
        <w:t>IoT</w:t>
      </w:r>
      <w:proofErr w:type="spellEnd"/>
      <w:r w:rsidRPr="00A94875">
        <w:rPr>
          <w:lang w:val="en-GB"/>
        </w:rPr>
        <w:t xml:space="preserve"> and Smart Cities.</w:t>
      </w:r>
      <w:r w:rsidR="00AD6561" w:rsidRPr="00A94875">
        <w:rPr>
          <w:lang w:val="en-GB"/>
        </w:rPr>
        <w:t xml:space="preserve"> The lifetime of the FG-DPM </w:t>
      </w:r>
      <w:proofErr w:type="gramStart"/>
      <w:r w:rsidR="00AD6561" w:rsidRPr="00A94875">
        <w:rPr>
          <w:lang w:val="en-GB"/>
        </w:rPr>
        <w:t>has been extended</w:t>
      </w:r>
      <w:proofErr w:type="gramEnd"/>
      <w:r w:rsidR="00AD6561" w:rsidRPr="00A94875">
        <w:rPr>
          <w:lang w:val="en-GB"/>
        </w:rPr>
        <w:t xml:space="preserve"> for one additional year until July 2019. </w:t>
      </w:r>
    </w:p>
    <w:p w14:paraId="609AEE9E" w14:textId="0AD80405" w:rsidR="006944F8" w:rsidRPr="00A94875" w:rsidRDefault="00D64AF8" w:rsidP="006944F8">
      <w:pPr>
        <w:pStyle w:val="Heading2"/>
        <w:rPr>
          <w:rFonts w:asciiTheme="majorBidi" w:hAnsiTheme="majorBidi" w:cstheme="majorBidi"/>
          <w:lang w:val="en-GB"/>
        </w:rPr>
      </w:pPr>
      <w:bookmarkStart w:id="69" w:name="_Toc530571855"/>
      <w:r w:rsidRPr="00A94875">
        <w:rPr>
          <w:rFonts w:asciiTheme="majorBidi" w:hAnsiTheme="majorBidi" w:cstheme="majorBidi"/>
          <w:lang w:val="en-GB"/>
        </w:rPr>
        <w:t>5</w:t>
      </w:r>
      <w:r w:rsidR="006944F8" w:rsidRPr="00A94875">
        <w:rPr>
          <w:rFonts w:asciiTheme="majorBidi" w:hAnsiTheme="majorBidi" w:cstheme="majorBidi"/>
          <w:lang w:val="en-GB"/>
        </w:rPr>
        <w:t>.2</w:t>
      </w:r>
      <w:r w:rsidR="006944F8" w:rsidRPr="00A94875">
        <w:rPr>
          <w:rFonts w:asciiTheme="majorBidi" w:hAnsiTheme="majorBidi" w:cstheme="majorBidi"/>
          <w:lang w:val="en-GB"/>
        </w:rPr>
        <w:tab/>
        <w:t xml:space="preserve">Digital </w:t>
      </w:r>
      <w:r w:rsidRPr="00A94875">
        <w:rPr>
          <w:rFonts w:asciiTheme="majorBidi" w:hAnsiTheme="majorBidi" w:cstheme="majorBidi"/>
          <w:lang w:val="en-GB"/>
        </w:rPr>
        <w:t>C</w:t>
      </w:r>
      <w:r w:rsidR="006944F8" w:rsidRPr="00A94875">
        <w:rPr>
          <w:rFonts w:asciiTheme="majorBidi" w:hAnsiTheme="majorBidi" w:cstheme="majorBidi"/>
          <w:lang w:val="en-GB"/>
        </w:rPr>
        <w:t xml:space="preserve">urrency including </w:t>
      </w:r>
      <w:r w:rsidRPr="00A94875">
        <w:rPr>
          <w:rFonts w:asciiTheme="majorBidi" w:hAnsiTheme="majorBidi" w:cstheme="majorBidi"/>
          <w:lang w:val="en-GB"/>
        </w:rPr>
        <w:t>D</w:t>
      </w:r>
      <w:r w:rsidR="006944F8" w:rsidRPr="00A94875">
        <w:rPr>
          <w:rFonts w:asciiTheme="majorBidi" w:hAnsiTheme="majorBidi" w:cstheme="majorBidi"/>
          <w:lang w:val="en-GB"/>
        </w:rPr>
        <w:t xml:space="preserve">igital </w:t>
      </w:r>
      <w:r w:rsidRPr="00A94875">
        <w:rPr>
          <w:rFonts w:asciiTheme="majorBidi" w:hAnsiTheme="majorBidi" w:cstheme="majorBidi"/>
          <w:lang w:val="en-GB"/>
        </w:rPr>
        <w:t>F</w:t>
      </w:r>
      <w:r w:rsidR="006944F8" w:rsidRPr="00A94875">
        <w:rPr>
          <w:rFonts w:asciiTheme="majorBidi" w:hAnsiTheme="majorBidi" w:cstheme="majorBidi"/>
          <w:lang w:val="en-GB"/>
        </w:rPr>
        <w:t xml:space="preserve">iat </w:t>
      </w:r>
      <w:r w:rsidRPr="00A94875">
        <w:rPr>
          <w:rFonts w:asciiTheme="majorBidi" w:hAnsiTheme="majorBidi" w:cstheme="majorBidi"/>
          <w:lang w:val="en-GB"/>
        </w:rPr>
        <w:t>C</w:t>
      </w:r>
      <w:r w:rsidR="006944F8" w:rsidRPr="00A94875">
        <w:rPr>
          <w:rFonts w:asciiTheme="majorBidi" w:hAnsiTheme="majorBidi" w:cstheme="majorBidi"/>
          <w:lang w:val="en-GB"/>
        </w:rPr>
        <w:t>urrency</w:t>
      </w:r>
      <w:bookmarkEnd w:id="69"/>
    </w:p>
    <w:p w14:paraId="492DEE96" w14:textId="422E16DF" w:rsidR="00582EFF" w:rsidRPr="00A94875" w:rsidRDefault="00582EFF" w:rsidP="009E5FFA">
      <w:pPr>
        <w:pStyle w:val="NormalWeb"/>
        <w:spacing w:before="120" w:beforeAutospacing="0" w:after="0" w:afterAutospacing="0"/>
        <w:rPr>
          <w:rFonts w:ascii="Times New Roman" w:hAnsi="Times New Roman"/>
          <w:lang w:val="en-GB"/>
        </w:rPr>
      </w:pPr>
      <w:r w:rsidRPr="00A94875">
        <w:rPr>
          <w:rFonts w:ascii="Times New Roman" w:hAnsi="Times New Roman"/>
          <w:lang w:val="en-GB"/>
        </w:rPr>
        <w:t xml:space="preserve">The </w:t>
      </w:r>
      <w:hyperlink r:id="rId72" w:history="1">
        <w:r w:rsidRPr="00A94875">
          <w:rPr>
            <w:rStyle w:val="Hyperlink"/>
            <w:rFonts w:ascii="Times New Roman" w:hAnsi="Times New Roman"/>
            <w:lang w:val="en-GB"/>
          </w:rPr>
          <w:t>ITU-T Focus Gr</w:t>
        </w:r>
        <w:r w:rsidR="00AD6561" w:rsidRPr="00A94875">
          <w:rPr>
            <w:rStyle w:val="Hyperlink"/>
            <w:rFonts w:ascii="Times New Roman" w:hAnsi="Times New Roman"/>
            <w:lang w:val="en-GB"/>
          </w:rPr>
          <w:t>oup Digital Currency including Digital Fiat C</w:t>
        </w:r>
        <w:r w:rsidRPr="00A94875">
          <w:rPr>
            <w:rStyle w:val="Hyperlink"/>
            <w:rFonts w:ascii="Times New Roman" w:hAnsi="Times New Roman"/>
            <w:lang w:val="en-GB"/>
          </w:rPr>
          <w:t xml:space="preserve">urrency </w:t>
        </w:r>
        <w:r w:rsidR="002534EE" w:rsidRPr="00A94875">
          <w:rPr>
            <w:rStyle w:val="Hyperlink"/>
            <w:rFonts w:ascii="Times New Roman" w:hAnsi="Times New Roman"/>
            <w:lang w:val="en-GB"/>
          </w:rPr>
          <w:t>(FG DFC)</w:t>
        </w:r>
      </w:hyperlink>
      <w:r w:rsidR="002534EE" w:rsidRPr="00A94875">
        <w:rPr>
          <w:rFonts w:ascii="Times New Roman" w:hAnsi="Times New Roman"/>
          <w:lang w:val="en-GB"/>
        </w:rPr>
        <w:t xml:space="preserve"> </w:t>
      </w:r>
      <w:r w:rsidRPr="00A94875">
        <w:rPr>
          <w:rFonts w:ascii="Times New Roman" w:hAnsi="Times New Roman"/>
          <w:lang w:val="en-GB"/>
        </w:rPr>
        <w:t>is</w:t>
      </w:r>
      <w:r w:rsidR="00AD6561" w:rsidRPr="00A94875">
        <w:rPr>
          <w:rFonts w:ascii="Times New Roman" w:hAnsi="Times New Roman"/>
          <w:lang w:val="en-GB"/>
        </w:rPr>
        <w:t xml:space="preserve"> </w:t>
      </w:r>
      <w:r w:rsidRPr="00A94875">
        <w:rPr>
          <w:rFonts w:ascii="Times New Roman" w:hAnsi="Times New Roman"/>
          <w:lang w:val="en-GB"/>
        </w:rPr>
        <w:t xml:space="preserve">a forum for dialogue among players in the banking, </w:t>
      </w:r>
      <w:proofErr w:type="spellStart"/>
      <w:r w:rsidRPr="00A94875">
        <w:rPr>
          <w:rFonts w:ascii="Times New Roman" w:hAnsi="Times New Roman"/>
          <w:lang w:val="en-GB"/>
        </w:rPr>
        <w:t>fintech</w:t>
      </w:r>
      <w:proofErr w:type="spellEnd"/>
      <w:r w:rsidRPr="00A94875">
        <w:rPr>
          <w:rFonts w:ascii="Times New Roman" w:hAnsi="Times New Roman"/>
          <w:lang w:val="en-GB"/>
        </w:rPr>
        <w:t xml:space="preserve"> and telecom sectors to share information and best practices and showcase innovations, as well as develop a series of deliverables highlighting requirements for network infrastructure and standards in the area of central bank issued digital currency.</w:t>
      </w:r>
    </w:p>
    <w:p w14:paraId="0C9257B1" w14:textId="2AA47C5C" w:rsidR="006944F8" w:rsidRPr="00A94875" w:rsidRDefault="00D64AF8" w:rsidP="006944F8">
      <w:pPr>
        <w:pStyle w:val="Heading2"/>
        <w:rPr>
          <w:lang w:val="en-GB"/>
        </w:rPr>
      </w:pPr>
      <w:bookmarkStart w:id="70" w:name="_Toc530571856"/>
      <w:r w:rsidRPr="00A94875">
        <w:rPr>
          <w:rFonts w:asciiTheme="majorBidi" w:hAnsiTheme="majorBidi" w:cstheme="majorBidi"/>
          <w:lang w:val="en-GB"/>
        </w:rPr>
        <w:t>5</w:t>
      </w:r>
      <w:r w:rsidR="006944F8" w:rsidRPr="00A94875">
        <w:rPr>
          <w:rFonts w:asciiTheme="majorBidi" w:hAnsiTheme="majorBidi" w:cstheme="majorBidi"/>
          <w:lang w:val="en-GB"/>
        </w:rPr>
        <w:t>.3</w:t>
      </w:r>
      <w:r w:rsidR="006944F8" w:rsidRPr="00A94875">
        <w:rPr>
          <w:rFonts w:asciiTheme="majorBidi" w:hAnsiTheme="majorBidi" w:cstheme="majorBidi"/>
          <w:lang w:val="en-GB"/>
        </w:rPr>
        <w:tab/>
      </w:r>
      <w:r w:rsidR="006944F8" w:rsidRPr="00A94875">
        <w:rPr>
          <w:lang w:val="en-GB"/>
        </w:rPr>
        <w:t>Application of Distributed Ledger Technology</w:t>
      </w:r>
      <w:bookmarkEnd w:id="70"/>
    </w:p>
    <w:p w14:paraId="0F292D47" w14:textId="17C3347D" w:rsidR="006944F8" w:rsidRPr="00A94875" w:rsidRDefault="00AD6561" w:rsidP="009E5FFA">
      <w:pPr>
        <w:rPr>
          <w:lang w:val="en-GB"/>
        </w:rPr>
      </w:pPr>
      <w:r w:rsidRPr="00A94875">
        <w:rPr>
          <w:lang w:val="en-GB"/>
        </w:rPr>
        <w:t xml:space="preserve">The </w:t>
      </w:r>
      <w:hyperlink r:id="rId73" w:history="1">
        <w:r w:rsidR="006944F8" w:rsidRPr="00A94875">
          <w:rPr>
            <w:rStyle w:val="Hyperlink"/>
            <w:lang w:val="en-GB"/>
          </w:rPr>
          <w:t>ITU-T Focus Group on Application of Distributed Ledger Technology (FG DLT)</w:t>
        </w:r>
      </w:hyperlink>
      <w:r w:rsidR="006944F8" w:rsidRPr="00A94875">
        <w:rPr>
          <w:lang w:val="en-GB"/>
        </w:rPr>
        <w:t xml:space="preserve"> aims to deliver an ‘assessment framework’ to support efforts to understand the strengths and weaknesses of DLT platforms in different use cases. The group is also developing a high-level DLT architecture – a reference framework – detailing the key elements of a DLT platform. The Focus Group is studying high-potential DLT use cases and DLT platforms said to meet the requirements of such use cases. </w:t>
      </w:r>
      <w:proofErr w:type="gramStart"/>
      <w:r w:rsidR="006944F8" w:rsidRPr="00A94875">
        <w:rPr>
          <w:lang w:val="en-GB"/>
        </w:rPr>
        <w:t>These studies guide the Focus Group’s abstraction of the common requirements necessary to describe a DLT architecture and associated assessment criteria.</w:t>
      </w:r>
      <w:proofErr w:type="gramEnd"/>
    </w:p>
    <w:p w14:paraId="57C2A8AA" w14:textId="555A44F4" w:rsidR="006944F8" w:rsidRPr="00A94875" w:rsidRDefault="00D64AF8" w:rsidP="009E5FFA">
      <w:pPr>
        <w:pStyle w:val="Heading2"/>
        <w:rPr>
          <w:rFonts w:asciiTheme="majorBidi" w:hAnsiTheme="majorBidi" w:cstheme="majorBidi"/>
          <w:lang w:val="en-GB"/>
        </w:rPr>
      </w:pPr>
      <w:bookmarkStart w:id="71" w:name="_Toc530571857"/>
      <w:r w:rsidRPr="00A94875">
        <w:rPr>
          <w:rFonts w:asciiTheme="majorBidi" w:hAnsiTheme="majorBidi" w:cstheme="majorBidi"/>
          <w:lang w:val="en-GB"/>
        </w:rPr>
        <w:t>5</w:t>
      </w:r>
      <w:r w:rsidR="006944F8" w:rsidRPr="00A94875">
        <w:rPr>
          <w:rFonts w:asciiTheme="majorBidi" w:hAnsiTheme="majorBidi" w:cstheme="majorBidi"/>
          <w:lang w:val="en-GB"/>
        </w:rPr>
        <w:t>.4</w:t>
      </w:r>
      <w:r w:rsidR="006944F8" w:rsidRPr="00A94875">
        <w:rPr>
          <w:rFonts w:asciiTheme="majorBidi" w:hAnsiTheme="majorBidi" w:cstheme="majorBidi"/>
          <w:lang w:val="en-GB"/>
        </w:rPr>
        <w:tab/>
        <w:t xml:space="preserve">Machine </w:t>
      </w:r>
      <w:r w:rsidRPr="00A94875">
        <w:rPr>
          <w:rFonts w:asciiTheme="majorBidi" w:hAnsiTheme="majorBidi" w:cstheme="majorBidi"/>
          <w:lang w:val="en-GB"/>
        </w:rPr>
        <w:t>L</w:t>
      </w:r>
      <w:r w:rsidR="006944F8" w:rsidRPr="00A94875">
        <w:rPr>
          <w:rFonts w:asciiTheme="majorBidi" w:hAnsiTheme="majorBidi" w:cstheme="majorBidi"/>
          <w:lang w:val="en-GB"/>
        </w:rPr>
        <w:t xml:space="preserve">earning </w:t>
      </w:r>
      <w:r w:rsidRPr="00A94875">
        <w:rPr>
          <w:rFonts w:asciiTheme="majorBidi" w:hAnsiTheme="majorBidi" w:cstheme="majorBidi"/>
          <w:lang w:val="en-GB"/>
        </w:rPr>
        <w:t>for Future Networks including</w:t>
      </w:r>
      <w:r w:rsidR="006944F8" w:rsidRPr="00A94875">
        <w:rPr>
          <w:rFonts w:asciiTheme="majorBidi" w:hAnsiTheme="majorBidi" w:cstheme="majorBidi"/>
          <w:lang w:val="en-GB"/>
        </w:rPr>
        <w:t xml:space="preserve"> 5G</w:t>
      </w:r>
      <w:bookmarkEnd w:id="71"/>
    </w:p>
    <w:p w14:paraId="144B5C25" w14:textId="4D5806FE" w:rsidR="006944F8" w:rsidRPr="00A94875" w:rsidRDefault="006944F8" w:rsidP="009E5FFA">
      <w:pPr>
        <w:pStyle w:val="NormalWeb"/>
        <w:spacing w:before="120" w:beforeAutospacing="0" w:after="0" w:afterAutospacing="0"/>
        <w:rPr>
          <w:rFonts w:asciiTheme="majorBidi" w:hAnsiTheme="majorBidi" w:cstheme="majorBidi"/>
          <w:lang w:val="en-GB"/>
        </w:rPr>
      </w:pPr>
      <w:r w:rsidRPr="00A94875">
        <w:rPr>
          <w:rFonts w:ascii="Times New Roman" w:hAnsi="Times New Roman"/>
          <w:lang w:val="en-GB"/>
        </w:rPr>
        <w:t xml:space="preserve">The </w:t>
      </w:r>
      <w:hyperlink r:id="rId74" w:history="1">
        <w:r w:rsidRPr="00A94875">
          <w:rPr>
            <w:rStyle w:val="Hyperlink"/>
            <w:rFonts w:ascii="Times New Roman" w:hAnsi="Times New Roman"/>
            <w:lang w:val="en-GB"/>
          </w:rPr>
          <w:t>ITU</w:t>
        </w:r>
        <w:r w:rsidR="00D64AF8" w:rsidRPr="00A94875">
          <w:rPr>
            <w:rStyle w:val="Hyperlink"/>
            <w:rFonts w:ascii="Times New Roman" w:hAnsi="Times New Roman"/>
            <w:lang w:val="en-GB"/>
          </w:rPr>
          <w:t>-T</w:t>
        </w:r>
        <w:r w:rsidRPr="00A94875">
          <w:rPr>
            <w:rStyle w:val="Hyperlink"/>
            <w:rFonts w:ascii="Times New Roman" w:hAnsi="Times New Roman"/>
            <w:lang w:val="en-GB"/>
          </w:rPr>
          <w:t xml:space="preserve"> Focus Group on Machine Learning for Future Networks including </w:t>
        </w:r>
        <w:r w:rsidR="002534EE" w:rsidRPr="00A94875">
          <w:rPr>
            <w:rStyle w:val="Hyperlink"/>
            <w:rFonts w:ascii="Times New Roman" w:hAnsi="Times New Roman"/>
            <w:lang w:val="en-GB"/>
          </w:rPr>
          <w:t>5G (FG ML5G)</w:t>
        </w:r>
        <w:r w:rsidR="002534EE" w:rsidRPr="00A94875" w:rsidDel="002534EE">
          <w:rPr>
            <w:rStyle w:val="Hyperlink"/>
            <w:rFonts w:ascii="Times New Roman" w:hAnsi="Times New Roman"/>
            <w:lang w:val="en-GB"/>
          </w:rPr>
          <w:t xml:space="preserve"> </w:t>
        </w:r>
      </w:hyperlink>
      <w:r w:rsidRPr="00A94875">
        <w:rPr>
          <w:rFonts w:ascii="Times New Roman" w:hAnsi="Times New Roman"/>
          <w:lang w:val="en-GB"/>
        </w:rPr>
        <w:t xml:space="preserve"> </w:t>
      </w:r>
      <w:r w:rsidR="00582EFF" w:rsidRPr="00A94875">
        <w:rPr>
          <w:rFonts w:ascii="Times New Roman" w:hAnsi="Times New Roman"/>
          <w:lang w:val="en-GB"/>
        </w:rPr>
        <w:t xml:space="preserve">will </w:t>
      </w:r>
      <w:r w:rsidRPr="00A94875">
        <w:rPr>
          <w:rFonts w:ascii="Times New Roman" w:hAnsi="Times New Roman"/>
          <w:lang w:val="en-GB"/>
        </w:rPr>
        <w:t xml:space="preserve">propose standardization strategies to assist machine learning in contributing to the efficiency of emerging 5G systems. The group </w:t>
      </w:r>
      <w:r w:rsidR="002534EE" w:rsidRPr="00A94875">
        <w:rPr>
          <w:rFonts w:ascii="Times New Roman" w:hAnsi="Times New Roman"/>
          <w:lang w:val="en-GB"/>
        </w:rPr>
        <w:t xml:space="preserve">is </w:t>
      </w:r>
      <w:r w:rsidRPr="00A94875">
        <w:rPr>
          <w:rFonts w:ascii="Times New Roman" w:hAnsi="Times New Roman"/>
          <w:lang w:val="en-GB"/>
        </w:rPr>
        <w:t>defin</w:t>
      </w:r>
      <w:r w:rsidR="002534EE" w:rsidRPr="00A94875">
        <w:rPr>
          <w:rFonts w:ascii="Times New Roman" w:hAnsi="Times New Roman"/>
          <w:lang w:val="en-GB"/>
        </w:rPr>
        <w:t>ing</w:t>
      </w:r>
      <w:r w:rsidRPr="00A94875">
        <w:rPr>
          <w:rFonts w:ascii="Times New Roman" w:hAnsi="Times New Roman"/>
          <w:lang w:val="en-GB"/>
        </w:rPr>
        <w:t xml:space="preserve"> the requirements of machine learning as they relate to </w:t>
      </w:r>
      <w:r w:rsidR="00582EFF" w:rsidRPr="00A94875">
        <w:rPr>
          <w:rFonts w:ascii="Times New Roman" w:hAnsi="Times New Roman"/>
          <w:lang w:val="en-GB"/>
        </w:rPr>
        <w:t xml:space="preserve">interfaces, protocols, algorithms, </w:t>
      </w:r>
      <w:r w:rsidRPr="00A94875">
        <w:rPr>
          <w:rFonts w:ascii="Times New Roman" w:hAnsi="Times New Roman"/>
          <w:lang w:val="en-GB"/>
        </w:rPr>
        <w:t>data formats and network architectures.</w:t>
      </w:r>
      <w:r w:rsidR="00AD6561" w:rsidRPr="00A94875">
        <w:rPr>
          <w:rFonts w:ascii="Times New Roman" w:hAnsi="Times New Roman"/>
          <w:lang w:val="en-GB"/>
        </w:rPr>
        <w:t xml:space="preserve"> </w:t>
      </w:r>
      <w:r w:rsidRPr="00A94875">
        <w:rPr>
          <w:rFonts w:ascii="Times New Roman" w:hAnsi="Times New Roman"/>
          <w:lang w:val="en-GB"/>
        </w:rPr>
        <w:t xml:space="preserve">One of the Focus Group’s ambitions is to address the challenges surrounding the availability and quality of the data required to </w:t>
      </w:r>
      <w:proofErr w:type="gramStart"/>
      <w:r w:rsidRPr="00A94875">
        <w:rPr>
          <w:rFonts w:ascii="Times New Roman" w:hAnsi="Times New Roman"/>
          <w:lang w:val="en-GB"/>
        </w:rPr>
        <w:t>fuel machine learning algorithms</w:t>
      </w:r>
      <w:proofErr w:type="gramEnd"/>
      <w:r w:rsidRPr="00A94875">
        <w:rPr>
          <w:rFonts w:ascii="Times New Roman" w:hAnsi="Times New Roman"/>
          <w:lang w:val="en-GB"/>
        </w:rPr>
        <w:t xml:space="preserve">. </w:t>
      </w:r>
    </w:p>
    <w:p w14:paraId="2A1AA560" w14:textId="4511186A" w:rsidR="006944F8" w:rsidRPr="00A94875" w:rsidRDefault="00D64AF8" w:rsidP="006944F8">
      <w:pPr>
        <w:pStyle w:val="Heading2"/>
        <w:rPr>
          <w:rFonts w:asciiTheme="majorBidi" w:hAnsiTheme="majorBidi" w:cstheme="majorBidi"/>
          <w:lang w:val="en-GB"/>
        </w:rPr>
      </w:pPr>
      <w:bookmarkStart w:id="72" w:name="_Toc530571858"/>
      <w:r w:rsidRPr="00A94875">
        <w:rPr>
          <w:rFonts w:asciiTheme="majorBidi" w:hAnsiTheme="majorBidi" w:cstheme="majorBidi"/>
          <w:lang w:val="en-GB"/>
        </w:rPr>
        <w:t>5</w:t>
      </w:r>
      <w:r w:rsidR="006944F8" w:rsidRPr="00A94875">
        <w:rPr>
          <w:rFonts w:asciiTheme="majorBidi" w:hAnsiTheme="majorBidi" w:cstheme="majorBidi"/>
          <w:lang w:val="en-GB"/>
        </w:rPr>
        <w:t>.5</w:t>
      </w:r>
      <w:r w:rsidR="006944F8" w:rsidRPr="00A94875">
        <w:rPr>
          <w:rFonts w:asciiTheme="majorBidi" w:hAnsiTheme="majorBidi" w:cstheme="majorBidi"/>
          <w:lang w:val="en-GB"/>
        </w:rPr>
        <w:tab/>
        <w:t>Technologies for Network 2030</w:t>
      </w:r>
      <w:bookmarkEnd w:id="72"/>
    </w:p>
    <w:p w14:paraId="6DDBFB2F" w14:textId="10768241" w:rsidR="006944F8" w:rsidRPr="00A94875" w:rsidRDefault="006944F8" w:rsidP="009E5FFA">
      <w:pPr>
        <w:pStyle w:val="NormalWeb"/>
        <w:shd w:val="clear" w:color="auto" w:fill="FFFFFF"/>
        <w:spacing w:before="120" w:beforeAutospacing="0" w:after="0" w:afterAutospacing="0"/>
        <w:rPr>
          <w:rFonts w:asciiTheme="majorBidi" w:hAnsiTheme="majorBidi" w:cstheme="majorBidi"/>
          <w:lang w:val="en-GB"/>
        </w:rPr>
      </w:pPr>
      <w:r w:rsidRPr="00A94875">
        <w:rPr>
          <w:rFonts w:ascii="Times New Roman" w:hAnsi="Times New Roman"/>
          <w:lang w:val="en-GB"/>
        </w:rPr>
        <w:t xml:space="preserve">The </w:t>
      </w:r>
      <w:hyperlink r:id="rId75" w:history="1">
        <w:r w:rsidRPr="00A94875">
          <w:rPr>
            <w:rStyle w:val="Hyperlink"/>
            <w:rFonts w:ascii="Times New Roman" w:hAnsi="Times New Roman"/>
            <w:color w:val="039BE5"/>
            <w:lang w:val="en-GB"/>
          </w:rPr>
          <w:t>ITU</w:t>
        </w:r>
        <w:r w:rsidR="00D64AF8" w:rsidRPr="00A94875">
          <w:rPr>
            <w:rStyle w:val="Hyperlink"/>
            <w:rFonts w:ascii="Times New Roman" w:hAnsi="Times New Roman"/>
            <w:color w:val="039BE5"/>
            <w:lang w:val="en-GB"/>
          </w:rPr>
          <w:t>-T</w:t>
        </w:r>
        <w:r w:rsidRPr="00A94875">
          <w:rPr>
            <w:rStyle w:val="Hyperlink"/>
            <w:rFonts w:ascii="Times New Roman" w:hAnsi="Times New Roman"/>
            <w:color w:val="039BE5"/>
            <w:lang w:val="en-GB"/>
          </w:rPr>
          <w:t xml:space="preserve"> Focus Group on Technologies for Network 2030 (FG NET-2030)</w:t>
        </w:r>
      </w:hyperlink>
      <w:r w:rsidRPr="00A94875">
        <w:rPr>
          <w:rFonts w:ascii="Times New Roman" w:hAnsi="Times New Roman"/>
          <w:lang w:val="en-GB"/>
        </w:rPr>
        <w:t xml:space="preserve"> </w:t>
      </w:r>
      <w:r w:rsidR="002534EE" w:rsidRPr="00A94875">
        <w:rPr>
          <w:rFonts w:ascii="Times New Roman" w:hAnsi="Times New Roman"/>
          <w:lang w:val="en-GB"/>
        </w:rPr>
        <w:t>is examining</w:t>
      </w:r>
      <w:r w:rsidR="00AD6561" w:rsidRPr="00A94875">
        <w:rPr>
          <w:rFonts w:ascii="Times New Roman" w:hAnsi="Times New Roman"/>
          <w:lang w:val="en-GB"/>
        </w:rPr>
        <w:t xml:space="preserve"> how emerging technologies can enhance network capabilities to meet the demands of 5G systems and future innovations. The group is studying</w:t>
      </w:r>
      <w:r w:rsidRPr="00A94875">
        <w:rPr>
          <w:rFonts w:ascii="Times New Roman" w:hAnsi="Times New Roman"/>
          <w:lang w:val="en-GB"/>
        </w:rPr>
        <w:t xml:space="preserve"> new media, services and architectures to identify communication needs and use cases for the year 2030 and beyond. The Focus Group will create a vision for networks in the year 2030 by drawing</w:t>
      </w:r>
      <w:r w:rsidR="008C302E" w:rsidRPr="00A94875">
        <w:rPr>
          <w:rFonts w:ascii="Times New Roman" w:hAnsi="Times New Roman"/>
          <w:lang w:val="en-GB"/>
        </w:rPr>
        <w:t xml:space="preserve"> on past developments and analys</w:t>
      </w:r>
      <w:r w:rsidRPr="00A94875">
        <w:rPr>
          <w:rFonts w:ascii="Times New Roman" w:hAnsi="Times New Roman"/>
          <w:lang w:val="en-GB"/>
        </w:rPr>
        <w:t xml:space="preserve">ing emerging technologies. </w:t>
      </w:r>
      <w:r w:rsidR="00AD6561" w:rsidRPr="00A94875">
        <w:rPr>
          <w:rFonts w:ascii="Times New Roman" w:hAnsi="Times New Roman"/>
          <w:lang w:val="en-GB"/>
        </w:rPr>
        <w:t xml:space="preserve">In focus are </w:t>
      </w:r>
      <w:r w:rsidRPr="00A94875">
        <w:rPr>
          <w:rFonts w:ascii="Times New Roman" w:hAnsi="Times New Roman"/>
          <w:lang w:val="en-GB"/>
        </w:rPr>
        <w:t>applications including augmented and virtual reality and holograms</w:t>
      </w:r>
      <w:r w:rsidR="00AD6561" w:rsidRPr="00A94875">
        <w:rPr>
          <w:rFonts w:ascii="Times New Roman" w:hAnsi="Times New Roman"/>
          <w:lang w:val="en-GB"/>
        </w:rPr>
        <w:t xml:space="preserve">, and the group </w:t>
      </w:r>
      <w:proofErr w:type="gramStart"/>
      <w:r w:rsidRPr="00A94875">
        <w:rPr>
          <w:rFonts w:ascii="Times New Roman" w:hAnsi="Times New Roman"/>
          <w:lang w:val="en-GB"/>
        </w:rPr>
        <w:t>will also</w:t>
      </w:r>
      <w:proofErr w:type="gramEnd"/>
      <w:r w:rsidRPr="00A94875">
        <w:rPr>
          <w:rFonts w:ascii="Times New Roman" w:hAnsi="Times New Roman"/>
          <w:lang w:val="en-GB"/>
        </w:rPr>
        <w:t xml:space="preserve"> respond to increasing user demands for time-sensitive applications.</w:t>
      </w:r>
    </w:p>
    <w:p w14:paraId="2B402440" w14:textId="2D6FB9A0" w:rsidR="006944F8" w:rsidRPr="00A94875" w:rsidRDefault="00D64AF8" w:rsidP="006944F8">
      <w:pPr>
        <w:pStyle w:val="Heading2"/>
        <w:rPr>
          <w:rFonts w:asciiTheme="majorBidi" w:hAnsiTheme="majorBidi" w:cstheme="majorBidi"/>
          <w:lang w:val="en-GB"/>
        </w:rPr>
      </w:pPr>
      <w:bookmarkStart w:id="73" w:name="_Toc530571859"/>
      <w:r w:rsidRPr="00A94875">
        <w:rPr>
          <w:rFonts w:asciiTheme="majorBidi" w:hAnsiTheme="majorBidi" w:cstheme="majorBidi"/>
          <w:lang w:val="en-GB"/>
        </w:rPr>
        <w:t>5</w:t>
      </w:r>
      <w:r w:rsidR="006944F8" w:rsidRPr="00A94875">
        <w:rPr>
          <w:rFonts w:asciiTheme="majorBidi" w:hAnsiTheme="majorBidi" w:cstheme="majorBidi"/>
          <w:lang w:val="en-GB"/>
        </w:rPr>
        <w:t>.6</w:t>
      </w:r>
      <w:r w:rsidR="006944F8" w:rsidRPr="00A94875">
        <w:rPr>
          <w:rFonts w:asciiTheme="majorBidi" w:hAnsiTheme="majorBidi" w:cstheme="majorBidi"/>
          <w:lang w:val="en-GB"/>
        </w:rPr>
        <w:tab/>
        <w:t>Artificial Intelligence for Health</w:t>
      </w:r>
      <w:bookmarkEnd w:id="73"/>
    </w:p>
    <w:p w14:paraId="6F66FDA2" w14:textId="62CD7357" w:rsidR="006944F8" w:rsidRPr="00A94875" w:rsidRDefault="00AD6561" w:rsidP="009E5FFA">
      <w:pPr>
        <w:pStyle w:val="NormalWeb"/>
        <w:shd w:val="clear" w:color="auto" w:fill="FFFFFF"/>
        <w:spacing w:before="120" w:beforeAutospacing="0" w:after="0" w:afterAutospacing="0"/>
        <w:rPr>
          <w:rFonts w:ascii="Times New Roman" w:hAnsi="Times New Roman"/>
          <w:lang w:val="en-GB"/>
        </w:rPr>
      </w:pPr>
      <w:r w:rsidRPr="00A94875">
        <w:rPr>
          <w:rFonts w:ascii="Times New Roman" w:hAnsi="Times New Roman"/>
          <w:lang w:val="en-GB"/>
        </w:rPr>
        <w:t xml:space="preserve">The </w:t>
      </w:r>
      <w:hyperlink r:id="rId76" w:history="1">
        <w:r w:rsidR="006944F8" w:rsidRPr="00A94875">
          <w:rPr>
            <w:rStyle w:val="Hyperlink"/>
            <w:rFonts w:ascii="Times New Roman" w:hAnsi="Times New Roman"/>
            <w:lang w:val="en-GB"/>
          </w:rPr>
          <w:t>ITU-T Focus Group on Artificial Intelligence for Health (FG AI4H)</w:t>
        </w:r>
      </w:hyperlink>
      <w:r w:rsidRPr="00A94875">
        <w:rPr>
          <w:rFonts w:ascii="Times New Roman" w:hAnsi="Times New Roman"/>
          <w:lang w:val="en-GB"/>
        </w:rPr>
        <w:t xml:space="preserve">, driven in close collaboration by ITU and WHO, is working towards the establishment of a framework and associated process for the performance benchmarking of ‘AI for Health’ algorithms. Iterative </w:t>
      </w:r>
      <w:r w:rsidRPr="00A94875">
        <w:rPr>
          <w:rStyle w:val="Emphasis"/>
          <w:rFonts w:ascii="Times New Roman" w:hAnsi="Times New Roman"/>
          <w:lang w:val="en-GB"/>
        </w:rPr>
        <w:t>Calls for Proposals</w:t>
      </w:r>
      <w:r w:rsidRPr="00A94875">
        <w:rPr>
          <w:rFonts w:ascii="Times New Roman" w:hAnsi="Times New Roman"/>
          <w:lang w:val="en-GB"/>
        </w:rPr>
        <w:t xml:space="preserve"> will guide the Focus Group’s development of evaluation methods to assess the degree to which ‘AI for Health’ use cases have achieved Proof of Concept. The first </w:t>
      </w:r>
      <w:r w:rsidR="006944F8" w:rsidRPr="00A94875">
        <w:rPr>
          <w:rStyle w:val="Emphasis"/>
          <w:rFonts w:ascii="Times New Roman" w:hAnsi="Times New Roman"/>
          <w:lang w:val="en-GB"/>
        </w:rPr>
        <w:t>Call for Proposals</w:t>
      </w:r>
      <w:r w:rsidR="006944F8" w:rsidRPr="00A94875">
        <w:rPr>
          <w:rFonts w:ascii="Times New Roman" w:hAnsi="Times New Roman"/>
          <w:lang w:val="en-GB"/>
        </w:rPr>
        <w:t xml:space="preserve"> </w:t>
      </w:r>
      <w:r w:rsidRPr="00A94875">
        <w:rPr>
          <w:rFonts w:ascii="Times New Roman" w:hAnsi="Times New Roman"/>
          <w:lang w:val="en-GB"/>
        </w:rPr>
        <w:t xml:space="preserve">aims </w:t>
      </w:r>
      <w:r w:rsidR="006944F8" w:rsidRPr="00A94875">
        <w:rPr>
          <w:rFonts w:ascii="Times New Roman" w:hAnsi="Times New Roman"/>
          <w:lang w:val="en-GB"/>
        </w:rPr>
        <w:t>to identify compelling use cases of AI</w:t>
      </w:r>
      <w:r w:rsidRPr="00A94875">
        <w:rPr>
          <w:rFonts w:ascii="Times New Roman" w:hAnsi="Times New Roman"/>
          <w:lang w:val="en-GB"/>
        </w:rPr>
        <w:t xml:space="preserve"> </w:t>
      </w:r>
      <w:r w:rsidR="006944F8" w:rsidRPr="00A94875">
        <w:rPr>
          <w:rFonts w:ascii="Times New Roman" w:hAnsi="Times New Roman"/>
          <w:lang w:val="en-GB"/>
        </w:rPr>
        <w:t>in strengthening health services and overarching health systems</w:t>
      </w:r>
      <w:r w:rsidRPr="00A94875">
        <w:rPr>
          <w:rFonts w:ascii="Times New Roman" w:hAnsi="Times New Roman"/>
          <w:lang w:val="en-GB"/>
        </w:rPr>
        <w:t xml:space="preserve">, </w:t>
      </w:r>
      <w:r w:rsidR="006944F8" w:rsidRPr="00A94875">
        <w:rPr>
          <w:rFonts w:ascii="Times New Roman" w:hAnsi="Times New Roman"/>
          <w:lang w:val="en-GB"/>
        </w:rPr>
        <w:t xml:space="preserve">soliciting AI use cases and associated datasets in the fields of clinical and public health. </w:t>
      </w:r>
      <w:r w:rsidR="006944F8" w:rsidRPr="00A94875">
        <w:rPr>
          <w:rFonts w:ascii="Times New Roman" w:hAnsi="Times New Roman"/>
          <w:lang w:val="en-GB"/>
        </w:rPr>
        <w:lastRenderedPageBreak/>
        <w:t xml:space="preserve">Proposals should highlight the motivations behind an ‘AI for Health’ use case, the value of performance benchmarking in such cases, and the datasets required to train relevant AI algorithms. </w:t>
      </w:r>
    </w:p>
    <w:p w14:paraId="422B6D75" w14:textId="5011D688" w:rsidR="006944F8" w:rsidRPr="00A94875" w:rsidRDefault="00D64AF8" w:rsidP="006944F8">
      <w:pPr>
        <w:pStyle w:val="Heading2"/>
        <w:rPr>
          <w:rFonts w:asciiTheme="majorBidi" w:hAnsiTheme="majorBidi" w:cstheme="majorBidi"/>
          <w:lang w:val="en-GB"/>
        </w:rPr>
      </w:pPr>
      <w:bookmarkStart w:id="74" w:name="_Toc530571860"/>
      <w:r w:rsidRPr="00A94875">
        <w:rPr>
          <w:rFonts w:asciiTheme="majorBidi" w:hAnsiTheme="majorBidi" w:cstheme="majorBidi"/>
          <w:lang w:val="en-GB"/>
        </w:rPr>
        <w:t>5</w:t>
      </w:r>
      <w:r w:rsidR="006944F8" w:rsidRPr="00A94875">
        <w:rPr>
          <w:rFonts w:asciiTheme="majorBidi" w:hAnsiTheme="majorBidi" w:cstheme="majorBidi"/>
          <w:lang w:val="en-GB"/>
        </w:rPr>
        <w:t>.7</w:t>
      </w:r>
      <w:r w:rsidR="006944F8" w:rsidRPr="00A94875">
        <w:rPr>
          <w:rFonts w:asciiTheme="majorBidi" w:hAnsiTheme="majorBidi" w:cstheme="majorBidi"/>
          <w:lang w:val="en-GB"/>
        </w:rPr>
        <w:tab/>
        <w:t>Vehicular Multimedia</w:t>
      </w:r>
      <w:bookmarkEnd w:id="74"/>
    </w:p>
    <w:p w14:paraId="1712ED7C" w14:textId="3FAF4DDE" w:rsidR="006944F8" w:rsidRPr="00A94875" w:rsidRDefault="00AD6561" w:rsidP="009E5FFA">
      <w:pPr>
        <w:pStyle w:val="NormalWeb"/>
        <w:shd w:val="clear" w:color="auto" w:fill="FFFFFF"/>
        <w:spacing w:before="120" w:beforeAutospacing="0" w:after="0" w:afterAutospacing="0"/>
        <w:rPr>
          <w:rFonts w:ascii="Times New Roman" w:hAnsi="Times New Roman"/>
          <w:color w:val="444444"/>
          <w:shd w:val="clear" w:color="auto" w:fill="FFFFFF"/>
          <w:lang w:val="en-GB"/>
        </w:rPr>
      </w:pPr>
      <w:r w:rsidRPr="00A94875">
        <w:rPr>
          <w:rFonts w:ascii="Times New Roman" w:hAnsi="Times New Roman"/>
          <w:lang w:val="en-GB"/>
        </w:rPr>
        <w:t>The</w:t>
      </w:r>
      <w:r w:rsidR="006944F8" w:rsidRPr="00A94875">
        <w:rPr>
          <w:rFonts w:ascii="Times New Roman" w:hAnsi="Times New Roman"/>
          <w:lang w:val="en-GB"/>
        </w:rPr>
        <w:t xml:space="preserve"> </w:t>
      </w:r>
      <w:hyperlink r:id="rId77" w:history="1">
        <w:r w:rsidR="006944F8" w:rsidRPr="00A94875">
          <w:rPr>
            <w:rStyle w:val="Hyperlink"/>
            <w:rFonts w:ascii="Times New Roman" w:hAnsi="Times New Roman"/>
            <w:lang w:val="en-GB"/>
          </w:rPr>
          <w:t xml:space="preserve">ITU-T Focus Group on </w:t>
        </w:r>
        <w:r w:rsidR="006944F8" w:rsidRPr="00A94875">
          <w:rPr>
            <w:rStyle w:val="Hyperlink"/>
            <w:rFonts w:ascii="Times New Roman" w:hAnsi="Times New Roman"/>
            <w:shd w:val="clear" w:color="auto" w:fill="FFFFFF"/>
            <w:lang w:val="en-GB"/>
          </w:rPr>
          <w:t>Vehicular Multimedia (</w:t>
        </w:r>
        <w:r w:rsidR="006944F8" w:rsidRPr="00A94875">
          <w:rPr>
            <w:rStyle w:val="Hyperlink"/>
            <w:rFonts w:ascii="Times New Roman" w:hAnsi="Times New Roman"/>
            <w:bdr w:val="none" w:sz="0" w:space="0" w:color="auto" w:frame="1"/>
            <w:shd w:val="clear" w:color="auto" w:fill="FFFFFF"/>
            <w:lang w:val="en-GB"/>
          </w:rPr>
          <w:t>FG V</w:t>
        </w:r>
        <w:r w:rsidR="002534EE" w:rsidRPr="00A94875">
          <w:rPr>
            <w:rStyle w:val="Hyperlink"/>
            <w:rFonts w:ascii="Times New Roman" w:hAnsi="Times New Roman"/>
            <w:bdr w:val="none" w:sz="0" w:space="0" w:color="auto" w:frame="1"/>
            <w:shd w:val="clear" w:color="auto" w:fill="FFFFFF"/>
            <w:lang w:val="en-GB"/>
          </w:rPr>
          <w:t>M)</w:t>
        </w:r>
        <w:r w:rsidR="002534EE" w:rsidRPr="00A94875" w:rsidDel="002534EE">
          <w:rPr>
            <w:rStyle w:val="Hyperlink"/>
            <w:rFonts w:ascii="Times New Roman" w:hAnsi="Times New Roman"/>
            <w:bdr w:val="none" w:sz="0" w:space="0" w:color="auto" w:frame="1"/>
            <w:shd w:val="clear" w:color="auto" w:fill="FFFFFF"/>
            <w:lang w:val="en-GB"/>
          </w:rPr>
          <w:t xml:space="preserve"> </w:t>
        </w:r>
      </w:hyperlink>
      <w:r w:rsidR="002534EE" w:rsidRPr="00A94875">
        <w:rPr>
          <w:rFonts w:ascii="Times New Roman" w:hAnsi="Times New Roman"/>
          <w:color w:val="444444"/>
          <w:shd w:val="clear" w:color="auto" w:fill="FFFFFF"/>
          <w:lang w:val="en-GB"/>
        </w:rPr>
        <w:t xml:space="preserve"> </w:t>
      </w:r>
      <w:r w:rsidR="006944F8" w:rsidRPr="00A94875">
        <w:rPr>
          <w:rFonts w:ascii="Times New Roman" w:hAnsi="Times New Roman"/>
          <w:lang w:val="en-GB"/>
        </w:rPr>
        <w:t xml:space="preserve"> </w:t>
      </w:r>
      <w:r w:rsidR="002534EE" w:rsidRPr="00A94875">
        <w:rPr>
          <w:rFonts w:ascii="Times New Roman" w:hAnsi="Times New Roman"/>
          <w:lang w:val="en-GB"/>
        </w:rPr>
        <w:t xml:space="preserve">is identifying </w:t>
      </w:r>
      <w:r w:rsidR="006944F8" w:rsidRPr="00A94875">
        <w:rPr>
          <w:rFonts w:ascii="Times New Roman" w:hAnsi="Times New Roman"/>
          <w:lang w:val="en-GB"/>
        </w:rPr>
        <w:t>use cases and requirements of vehicular multimedia enabled by converged networks</w:t>
      </w:r>
      <w:r w:rsidR="002534EE" w:rsidRPr="00A94875">
        <w:rPr>
          <w:rFonts w:ascii="Times New Roman" w:hAnsi="Times New Roman"/>
          <w:lang w:val="en-GB"/>
        </w:rPr>
        <w:t>. It is</w:t>
      </w:r>
      <w:r w:rsidR="006944F8" w:rsidRPr="00A94875">
        <w:rPr>
          <w:rFonts w:ascii="Times New Roman" w:hAnsi="Times New Roman"/>
          <w:lang w:val="en-GB"/>
        </w:rPr>
        <w:t xml:space="preserve"> study</w:t>
      </w:r>
      <w:r w:rsidR="002534EE" w:rsidRPr="00A94875">
        <w:rPr>
          <w:rFonts w:ascii="Times New Roman" w:hAnsi="Times New Roman"/>
          <w:lang w:val="en-GB"/>
        </w:rPr>
        <w:t>ing</w:t>
      </w:r>
      <w:r w:rsidR="006944F8" w:rsidRPr="00A94875">
        <w:rPr>
          <w:rFonts w:ascii="Times New Roman" w:hAnsi="Times New Roman"/>
          <w:lang w:val="en-GB"/>
        </w:rPr>
        <w:t xml:space="preserve"> architectures, interfaces, protocols, data formats, interoperability, performance evaluation, security and protection of personal information for vehicular multimedia</w:t>
      </w:r>
      <w:r w:rsidR="002534EE" w:rsidRPr="00A94875">
        <w:rPr>
          <w:rFonts w:ascii="Times New Roman" w:hAnsi="Times New Roman"/>
          <w:lang w:val="en-GB"/>
        </w:rPr>
        <w:t xml:space="preserve">. Its ultimate aim is to </w:t>
      </w:r>
      <w:r w:rsidR="006944F8" w:rsidRPr="00A94875">
        <w:rPr>
          <w:rFonts w:ascii="Times New Roman" w:hAnsi="Times New Roman"/>
          <w:lang w:val="en-GB"/>
        </w:rPr>
        <w:t>and produce a gap analysis of vehicular multimedia standardization in order to identify the relevant scope of possible future ITU-T Recommendations on these topics and develop a roadmap for vehicular multimedia.</w:t>
      </w:r>
    </w:p>
    <w:p w14:paraId="4C2D6891" w14:textId="434B1025" w:rsidR="006944F8" w:rsidRPr="00A94875" w:rsidRDefault="00D64AF8" w:rsidP="006944F8">
      <w:pPr>
        <w:pStyle w:val="Heading1"/>
        <w:rPr>
          <w:rFonts w:asciiTheme="majorBidi" w:hAnsiTheme="majorBidi" w:cstheme="majorBidi"/>
          <w:lang w:val="en-GB"/>
        </w:rPr>
      </w:pPr>
      <w:bookmarkStart w:id="75" w:name="_Toc416161369"/>
      <w:bookmarkStart w:id="76" w:name="_Toc438553990"/>
      <w:bookmarkStart w:id="77" w:name="_Toc453929114"/>
      <w:bookmarkStart w:id="78" w:name="_Toc453932985"/>
      <w:bookmarkStart w:id="79" w:name="_Toc454295891"/>
      <w:bookmarkStart w:id="80" w:name="_Toc462664250"/>
      <w:bookmarkStart w:id="81" w:name="_Toc480527836"/>
      <w:bookmarkStart w:id="82" w:name="_Toc530571861"/>
      <w:bookmarkEnd w:id="68"/>
      <w:r w:rsidRPr="00A94875">
        <w:rPr>
          <w:rFonts w:asciiTheme="majorBidi" w:hAnsiTheme="majorBidi" w:cstheme="majorBidi"/>
          <w:lang w:val="en-GB"/>
        </w:rPr>
        <w:t>6</w:t>
      </w:r>
      <w:r w:rsidR="006944F8" w:rsidRPr="00A94875">
        <w:rPr>
          <w:rFonts w:asciiTheme="majorBidi" w:hAnsiTheme="majorBidi" w:cstheme="majorBidi"/>
          <w:lang w:val="en-GB"/>
        </w:rPr>
        <w:tab/>
        <w:t xml:space="preserve">Collaboration </w:t>
      </w:r>
      <w:bookmarkEnd w:id="75"/>
      <w:bookmarkEnd w:id="76"/>
      <w:bookmarkEnd w:id="77"/>
      <w:bookmarkEnd w:id="78"/>
      <w:bookmarkEnd w:id="79"/>
      <w:r w:rsidR="006944F8" w:rsidRPr="00A94875">
        <w:rPr>
          <w:rFonts w:asciiTheme="majorBidi" w:hAnsiTheme="majorBidi" w:cstheme="majorBidi"/>
          <w:lang w:val="en-GB"/>
        </w:rPr>
        <w:t>in standardization</w:t>
      </w:r>
      <w:bookmarkEnd w:id="80"/>
      <w:bookmarkEnd w:id="81"/>
      <w:bookmarkEnd w:id="82"/>
    </w:p>
    <w:p w14:paraId="05115733" w14:textId="4CD58758" w:rsidR="006944F8" w:rsidRPr="00A94875" w:rsidRDefault="00D64AF8" w:rsidP="006944F8">
      <w:pPr>
        <w:pStyle w:val="Heading2"/>
        <w:rPr>
          <w:rFonts w:asciiTheme="majorBidi" w:hAnsiTheme="majorBidi" w:cstheme="majorBidi"/>
          <w:lang w:val="en-GB"/>
        </w:rPr>
      </w:pPr>
      <w:bookmarkStart w:id="83" w:name="_Toc480527837"/>
      <w:bookmarkStart w:id="84" w:name="_Toc530571862"/>
      <w:bookmarkStart w:id="85" w:name="_Toc462664251"/>
      <w:r w:rsidRPr="00A94875">
        <w:rPr>
          <w:rFonts w:asciiTheme="majorBidi" w:hAnsiTheme="majorBidi" w:cstheme="majorBidi"/>
          <w:lang w:val="en-GB"/>
        </w:rPr>
        <w:t>6</w:t>
      </w:r>
      <w:r w:rsidR="006944F8" w:rsidRPr="00A94875">
        <w:rPr>
          <w:rFonts w:asciiTheme="majorBidi" w:hAnsiTheme="majorBidi" w:cstheme="majorBidi"/>
          <w:lang w:val="en-GB"/>
        </w:rPr>
        <w:t>.1</w:t>
      </w:r>
      <w:r w:rsidR="006944F8" w:rsidRPr="00A94875">
        <w:rPr>
          <w:rFonts w:asciiTheme="majorBidi" w:hAnsiTheme="majorBidi" w:cstheme="majorBidi"/>
          <w:lang w:val="en-GB"/>
        </w:rPr>
        <w:tab/>
        <w:t>Coordination and cooperation among ITU Sectors</w:t>
      </w:r>
      <w:bookmarkEnd w:id="83"/>
      <w:bookmarkEnd w:id="84"/>
    </w:p>
    <w:p w14:paraId="1527D375" w14:textId="77777777" w:rsidR="002534EE" w:rsidRPr="00A94875" w:rsidRDefault="006944F8" w:rsidP="006944F8">
      <w:pPr>
        <w:rPr>
          <w:rFonts w:asciiTheme="majorBidi" w:hAnsiTheme="majorBidi" w:cstheme="majorBidi"/>
          <w:lang w:val="en-GB"/>
        </w:rPr>
      </w:pPr>
      <w:r w:rsidRPr="00A94875">
        <w:rPr>
          <w:rFonts w:asciiTheme="majorBidi" w:hAnsiTheme="majorBidi" w:cstheme="majorBidi"/>
          <w:lang w:val="en-GB"/>
        </w:rPr>
        <w:t xml:space="preserve">Collaboration with ITU-R and with ITU-D is a standing agenda point of TSAG, where TSAG examines existing methods and approaches to collaboration and/or cooperation with other sectors, with the view to encouraging ITU-T to work more collaboratively and/or cooperatively in a reciprocal manner, and review </w:t>
      </w:r>
      <w:proofErr w:type="gramStart"/>
      <w:r w:rsidRPr="00A94875">
        <w:rPr>
          <w:rFonts w:asciiTheme="majorBidi" w:hAnsiTheme="majorBidi" w:cstheme="majorBidi"/>
          <w:lang w:val="en-GB"/>
        </w:rPr>
        <w:t>is performed</w:t>
      </w:r>
      <w:proofErr w:type="gramEnd"/>
      <w:r w:rsidRPr="00A94875">
        <w:rPr>
          <w:rFonts w:asciiTheme="majorBidi" w:hAnsiTheme="majorBidi" w:cstheme="majorBidi"/>
          <w:lang w:val="en-GB"/>
        </w:rPr>
        <w:t xml:space="preserve"> on a regular basis based on information received. </w:t>
      </w:r>
    </w:p>
    <w:p w14:paraId="60E22E7E" w14:textId="01BF2115" w:rsidR="002534EE" w:rsidRPr="00A94875" w:rsidRDefault="006944F8" w:rsidP="009E5FFA">
      <w:pPr>
        <w:rPr>
          <w:rFonts w:asciiTheme="majorBidi" w:hAnsiTheme="majorBidi" w:cstheme="majorBidi"/>
          <w:lang w:val="en-GB"/>
        </w:rPr>
      </w:pPr>
      <w:r w:rsidRPr="00A94875">
        <w:rPr>
          <w:rFonts w:asciiTheme="majorBidi" w:hAnsiTheme="majorBidi" w:cstheme="majorBidi"/>
          <w:lang w:val="en-GB"/>
        </w:rPr>
        <w:t>TSAG</w:t>
      </w:r>
      <w:r w:rsidR="002534EE" w:rsidRPr="00A94875">
        <w:rPr>
          <w:rFonts w:asciiTheme="majorBidi" w:hAnsiTheme="majorBidi" w:cstheme="majorBidi"/>
          <w:lang w:val="en-GB"/>
        </w:rPr>
        <w:t xml:space="preserve"> </w:t>
      </w:r>
      <w:r w:rsidRPr="00A94875">
        <w:rPr>
          <w:rFonts w:asciiTheme="majorBidi" w:hAnsiTheme="majorBidi" w:cstheme="majorBidi"/>
          <w:lang w:val="en-GB"/>
        </w:rPr>
        <w:t xml:space="preserve">maintains a close relationship with RAG and TDAG in order to develop synergies with the objective of strengthening coordination and cooperation among the three ITU Sectors on matters of mutual interest. </w:t>
      </w:r>
      <w:bookmarkStart w:id="86" w:name="Item18_01"/>
      <w:bookmarkEnd w:id="86"/>
    </w:p>
    <w:p w14:paraId="054AEED0" w14:textId="1C64DBA7" w:rsidR="006944F8" w:rsidRPr="00A94875" w:rsidRDefault="006944F8" w:rsidP="009E5FFA">
      <w:pPr>
        <w:rPr>
          <w:rFonts w:asciiTheme="majorBidi" w:hAnsiTheme="majorBidi" w:cstheme="majorBidi"/>
          <w:lang w:val="en-GB"/>
        </w:rPr>
      </w:pPr>
      <w:r w:rsidRPr="00A94875">
        <w:rPr>
          <w:rFonts w:asciiTheme="majorBidi" w:hAnsiTheme="majorBidi" w:cstheme="majorBidi"/>
          <w:lang w:val="en-GB"/>
        </w:rPr>
        <w:t>Three inter-Sector Rapporteur groups (IRGs) work on items of interests to various ITU-T and ITU-R study groups.</w:t>
      </w:r>
    </w:p>
    <w:p w14:paraId="26B84647" w14:textId="77777777" w:rsidR="006944F8" w:rsidRPr="00A94875" w:rsidRDefault="006944F8" w:rsidP="006944F8">
      <w:pPr>
        <w:pStyle w:val="ListParagraph"/>
        <w:numPr>
          <w:ilvl w:val="0"/>
          <w:numId w:val="13"/>
        </w:numPr>
        <w:spacing w:before="120"/>
        <w:ind w:left="714" w:hanging="357"/>
        <w:contextualSpacing w:val="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IRG-AVA: </w:t>
      </w:r>
      <w:proofErr w:type="spellStart"/>
      <w:r w:rsidRPr="00A94875">
        <w:rPr>
          <w:rFonts w:asciiTheme="majorBidi" w:hAnsiTheme="majorBidi" w:cstheme="majorBidi"/>
          <w:sz w:val="24"/>
          <w:szCs w:val="24"/>
          <w:lang w:val="en-GB"/>
        </w:rPr>
        <w:t>Intersector</w:t>
      </w:r>
      <w:proofErr w:type="spellEnd"/>
      <w:r w:rsidRPr="00A94875">
        <w:rPr>
          <w:rFonts w:asciiTheme="majorBidi" w:hAnsiTheme="majorBidi" w:cstheme="majorBidi"/>
          <w:sz w:val="24"/>
          <w:szCs w:val="24"/>
          <w:lang w:val="en-GB"/>
        </w:rPr>
        <w:t xml:space="preserve"> Rapporteur Group </w:t>
      </w:r>
      <w:proofErr w:type="spellStart"/>
      <w:r w:rsidRPr="00A94875">
        <w:rPr>
          <w:rFonts w:asciiTheme="majorBidi" w:hAnsiTheme="majorBidi" w:cstheme="majorBidi"/>
          <w:sz w:val="24"/>
          <w:szCs w:val="24"/>
          <w:lang w:val="en-GB"/>
        </w:rPr>
        <w:t>Audiovisual</w:t>
      </w:r>
      <w:proofErr w:type="spellEnd"/>
      <w:r w:rsidRPr="00A94875">
        <w:rPr>
          <w:rFonts w:asciiTheme="majorBidi" w:hAnsiTheme="majorBidi" w:cstheme="majorBidi"/>
          <w:sz w:val="24"/>
          <w:szCs w:val="24"/>
          <w:lang w:val="en-GB"/>
        </w:rPr>
        <w:t xml:space="preserve"> Media Accessibility, amongst ITU-T SG9, ITU-T SG16 and ITU-R SG6.</w:t>
      </w:r>
    </w:p>
    <w:p w14:paraId="066CEBC9" w14:textId="77777777" w:rsidR="006944F8" w:rsidRPr="00A94875" w:rsidRDefault="006944F8" w:rsidP="006944F8">
      <w:pPr>
        <w:pStyle w:val="ListParagraph"/>
        <w:numPr>
          <w:ilvl w:val="0"/>
          <w:numId w:val="13"/>
        </w:numPr>
        <w:spacing w:before="120"/>
        <w:ind w:left="714" w:hanging="357"/>
        <w:contextualSpacing w:val="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IRG-AVQA: </w:t>
      </w:r>
      <w:proofErr w:type="spellStart"/>
      <w:r w:rsidRPr="00A94875">
        <w:rPr>
          <w:rFonts w:asciiTheme="majorBidi" w:hAnsiTheme="majorBidi" w:cstheme="majorBidi"/>
          <w:sz w:val="24"/>
          <w:szCs w:val="24"/>
          <w:lang w:val="en-GB"/>
        </w:rPr>
        <w:t>Intersector</w:t>
      </w:r>
      <w:proofErr w:type="spellEnd"/>
      <w:r w:rsidRPr="00A94875">
        <w:rPr>
          <w:rFonts w:asciiTheme="majorBidi" w:hAnsiTheme="majorBidi" w:cstheme="majorBidi"/>
          <w:sz w:val="24"/>
          <w:szCs w:val="24"/>
          <w:lang w:val="en-GB"/>
        </w:rPr>
        <w:t xml:space="preserve"> Rapporteur Group </w:t>
      </w:r>
      <w:proofErr w:type="spellStart"/>
      <w:r w:rsidRPr="00A94875">
        <w:rPr>
          <w:rFonts w:asciiTheme="majorBidi" w:hAnsiTheme="majorBidi" w:cstheme="majorBidi"/>
          <w:sz w:val="24"/>
          <w:szCs w:val="24"/>
          <w:lang w:val="en-GB"/>
        </w:rPr>
        <w:t>Audiovisual</w:t>
      </w:r>
      <w:proofErr w:type="spellEnd"/>
      <w:r w:rsidRPr="00A94875">
        <w:rPr>
          <w:rFonts w:asciiTheme="majorBidi" w:hAnsiTheme="majorBidi" w:cstheme="majorBidi"/>
          <w:sz w:val="24"/>
          <w:szCs w:val="24"/>
          <w:lang w:val="en-GB"/>
        </w:rPr>
        <w:t xml:space="preserve"> Quality Assessment, amongst ITU-T SG12 and ITU-R SG6.</w:t>
      </w:r>
    </w:p>
    <w:p w14:paraId="1B9E3744" w14:textId="77777777" w:rsidR="006944F8" w:rsidRPr="00A94875" w:rsidRDefault="006944F8" w:rsidP="006944F8">
      <w:pPr>
        <w:pStyle w:val="ListParagraph"/>
        <w:numPr>
          <w:ilvl w:val="0"/>
          <w:numId w:val="13"/>
        </w:numPr>
        <w:spacing w:before="120"/>
        <w:ind w:left="714" w:hanging="357"/>
        <w:contextualSpacing w:val="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IRG-IBB: </w:t>
      </w:r>
      <w:proofErr w:type="spellStart"/>
      <w:r w:rsidRPr="00A94875">
        <w:rPr>
          <w:rFonts w:asciiTheme="majorBidi" w:hAnsiTheme="majorBidi" w:cstheme="majorBidi"/>
          <w:sz w:val="24"/>
          <w:szCs w:val="24"/>
          <w:lang w:val="en-GB"/>
        </w:rPr>
        <w:t>Intersector</w:t>
      </w:r>
      <w:proofErr w:type="spellEnd"/>
      <w:r w:rsidRPr="00A94875">
        <w:rPr>
          <w:rFonts w:asciiTheme="majorBidi" w:hAnsiTheme="majorBidi" w:cstheme="majorBidi"/>
          <w:sz w:val="24"/>
          <w:szCs w:val="24"/>
          <w:lang w:val="en-GB"/>
        </w:rPr>
        <w:t xml:space="preserve"> Rapporteur Group Integrated Broadcast-Broadband, between ITU-T SG9, ITU-T SG16 and ITU-R WP 6B.</w:t>
      </w:r>
    </w:p>
    <w:p w14:paraId="1FBAFCDA" w14:textId="775F8553" w:rsidR="006944F8" w:rsidRPr="00A94875" w:rsidRDefault="006944F8" w:rsidP="009E5FFA">
      <w:pPr>
        <w:rPr>
          <w:rFonts w:asciiTheme="majorBidi" w:hAnsiTheme="majorBidi" w:cstheme="majorBidi"/>
          <w:lang w:val="en-GB"/>
        </w:rPr>
      </w:pPr>
      <w:r w:rsidRPr="00A94875">
        <w:rPr>
          <w:rFonts w:asciiTheme="majorBidi" w:hAnsiTheme="majorBidi" w:cstheme="majorBidi"/>
          <w:lang w:val="en-GB"/>
        </w:rPr>
        <w:t xml:space="preserve">The </w:t>
      </w:r>
      <w:r w:rsidR="002534EE" w:rsidRPr="00A94875">
        <w:rPr>
          <w:rFonts w:asciiTheme="majorBidi" w:hAnsiTheme="majorBidi" w:cstheme="majorBidi"/>
          <w:lang w:val="en-GB"/>
        </w:rPr>
        <w:t>I</w:t>
      </w:r>
      <w:r w:rsidRPr="00A94875">
        <w:rPr>
          <w:rFonts w:asciiTheme="majorBidi" w:hAnsiTheme="majorBidi" w:cstheme="majorBidi"/>
          <w:lang w:val="en-GB"/>
        </w:rPr>
        <w:t xml:space="preserve">nter-Sector </w:t>
      </w:r>
      <w:r w:rsidR="002534EE" w:rsidRPr="00A94875">
        <w:rPr>
          <w:rFonts w:asciiTheme="majorBidi" w:hAnsiTheme="majorBidi" w:cstheme="majorBidi"/>
          <w:lang w:val="en-GB"/>
        </w:rPr>
        <w:t>C</w:t>
      </w:r>
      <w:r w:rsidRPr="00A94875">
        <w:rPr>
          <w:rFonts w:asciiTheme="majorBidi" w:hAnsiTheme="majorBidi" w:cstheme="majorBidi"/>
          <w:lang w:val="en-GB"/>
        </w:rPr>
        <w:t xml:space="preserve">oordination </w:t>
      </w:r>
      <w:r w:rsidR="002534EE" w:rsidRPr="00A94875">
        <w:rPr>
          <w:rFonts w:asciiTheme="majorBidi" w:hAnsiTheme="majorBidi" w:cstheme="majorBidi"/>
          <w:lang w:val="en-GB"/>
        </w:rPr>
        <w:t>T</w:t>
      </w:r>
      <w:r w:rsidRPr="00A94875">
        <w:rPr>
          <w:rFonts w:asciiTheme="majorBidi" w:hAnsiTheme="majorBidi" w:cstheme="majorBidi"/>
          <w:lang w:val="en-GB"/>
        </w:rPr>
        <w:t xml:space="preserve">eam (ISCT) </w:t>
      </w:r>
      <w:r w:rsidRPr="00A94875">
        <w:rPr>
          <w:rFonts w:asciiTheme="majorBidi" w:hAnsiTheme="majorBidi" w:cstheme="majorBidi"/>
          <w:szCs w:val="24"/>
          <w:lang w:val="en-GB"/>
        </w:rPr>
        <w:t xml:space="preserve">is composed by representatives of all three advisory groups, and works to identify </w:t>
      </w:r>
      <w:proofErr w:type="gramStart"/>
      <w:r w:rsidRPr="00A94875">
        <w:rPr>
          <w:rFonts w:asciiTheme="majorBidi" w:hAnsiTheme="majorBidi" w:cstheme="majorBidi"/>
          <w:szCs w:val="24"/>
          <w:lang w:val="en-GB"/>
        </w:rPr>
        <w:t>subjects</w:t>
      </w:r>
      <w:proofErr w:type="gramEnd"/>
      <w:r w:rsidRPr="00A94875">
        <w:rPr>
          <w:rFonts w:asciiTheme="majorBidi" w:hAnsiTheme="majorBidi" w:cstheme="majorBidi"/>
          <w:szCs w:val="24"/>
          <w:lang w:val="en-GB"/>
        </w:rPr>
        <w:t xml:space="preserve"> common </w:t>
      </w:r>
      <w:r w:rsidR="002534EE" w:rsidRPr="00A94875">
        <w:rPr>
          <w:rFonts w:asciiTheme="majorBidi" w:hAnsiTheme="majorBidi" w:cstheme="majorBidi"/>
          <w:szCs w:val="24"/>
          <w:lang w:val="en-GB"/>
        </w:rPr>
        <w:t xml:space="preserve">interest </w:t>
      </w:r>
      <w:r w:rsidRPr="00A94875">
        <w:rPr>
          <w:rFonts w:asciiTheme="majorBidi" w:hAnsiTheme="majorBidi" w:cstheme="majorBidi"/>
          <w:szCs w:val="24"/>
          <w:lang w:val="en-GB"/>
        </w:rPr>
        <w:t>to the tree Sector. It also seeks to identify the necessary mechanisms to strengthen cooperation and joint activity among the three Sectors, with particular emphasis on the interests of developing countries.</w:t>
      </w:r>
      <w:r w:rsidRPr="00A94875">
        <w:rPr>
          <w:rFonts w:asciiTheme="majorBidi" w:hAnsiTheme="majorBidi" w:cstheme="majorBidi"/>
          <w:lang w:val="en-GB"/>
        </w:rPr>
        <w:t xml:space="preserve"> In addition, the ITU Inter-Sectoral Coordination Task Force (ISC-TF) is coordinating activities among the t</w:t>
      </w:r>
      <w:r w:rsidR="002534EE" w:rsidRPr="00A94875">
        <w:rPr>
          <w:rFonts w:asciiTheme="majorBidi" w:hAnsiTheme="majorBidi" w:cstheme="majorBidi"/>
          <w:lang w:val="en-GB"/>
        </w:rPr>
        <w:t>h</w:t>
      </w:r>
      <w:r w:rsidRPr="00A94875">
        <w:rPr>
          <w:rFonts w:asciiTheme="majorBidi" w:hAnsiTheme="majorBidi" w:cstheme="majorBidi"/>
          <w:lang w:val="en-GB"/>
        </w:rPr>
        <w:t>ree Bureaux.</w:t>
      </w:r>
      <w:bookmarkStart w:id="87" w:name="Item57_02"/>
      <w:bookmarkEnd w:id="87"/>
    </w:p>
    <w:p w14:paraId="6383062B" w14:textId="268AB298" w:rsidR="006944F8" w:rsidRPr="00A94875" w:rsidRDefault="00D64AF8" w:rsidP="006944F8">
      <w:pPr>
        <w:pStyle w:val="Heading2"/>
        <w:rPr>
          <w:rFonts w:asciiTheme="majorBidi" w:hAnsiTheme="majorBidi" w:cstheme="majorBidi"/>
          <w:lang w:val="en-GB"/>
        </w:rPr>
      </w:pPr>
      <w:bookmarkStart w:id="88" w:name="_Toc530571863"/>
      <w:r w:rsidRPr="00A94875">
        <w:rPr>
          <w:rFonts w:asciiTheme="majorBidi" w:hAnsiTheme="majorBidi" w:cstheme="majorBidi"/>
          <w:lang w:val="en-GB"/>
        </w:rPr>
        <w:t>6</w:t>
      </w:r>
      <w:r w:rsidR="006944F8" w:rsidRPr="00A94875">
        <w:rPr>
          <w:rFonts w:asciiTheme="majorBidi" w:hAnsiTheme="majorBidi" w:cstheme="majorBidi"/>
          <w:lang w:val="en-GB"/>
        </w:rPr>
        <w:t>.2</w:t>
      </w:r>
      <w:r w:rsidR="006944F8" w:rsidRPr="00A94875">
        <w:rPr>
          <w:rFonts w:asciiTheme="majorBidi" w:hAnsiTheme="majorBidi" w:cstheme="majorBidi"/>
          <w:lang w:val="en-GB"/>
        </w:rPr>
        <w:tab/>
        <w:t>Coordination and cooperation with the Regions and the Regional Offices</w:t>
      </w:r>
      <w:bookmarkEnd w:id="88"/>
    </w:p>
    <w:p w14:paraId="34908AB2" w14:textId="4F39FC6B" w:rsidR="006944F8" w:rsidRPr="00A94875" w:rsidRDefault="002534EE" w:rsidP="009E5FFA">
      <w:pPr>
        <w:rPr>
          <w:rFonts w:asciiTheme="majorBidi" w:hAnsiTheme="majorBidi" w:cstheme="majorBidi"/>
          <w:lang w:val="en-GB"/>
        </w:rPr>
      </w:pPr>
      <w:r w:rsidRPr="00A94875">
        <w:rPr>
          <w:rFonts w:asciiTheme="majorBidi" w:hAnsiTheme="majorBidi" w:cstheme="majorBidi"/>
          <w:lang w:val="en-GB"/>
        </w:rPr>
        <w:t xml:space="preserve">With </w:t>
      </w:r>
      <w:r w:rsidR="006944F8" w:rsidRPr="00A94875">
        <w:rPr>
          <w:rFonts w:asciiTheme="majorBidi" w:hAnsiTheme="majorBidi" w:cstheme="majorBidi"/>
          <w:lang w:val="en-GB"/>
        </w:rPr>
        <w:t>the goal of improving coordination and increas</w:t>
      </w:r>
      <w:r w:rsidRPr="00A94875">
        <w:rPr>
          <w:rFonts w:asciiTheme="majorBidi" w:hAnsiTheme="majorBidi" w:cstheme="majorBidi"/>
          <w:lang w:val="en-GB"/>
        </w:rPr>
        <w:t>ing</w:t>
      </w:r>
      <w:r w:rsidR="006944F8" w:rsidRPr="00A94875">
        <w:rPr>
          <w:rFonts w:asciiTheme="majorBidi" w:hAnsiTheme="majorBidi" w:cstheme="majorBidi"/>
          <w:lang w:val="en-GB"/>
        </w:rPr>
        <w:t xml:space="preserve"> the efficiency of the overall operations, events and activities </w:t>
      </w:r>
      <w:r w:rsidRPr="00A94875">
        <w:rPr>
          <w:rFonts w:asciiTheme="majorBidi" w:hAnsiTheme="majorBidi" w:cstheme="majorBidi"/>
          <w:lang w:val="en-GB"/>
        </w:rPr>
        <w:t>of</w:t>
      </w:r>
      <w:r w:rsidR="006944F8" w:rsidRPr="00A94875">
        <w:rPr>
          <w:rFonts w:asciiTheme="majorBidi" w:hAnsiTheme="majorBidi" w:cstheme="majorBidi"/>
          <w:lang w:val="en-GB"/>
        </w:rPr>
        <w:t xml:space="preserve"> the Sector and the Bureau, </w:t>
      </w:r>
      <w:r w:rsidRPr="00A94875">
        <w:rPr>
          <w:rFonts w:asciiTheme="majorBidi" w:hAnsiTheme="majorBidi" w:cstheme="majorBidi"/>
          <w:lang w:val="en-GB"/>
        </w:rPr>
        <w:t xml:space="preserve">TSB organizes </w:t>
      </w:r>
      <w:r w:rsidR="006944F8" w:rsidRPr="00A94875">
        <w:rPr>
          <w:rFonts w:asciiTheme="majorBidi" w:hAnsiTheme="majorBidi" w:cstheme="majorBidi"/>
          <w:lang w:val="en-GB"/>
        </w:rPr>
        <w:t>conference calls and face-to-face meetings on a regular basis with the Regional and Areas Offices.</w:t>
      </w:r>
    </w:p>
    <w:p w14:paraId="282597CC" w14:textId="116E17EC" w:rsidR="006944F8" w:rsidRPr="00A94875" w:rsidRDefault="006944F8" w:rsidP="009E5FFA">
      <w:pPr>
        <w:rPr>
          <w:rFonts w:asciiTheme="majorBidi" w:hAnsiTheme="majorBidi" w:cstheme="majorBidi"/>
          <w:lang w:val="en-GB"/>
        </w:rPr>
      </w:pPr>
      <w:r w:rsidRPr="00A94875">
        <w:rPr>
          <w:rFonts w:asciiTheme="majorBidi" w:hAnsiTheme="majorBidi" w:cstheme="majorBidi"/>
          <w:lang w:val="en-GB"/>
        </w:rPr>
        <w:t>This activity has led to significant improve</w:t>
      </w:r>
      <w:r w:rsidR="002534EE" w:rsidRPr="00A94875">
        <w:rPr>
          <w:rFonts w:asciiTheme="majorBidi" w:hAnsiTheme="majorBidi" w:cstheme="majorBidi"/>
          <w:lang w:val="en-GB"/>
        </w:rPr>
        <w:t>ments in</w:t>
      </w:r>
      <w:r w:rsidRPr="00A94875">
        <w:rPr>
          <w:rFonts w:asciiTheme="majorBidi" w:hAnsiTheme="majorBidi" w:cstheme="majorBidi"/>
          <w:lang w:val="en-GB"/>
        </w:rPr>
        <w:t xml:space="preserve"> the overall coordination of standardization operations, events and activities taking place in the Regions. </w:t>
      </w:r>
      <w:r w:rsidR="002534EE" w:rsidRPr="00A94875">
        <w:rPr>
          <w:rFonts w:asciiTheme="majorBidi" w:hAnsiTheme="majorBidi" w:cstheme="majorBidi"/>
          <w:lang w:val="en-GB"/>
        </w:rPr>
        <w:t xml:space="preserve">TSB will continue to enhance </w:t>
      </w:r>
      <w:r w:rsidRPr="00A94875">
        <w:rPr>
          <w:rFonts w:asciiTheme="majorBidi" w:hAnsiTheme="majorBidi" w:cstheme="majorBidi"/>
          <w:lang w:val="en-GB"/>
        </w:rPr>
        <w:t xml:space="preserve">cooperation </w:t>
      </w:r>
      <w:r w:rsidR="002534EE" w:rsidRPr="00A94875">
        <w:rPr>
          <w:rFonts w:asciiTheme="majorBidi" w:hAnsiTheme="majorBidi" w:cstheme="majorBidi"/>
          <w:lang w:val="en-GB"/>
        </w:rPr>
        <w:t xml:space="preserve">with </w:t>
      </w:r>
      <w:r w:rsidRPr="00A94875">
        <w:rPr>
          <w:rFonts w:asciiTheme="majorBidi" w:hAnsiTheme="majorBidi" w:cstheme="majorBidi"/>
          <w:lang w:val="en-GB"/>
        </w:rPr>
        <w:t>the ITU regional and area offices, as well as with relevant regional and other international organizations dealing with standards.</w:t>
      </w:r>
    </w:p>
    <w:p w14:paraId="453D2B60" w14:textId="47987ECB" w:rsidR="006944F8" w:rsidRPr="00A94875" w:rsidRDefault="00D64AF8" w:rsidP="006944F8">
      <w:pPr>
        <w:pStyle w:val="Heading2"/>
        <w:rPr>
          <w:rFonts w:asciiTheme="majorBidi" w:hAnsiTheme="majorBidi" w:cstheme="majorBidi"/>
          <w:lang w:val="en-GB"/>
        </w:rPr>
      </w:pPr>
      <w:bookmarkStart w:id="89" w:name="_Toc530571864"/>
      <w:r w:rsidRPr="00A94875">
        <w:rPr>
          <w:rFonts w:asciiTheme="majorBidi" w:hAnsiTheme="majorBidi" w:cstheme="majorBidi"/>
          <w:lang w:val="en-GB"/>
        </w:rPr>
        <w:t>6</w:t>
      </w:r>
      <w:r w:rsidR="006944F8" w:rsidRPr="00A94875">
        <w:rPr>
          <w:rFonts w:asciiTheme="majorBidi" w:hAnsiTheme="majorBidi" w:cstheme="majorBidi"/>
          <w:lang w:val="en-GB"/>
        </w:rPr>
        <w:t>.3</w:t>
      </w:r>
      <w:r w:rsidR="006944F8" w:rsidRPr="00A94875">
        <w:rPr>
          <w:rFonts w:asciiTheme="majorBidi" w:hAnsiTheme="majorBidi" w:cstheme="majorBidi"/>
          <w:lang w:val="en-GB"/>
        </w:rPr>
        <w:tab/>
        <w:t>General assistance and cooperation</w:t>
      </w:r>
      <w:bookmarkEnd w:id="89"/>
    </w:p>
    <w:p w14:paraId="56B5D98A" w14:textId="77777777" w:rsidR="006944F8" w:rsidRPr="00A94875" w:rsidRDefault="006944F8" w:rsidP="006944F8">
      <w:pPr>
        <w:rPr>
          <w:lang w:val="en-GB"/>
        </w:rPr>
      </w:pPr>
      <w:bookmarkStart w:id="90" w:name="_6.5_Focus_Group"/>
      <w:bookmarkStart w:id="91" w:name="_7.5_Focus_Group"/>
      <w:bookmarkStart w:id="92" w:name="_7.2_TSB_Director’s"/>
      <w:bookmarkStart w:id="93" w:name="_13_Chief_Technology"/>
      <w:bookmarkStart w:id="94" w:name="_8.1_ITU-UNECE_event"/>
      <w:bookmarkStart w:id="95" w:name="_8.3_3rd_ITU"/>
      <w:bookmarkStart w:id="96" w:name="_8.5_Standards_collaboration,"/>
      <w:bookmarkStart w:id="97" w:name="_8.6_Montevideo_forum"/>
      <w:bookmarkStart w:id="98" w:name="_8.8_Accessible_Inclusion"/>
      <w:bookmarkStart w:id="99" w:name="_10_Chief_Technology"/>
      <w:bookmarkEnd w:id="85"/>
      <w:bookmarkEnd w:id="90"/>
      <w:bookmarkEnd w:id="91"/>
      <w:bookmarkEnd w:id="92"/>
      <w:bookmarkEnd w:id="93"/>
      <w:bookmarkEnd w:id="94"/>
      <w:bookmarkEnd w:id="95"/>
      <w:bookmarkEnd w:id="96"/>
      <w:bookmarkEnd w:id="97"/>
      <w:bookmarkEnd w:id="98"/>
      <w:bookmarkEnd w:id="99"/>
      <w:r w:rsidRPr="00A94875">
        <w:rPr>
          <w:lang w:val="en-GB"/>
        </w:rPr>
        <w:t xml:space="preserve">ITU continues to provide leadership in </w:t>
      </w:r>
      <w:r w:rsidRPr="00A94875">
        <w:rPr>
          <w:bCs/>
          <w:lang w:val="en-GB"/>
        </w:rPr>
        <w:t>building cooperation</w:t>
      </w:r>
      <w:r w:rsidRPr="00A94875">
        <w:rPr>
          <w:lang w:val="en-GB"/>
        </w:rPr>
        <w:t xml:space="preserve"> among the many interests served by ICT standardization.</w:t>
      </w:r>
    </w:p>
    <w:p w14:paraId="196770E8" w14:textId="04DF044C" w:rsidR="006944F8" w:rsidRPr="00A94875" w:rsidRDefault="006944F8" w:rsidP="009E5FFA">
      <w:pPr>
        <w:rPr>
          <w:rFonts w:asciiTheme="majorBidi" w:hAnsiTheme="majorBidi" w:cstheme="majorBidi"/>
          <w:highlight w:val="yellow"/>
          <w:lang w:val="en-GB"/>
        </w:rPr>
      </w:pPr>
      <w:r w:rsidRPr="00A94875">
        <w:rPr>
          <w:lang w:val="en-GB"/>
        </w:rPr>
        <w:lastRenderedPageBreak/>
        <w:t xml:space="preserve">The </w:t>
      </w:r>
      <w:r w:rsidRPr="00A94875">
        <w:rPr>
          <w:b/>
          <w:lang w:val="en-GB"/>
        </w:rPr>
        <w:t xml:space="preserve">World </w:t>
      </w:r>
      <w:r w:rsidRPr="00A94875">
        <w:rPr>
          <w:rFonts w:asciiTheme="majorBidi" w:hAnsiTheme="majorBidi" w:cstheme="majorBidi"/>
          <w:b/>
          <w:lang w:val="en-GB"/>
        </w:rPr>
        <w:t>Standards Cooperation</w:t>
      </w:r>
      <w:r w:rsidRPr="00A94875">
        <w:rPr>
          <w:rFonts w:asciiTheme="majorBidi" w:hAnsiTheme="majorBidi" w:cstheme="majorBidi"/>
          <w:lang w:val="en-GB"/>
        </w:rPr>
        <w:t xml:space="preserve"> is a partnership of ITU, ISO and IEC to promote international standards. </w:t>
      </w:r>
      <w:r w:rsidR="00317140" w:rsidRPr="00A94875">
        <w:rPr>
          <w:rFonts w:asciiTheme="majorBidi" w:hAnsiTheme="majorBidi" w:cstheme="majorBidi"/>
          <w:lang w:val="en-GB"/>
        </w:rPr>
        <w:t>The theme of World Standards Day 2018 (14 October 2018) was “International Standards and the Fourth Industrial Revolution”</w:t>
      </w:r>
      <w:r w:rsidR="002534EE" w:rsidRPr="00A94875">
        <w:rPr>
          <w:rFonts w:asciiTheme="majorBidi" w:hAnsiTheme="majorBidi" w:cstheme="majorBidi"/>
          <w:lang w:val="en-GB"/>
        </w:rPr>
        <w:t xml:space="preserve">. </w:t>
      </w:r>
      <w:r w:rsidR="00317140" w:rsidRPr="00A94875">
        <w:rPr>
          <w:rFonts w:asciiTheme="majorBidi" w:hAnsiTheme="majorBidi" w:cstheme="majorBidi"/>
          <w:lang w:val="en-GB"/>
        </w:rPr>
        <w:t xml:space="preserve"> </w:t>
      </w:r>
      <w:proofErr w:type="gramStart"/>
      <w:r w:rsidR="00317140" w:rsidRPr="00A94875">
        <w:rPr>
          <w:rFonts w:asciiTheme="majorBidi" w:hAnsiTheme="majorBidi" w:cstheme="majorBidi"/>
          <w:lang w:val="en-GB"/>
        </w:rPr>
        <w:t>and</w:t>
      </w:r>
      <w:proofErr w:type="gramEnd"/>
      <w:r w:rsidR="00317140" w:rsidRPr="00A94875">
        <w:rPr>
          <w:rFonts w:asciiTheme="majorBidi" w:hAnsiTheme="majorBidi" w:cstheme="majorBidi"/>
          <w:lang w:val="en-GB"/>
        </w:rPr>
        <w:t xml:space="preserve"> ITU, ISO and IEC issued a </w:t>
      </w:r>
      <w:hyperlink r:id="rId78" w:history="1">
        <w:r w:rsidR="00317140" w:rsidRPr="00A94875">
          <w:rPr>
            <w:rStyle w:val="Hyperlink"/>
            <w:rFonts w:asciiTheme="majorBidi" w:hAnsiTheme="majorBidi" w:cstheme="majorBidi"/>
            <w:lang w:val="en-GB"/>
          </w:rPr>
          <w:t>press release</w:t>
        </w:r>
      </w:hyperlink>
      <w:r w:rsidR="00317140" w:rsidRPr="00A94875">
        <w:rPr>
          <w:rFonts w:asciiTheme="majorBidi" w:hAnsiTheme="majorBidi" w:cstheme="majorBidi"/>
          <w:lang w:val="en-GB"/>
        </w:rPr>
        <w:t>.</w:t>
      </w:r>
    </w:p>
    <w:p w14:paraId="30632BBB"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 is a strong advocate of “Universal Design”</w:t>
      </w:r>
      <w:r w:rsidRPr="00A94875">
        <w:rPr>
          <w:rFonts w:asciiTheme="majorBidi" w:hAnsiTheme="majorBidi" w:cstheme="majorBidi"/>
          <w:bCs/>
          <w:lang w:val="en-GB"/>
        </w:rPr>
        <w:t xml:space="preserve"> and has standardization guidelines to produce solutions that are inherently accessible to persons with and without disabilities.</w:t>
      </w:r>
    </w:p>
    <w:p w14:paraId="6791684B" w14:textId="77777777" w:rsidR="006944F8" w:rsidRPr="00A94875" w:rsidRDefault="006944F8" w:rsidP="006944F8">
      <w:pPr>
        <w:rPr>
          <w:bCs/>
          <w:lang w:val="en-GB"/>
        </w:rPr>
      </w:pPr>
      <w:proofErr w:type="gramStart"/>
      <w:r w:rsidRPr="00A94875">
        <w:rPr>
          <w:rFonts w:asciiTheme="majorBidi" w:hAnsiTheme="majorBidi" w:cstheme="majorBidi"/>
          <w:b/>
          <w:lang w:val="en-GB"/>
        </w:rPr>
        <w:t>ITU’s</w:t>
      </w:r>
      <w:proofErr w:type="gramEnd"/>
      <w:r w:rsidRPr="00A94875">
        <w:rPr>
          <w:rFonts w:asciiTheme="majorBidi" w:hAnsiTheme="majorBidi" w:cstheme="majorBidi"/>
          <w:b/>
          <w:lang w:val="en-GB"/>
        </w:rPr>
        <w:t xml:space="preserve"> Bridging the Standardization Gap (BSG) programme</w:t>
      </w:r>
      <w:r w:rsidRPr="00A94875">
        <w:rPr>
          <w:rFonts w:asciiTheme="majorBidi" w:hAnsiTheme="majorBidi" w:cstheme="majorBidi"/>
          <w:bCs/>
          <w:lang w:val="en-GB"/>
        </w:rPr>
        <w:t xml:space="preserve"> improves the capacity</w:t>
      </w:r>
      <w:r w:rsidRPr="00A94875">
        <w:rPr>
          <w:bCs/>
          <w:lang w:val="en-GB"/>
        </w:rPr>
        <w:t xml:space="preserve"> of developing countries to participate in the development and implementation of international ICT standards.</w:t>
      </w:r>
    </w:p>
    <w:p w14:paraId="505AEA66" w14:textId="77777777" w:rsidR="006944F8" w:rsidRPr="00A94875" w:rsidRDefault="006944F8" w:rsidP="006944F8">
      <w:pPr>
        <w:rPr>
          <w:bCs/>
          <w:lang w:val="en-GB"/>
        </w:rPr>
      </w:pPr>
      <w:r w:rsidRPr="00A94875">
        <w:rPr>
          <w:b/>
          <w:lang w:val="en-GB"/>
        </w:rPr>
        <w:t>ITU’s conformity and interoperability (C&amp;I) programme</w:t>
      </w:r>
      <w:r w:rsidRPr="00A94875">
        <w:rPr>
          <w:bCs/>
          <w:lang w:val="en-GB"/>
        </w:rPr>
        <w:t xml:space="preserve"> is of particular value to developing countries in their efforts to enhance conformity and interoperability of ICT products implementing ITU Recommendations or part thereof.</w:t>
      </w:r>
    </w:p>
    <w:p w14:paraId="4ADF2D23" w14:textId="52FBE031" w:rsidR="006944F8" w:rsidRPr="00A94875" w:rsidRDefault="006944F8" w:rsidP="0033393D">
      <w:pPr>
        <w:rPr>
          <w:bCs/>
          <w:lang w:val="en-GB"/>
        </w:rPr>
      </w:pPr>
      <w:r w:rsidRPr="00A94875">
        <w:rPr>
          <w:b/>
          <w:lang w:val="en-GB"/>
        </w:rPr>
        <w:t xml:space="preserve">Chief Technology Officer </w:t>
      </w:r>
      <w:proofErr w:type="gramStart"/>
      <w:r w:rsidRPr="00A94875">
        <w:rPr>
          <w:b/>
          <w:lang w:val="en-GB"/>
        </w:rPr>
        <w:t>meetings</w:t>
      </w:r>
      <w:proofErr w:type="gramEnd"/>
      <w:r w:rsidRPr="00A94875">
        <w:rPr>
          <w:bCs/>
          <w:lang w:val="en-GB"/>
        </w:rPr>
        <w:t xml:space="preserve">: </w:t>
      </w:r>
      <w:hyperlink r:id="rId79" w:history="1">
        <w:r w:rsidRPr="00A94875">
          <w:rPr>
            <w:rStyle w:val="Hyperlink"/>
            <w:rFonts w:eastAsiaTheme="majorEastAsia"/>
            <w:bCs/>
            <w:lang w:val="en-GB"/>
          </w:rPr>
          <w:t xml:space="preserve">CTO and </w:t>
        </w:r>
        <w:proofErr w:type="spellStart"/>
        <w:r w:rsidRPr="00A94875">
          <w:rPr>
            <w:rStyle w:val="Hyperlink"/>
            <w:rFonts w:eastAsiaTheme="majorEastAsia"/>
            <w:bCs/>
            <w:lang w:val="en-GB"/>
          </w:rPr>
          <w:t>CxO</w:t>
        </w:r>
        <w:proofErr w:type="spellEnd"/>
        <w:r w:rsidRPr="00A94875">
          <w:rPr>
            <w:rStyle w:val="Hyperlink"/>
            <w:rFonts w:eastAsiaTheme="majorEastAsia"/>
            <w:bCs/>
            <w:lang w:val="en-GB"/>
          </w:rPr>
          <w:t xml:space="preserve"> meetings</w:t>
        </w:r>
      </w:hyperlink>
      <w:r w:rsidRPr="00A94875">
        <w:rPr>
          <w:bCs/>
          <w:lang w:val="en-GB"/>
        </w:rPr>
        <w:t xml:space="preserve"> bring together industry executives to highlight their business priorities and supporting standardization strategies. </w:t>
      </w:r>
      <w:r w:rsidR="003F40B4" w:rsidRPr="00A94875">
        <w:rPr>
          <w:bCs/>
          <w:lang w:val="en-GB"/>
        </w:rPr>
        <w:t xml:space="preserve">The annual CTO </w:t>
      </w:r>
      <w:r w:rsidRPr="00A94875">
        <w:rPr>
          <w:bCs/>
          <w:lang w:val="en-GB"/>
        </w:rPr>
        <w:t xml:space="preserve">meeting </w:t>
      </w:r>
      <w:proofErr w:type="gramStart"/>
      <w:r w:rsidR="003F40B4" w:rsidRPr="00A94875">
        <w:rPr>
          <w:bCs/>
          <w:lang w:val="en-GB"/>
        </w:rPr>
        <w:t>was held</w:t>
      </w:r>
      <w:proofErr w:type="gramEnd"/>
      <w:r w:rsidR="003F40B4" w:rsidRPr="00A94875">
        <w:rPr>
          <w:bCs/>
          <w:lang w:val="en-GB"/>
        </w:rPr>
        <w:t xml:space="preserve"> in Durban, South Africa, </w:t>
      </w:r>
      <w:r w:rsidRPr="00A94875">
        <w:rPr>
          <w:bCs/>
          <w:lang w:val="en-GB"/>
        </w:rPr>
        <w:t xml:space="preserve">9 September 2018, </w:t>
      </w:r>
      <w:r w:rsidR="003F40B4" w:rsidRPr="00A94875">
        <w:rPr>
          <w:bCs/>
          <w:lang w:val="en-GB"/>
        </w:rPr>
        <w:t xml:space="preserve">in conjunction with ITU Telecom World 2018. A consultation with North-American </w:t>
      </w:r>
      <w:proofErr w:type="spellStart"/>
      <w:r w:rsidR="003F40B4" w:rsidRPr="00A94875">
        <w:rPr>
          <w:bCs/>
          <w:lang w:val="en-GB"/>
        </w:rPr>
        <w:t>CxOs</w:t>
      </w:r>
      <w:proofErr w:type="spellEnd"/>
      <w:r w:rsidR="003F40B4" w:rsidRPr="00A94875">
        <w:rPr>
          <w:bCs/>
          <w:lang w:val="en-GB"/>
        </w:rPr>
        <w:t xml:space="preserve"> </w:t>
      </w:r>
      <w:proofErr w:type="gramStart"/>
      <w:r w:rsidR="003F40B4" w:rsidRPr="00A94875">
        <w:rPr>
          <w:bCs/>
          <w:lang w:val="en-GB"/>
        </w:rPr>
        <w:t>was held</w:t>
      </w:r>
      <w:proofErr w:type="gramEnd"/>
      <w:r w:rsidR="003F40B4" w:rsidRPr="00A94875">
        <w:rPr>
          <w:bCs/>
          <w:lang w:val="en-GB"/>
        </w:rPr>
        <w:t xml:space="preserve"> in California, United States, </w:t>
      </w:r>
      <w:r w:rsidRPr="00A94875">
        <w:rPr>
          <w:bCs/>
          <w:lang w:val="en-GB"/>
        </w:rPr>
        <w:t>9 May 2018, California, United States.</w:t>
      </w:r>
    </w:p>
    <w:p w14:paraId="79B43291" w14:textId="48B3838E" w:rsidR="006944F8" w:rsidRPr="00A94875" w:rsidRDefault="006944F8" w:rsidP="0033393D">
      <w:pPr>
        <w:rPr>
          <w:bCs/>
          <w:lang w:val="en-GB"/>
        </w:rPr>
      </w:pPr>
      <w:r w:rsidRPr="00A94875">
        <w:rPr>
          <w:bCs/>
          <w:lang w:val="en-GB"/>
        </w:rPr>
        <w:t xml:space="preserve">The </w:t>
      </w:r>
      <w:r w:rsidRPr="00A94875">
        <w:rPr>
          <w:b/>
          <w:lang w:val="en-GB"/>
        </w:rPr>
        <w:t>AI for Good Global Summit</w:t>
      </w:r>
      <w:r w:rsidRPr="00A94875">
        <w:rPr>
          <w:bCs/>
          <w:lang w:val="en-GB"/>
        </w:rPr>
        <w:t xml:space="preserve"> identifie</w:t>
      </w:r>
      <w:r w:rsidR="00502FC4" w:rsidRPr="00A94875">
        <w:rPr>
          <w:bCs/>
          <w:lang w:val="en-GB"/>
        </w:rPr>
        <w:t>s</w:t>
      </w:r>
      <w:r w:rsidRPr="00A94875">
        <w:rPr>
          <w:bCs/>
          <w:lang w:val="en-GB"/>
        </w:rPr>
        <w:t xml:space="preserve"> practical applications of AI with the potential to accelerate progress towards the United Nations’ Sustainable Development Goals. The summit encourage</w:t>
      </w:r>
      <w:r w:rsidR="00502FC4" w:rsidRPr="00A94875">
        <w:rPr>
          <w:bCs/>
          <w:lang w:val="en-GB"/>
        </w:rPr>
        <w:t>s</w:t>
      </w:r>
      <w:r w:rsidRPr="00A94875">
        <w:rPr>
          <w:bCs/>
          <w:lang w:val="en-GB"/>
        </w:rPr>
        <w:t xml:space="preserve"> inclusive global dialogue to formulate strategies to ensure trusted, safe and inclusive development of AI technologies and equitable access to their benefits.</w:t>
      </w:r>
    </w:p>
    <w:p w14:paraId="1104DEF6" w14:textId="77777777" w:rsidR="006944F8" w:rsidRPr="00A94875" w:rsidRDefault="006944F8" w:rsidP="006944F8">
      <w:pPr>
        <w:rPr>
          <w:bCs/>
          <w:lang w:val="en-GB"/>
        </w:rPr>
      </w:pPr>
      <w:proofErr w:type="gramStart"/>
      <w:r w:rsidRPr="00A94875">
        <w:rPr>
          <w:b/>
          <w:lang w:val="en-GB"/>
        </w:rPr>
        <w:t>e-Health</w:t>
      </w:r>
      <w:proofErr w:type="gramEnd"/>
      <w:r w:rsidRPr="00A94875">
        <w:rPr>
          <w:bCs/>
          <w:lang w:val="en-GB"/>
        </w:rPr>
        <w:t>: ITU-T continues its longstanding collaboration with bodies active in the healthcare field, supporting the development of medical-grade e-health devices. Participating organizations include UN bodies, standards bodies, academic and research institutes, and industry associations.</w:t>
      </w:r>
    </w:p>
    <w:p w14:paraId="1667523F" w14:textId="5DDB6EA3" w:rsidR="006944F8" w:rsidRPr="00A94875" w:rsidRDefault="006944F8" w:rsidP="009E5FFA">
      <w:pPr>
        <w:rPr>
          <w:szCs w:val="24"/>
          <w:lang w:val="en-GB"/>
        </w:rPr>
      </w:pPr>
      <w:r w:rsidRPr="00A94875">
        <w:rPr>
          <w:b/>
          <w:bCs/>
          <w:lang w:val="en-GB"/>
        </w:rPr>
        <w:t xml:space="preserve">Safe listening: </w:t>
      </w:r>
      <w:proofErr w:type="gramStart"/>
      <w:r w:rsidRPr="00A94875">
        <w:rPr>
          <w:lang w:val="en-GB"/>
        </w:rPr>
        <w:t>ITU-T</w:t>
      </w:r>
      <w:r w:rsidR="007B2629" w:rsidRPr="00A94875">
        <w:rPr>
          <w:lang w:val="en-GB"/>
        </w:rPr>
        <w:t xml:space="preserve"> and WHO continue to</w:t>
      </w:r>
      <w:r w:rsidRPr="00A94875">
        <w:rPr>
          <w:lang w:val="en-GB"/>
        </w:rPr>
        <w:t xml:space="preserve"> collaborat</w:t>
      </w:r>
      <w:r w:rsidR="007B2629" w:rsidRPr="00A94875">
        <w:rPr>
          <w:lang w:val="en-GB"/>
        </w:rPr>
        <w:t xml:space="preserve">e in support of the </w:t>
      </w:r>
      <w:r w:rsidRPr="00A94875">
        <w:rPr>
          <w:lang w:val="en-GB"/>
        </w:rPr>
        <w:t xml:space="preserve">WHO </w:t>
      </w:r>
      <w:r w:rsidR="007B2629" w:rsidRPr="00A94875">
        <w:rPr>
          <w:lang w:val="en-GB"/>
        </w:rPr>
        <w:t>“Make Listening Safe” initiative</w:t>
      </w:r>
      <w:proofErr w:type="gramEnd"/>
      <w:r w:rsidR="007B2629" w:rsidRPr="00A94875">
        <w:rPr>
          <w:lang w:val="en-GB"/>
        </w:rPr>
        <w:t xml:space="preserve">. Recommendation ITU-T H.870 “Guidelines for safe listening devices/systems” is the first standard to result from this collaboration, focusing </w:t>
      </w:r>
      <w:proofErr w:type="spellStart"/>
      <w:r w:rsidR="007B2629" w:rsidRPr="00A94875">
        <w:rPr>
          <w:lang w:val="en-GB"/>
        </w:rPr>
        <w:t>focusing</w:t>
      </w:r>
      <w:proofErr w:type="spellEnd"/>
      <w:r w:rsidR="007B2629" w:rsidRPr="00A94875">
        <w:rPr>
          <w:lang w:val="en-GB"/>
        </w:rPr>
        <w:t xml:space="preserve"> on the safe listening of ‘personal or portable audio systems’, particularly music players. Future standards in the series expected to address communications and assistive devices as well as gaming consoles. </w:t>
      </w:r>
    </w:p>
    <w:p w14:paraId="3A7E20E5" w14:textId="2ED11F21" w:rsidR="009C2F17" w:rsidRPr="00A94875" w:rsidRDefault="006944F8" w:rsidP="009E5FFA">
      <w:pPr>
        <w:rPr>
          <w:bCs/>
          <w:lang w:val="en-GB"/>
        </w:rPr>
      </w:pPr>
      <w:r w:rsidRPr="00A94875">
        <w:rPr>
          <w:b/>
          <w:lang w:val="en-GB"/>
        </w:rPr>
        <w:t>Intelligent transport systems (ITS)</w:t>
      </w:r>
      <w:r w:rsidRPr="00A94875">
        <w:rPr>
          <w:bCs/>
          <w:lang w:val="en-GB"/>
        </w:rPr>
        <w:t xml:space="preserve">: The </w:t>
      </w:r>
      <w:hyperlink r:id="rId80" w:history="1">
        <w:r w:rsidRPr="00A94875">
          <w:rPr>
            <w:rStyle w:val="Hyperlink"/>
            <w:rFonts w:eastAsiaTheme="majorEastAsia"/>
            <w:bCs/>
            <w:lang w:val="en-GB"/>
          </w:rPr>
          <w:t>Collaboration on ITS Communication Standards</w:t>
        </w:r>
      </w:hyperlink>
      <w:r w:rsidRPr="00A94875">
        <w:rPr>
          <w:bCs/>
          <w:lang w:val="en-GB"/>
        </w:rPr>
        <w:t xml:space="preserve"> is a body responsible for the coordination of technical standardization work to encourage the offer of interoperable ITS products.</w:t>
      </w:r>
      <w:r w:rsidR="009C2F17" w:rsidRPr="00A94875">
        <w:rPr>
          <w:bCs/>
          <w:lang w:val="en-GB"/>
        </w:rPr>
        <w:t xml:space="preserve"> </w:t>
      </w:r>
      <w:r w:rsidR="007B2629" w:rsidRPr="00A94875">
        <w:rPr>
          <w:bCs/>
          <w:lang w:val="en-GB"/>
        </w:rPr>
        <w:t xml:space="preserve">CITS meetings </w:t>
      </w:r>
      <w:proofErr w:type="gramStart"/>
      <w:r w:rsidR="007B2629" w:rsidRPr="00A94875">
        <w:rPr>
          <w:bCs/>
          <w:lang w:val="en-GB"/>
        </w:rPr>
        <w:t>are held</w:t>
      </w:r>
      <w:proofErr w:type="gramEnd"/>
      <w:r w:rsidR="007B2629" w:rsidRPr="00A94875">
        <w:rPr>
          <w:bCs/>
          <w:lang w:val="en-GB"/>
        </w:rPr>
        <w:t xml:space="preserve"> back-to-back with ITU workshops on intelligent transport systems. </w:t>
      </w:r>
    </w:p>
    <w:p w14:paraId="4732E273" w14:textId="1FD9E4C8" w:rsidR="006944F8" w:rsidRPr="00A94875" w:rsidRDefault="006944F8" w:rsidP="006944F8">
      <w:pPr>
        <w:rPr>
          <w:bCs/>
          <w:lang w:val="en-GB"/>
        </w:rPr>
      </w:pPr>
      <w:r w:rsidRPr="00A94875">
        <w:rPr>
          <w:b/>
          <w:lang w:val="en-GB"/>
        </w:rPr>
        <w:t>Smart Sustainable Cities</w:t>
      </w:r>
      <w:r w:rsidRPr="00A94875">
        <w:rPr>
          <w:bCs/>
          <w:lang w:val="en-GB"/>
        </w:rPr>
        <w:t xml:space="preserve">: The </w:t>
      </w:r>
      <w:hyperlink r:id="rId81" w:history="1">
        <w:r w:rsidRPr="00A94875">
          <w:rPr>
            <w:rStyle w:val="Hyperlink"/>
            <w:rFonts w:eastAsiaTheme="majorEastAsia"/>
            <w:bCs/>
            <w:lang w:val="en-GB"/>
          </w:rPr>
          <w:t>United for Smart Sustainable Cities (U4SSC)</w:t>
        </w:r>
      </w:hyperlink>
      <w:r w:rsidRPr="00A94875">
        <w:rPr>
          <w:rStyle w:val="Hyperlink"/>
          <w:rFonts w:eastAsiaTheme="majorEastAsia"/>
          <w:bCs/>
          <w:lang w:val="en-GB"/>
        </w:rPr>
        <w:t xml:space="preserve"> initiative</w:t>
      </w:r>
      <w:r w:rsidRPr="00A94875">
        <w:rPr>
          <w:bCs/>
          <w:lang w:val="en-GB"/>
        </w:rPr>
        <w:t>, supported by 1</w:t>
      </w:r>
      <w:r w:rsidR="007B2629" w:rsidRPr="00A94875">
        <w:rPr>
          <w:bCs/>
          <w:lang w:val="en-GB"/>
        </w:rPr>
        <w:t xml:space="preserve">6 </w:t>
      </w:r>
      <w:r w:rsidRPr="00A94875">
        <w:rPr>
          <w:bCs/>
          <w:lang w:val="en-GB"/>
        </w:rPr>
        <w:t>UN bodies, advocates for public policy to ensure that ICTs – and ICT standards in particular – play a definitive role in the transition to smart cities.</w:t>
      </w:r>
    </w:p>
    <w:p w14:paraId="06263431" w14:textId="77777777" w:rsidR="006944F8" w:rsidRPr="00A94875" w:rsidRDefault="006944F8" w:rsidP="006944F8">
      <w:pPr>
        <w:rPr>
          <w:bCs/>
          <w:lang w:val="en-GB"/>
        </w:rPr>
      </w:pPr>
      <w:r w:rsidRPr="00A94875">
        <w:rPr>
          <w:b/>
          <w:lang w:val="en-GB"/>
        </w:rPr>
        <w:t xml:space="preserve">ITU/WMO/UNESCO-IOC Joint Task Force on SMART Cable Systems: </w:t>
      </w:r>
      <w:r w:rsidRPr="00A94875">
        <w:rPr>
          <w:bCs/>
          <w:lang w:val="en-GB"/>
        </w:rPr>
        <w:t>The task force</w:t>
      </w:r>
      <w:r w:rsidRPr="00A94875">
        <w:rPr>
          <w:lang w:val="en-GB"/>
        </w:rPr>
        <w:t xml:space="preserve"> is leading an ambitious new project to equip submarine communications cables with climate and hazard-monitoring sensors.</w:t>
      </w:r>
    </w:p>
    <w:p w14:paraId="02ACEA2F" w14:textId="381128BA" w:rsidR="006944F8" w:rsidRPr="00A94875" w:rsidRDefault="00D006F1" w:rsidP="0033393D">
      <w:pPr>
        <w:rPr>
          <w:bCs/>
          <w:lang w:val="en-GB"/>
        </w:rPr>
      </w:pPr>
      <w:r w:rsidRPr="00A94875">
        <w:rPr>
          <w:b/>
          <w:lang w:val="en-GB"/>
        </w:rPr>
        <w:t>P</w:t>
      </w:r>
      <w:r w:rsidR="006944F8" w:rsidRPr="00A94875">
        <w:rPr>
          <w:b/>
          <w:lang w:val="en-GB"/>
        </w:rPr>
        <w:t xml:space="preserve">roject implementing the ITU-UNECE Key Performance Indicators for Smart Sustainable Cities: </w:t>
      </w:r>
      <w:r w:rsidR="00502FC4" w:rsidRPr="00A94875">
        <w:rPr>
          <w:lang w:val="en-GB"/>
        </w:rPr>
        <w:t>More than 50 cities worldwide are measuring their progress using ‘Key Performance Indicators for Smart Sustainable Cities’ based on ITU standards. ITU case studies have been published on the progress achieved in the smart city projects of Dubai, Singapore and Moscow, evaluations undertaken using the Key Performance Indicators.</w:t>
      </w:r>
    </w:p>
    <w:p w14:paraId="3EA0D142" w14:textId="77777777" w:rsidR="006944F8" w:rsidRPr="00A94875" w:rsidRDefault="006944F8" w:rsidP="006944F8">
      <w:pPr>
        <w:rPr>
          <w:bCs/>
          <w:lang w:val="en-GB"/>
        </w:rPr>
      </w:pPr>
      <w:r w:rsidRPr="00A94875">
        <w:rPr>
          <w:b/>
          <w:lang w:val="en-GB"/>
        </w:rPr>
        <w:t>ICT, environment and climate change</w:t>
      </w:r>
      <w:r w:rsidRPr="00A94875">
        <w:rPr>
          <w:bCs/>
          <w:lang w:val="en-GB"/>
        </w:rPr>
        <w:t>: ITU-T maintains cooperation with bodies active in environmental sustainability. Participating organizations include UN bodies, standards bodies, regional organizations, academic and research institutes, and industry associations.</w:t>
      </w:r>
    </w:p>
    <w:p w14:paraId="3A88B60F" w14:textId="49A43EC8" w:rsidR="006944F8" w:rsidRPr="00A94875" w:rsidRDefault="006944F8" w:rsidP="0033393D">
      <w:pPr>
        <w:rPr>
          <w:lang w:val="en-GB"/>
        </w:rPr>
      </w:pPr>
      <w:r w:rsidRPr="00A94875">
        <w:rPr>
          <w:b/>
          <w:lang w:val="en-GB"/>
        </w:rPr>
        <w:lastRenderedPageBreak/>
        <w:t>Identity management:</w:t>
      </w:r>
      <w:r w:rsidRPr="00A94875">
        <w:rPr>
          <w:lang w:val="en-GB"/>
        </w:rPr>
        <w:t xml:space="preserve"> ITU</w:t>
      </w:r>
      <w:r w:rsidR="00502FC4" w:rsidRPr="00A94875">
        <w:rPr>
          <w:lang w:val="en-GB"/>
        </w:rPr>
        <w:t>-T</w:t>
      </w:r>
      <w:r w:rsidRPr="00A94875">
        <w:rPr>
          <w:lang w:val="en-GB"/>
        </w:rPr>
        <w:t xml:space="preserve"> participate</w:t>
      </w:r>
      <w:r w:rsidR="00502FC4" w:rsidRPr="00A94875">
        <w:rPr>
          <w:lang w:val="en-GB"/>
        </w:rPr>
        <w:t>d</w:t>
      </w:r>
      <w:r w:rsidRPr="00A94875">
        <w:rPr>
          <w:lang w:val="en-GB"/>
        </w:rPr>
        <w:t xml:space="preserve"> </w:t>
      </w:r>
      <w:r w:rsidR="00502FC4" w:rsidRPr="00A94875">
        <w:rPr>
          <w:lang w:val="en-GB"/>
        </w:rPr>
        <w:t xml:space="preserve">in the </w:t>
      </w:r>
      <w:r w:rsidRPr="00A94875">
        <w:rPr>
          <w:lang w:val="en-GB"/>
        </w:rPr>
        <w:t>ID2020 Summit 2018</w:t>
      </w:r>
      <w:r w:rsidR="00502FC4" w:rsidRPr="00A94875">
        <w:rPr>
          <w:lang w:val="en-GB"/>
        </w:rPr>
        <w:t xml:space="preserve"> in New York, United States, </w:t>
      </w:r>
      <w:r w:rsidRPr="00A94875">
        <w:rPr>
          <w:lang w:val="en-GB"/>
        </w:rPr>
        <w:t>14 September 2018</w:t>
      </w:r>
      <w:r w:rsidR="00502FC4" w:rsidRPr="00A94875">
        <w:rPr>
          <w:lang w:val="en-GB"/>
        </w:rPr>
        <w:t xml:space="preserve">, with a view to exploring the potential for future ITU collaboration with the ID2020 alliance. </w:t>
      </w:r>
    </w:p>
    <w:p w14:paraId="29BD2934" w14:textId="3D095FB0" w:rsidR="006944F8" w:rsidRPr="00A94875" w:rsidRDefault="00D64AF8" w:rsidP="006944F8">
      <w:pPr>
        <w:pStyle w:val="Heading2"/>
        <w:rPr>
          <w:rFonts w:asciiTheme="majorBidi" w:hAnsiTheme="majorBidi" w:cstheme="majorBidi"/>
          <w:lang w:val="en-GB"/>
        </w:rPr>
      </w:pPr>
      <w:bookmarkStart w:id="100" w:name="_Toc530571865"/>
      <w:r w:rsidRPr="00A94875">
        <w:rPr>
          <w:rFonts w:asciiTheme="majorBidi" w:hAnsiTheme="majorBidi" w:cstheme="majorBidi"/>
          <w:lang w:val="en-GB"/>
        </w:rPr>
        <w:t>6</w:t>
      </w:r>
      <w:r w:rsidR="006944F8" w:rsidRPr="00A94875">
        <w:rPr>
          <w:rFonts w:asciiTheme="majorBidi" w:hAnsiTheme="majorBidi" w:cstheme="majorBidi"/>
          <w:lang w:val="en-GB"/>
        </w:rPr>
        <w:t>.4</w:t>
      </w:r>
      <w:r w:rsidR="006944F8" w:rsidRPr="00A94875">
        <w:rPr>
          <w:rFonts w:asciiTheme="majorBidi" w:hAnsiTheme="majorBidi" w:cstheme="majorBidi"/>
          <w:lang w:val="en-GB"/>
        </w:rPr>
        <w:tab/>
      </w:r>
      <w:proofErr w:type="spellStart"/>
      <w:r w:rsidR="006944F8" w:rsidRPr="00A94875">
        <w:rPr>
          <w:rFonts w:asciiTheme="majorBidi" w:hAnsiTheme="majorBidi" w:cstheme="majorBidi"/>
          <w:lang w:val="en-GB"/>
        </w:rPr>
        <w:t>MoU</w:t>
      </w:r>
      <w:proofErr w:type="spellEnd"/>
      <w:r w:rsidR="006944F8" w:rsidRPr="00A94875">
        <w:rPr>
          <w:rFonts w:asciiTheme="majorBidi" w:hAnsiTheme="majorBidi" w:cstheme="majorBidi"/>
          <w:lang w:val="en-GB"/>
        </w:rPr>
        <w:t xml:space="preserve"> and cooperation agreements</w:t>
      </w:r>
      <w:bookmarkEnd w:id="100"/>
    </w:p>
    <w:p w14:paraId="58E27BDE" w14:textId="638478F1" w:rsidR="006944F8" w:rsidRPr="00A94875" w:rsidRDefault="006944F8" w:rsidP="009E5FFA">
      <w:pPr>
        <w:rPr>
          <w:sz w:val="21"/>
          <w:lang w:val="en-GB"/>
        </w:rPr>
      </w:pPr>
      <w:r w:rsidRPr="00A94875">
        <w:rPr>
          <w:b/>
          <w:lang w:val="en-GB"/>
        </w:rPr>
        <w:t>IEC, ISO and ITU</w:t>
      </w:r>
      <w:r w:rsidRPr="00A94875">
        <w:rPr>
          <w:lang w:val="en-GB"/>
        </w:rPr>
        <w:t xml:space="preserve"> cooperate in standardization to the degree that 10 per cent of all ITU standards are common or aligned texts with the ISO/IEC Joint Technical Committee 1 on Information Technology (ISO/IEC JTC1).</w:t>
      </w:r>
      <w:r w:rsidR="002534EE" w:rsidRPr="00A94875">
        <w:rPr>
          <w:lang w:val="en-GB"/>
        </w:rPr>
        <w:t xml:space="preserve"> The </w:t>
      </w:r>
      <w:r w:rsidR="002534EE" w:rsidRPr="00A94875">
        <w:rPr>
          <w:rFonts w:asciiTheme="majorBidi" w:hAnsiTheme="majorBidi" w:cstheme="majorBidi"/>
          <w:lang w:val="en-GB"/>
        </w:rPr>
        <w:t>TSB Director participated in a panel on “Cooperation with IEC and ITU” at the ISO General Assembly in September 2018.</w:t>
      </w:r>
    </w:p>
    <w:p w14:paraId="03B6D489" w14:textId="42EBE8A5" w:rsidR="006944F8" w:rsidRPr="00A94875" w:rsidRDefault="006944F8" w:rsidP="006944F8">
      <w:pPr>
        <w:rPr>
          <w:lang w:val="en-GB"/>
        </w:rPr>
      </w:pPr>
      <w:r w:rsidRPr="00A94875">
        <w:rPr>
          <w:b/>
          <w:lang w:val="en-GB"/>
        </w:rPr>
        <w:t>Global Standards Collaboration</w:t>
      </w:r>
      <w:r w:rsidRPr="00A94875">
        <w:rPr>
          <w:lang w:val="en-GB"/>
        </w:rPr>
        <w:t xml:space="preserve"> </w:t>
      </w:r>
      <w:r w:rsidRPr="00A94875">
        <w:rPr>
          <w:b/>
          <w:bCs/>
          <w:lang w:val="en-GB"/>
        </w:rPr>
        <w:t>(GSC)</w:t>
      </w:r>
      <w:r w:rsidRPr="00A94875">
        <w:rPr>
          <w:lang w:val="en-GB"/>
        </w:rPr>
        <w:t xml:space="preserve"> assists regional and international SDOs in coordinating their contributions to fields of mutual interest. Topics discussed at GSC meetings from 2015 to 2017 include </w:t>
      </w:r>
      <w:proofErr w:type="spellStart"/>
      <w:r w:rsidRPr="00A94875">
        <w:rPr>
          <w:lang w:val="en-GB"/>
        </w:rPr>
        <w:t>IoT</w:t>
      </w:r>
      <w:proofErr w:type="spellEnd"/>
      <w:r w:rsidRPr="00A94875">
        <w:rPr>
          <w:lang w:val="en-GB"/>
        </w:rPr>
        <w:t>, 5G, critical communications and public safet</w:t>
      </w:r>
      <w:r w:rsidR="001F0C31" w:rsidRPr="00A94875">
        <w:rPr>
          <w:lang w:val="en-GB"/>
        </w:rPr>
        <w:t xml:space="preserve">y, security and privacy, SMEs, </w:t>
      </w:r>
      <w:r w:rsidRPr="00A94875">
        <w:rPr>
          <w:lang w:val="en-GB"/>
        </w:rPr>
        <w:t xml:space="preserve">Artificial Intelligence and smart cities. ITU hosts the </w:t>
      </w:r>
      <w:hyperlink r:id="rId82" w:history="1">
        <w:r w:rsidRPr="00A94875">
          <w:rPr>
            <w:rStyle w:val="Hyperlink"/>
            <w:rFonts w:eastAsiaTheme="majorEastAsia"/>
            <w:lang w:val="en-GB"/>
          </w:rPr>
          <w:t>repository</w:t>
        </w:r>
      </w:hyperlink>
      <w:r w:rsidRPr="00A94875">
        <w:rPr>
          <w:lang w:val="en-GB"/>
        </w:rPr>
        <w:t xml:space="preserve"> of GSC-documents from past meetings. See </w:t>
      </w:r>
      <w:hyperlink r:id="rId83" w:history="1">
        <w:r w:rsidRPr="00A94875">
          <w:rPr>
            <w:rStyle w:val="Hyperlink"/>
            <w:rFonts w:eastAsiaTheme="majorEastAsia"/>
            <w:lang w:val="en-GB"/>
          </w:rPr>
          <w:t>GSC website</w:t>
        </w:r>
      </w:hyperlink>
      <w:r w:rsidRPr="00A94875">
        <w:rPr>
          <w:lang w:val="en-GB"/>
        </w:rPr>
        <w:t>.</w:t>
      </w:r>
    </w:p>
    <w:p w14:paraId="180439EE" w14:textId="77777777" w:rsidR="006944F8" w:rsidRPr="00A94875" w:rsidRDefault="006944F8" w:rsidP="006944F8">
      <w:pPr>
        <w:rPr>
          <w:lang w:val="en-GB"/>
        </w:rPr>
      </w:pPr>
      <w:r w:rsidRPr="00A94875">
        <w:rPr>
          <w:b/>
          <w:lang w:val="en-GB"/>
        </w:rPr>
        <w:t>ITU and ETSI</w:t>
      </w:r>
      <w:r w:rsidRPr="00A94875">
        <w:rPr>
          <w:lang w:val="en-GB"/>
        </w:rPr>
        <w:t xml:space="preserve"> reaffirmed their </w:t>
      </w:r>
      <w:proofErr w:type="spellStart"/>
      <w:r w:rsidRPr="00A94875">
        <w:rPr>
          <w:lang w:val="en-GB"/>
        </w:rPr>
        <w:t>MoU</w:t>
      </w:r>
      <w:proofErr w:type="spellEnd"/>
      <w:r w:rsidRPr="00A94875">
        <w:rPr>
          <w:lang w:val="en-GB"/>
        </w:rPr>
        <w:t xml:space="preserve"> in 2016. ETSI and ITU continue to enjoy successful collaboration in areas including ICT energy efficiency and methodologies to assess ICTs’ environmental impacts and standardization for </w:t>
      </w:r>
      <w:proofErr w:type="gramStart"/>
      <w:r w:rsidRPr="00A94875">
        <w:rPr>
          <w:lang w:val="en-GB"/>
        </w:rPr>
        <w:t>C&amp;I</w:t>
      </w:r>
      <w:proofErr w:type="gramEnd"/>
      <w:r w:rsidRPr="00A94875">
        <w:rPr>
          <w:lang w:val="en-GB"/>
        </w:rPr>
        <w:t xml:space="preserve"> testing.</w:t>
      </w:r>
    </w:p>
    <w:p w14:paraId="752F0EBD" w14:textId="77777777" w:rsidR="006944F8" w:rsidRPr="00A94875" w:rsidRDefault="006944F8" w:rsidP="006944F8">
      <w:pPr>
        <w:rPr>
          <w:lang w:val="en-GB"/>
        </w:rPr>
      </w:pPr>
      <w:r w:rsidRPr="00A94875">
        <w:rPr>
          <w:b/>
          <w:bCs/>
          <w:lang w:val="en-GB"/>
        </w:rPr>
        <w:t xml:space="preserve">ITU and the NGMN Alliance </w:t>
      </w:r>
      <w:r w:rsidRPr="00A94875">
        <w:rPr>
          <w:lang w:val="en-GB"/>
        </w:rPr>
        <w:t>cooperate in support of</w:t>
      </w:r>
      <w:r w:rsidRPr="00A94875">
        <w:rPr>
          <w:b/>
          <w:bCs/>
          <w:lang w:val="en-GB"/>
        </w:rPr>
        <w:t xml:space="preserve"> </w:t>
      </w:r>
      <w:r w:rsidRPr="00A94875">
        <w:rPr>
          <w:lang w:val="en-GB"/>
        </w:rPr>
        <w:t>the development of next-generation mobile broadband technologies.</w:t>
      </w:r>
    </w:p>
    <w:p w14:paraId="29555A1A" w14:textId="77777777" w:rsidR="006944F8" w:rsidRPr="00A94875" w:rsidRDefault="006944F8" w:rsidP="006944F8">
      <w:pPr>
        <w:rPr>
          <w:lang w:val="en-GB"/>
        </w:rPr>
      </w:pPr>
      <w:r w:rsidRPr="00A94875">
        <w:rPr>
          <w:b/>
          <w:bCs/>
          <w:lang w:val="en-GB"/>
        </w:rPr>
        <w:t>Financial Inclusion Global Initiative</w:t>
      </w:r>
      <w:r w:rsidRPr="00A94875">
        <w:rPr>
          <w:lang w:val="en-GB"/>
        </w:rPr>
        <w:t xml:space="preserve"> </w:t>
      </w:r>
      <w:r w:rsidRPr="00A94875">
        <w:rPr>
          <w:b/>
          <w:bCs/>
          <w:lang w:val="en-GB"/>
        </w:rPr>
        <w:t>(FIGI)</w:t>
      </w:r>
      <w:r w:rsidRPr="00A94875">
        <w:rPr>
          <w:lang w:val="en-GB"/>
        </w:rPr>
        <w:t xml:space="preserve"> is a three-year programme of collective action led by ITU, the World Bank Group and the Committee on Payments and Market Infrastructures, with support from the Bill &amp; Melinda Gates Foundation. The initiative </w:t>
      </w:r>
      <w:proofErr w:type="gramStart"/>
      <w:r w:rsidRPr="00A94875">
        <w:rPr>
          <w:lang w:val="en-GB"/>
        </w:rPr>
        <w:t>is designed</w:t>
      </w:r>
      <w:proofErr w:type="gramEnd"/>
      <w:r w:rsidRPr="00A94875">
        <w:rPr>
          <w:lang w:val="en-GB"/>
        </w:rPr>
        <w:t xml:space="preserve"> to advance research in digital finance and accelerate digital financial inclusion in developing countries.</w:t>
      </w:r>
    </w:p>
    <w:p w14:paraId="4A6E7195" w14:textId="5DDA11AC" w:rsidR="006944F8" w:rsidRPr="00A94875" w:rsidRDefault="00502FC4" w:rsidP="0033393D">
      <w:pPr>
        <w:rPr>
          <w:lang w:val="en-GB"/>
        </w:rPr>
      </w:pPr>
      <w:r w:rsidRPr="00A94875">
        <w:rPr>
          <w:b/>
          <w:bCs/>
          <w:lang w:val="en-GB"/>
        </w:rPr>
        <w:t>ITU cooperates with the</w:t>
      </w:r>
      <w:r w:rsidRPr="00A94875">
        <w:rPr>
          <w:lang w:val="en-GB"/>
        </w:rPr>
        <w:t xml:space="preserve"> </w:t>
      </w:r>
      <w:r w:rsidRPr="00A94875">
        <w:rPr>
          <w:b/>
          <w:lang w:val="en-GB"/>
        </w:rPr>
        <w:t xml:space="preserve">European Committee for Standardization (CEN) and </w:t>
      </w:r>
      <w:r w:rsidR="006944F8" w:rsidRPr="00A94875">
        <w:rPr>
          <w:b/>
          <w:lang w:val="en-GB"/>
        </w:rPr>
        <w:t xml:space="preserve">European Committee for </w:t>
      </w:r>
      <w:proofErr w:type="spellStart"/>
      <w:r w:rsidR="006944F8" w:rsidRPr="00A94875">
        <w:rPr>
          <w:b/>
          <w:lang w:val="en-GB"/>
        </w:rPr>
        <w:t>Electrotechnical</w:t>
      </w:r>
      <w:proofErr w:type="spellEnd"/>
      <w:r w:rsidR="006944F8" w:rsidRPr="00A94875">
        <w:rPr>
          <w:b/>
          <w:lang w:val="en-GB"/>
        </w:rPr>
        <w:t xml:space="preserve"> Standardization (CENELEC) </w:t>
      </w:r>
      <w:r w:rsidR="006944F8" w:rsidRPr="00A94875">
        <w:rPr>
          <w:lang w:val="en-GB"/>
        </w:rPr>
        <w:t>in areas of mutual interest</w:t>
      </w:r>
      <w:r w:rsidRPr="00A94875">
        <w:rPr>
          <w:lang w:val="en-GB"/>
        </w:rPr>
        <w:t xml:space="preserve">, </w:t>
      </w:r>
      <w:r w:rsidR="006944F8" w:rsidRPr="00A94875">
        <w:rPr>
          <w:lang w:val="en-GB"/>
        </w:rPr>
        <w:t xml:space="preserve">such as trust, privacy, </w:t>
      </w:r>
      <w:r w:rsidRPr="00A94875">
        <w:rPr>
          <w:lang w:val="en-GB"/>
        </w:rPr>
        <w:t xml:space="preserve">and </w:t>
      </w:r>
      <w:r w:rsidR="006944F8" w:rsidRPr="00A94875">
        <w:rPr>
          <w:lang w:val="en-GB"/>
        </w:rPr>
        <w:t>intelligent transportation system</w:t>
      </w:r>
      <w:r w:rsidRPr="00A94875">
        <w:rPr>
          <w:lang w:val="en-GB"/>
        </w:rPr>
        <w:t>s.</w:t>
      </w:r>
    </w:p>
    <w:p w14:paraId="143687C6" w14:textId="6DF98AFC" w:rsidR="006944F8" w:rsidRPr="00A94875" w:rsidRDefault="006944F8" w:rsidP="0033393D">
      <w:pPr>
        <w:rPr>
          <w:highlight w:val="yellow"/>
          <w:lang w:val="en-GB"/>
        </w:rPr>
      </w:pPr>
      <w:r w:rsidRPr="00A94875">
        <w:rPr>
          <w:b/>
          <w:lang w:val="en-GB"/>
        </w:rPr>
        <w:t xml:space="preserve">ITU and </w:t>
      </w:r>
      <w:proofErr w:type="spellStart"/>
      <w:r w:rsidRPr="00A94875">
        <w:rPr>
          <w:b/>
          <w:lang w:val="en-GB"/>
        </w:rPr>
        <w:t>Gesellschaft</w:t>
      </w:r>
      <w:proofErr w:type="spellEnd"/>
      <w:r w:rsidRPr="00A94875">
        <w:rPr>
          <w:b/>
          <w:lang w:val="en-GB"/>
        </w:rPr>
        <w:t xml:space="preserve"> </w:t>
      </w:r>
      <w:proofErr w:type="spellStart"/>
      <w:r w:rsidRPr="00A94875">
        <w:rPr>
          <w:b/>
          <w:lang w:val="en-GB"/>
        </w:rPr>
        <w:t>für</w:t>
      </w:r>
      <w:proofErr w:type="spellEnd"/>
      <w:r w:rsidRPr="00A94875">
        <w:rPr>
          <w:b/>
          <w:lang w:val="en-GB"/>
        </w:rPr>
        <w:t xml:space="preserve"> </w:t>
      </w:r>
      <w:proofErr w:type="spellStart"/>
      <w:r w:rsidRPr="00A94875">
        <w:rPr>
          <w:b/>
          <w:lang w:val="en-GB"/>
        </w:rPr>
        <w:t>Wissenschaftliche</w:t>
      </w:r>
      <w:proofErr w:type="spellEnd"/>
      <w:r w:rsidRPr="00A94875">
        <w:rPr>
          <w:b/>
          <w:lang w:val="en-GB"/>
        </w:rPr>
        <w:t xml:space="preserve"> </w:t>
      </w:r>
      <w:proofErr w:type="spellStart"/>
      <w:r w:rsidRPr="00A94875">
        <w:rPr>
          <w:b/>
          <w:lang w:val="en-GB"/>
        </w:rPr>
        <w:t>Datenverarbeitung</w:t>
      </w:r>
      <w:proofErr w:type="spellEnd"/>
      <w:r w:rsidRPr="00A94875">
        <w:rPr>
          <w:b/>
          <w:lang w:val="en-GB"/>
        </w:rPr>
        <w:t xml:space="preserve"> </w:t>
      </w:r>
      <w:proofErr w:type="spellStart"/>
      <w:r w:rsidRPr="00A94875">
        <w:rPr>
          <w:b/>
          <w:lang w:val="en-GB"/>
        </w:rPr>
        <w:t>Göttingen</w:t>
      </w:r>
      <w:proofErr w:type="spellEnd"/>
      <w:r w:rsidRPr="00A94875">
        <w:rPr>
          <w:b/>
          <w:lang w:val="en-GB"/>
        </w:rPr>
        <w:t xml:space="preserve"> </w:t>
      </w:r>
      <w:proofErr w:type="spellStart"/>
      <w:r w:rsidRPr="00A94875">
        <w:rPr>
          <w:b/>
          <w:lang w:val="en-GB"/>
        </w:rPr>
        <w:t>mbh</w:t>
      </w:r>
      <w:proofErr w:type="spellEnd"/>
      <w:r w:rsidRPr="00A94875">
        <w:rPr>
          <w:b/>
          <w:lang w:val="en-GB"/>
        </w:rPr>
        <w:t xml:space="preserve"> (GWDG)</w:t>
      </w:r>
      <w:r w:rsidR="00502FC4" w:rsidRPr="00A94875">
        <w:rPr>
          <w:lang w:val="en-GB"/>
        </w:rPr>
        <w:t xml:space="preserve"> – </w:t>
      </w:r>
      <w:r w:rsidR="00CF7D1D" w:rsidRPr="00A94875">
        <w:rPr>
          <w:lang w:val="en-GB"/>
        </w:rPr>
        <w:t xml:space="preserve">the </w:t>
      </w:r>
      <w:r w:rsidRPr="00A94875">
        <w:rPr>
          <w:lang w:val="en-GB"/>
        </w:rPr>
        <w:t>data and competence cent</w:t>
      </w:r>
      <w:r w:rsidR="00502FC4" w:rsidRPr="00A94875">
        <w:rPr>
          <w:lang w:val="en-GB"/>
        </w:rPr>
        <w:t>re</w:t>
      </w:r>
      <w:r w:rsidRPr="00A94875">
        <w:rPr>
          <w:lang w:val="en-GB"/>
        </w:rPr>
        <w:t xml:space="preserve"> for the Max Planck Society and the </w:t>
      </w:r>
      <w:proofErr w:type="spellStart"/>
      <w:r w:rsidRPr="00A94875">
        <w:rPr>
          <w:lang w:val="en-GB"/>
        </w:rPr>
        <w:t>Göttingen</w:t>
      </w:r>
      <w:proofErr w:type="spellEnd"/>
      <w:r w:rsidRPr="00A94875">
        <w:rPr>
          <w:lang w:val="en-GB"/>
        </w:rPr>
        <w:t xml:space="preserve"> University</w:t>
      </w:r>
      <w:r w:rsidR="00502FC4" w:rsidRPr="00A94875">
        <w:rPr>
          <w:lang w:val="en-GB"/>
        </w:rPr>
        <w:t xml:space="preserve"> – </w:t>
      </w:r>
      <w:r w:rsidRPr="00A94875">
        <w:rPr>
          <w:lang w:val="en-GB"/>
        </w:rPr>
        <w:t>shar</w:t>
      </w:r>
      <w:r w:rsidR="00502FC4" w:rsidRPr="00A94875">
        <w:rPr>
          <w:lang w:val="en-GB"/>
        </w:rPr>
        <w:t>e</w:t>
      </w:r>
      <w:r w:rsidRPr="00A94875">
        <w:rPr>
          <w:lang w:val="en-GB"/>
        </w:rPr>
        <w:t xml:space="preserve"> information on</w:t>
      </w:r>
      <w:r w:rsidR="00502FC4" w:rsidRPr="00A94875">
        <w:rPr>
          <w:lang w:val="en-GB"/>
        </w:rPr>
        <w:t xml:space="preserve"> means to improve</w:t>
      </w:r>
      <w:r w:rsidRPr="00A94875">
        <w:rPr>
          <w:lang w:val="en-GB"/>
        </w:rPr>
        <w:t xml:space="preserve"> user experience</w:t>
      </w:r>
      <w:r w:rsidR="00502FC4" w:rsidRPr="00A94875">
        <w:rPr>
          <w:lang w:val="en-GB"/>
        </w:rPr>
        <w:t xml:space="preserve">, </w:t>
      </w:r>
      <w:r w:rsidRPr="00A94875">
        <w:rPr>
          <w:lang w:val="en-GB"/>
        </w:rPr>
        <w:t>data management</w:t>
      </w:r>
      <w:r w:rsidR="00502FC4" w:rsidRPr="00A94875">
        <w:rPr>
          <w:lang w:val="en-GB"/>
        </w:rPr>
        <w:t xml:space="preserve">, and </w:t>
      </w:r>
      <w:r w:rsidRPr="00A94875">
        <w:rPr>
          <w:lang w:val="en-GB"/>
        </w:rPr>
        <w:t>research and training in information technology and data management.</w:t>
      </w:r>
    </w:p>
    <w:p w14:paraId="0B037D4A" w14:textId="1955CD2D" w:rsidR="006944F8" w:rsidRPr="00A94875" w:rsidRDefault="00D64AF8" w:rsidP="006944F8">
      <w:pPr>
        <w:pStyle w:val="Heading2"/>
        <w:rPr>
          <w:rFonts w:asciiTheme="majorBidi" w:hAnsiTheme="majorBidi" w:cstheme="majorBidi"/>
          <w:lang w:val="en-GB"/>
        </w:rPr>
      </w:pPr>
      <w:bookmarkStart w:id="101" w:name="_Toc530571866"/>
      <w:r w:rsidRPr="00A94875">
        <w:rPr>
          <w:rFonts w:asciiTheme="majorBidi" w:hAnsiTheme="majorBidi" w:cstheme="majorBidi"/>
          <w:lang w:val="en-GB"/>
        </w:rPr>
        <w:t>6</w:t>
      </w:r>
      <w:r w:rsidR="006944F8" w:rsidRPr="00A94875">
        <w:rPr>
          <w:rFonts w:asciiTheme="majorBidi" w:hAnsiTheme="majorBidi" w:cstheme="majorBidi"/>
          <w:lang w:val="en-GB"/>
        </w:rPr>
        <w:t>.5</w:t>
      </w:r>
      <w:r w:rsidR="006944F8" w:rsidRPr="00A94875">
        <w:rPr>
          <w:rFonts w:asciiTheme="majorBidi" w:hAnsiTheme="majorBidi" w:cstheme="majorBidi"/>
          <w:lang w:val="en-GB"/>
        </w:rPr>
        <w:tab/>
        <w:t>Cooperation with national and regional standardization organizations</w:t>
      </w:r>
      <w:bookmarkEnd w:id="101"/>
    </w:p>
    <w:p w14:paraId="1FEA48DE" w14:textId="1E2B6BC6" w:rsidR="006944F8" w:rsidRPr="00A94875" w:rsidRDefault="009723D4" w:rsidP="009E5FFA">
      <w:pPr>
        <w:spacing w:before="240"/>
        <w:rPr>
          <w:szCs w:val="24"/>
          <w:lang w:val="en-GB"/>
        </w:rPr>
      </w:pPr>
      <w:r w:rsidRPr="00A94875">
        <w:rPr>
          <w:szCs w:val="24"/>
          <w:lang w:val="en-GB"/>
        </w:rPr>
        <w:t xml:space="preserve">TSB supports the achievement of </w:t>
      </w:r>
      <w:r w:rsidR="006944F8" w:rsidRPr="00A94875">
        <w:rPr>
          <w:szCs w:val="24"/>
          <w:lang w:val="en-GB"/>
        </w:rPr>
        <w:t xml:space="preserve">Objective T.5 of the Strategic Plan of the Union, “Extend and facilitate cooperation with international, regional and national standardization bodies”, </w:t>
      </w:r>
      <w:r w:rsidRPr="00A94875">
        <w:rPr>
          <w:szCs w:val="24"/>
          <w:lang w:val="en-GB"/>
        </w:rPr>
        <w:t xml:space="preserve">by </w:t>
      </w:r>
      <w:r w:rsidR="00676053" w:rsidRPr="00A94875">
        <w:rPr>
          <w:szCs w:val="24"/>
          <w:lang w:val="en-GB"/>
        </w:rPr>
        <w:t>facilitating an ITU-T presence in activities arranged by other standards bodies, with a view to promoting</w:t>
      </w:r>
      <w:r w:rsidRPr="00A94875">
        <w:rPr>
          <w:szCs w:val="24"/>
          <w:lang w:val="en-GB"/>
        </w:rPr>
        <w:t xml:space="preserve"> other standards bodies’ engagement with ITU-T workings groups, workshops and related ITU-T collaboration initiatives</w:t>
      </w:r>
      <w:r w:rsidR="00934302" w:rsidRPr="00A94875">
        <w:rPr>
          <w:szCs w:val="24"/>
          <w:lang w:val="en-GB"/>
        </w:rPr>
        <w:t>.</w:t>
      </w:r>
      <w:r w:rsidR="00676053" w:rsidRPr="00A94875">
        <w:rPr>
          <w:szCs w:val="24"/>
          <w:lang w:val="en-GB"/>
        </w:rPr>
        <w:t xml:space="preserve"> </w:t>
      </w:r>
      <w:r w:rsidR="00DB1C61" w:rsidRPr="00A94875">
        <w:rPr>
          <w:szCs w:val="24"/>
          <w:lang w:val="en-GB"/>
        </w:rPr>
        <w:t xml:space="preserve">TSB’s efforts in this regard </w:t>
      </w:r>
      <w:r w:rsidR="00676053" w:rsidRPr="00A94875">
        <w:rPr>
          <w:szCs w:val="24"/>
          <w:lang w:val="en-GB"/>
        </w:rPr>
        <w:t>have generated positive results, resulting in increasing r</w:t>
      </w:r>
      <w:r w:rsidR="000731A4" w:rsidRPr="00A94875">
        <w:rPr>
          <w:szCs w:val="24"/>
          <w:lang w:val="en-GB"/>
        </w:rPr>
        <w:t>equests for additional information on ITU-T activi</w:t>
      </w:r>
      <w:r w:rsidR="00DB1C61" w:rsidRPr="00A94875">
        <w:rPr>
          <w:szCs w:val="24"/>
          <w:lang w:val="en-GB"/>
        </w:rPr>
        <w:t>ties</w:t>
      </w:r>
      <w:r w:rsidR="00676053" w:rsidRPr="00A94875">
        <w:rPr>
          <w:szCs w:val="24"/>
          <w:lang w:val="en-GB"/>
        </w:rPr>
        <w:t xml:space="preserve"> from national and regional standards bodies. </w:t>
      </w:r>
    </w:p>
    <w:p w14:paraId="2B012DA8" w14:textId="41AB6E90" w:rsidR="006944F8" w:rsidRPr="00A94875" w:rsidRDefault="00934302" w:rsidP="009E5FFA">
      <w:pPr>
        <w:rPr>
          <w:szCs w:val="24"/>
          <w:lang w:val="en-GB"/>
        </w:rPr>
      </w:pPr>
      <w:proofErr w:type="gramStart"/>
      <w:r w:rsidRPr="00A94875">
        <w:rPr>
          <w:szCs w:val="24"/>
          <w:lang w:val="en-GB"/>
        </w:rPr>
        <w:t>2018</w:t>
      </w:r>
      <w:proofErr w:type="gramEnd"/>
      <w:r w:rsidRPr="00A94875">
        <w:rPr>
          <w:szCs w:val="24"/>
          <w:lang w:val="en-GB"/>
        </w:rPr>
        <w:t xml:space="preserve"> activities with notable participation from other standards bodies include</w:t>
      </w:r>
      <w:r w:rsidR="006944F8" w:rsidRPr="00A94875">
        <w:rPr>
          <w:szCs w:val="24"/>
          <w:lang w:val="en-GB"/>
        </w:rPr>
        <w:t>:</w:t>
      </w:r>
    </w:p>
    <w:p w14:paraId="674159A6" w14:textId="68BD67BF" w:rsidR="006944F8" w:rsidRPr="00A94875" w:rsidRDefault="006944F8" w:rsidP="009261B2">
      <w:pPr>
        <w:numPr>
          <w:ilvl w:val="0"/>
          <w:numId w:val="30"/>
        </w:numPr>
        <w:rPr>
          <w:rFonts w:eastAsiaTheme="majorEastAsia"/>
          <w:lang w:val="en-GB"/>
        </w:rPr>
      </w:pPr>
      <w:r w:rsidRPr="00A94875">
        <w:rPr>
          <w:rFonts w:eastAsiaTheme="majorEastAsia"/>
          <w:lang w:val="en-GB"/>
        </w:rPr>
        <w:t>ITU Workshop on Performance, Quality of Service and Quality of Experience for Multimedia Services, 19-20 March 2018, Dakar, Senegal.</w:t>
      </w:r>
    </w:p>
    <w:p w14:paraId="51192A6B" w14:textId="4541F7A2" w:rsidR="006944F8" w:rsidRPr="00A94875" w:rsidRDefault="009723D4" w:rsidP="009261B2">
      <w:pPr>
        <w:numPr>
          <w:ilvl w:val="0"/>
          <w:numId w:val="30"/>
        </w:numPr>
        <w:rPr>
          <w:lang w:val="en-GB"/>
        </w:rPr>
      </w:pPr>
      <w:r w:rsidRPr="00A94875">
        <w:rPr>
          <w:rStyle w:val="Hyperlink"/>
          <w:rFonts w:eastAsiaTheme="majorEastAsia"/>
          <w:lang w:val="en-GB"/>
        </w:rPr>
        <w:t>6</w:t>
      </w:r>
      <w:r w:rsidRPr="00A94875">
        <w:rPr>
          <w:rStyle w:val="Hyperlink"/>
          <w:lang w:val="en-GB"/>
        </w:rPr>
        <w:t>th</w:t>
      </w:r>
      <w:r w:rsidR="00934302" w:rsidRPr="00A94875">
        <w:rPr>
          <w:rStyle w:val="Hyperlink"/>
          <w:rFonts w:eastAsiaTheme="majorEastAsia"/>
          <w:lang w:val="en-GB"/>
        </w:rPr>
        <w:t xml:space="preserve"> ITU-T Study Group 13 </w:t>
      </w:r>
      <w:r w:rsidRPr="00A94875">
        <w:rPr>
          <w:rStyle w:val="Hyperlink"/>
          <w:rFonts w:eastAsiaTheme="majorEastAsia"/>
          <w:lang w:val="en-GB"/>
        </w:rPr>
        <w:t>regional workshop for Africa on "Standardization of future networks: What are the future opportunities for Africa?"</w:t>
      </w:r>
      <w:r w:rsidR="006944F8" w:rsidRPr="00A94875">
        <w:rPr>
          <w:lang w:val="en-GB"/>
        </w:rPr>
        <w:t>, 26-27 March 2018, Abidjan, Côte D’Ivoire</w:t>
      </w:r>
    </w:p>
    <w:p w14:paraId="4D7D210A" w14:textId="0EC5D540" w:rsidR="006944F8" w:rsidRPr="00A94875" w:rsidRDefault="006944F8" w:rsidP="009261B2">
      <w:pPr>
        <w:numPr>
          <w:ilvl w:val="0"/>
          <w:numId w:val="30"/>
        </w:numPr>
        <w:rPr>
          <w:lang w:val="en-GB"/>
        </w:rPr>
      </w:pPr>
      <w:r w:rsidRPr="00A94875">
        <w:rPr>
          <w:rStyle w:val="ms-rtefontface-31"/>
          <w:rFonts w:eastAsiaTheme="majorEastAsia"/>
          <w:color w:val="000000"/>
          <w:szCs w:val="24"/>
          <w:lang w:val="en-GB"/>
        </w:rPr>
        <w:t xml:space="preserve">8th ITU Green Standards </w:t>
      </w:r>
      <w:proofErr w:type="gramStart"/>
      <w:r w:rsidRPr="00A94875">
        <w:rPr>
          <w:rStyle w:val="ms-rtefontface-31"/>
          <w:rFonts w:eastAsiaTheme="majorEastAsia"/>
          <w:color w:val="000000"/>
          <w:szCs w:val="24"/>
          <w:lang w:val="en-GB"/>
        </w:rPr>
        <w:t xml:space="preserve">Week </w:t>
      </w:r>
      <w:r w:rsidRPr="00A94875">
        <w:rPr>
          <w:lang w:val="en-GB"/>
        </w:rPr>
        <w:t>,</w:t>
      </w:r>
      <w:proofErr w:type="gramEnd"/>
      <w:r w:rsidRPr="00A94875">
        <w:rPr>
          <w:lang w:val="en-GB"/>
        </w:rPr>
        <w:t xml:space="preserve"> 9-12 April 2018, Zanzibar, Tanzania.</w:t>
      </w:r>
    </w:p>
    <w:p w14:paraId="54695220" w14:textId="77777777" w:rsidR="006944F8" w:rsidRPr="00A94875" w:rsidRDefault="006944F8" w:rsidP="009261B2">
      <w:pPr>
        <w:numPr>
          <w:ilvl w:val="0"/>
          <w:numId w:val="30"/>
        </w:numPr>
        <w:rPr>
          <w:lang w:val="en-GB"/>
        </w:rPr>
      </w:pPr>
      <w:r w:rsidRPr="00A94875">
        <w:rPr>
          <w:lang w:val="en-GB"/>
        </w:rPr>
        <w:lastRenderedPageBreak/>
        <w:t xml:space="preserve">The yearly Academic Conference Kaleidoscope 2018, as well as the ITU Journal: ICT Discoveries </w:t>
      </w:r>
      <w:proofErr w:type="gramStart"/>
      <w:r w:rsidRPr="00A94875">
        <w:rPr>
          <w:lang w:val="en-GB"/>
        </w:rPr>
        <w:t>were also presented</w:t>
      </w:r>
      <w:proofErr w:type="gramEnd"/>
      <w:r w:rsidRPr="00A94875">
        <w:rPr>
          <w:lang w:val="en-GB"/>
        </w:rPr>
        <w:t>.</w:t>
      </w:r>
    </w:p>
    <w:p w14:paraId="67807921" w14:textId="48D1D9FD" w:rsidR="006944F8" w:rsidRPr="00A94875" w:rsidRDefault="006944F8" w:rsidP="009261B2">
      <w:pPr>
        <w:numPr>
          <w:ilvl w:val="0"/>
          <w:numId w:val="30"/>
        </w:numPr>
        <w:rPr>
          <w:lang w:val="en-GB"/>
        </w:rPr>
      </w:pPr>
      <w:r w:rsidRPr="00A94875">
        <w:rPr>
          <w:lang w:val="en-GB"/>
        </w:rPr>
        <w:t>The World Smart City Forum, 29</w:t>
      </w:r>
      <w:r w:rsidR="009723D4" w:rsidRPr="00A94875">
        <w:rPr>
          <w:lang w:val="en-GB"/>
        </w:rPr>
        <w:t>-</w:t>
      </w:r>
      <w:r w:rsidRPr="00A94875">
        <w:rPr>
          <w:lang w:val="en-GB"/>
        </w:rPr>
        <w:t xml:space="preserve">30 November 2018, organized </w:t>
      </w:r>
      <w:r w:rsidR="009723D4" w:rsidRPr="00A94875">
        <w:rPr>
          <w:lang w:val="en-GB"/>
        </w:rPr>
        <w:t xml:space="preserve">by </w:t>
      </w:r>
      <w:r w:rsidRPr="00A94875">
        <w:rPr>
          <w:lang w:val="en-GB"/>
        </w:rPr>
        <w:t>IEC, ISO and ITU</w:t>
      </w:r>
      <w:r w:rsidR="009723D4" w:rsidRPr="00A94875">
        <w:rPr>
          <w:lang w:val="en-GB"/>
        </w:rPr>
        <w:t>.</w:t>
      </w:r>
    </w:p>
    <w:p w14:paraId="2674C748" w14:textId="582C24C4" w:rsidR="00934302" w:rsidRPr="00A94875" w:rsidRDefault="00934302" w:rsidP="009E5FFA">
      <w:pPr>
        <w:rPr>
          <w:color w:val="000000"/>
          <w:szCs w:val="24"/>
          <w:lang w:val="en-GB"/>
        </w:rPr>
      </w:pPr>
      <w:r w:rsidRPr="00A94875">
        <w:rPr>
          <w:color w:val="000000"/>
          <w:szCs w:val="24"/>
          <w:lang w:val="en-GB"/>
        </w:rPr>
        <w:t xml:space="preserve">TSB </w:t>
      </w:r>
      <w:r w:rsidR="00E100E1" w:rsidRPr="00A94875">
        <w:rPr>
          <w:color w:val="000000"/>
          <w:szCs w:val="24"/>
          <w:lang w:val="en-GB"/>
        </w:rPr>
        <w:t>continues to increase its engagement with the activities of other standards bodies, including</w:t>
      </w:r>
      <w:r w:rsidRPr="00A94875">
        <w:rPr>
          <w:color w:val="000000"/>
          <w:szCs w:val="24"/>
          <w:lang w:val="en-GB"/>
        </w:rPr>
        <w:t>:</w:t>
      </w:r>
    </w:p>
    <w:p w14:paraId="46B3C938" w14:textId="163E6B5D" w:rsidR="006944F8" w:rsidRPr="00A94875" w:rsidRDefault="006944F8" w:rsidP="009E5FFA">
      <w:pPr>
        <w:rPr>
          <w:color w:val="000000"/>
          <w:szCs w:val="24"/>
          <w:lang w:val="en-GB"/>
        </w:rPr>
      </w:pPr>
      <w:r w:rsidRPr="00A94875">
        <w:rPr>
          <w:b/>
          <w:bCs/>
          <w:color w:val="000000"/>
          <w:szCs w:val="24"/>
          <w:lang w:val="en-GB"/>
        </w:rPr>
        <w:t>CEN</w:t>
      </w:r>
      <w:r w:rsidR="00934302" w:rsidRPr="00A94875">
        <w:rPr>
          <w:color w:val="000000"/>
          <w:szCs w:val="24"/>
          <w:lang w:val="en-GB"/>
        </w:rPr>
        <w:t>-</w:t>
      </w:r>
      <w:r w:rsidRPr="00A94875">
        <w:rPr>
          <w:b/>
          <w:bCs/>
          <w:color w:val="000000"/>
          <w:szCs w:val="24"/>
          <w:lang w:val="en-GB"/>
        </w:rPr>
        <w:t>CENELEC:</w:t>
      </w:r>
      <w:r w:rsidRPr="00A94875">
        <w:rPr>
          <w:bCs/>
          <w:color w:val="000000"/>
          <w:szCs w:val="24"/>
          <w:lang w:val="en-GB"/>
        </w:rPr>
        <w:t xml:space="preserve"> </w:t>
      </w:r>
      <w:r w:rsidRPr="00A94875">
        <w:rPr>
          <w:color w:val="000000"/>
          <w:szCs w:val="24"/>
          <w:lang w:val="en-GB"/>
        </w:rPr>
        <w:t>TSB participate</w:t>
      </w:r>
      <w:r w:rsidR="00934302" w:rsidRPr="00A94875">
        <w:rPr>
          <w:color w:val="000000"/>
          <w:szCs w:val="24"/>
          <w:lang w:val="en-GB"/>
        </w:rPr>
        <w:t>s in</w:t>
      </w:r>
      <w:r w:rsidR="00CF7D1D" w:rsidRPr="00A94875">
        <w:rPr>
          <w:color w:val="000000"/>
          <w:szCs w:val="24"/>
          <w:lang w:val="en-GB"/>
        </w:rPr>
        <w:t xml:space="preserve"> </w:t>
      </w:r>
      <w:r w:rsidRPr="00A94875">
        <w:rPr>
          <w:color w:val="000000"/>
          <w:szCs w:val="24"/>
          <w:lang w:val="en-GB"/>
        </w:rPr>
        <w:t>CEN</w:t>
      </w:r>
      <w:r w:rsidR="00934302" w:rsidRPr="00A94875">
        <w:rPr>
          <w:color w:val="000000"/>
          <w:szCs w:val="24"/>
          <w:lang w:val="en-GB"/>
        </w:rPr>
        <w:t>-</w:t>
      </w:r>
      <w:r w:rsidRPr="00A94875">
        <w:rPr>
          <w:color w:val="000000"/>
          <w:szCs w:val="24"/>
          <w:lang w:val="en-GB"/>
        </w:rPr>
        <w:t>CENELEC Annual Meetings</w:t>
      </w:r>
      <w:r w:rsidR="00934302" w:rsidRPr="00A94875">
        <w:rPr>
          <w:color w:val="000000"/>
          <w:szCs w:val="24"/>
          <w:lang w:val="en-GB"/>
        </w:rPr>
        <w:t xml:space="preserve">, which in 2018 </w:t>
      </w:r>
      <w:r w:rsidRPr="00A94875">
        <w:rPr>
          <w:color w:val="000000"/>
          <w:szCs w:val="24"/>
          <w:lang w:val="en-GB"/>
        </w:rPr>
        <w:t>took place in Bled, Slovenia, 21</w:t>
      </w:r>
      <w:r w:rsidR="00934302" w:rsidRPr="00A94875">
        <w:rPr>
          <w:color w:val="000000"/>
          <w:szCs w:val="24"/>
          <w:lang w:val="en-GB"/>
        </w:rPr>
        <w:t>-</w:t>
      </w:r>
      <w:r w:rsidRPr="00A94875">
        <w:rPr>
          <w:color w:val="000000"/>
          <w:szCs w:val="24"/>
          <w:lang w:val="en-GB"/>
        </w:rPr>
        <w:t>22 June 2018.</w:t>
      </w:r>
    </w:p>
    <w:p w14:paraId="7A3B4833" w14:textId="3FA577EA" w:rsidR="006944F8" w:rsidRPr="00A94875" w:rsidRDefault="006944F8" w:rsidP="009E5FFA">
      <w:pPr>
        <w:rPr>
          <w:color w:val="000000"/>
          <w:szCs w:val="24"/>
          <w:lang w:val="en-GB"/>
        </w:rPr>
      </w:pPr>
      <w:r w:rsidRPr="00A94875">
        <w:rPr>
          <w:b/>
          <w:bCs/>
          <w:color w:val="000000"/>
          <w:szCs w:val="24"/>
          <w:lang w:val="en-GB"/>
        </w:rPr>
        <w:t>Pan American Standards Commission (COPANT)</w:t>
      </w:r>
      <w:r w:rsidR="00934302" w:rsidRPr="00A94875">
        <w:rPr>
          <w:b/>
          <w:bCs/>
          <w:color w:val="000000"/>
          <w:szCs w:val="24"/>
          <w:lang w:val="en-GB"/>
        </w:rPr>
        <w:t>:</w:t>
      </w:r>
      <w:r w:rsidRPr="00A94875">
        <w:rPr>
          <w:color w:val="000000"/>
          <w:szCs w:val="24"/>
          <w:lang w:val="en-GB"/>
        </w:rPr>
        <w:t xml:space="preserve"> </w:t>
      </w:r>
      <w:r w:rsidR="00934302" w:rsidRPr="00A94875">
        <w:rPr>
          <w:color w:val="000000"/>
          <w:szCs w:val="24"/>
          <w:lang w:val="en-GB"/>
        </w:rPr>
        <w:t xml:space="preserve">TSB </w:t>
      </w:r>
      <w:r w:rsidR="00E100E1" w:rsidRPr="00A94875">
        <w:rPr>
          <w:color w:val="000000"/>
          <w:szCs w:val="24"/>
          <w:lang w:val="en-GB"/>
        </w:rPr>
        <w:t xml:space="preserve">participated in COPANT’s </w:t>
      </w:r>
      <w:r w:rsidRPr="00A94875">
        <w:rPr>
          <w:color w:val="000000"/>
          <w:szCs w:val="24"/>
          <w:lang w:val="en-GB"/>
        </w:rPr>
        <w:t xml:space="preserve">Annual General Assembly in Montego </w:t>
      </w:r>
      <w:proofErr w:type="gramStart"/>
      <w:r w:rsidRPr="00A94875">
        <w:rPr>
          <w:color w:val="000000"/>
          <w:szCs w:val="24"/>
          <w:lang w:val="en-GB"/>
        </w:rPr>
        <w:t>bay</w:t>
      </w:r>
      <w:proofErr w:type="gramEnd"/>
      <w:r w:rsidRPr="00A94875">
        <w:rPr>
          <w:color w:val="000000"/>
          <w:szCs w:val="24"/>
          <w:lang w:val="en-GB"/>
        </w:rPr>
        <w:t>, Jamaica, 15</w:t>
      </w:r>
      <w:r w:rsidR="00E100E1" w:rsidRPr="00A94875">
        <w:rPr>
          <w:color w:val="000000"/>
          <w:szCs w:val="24"/>
          <w:lang w:val="en-GB"/>
        </w:rPr>
        <w:t>-</w:t>
      </w:r>
      <w:r w:rsidRPr="00A94875">
        <w:rPr>
          <w:color w:val="000000"/>
          <w:szCs w:val="24"/>
          <w:lang w:val="en-GB"/>
        </w:rPr>
        <w:t xml:space="preserve">20 April 2018. </w:t>
      </w:r>
      <w:r w:rsidR="00E100E1" w:rsidRPr="00A94875">
        <w:rPr>
          <w:color w:val="000000"/>
          <w:szCs w:val="24"/>
          <w:lang w:val="en-GB"/>
        </w:rPr>
        <w:t>I</w:t>
      </w:r>
      <w:r w:rsidRPr="00A94875">
        <w:rPr>
          <w:color w:val="000000"/>
          <w:szCs w:val="24"/>
          <w:lang w:val="en-GB"/>
        </w:rPr>
        <w:t xml:space="preserve">n September 2018, </w:t>
      </w:r>
      <w:r w:rsidR="00E100E1" w:rsidRPr="00A94875">
        <w:rPr>
          <w:color w:val="000000"/>
          <w:szCs w:val="24"/>
          <w:lang w:val="en-GB"/>
        </w:rPr>
        <w:t xml:space="preserve">TSB briefed </w:t>
      </w:r>
      <w:r w:rsidRPr="00A94875">
        <w:rPr>
          <w:color w:val="000000"/>
          <w:szCs w:val="24"/>
          <w:lang w:val="en-GB"/>
        </w:rPr>
        <w:t xml:space="preserve">COPANT </w:t>
      </w:r>
      <w:r w:rsidR="00E100E1" w:rsidRPr="00A94875">
        <w:rPr>
          <w:color w:val="000000"/>
          <w:szCs w:val="24"/>
          <w:lang w:val="en-GB"/>
        </w:rPr>
        <w:t>e</w:t>
      </w:r>
      <w:r w:rsidRPr="00A94875">
        <w:rPr>
          <w:color w:val="000000"/>
          <w:szCs w:val="24"/>
          <w:lang w:val="en-GB"/>
        </w:rPr>
        <w:t xml:space="preserve">xecutives </w:t>
      </w:r>
      <w:r w:rsidR="00E100E1" w:rsidRPr="00A94875">
        <w:rPr>
          <w:color w:val="000000"/>
          <w:szCs w:val="24"/>
          <w:lang w:val="en-GB"/>
        </w:rPr>
        <w:t>on the work of ITU-T</w:t>
      </w:r>
      <w:r w:rsidRPr="00A94875">
        <w:rPr>
          <w:color w:val="000000"/>
          <w:szCs w:val="24"/>
          <w:lang w:val="en-GB"/>
        </w:rPr>
        <w:t>.</w:t>
      </w:r>
    </w:p>
    <w:p w14:paraId="7674B686" w14:textId="7D3FDCB9" w:rsidR="006944F8" w:rsidRPr="00A94875" w:rsidRDefault="006944F8" w:rsidP="009E5FFA">
      <w:pPr>
        <w:rPr>
          <w:color w:val="000000"/>
          <w:szCs w:val="24"/>
          <w:lang w:val="en-GB"/>
        </w:rPr>
      </w:pPr>
      <w:r w:rsidRPr="00A94875">
        <w:rPr>
          <w:b/>
          <w:bCs/>
          <w:color w:val="000000"/>
          <w:szCs w:val="24"/>
          <w:lang w:val="en-GB"/>
        </w:rPr>
        <w:t>Pacific Area Standards Congress (PASC)</w:t>
      </w:r>
      <w:r w:rsidR="00E100E1" w:rsidRPr="00A94875">
        <w:rPr>
          <w:color w:val="000000"/>
          <w:szCs w:val="24"/>
          <w:lang w:val="en-GB"/>
        </w:rPr>
        <w:t>: TSB participated in the 41</w:t>
      </w:r>
      <w:r w:rsidR="00E100E1" w:rsidRPr="00A94875">
        <w:rPr>
          <w:color w:val="000000"/>
          <w:szCs w:val="24"/>
          <w:vertAlign w:val="superscript"/>
          <w:lang w:val="en-GB"/>
        </w:rPr>
        <w:t>st</w:t>
      </w:r>
      <w:r w:rsidR="00E100E1" w:rsidRPr="00A94875">
        <w:rPr>
          <w:color w:val="000000"/>
          <w:szCs w:val="24"/>
          <w:lang w:val="en-GB"/>
        </w:rPr>
        <w:t xml:space="preserve"> session of PASC in Okayama, </w:t>
      </w:r>
      <w:proofErr w:type="gramStart"/>
      <w:r w:rsidR="00E100E1" w:rsidRPr="00A94875">
        <w:rPr>
          <w:color w:val="000000"/>
          <w:szCs w:val="24"/>
          <w:lang w:val="en-GB"/>
        </w:rPr>
        <w:t>Japan,</w:t>
      </w:r>
      <w:proofErr w:type="gramEnd"/>
      <w:r w:rsidR="00E100E1" w:rsidRPr="00A94875">
        <w:rPr>
          <w:color w:val="000000"/>
          <w:szCs w:val="24"/>
          <w:lang w:val="en-GB"/>
        </w:rPr>
        <w:t xml:space="preserve"> 15-18 May 2018, focusing on discussions aimed strengthen the cooperation among standards bodies. </w:t>
      </w:r>
      <w:r w:rsidR="00F81569" w:rsidRPr="00A94875">
        <w:rPr>
          <w:color w:val="000000"/>
          <w:szCs w:val="24"/>
          <w:lang w:val="en-GB"/>
        </w:rPr>
        <w:t xml:space="preserve">Following the meeting, </w:t>
      </w:r>
      <w:r w:rsidR="00E100E1" w:rsidRPr="00A94875">
        <w:rPr>
          <w:color w:val="000000"/>
          <w:szCs w:val="24"/>
          <w:lang w:val="en-GB"/>
        </w:rPr>
        <w:t xml:space="preserve">TSB </w:t>
      </w:r>
      <w:r w:rsidR="00F81569" w:rsidRPr="00A94875">
        <w:rPr>
          <w:color w:val="000000"/>
          <w:szCs w:val="24"/>
          <w:lang w:val="en-GB"/>
        </w:rPr>
        <w:t xml:space="preserve">briefed </w:t>
      </w:r>
      <w:r w:rsidR="00DB1C61" w:rsidRPr="00A94875">
        <w:rPr>
          <w:color w:val="000000"/>
          <w:szCs w:val="24"/>
          <w:lang w:val="en-GB"/>
        </w:rPr>
        <w:t xml:space="preserve">PASC executives </w:t>
      </w:r>
      <w:r w:rsidR="00E100E1" w:rsidRPr="00A94875">
        <w:rPr>
          <w:color w:val="000000"/>
          <w:szCs w:val="24"/>
          <w:lang w:val="en-GB"/>
        </w:rPr>
        <w:t>on the work of ITU-T</w:t>
      </w:r>
      <w:r w:rsidRPr="00A94875">
        <w:rPr>
          <w:color w:val="000000"/>
          <w:szCs w:val="24"/>
          <w:lang w:val="en-GB"/>
        </w:rPr>
        <w:t>.</w:t>
      </w:r>
    </w:p>
    <w:p w14:paraId="527CD8AE" w14:textId="62B6765A" w:rsidR="006944F8" w:rsidRPr="00A94875" w:rsidRDefault="006944F8" w:rsidP="009E5FFA">
      <w:pPr>
        <w:rPr>
          <w:color w:val="000000"/>
          <w:szCs w:val="24"/>
          <w:lang w:val="en-GB"/>
        </w:rPr>
      </w:pPr>
      <w:r w:rsidRPr="00A94875">
        <w:rPr>
          <w:b/>
          <w:bCs/>
          <w:color w:val="000000"/>
          <w:szCs w:val="24"/>
          <w:lang w:val="en-GB"/>
        </w:rPr>
        <w:t>African Organization for Standardization (ARSO)</w:t>
      </w:r>
      <w:r w:rsidR="00E100E1" w:rsidRPr="00A94875">
        <w:rPr>
          <w:b/>
          <w:bCs/>
          <w:color w:val="000000"/>
          <w:szCs w:val="24"/>
          <w:lang w:val="en-GB"/>
        </w:rPr>
        <w:t xml:space="preserve">: </w:t>
      </w:r>
      <w:r w:rsidRPr="00A94875">
        <w:rPr>
          <w:color w:val="000000"/>
          <w:szCs w:val="24"/>
          <w:lang w:val="en-GB"/>
        </w:rPr>
        <w:t xml:space="preserve"> </w:t>
      </w:r>
      <w:r w:rsidR="00E100E1" w:rsidRPr="00A94875">
        <w:rPr>
          <w:color w:val="000000"/>
          <w:szCs w:val="24"/>
          <w:lang w:val="en-GB"/>
        </w:rPr>
        <w:t xml:space="preserve">TSB participated in </w:t>
      </w:r>
      <w:r w:rsidRPr="00A94875">
        <w:rPr>
          <w:color w:val="000000"/>
          <w:szCs w:val="24"/>
          <w:lang w:val="en-GB"/>
        </w:rPr>
        <w:t>the 24th ARSO General Assembly and African Day of Standardization</w:t>
      </w:r>
      <w:r w:rsidR="00E100E1" w:rsidRPr="00A94875">
        <w:rPr>
          <w:color w:val="000000"/>
          <w:szCs w:val="24"/>
          <w:lang w:val="en-GB"/>
        </w:rPr>
        <w:t xml:space="preserve"> in Durban</w:t>
      </w:r>
      <w:r w:rsidRPr="00A94875">
        <w:rPr>
          <w:color w:val="000000"/>
          <w:szCs w:val="24"/>
          <w:lang w:val="en-GB"/>
        </w:rPr>
        <w:t>,</w:t>
      </w:r>
      <w:r w:rsidR="00E100E1" w:rsidRPr="00A94875">
        <w:rPr>
          <w:color w:val="000000"/>
          <w:szCs w:val="24"/>
          <w:lang w:val="en-GB"/>
        </w:rPr>
        <w:t xml:space="preserve"> South Africa, 18-22</w:t>
      </w:r>
      <w:r w:rsidRPr="00A94875">
        <w:rPr>
          <w:color w:val="000000"/>
          <w:szCs w:val="24"/>
          <w:lang w:val="en-GB"/>
        </w:rPr>
        <w:t xml:space="preserve"> June 2018.</w:t>
      </w:r>
      <w:r w:rsidR="008C2133" w:rsidRPr="00A94875">
        <w:rPr>
          <w:color w:val="000000"/>
          <w:szCs w:val="24"/>
          <w:lang w:val="en-GB"/>
        </w:rPr>
        <w:t xml:space="preserve"> </w:t>
      </w:r>
      <w:r w:rsidRPr="00A94875">
        <w:rPr>
          <w:color w:val="000000"/>
          <w:szCs w:val="24"/>
          <w:lang w:val="en-GB"/>
        </w:rPr>
        <w:t xml:space="preserve">In September 2018, </w:t>
      </w:r>
      <w:r w:rsidR="008C2133" w:rsidRPr="00A94875">
        <w:rPr>
          <w:color w:val="000000"/>
          <w:szCs w:val="24"/>
          <w:lang w:val="en-GB"/>
        </w:rPr>
        <w:t>TSB brief</w:t>
      </w:r>
      <w:r w:rsidR="00F81569" w:rsidRPr="00A94875">
        <w:rPr>
          <w:color w:val="000000"/>
          <w:szCs w:val="24"/>
          <w:lang w:val="en-GB"/>
        </w:rPr>
        <w:t>ed</w:t>
      </w:r>
      <w:r w:rsidR="008C2133" w:rsidRPr="00A94875">
        <w:rPr>
          <w:color w:val="000000"/>
          <w:szCs w:val="24"/>
          <w:lang w:val="en-GB"/>
        </w:rPr>
        <w:t xml:space="preserve"> </w:t>
      </w:r>
      <w:r w:rsidRPr="00A94875">
        <w:rPr>
          <w:color w:val="000000"/>
          <w:szCs w:val="24"/>
          <w:lang w:val="en-GB"/>
        </w:rPr>
        <w:t xml:space="preserve">ARSO </w:t>
      </w:r>
      <w:r w:rsidR="00F81569" w:rsidRPr="00A94875">
        <w:rPr>
          <w:color w:val="000000"/>
          <w:szCs w:val="24"/>
          <w:lang w:val="en-GB"/>
        </w:rPr>
        <w:t xml:space="preserve">executives </w:t>
      </w:r>
      <w:r w:rsidR="008C2133" w:rsidRPr="00A94875">
        <w:rPr>
          <w:color w:val="000000"/>
          <w:szCs w:val="24"/>
          <w:lang w:val="en-GB"/>
        </w:rPr>
        <w:t>on the work of ITU-T</w:t>
      </w:r>
      <w:r w:rsidRPr="00A94875">
        <w:rPr>
          <w:color w:val="000000"/>
          <w:szCs w:val="24"/>
          <w:lang w:val="en-GB"/>
        </w:rPr>
        <w:t>.</w:t>
      </w:r>
    </w:p>
    <w:p w14:paraId="24CF1FE9" w14:textId="2A068F9B" w:rsidR="006944F8" w:rsidRPr="00A94875" w:rsidRDefault="00D64AF8" w:rsidP="006944F8">
      <w:pPr>
        <w:pStyle w:val="Heading1"/>
        <w:rPr>
          <w:rFonts w:asciiTheme="majorBidi" w:hAnsiTheme="majorBidi" w:cstheme="majorBidi"/>
          <w:lang w:val="en-GB"/>
        </w:rPr>
      </w:pPr>
      <w:bookmarkStart w:id="102" w:name="_Toc416161356"/>
      <w:bookmarkStart w:id="103" w:name="_Toc438553979"/>
      <w:bookmarkStart w:id="104" w:name="_Toc453929098"/>
      <w:bookmarkStart w:id="105" w:name="_Toc453932969"/>
      <w:bookmarkStart w:id="106" w:name="_Toc454295875"/>
      <w:bookmarkStart w:id="107" w:name="_Toc480527846"/>
      <w:bookmarkStart w:id="108" w:name="_Toc530571867"/>
      <w:r w:rsidRPr="00A94875">
        <w:rPr>
          <w:rFonts w:asciiTheme="majorBidi" w:eastAsiaTheme="minorEastAsia" w:hAnsiTheme="majorBidi" w:cstheme="majorBidi"/>
          <w:lang w:val="en-GB"/>
        </w:rPr>
        <w:t>7</w:t>
      </w:r>
      <w:r w:rsidR="006944F8" w:rsidRPr="00A94875">
        <w:rPr>
          <w:rFonts w:asciiTheme="majorBidi" w:eastAsiaTheme="minorEastAsia" w:hAnsiTheme="majorBidi" w:cstheme="majorBidi"/>
          <w:lang w:val="en-GB"/>
        </w:rPr>
        <w:tab/>
      </w:r>
      <w:r w:rsidR="006944F8" w:rsidRPr="00A94875">
        <w:rPr>
          <w:rFonts w:asciiTheme="majorBidi" w:hAnsiTheme="majorBidi" w:cstheme="majorBidi"/>
          <w:lang w:val="en-GB"/>
        </w:rPr>
        <w:t>Bridging the standardization gap</w:t>
      </w:r>
      <w:bookmarkStart w:id="109" w:name="_Toc328209623"/>
      <w:bookmarkStart w:id="110" w:name="_Toc337476742"/>
      <w:bookmarkStart w:id="111" w:name="_Toc416161362"/>
      <w:bookmarkStart w:id="112" w:name="_Toc438553985"/>
      <w:bookmarkStart w:id="113" w:name="_Toc453929107"/>
      <w:bookmarkStart w:id="114" w:name="_Toc453932978"/>
      <w:bookmarkStart w:id="115" w:name="_Toc454295884"/>
      <w:bookmarkEnd w:id="102"/>
      <w:bookmarkEnd w:id="103"/>
      <w:bookmarkEnd w:id="104"/>
      <w:bookmarkEnd w:id="105"/>
      <w:bookmarkEnd w:id="106"/>
      <w:bookmarkEnd w:id="107"/>
      <w:bookmarkEnd w:id="108"/>
    </w:p>
    <w:p w14:paraId="3907E1CC" w14:textId="77777777" w:rsidR="006944F8" w:rsidRPr="00A94875" w:rsidRDefault="006944F8" w:rsidP="006944F8">
      <w:pPr>
        <w:rPr>
          <w:rFonts w:asciiTheme="majorBidi" w:hAnsiTheme="majorBidi" w:cstheme="majorBidi"/>
          <w:lang w:val="en-GB"/>
        </w:rPr>
      </w:pPr>
      <w:proofErr w:type="gramStart"/>
      <w:r w:rsidRPr="00A94875">
        <w:rPr>
          <w:rFonts w:asciiTheme="majorBidi" w:hAnsiTheme="majorBidi" w:cstheme="majorBidi"/>
          <w:lang w:val="en-GB"/>
        </w:rPr>
        <w:t>ITU’s</w:t>
      </w:r>
      <w:proofErr w:type="gramEnd"/>
      <w:r w:rsidRPr="00A94875">
        <w:rPr>
          <w:rFonts w:asciiTheme="majorBidi" w:hAnsiTheme="majorBidi" w:cstheme="majorBidi"/>
          <w:lang w:val="en-GB"/>
        </w:rPr>
        <w:t xml:space="preserve"> Bridging the Standardization Gap (BSG) programme improves the capacity of developing countries to participate in the development and implementation of international ICT standards.</w:t>
      </w:r>
    </w:p>
    <w:p w14:paraId="7E6E12C4"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WTSA-16 agreed an Action Plan to address further the disparity in standardization between developed and developing countries, including least-developed countries, Small Island Developing States (SIDS) and countries with economies in transition.</w:t>
      </w:r>
    </w:p>
    <w:p w14:paraId="5FD2EA3A" w14:textId="58919D7A" w:rsidR="006944F8" w:rsidRPr="00A94875" w:rsidRDefault="006944F8" w:rsidP="009E5FFA">
      <w:pPr>
        <w:rPr>
          <w:lang w:val="en-GB"/>
        </w:rPr>
      </w:pPr>
      <w:r w:rsidRPr="00A94875">
        <w:rPr>
          <w:lang w:val="en-GB"/>
        </w:rPr>
        <w:t xml:space="preserve">The revamped BSG Programme is structured around </w:t>
      </w:r>
      <w:proofErr w:type="gramStart"/>
      <w:r w:rsidRPr="00A94875">
        <w:rPr>
          <w:lang w:val="en-GB"/>
        </w:rPr>
        <w:t>5</w:t>
      </w:r>
      <w:proofErr w:type="gramEnd"/>
      <w:r w:rsidRPr="00A94875">
        <w:rPr>
          <w:lang w:val="en-GB"/>
        </w:rPr>
        <w:t xml:space="preserve"> pillars</w:t>
      </w:r>
      <w:r w:rsidR="000F10CE" w:rsidRPr="00A94875">
        <w:rPr>
          <w:lang w:val="en-GB"/>
        </w:rPr>
        <w:t xml:space="preserve">, responding to </w:t>
      </w:r>
      <w:r w:rsidRPr="00A94875">
        <w:rPr>
          <w:lang w:val="en-GB"/>
        </w:rPr>
        <w:t xml:space="preserve">WTSA Resolution 44. The </w:t>
      </w:r>
      <w:proofErr w:type="gramStart"/>
      <w:r w:rsidRPr="00A94875">
        <w:rPr>
          <w:lang w:val="en-GB"/>
        </w:rPr>
        <w:t>5</w:t>
      </w:r>
      <w:proofErr w:type="gramEnd"/>
      <w:r w:rsidRPr="00A94875">
        <w:rPr>
          <w:lang w:val="en-GB"/>
        </w:rPr>
        <w:t xml:space="preserve"> p</w:t>
      </w:r>
      <w:r w:rsidR="005E533F" w:rsidRPr="00A94875">
        <w:rPr>
          <w:lang w:val="en-GB"/>
        </w:rPr>
        <w:t>illars of the BSG programme are</w:t>
      </w:r>
      <w:r w:rsidRPr="00A94875">
        <w:rPr>
          <w:lang w:val="en-GB"/>
        </w:rPr>
        <w:t xml:space="preserve">: Engagement, </w:t>
      </w:r>
      <w:r w:rsidR="00E95E52" w:rsidRPr="00A94875">
        <w:rPr>
          <w:lang w:val="en-GB"/>
        </w:rPr>
        <w:t>k</w:t>
      </w:r>
      <w:r w:rsidRPr="00A94875">
        <w:rPr>
          <w:lang w:val="en-GB"/>
        </w:rPr>
        <w:t>now-how, community, awareness, and partnering:</w:t>
      </w:r>
    </w:p>
    <w:p w14:paraId="3970AB2E" w14:textId="65533C64" w:rsidR="006944F8" w:rsidRPr="00A94875" w:rsidRDefault="006944F8" w:rsidP="009261B2">
      <w:pPr>
        <w:pStyle w:val="ListParagraph"/>
        <w:numPr>
          <w:ilvl w:val="0"/>
          <w:numId w:val="26"/>
        </w:numPr>
        <w:spacing w:before="120"/>
        <w:ind w:left="714" w:hanging="357"/>
        <w:contextualSpacing w:val="0"/>
        <w:rPr>
          <w:rFonts w:asciiTheme="majorBidi" w:hAnsiTheme="majorBidi" w:cstheme="majorBidi"/>
          <w:sz w:val="24"/>
          <w:szCs w:val="24"/>
          <w:lang w:val="en-GB"/>
        </w:rPr>
      </w:pPr>
      <w:r w:rsidRPr="00A94875">
        <w:rPr>
          <w:rFonts w:asciiTheme="majorBidi" w:hAnsiTheme="majorBidi" w:cstheme="majorBidi"/>
          <w:b/>
          <w:bCs/>
          <w:sz w:val="24"/>
          <w:szCs w:val="24"/>
          <w:lang w:val="en-GB"/>
        </w:rPr>
        <w:t>Engagement</w:t>
      </w:r>
      <w:r w:rsidRPr="00A94875">
        <w:rPr>
          <w:rFonts w:asciiTheme="majorBidi" w:hAnsiTheme="majorBidi" w:cstheme="majorBidi"/>
          <w:sz w:val="24"/>
          <w:szCs w:val="24"/>
          <w:lang w:val="en-GB"/>
        </w:rPr>
        <w:t xml:space="preserve"> is about facilitating participation in standards development. This includes fellowship and mentorship programmes and tools for remote participation.</w:t>
      </w:r>
    </w:p>
    <w:p w14:paraId="3263E412" w14:textId="5ED8D7EB" w:rsidR="006944F8" w:rsidRPr="00A94875" w:rsidRDefault="006944F8" w:rsidP="009261B2">
      <w:pPr>
        <w:pStyle w:val="ListParagraph"/>
        <w:numPr>
          <w:ilvl w:val="0"/>
          <w:numId w:val="26"/>
        </w:numPr>
        <w:spacing w:before="120"/>
        <w:ind w:left="714" w:hanging="357"/>
        <w:contextualSpacing w:val="0"/>
        <w:rPr>
          <w:rFonts w:asciiTheme="majorBidi" w:hAnsiTheme="majorBidi" w:cstheme="majorBidi"/>
          <w:sz w:val="24"/>
          <w:szCs w:val="24"/>
          <w:lang w:val="en-GB"/>
        </w:rPr>
      </w:pPr>
      <w:proofErr w:type="gramStart"/>
      <w:r w:rsidRPr="00A94875">
        <w:rPr>
          <w:rFonts w:asciiTheme="majorBidi" w:hAnsiTheme="majorBidi" w:cstheme="majorBidi"/>
          <w:b/>
          <w:bCs/>
          <w:sz w:val="24"/>
          <w:szCs w:val="24"/>
          <w:lang w:val="en-GB"/>
        </w:rPr>
        <w:t>Know-how</w:t>
      </w:r>
      <w:proofErr w:type="gramEnd"/>
      <w:r w:rsidRPr="00A94875">
        <w:rPr>
          <w:rFonts w:asciiTheme="majorBidi" w:hAnsiTheme="majorBidi" w:cstheme="majorBidi"/>
          <w:sz w:val="24"/>
          <w:szCs w:val="24"/>
          <w:lang w:val="en-GB"/>
        </w:rPr>
        <w:t xml:space="preserve"> covers the development of skills and capabilities for standards-making. This includes standards-making effectiveness sessions, video </w:t>
      </w:r>
      <w:r w:rsidR="00E95E52" w:rsidRPr="00A94875">
        <w:rPr>
          <w:rFonts w:asciiTheme="majorBidi" w:hAnsiTheme="majorBidi" w:cstheme="majorBidi"/>
          <w:sz w:val="24"/>
          <w:szCs w:val="24"/>
          <w:lang w:val="en-GB"/>
        </w:rPr>
        <w:t xml:space="preserve">tutorials </w:t>
      </w:r>
      <w:r w:rsidRPr="00A94875">
        <w:rPr>
          <w:rFonts w:asciiTheme="majorBidi" w:hAnsiTheme="majorBidi" w:cstheme="majorBidi"/>
          <w:sz w:val="24"/>
          <w:szCs w:val="24"/>
          <w:lang w:val="en-GB"/>
        </w:rPr>
        <w:t>and e-learning courses.</w:t>
      </w:r>
    </w:p>
    <w:p w14:paraId="3D3150A5" w14:textId="0531E112" w:rsidR="006944F8" w:rsidRPr="00A94875" w:rsidRDefault="006944F8" w:rsidP="009261B2">
      <w:pPr>
        <w:pStyle w:val="ListParagraph"/>
        <w:numPr>
          <w:ilvl w:val="0"/>
          <w:numId w:val="26"/>
        </w:numPr>
        <w:spacing w:before="120"/>
        <w:ind w:left="714" w:hanging="357"/>
        <w:contextualSpacing w:val="0"/>
        <w:rPr>
          <w:rFonts w:asciiTheme="majorBidi" w:hAnsiTheme="majorBidi" w:cstheme="majorBidi"/>
          <w:sz w:val="24"/>
          <w:szCs w:val="24"/>
          <w:lang w:val="en-GB"/>
        </w:rPr>
      </w:pPr>
      <w:r w:rsidRPr="00A94875">
        <w:rPr>
          <w:rFonts w:asciiTheme="majorBidi" w:hAnsiTheme="majorBidi" w:cstheme="majorBidi"/>
          <w:b/>
          <w:bCs/>
          <w:sz w:val="24"/>
          <w:szCs w:val="24"/>
          <w:lang w:val="en-GB"/>
        </w:rPr>
        <w:t>Community</w:t>
      </w:r>
      <w:r w:rsidRPr="00A94875">
        <w:rPr>
          <w:rFonts w:asciiTheme="majorBidi" w:hAnsiTheme="majorBidi" w:cstheme="majorBidi"/>
          <w:sz w:val="24"/>
          <w:szCs w:val="24"/>
          <w:lang w:val="en-GB"/>
        </w:rPr>
        <w:t xml:space="preserve"> </w:t>
      </w:r>
      <w:r w:rsidR="00E95E52" w:rsidRPr="00A94875">
        <w:rPr>
          <w:rFonts w:asciiTheme="majorBidi" w:hAnsiTheme="majorBidi" w:cstheme="majorBidi"/>
          <w:sz w:val="24"/>
          <w:szCs w:val="24"/>
          <w:lang w:val="en-GB"/>
        </w:rPr>
        <w:t xml:space="preserve">focused on </w:t>
      </w:r>
      <w:r w:rsidRPr="00A94875">
        <w:rPr>
          <w:rFonts w:asciiTheme="majorBidi" w:hAnsiTheme="majorBidi" w:cstheme="majorBidi"/>
          <w:sz w:val="24"/>
          <w:szCs w:val="24"/>
          <w:lang w:val="en-GB"/>
        </w:rPr>
        <w:t>empowerment</w:t>
      </w:r>
      <w:r w:rsidR="00E95E52" w:rsidRPr="00A94875">
        <w:rPr>
          <w:rFonts w:asciiTheme="majorBidi" w:hAnsiTheme="majorBidi" w:cstheme="majorBidi"/>
          <w:sz w:val="24"/>
          <w:szCs w:val="24"/>
          <w:lang w:val="en-GB"/>
        </w:rPr>
        <w:t xml:space="preserve"> </w:t>
      </w:r>
      <w:r w:rsidRPr="00A94875">
        <w:rPr>
          <w:rFonts w:asciiTheme="majorBidi" w:hAnsiTheme="majorBidi" w:cstheme="majorBidi"/>
          <w:sz w:val="24"/>
          <w:szCs w:val="24"/>
          <w:lang w:val="en-GB"/>
        </w:rPr>
        <w:t xml:space="preserve">at regional and national levels. </w:t>
      </w:r>
      <w:r w:rsidR="00E95E52" w:rsidRPr="00A94875">
        <w:rPr>
          <w:rFonts w:asciiTheme="majorBidi" w:hAnsiTheme="majorBidi" w:cstheme="majorBidi"/>
          <w:sz w:val="24"/>
          <w:szCs w:val="24"/>
          <w:lang w:val="en-GB"/>
        </w:rPr>
        <w:t xml:space="preserve">Regional Groups within ITU-T Study Groups are a prime example, </w:t>
      </w:r>
      <w:r w:rsidRPr="00A94875">
        <w:rPr>
          <w:rFonts w:asciiTheme="majorBidi" w:hAnsiTheme="majorBidi" w:cstheme="majorBidi"/>
          <w:sz w:val="24"/>
          <w:szCs w:val="24"/>
          <w:lang w:val="en-GB"/>
        </w:rPr>
        <w:t>ensur</w:t>
      </w:r>
      <w:r w:rsidR="00E95E52" w:rsidRPr="00A94875">
        <w:rPr>
          <w:rFonts w:asciiTheme="majorBidi" w:hAnsiTheme="majorBidi" w:cstheme="majorBidi"/>
          <w:sz w:val="24"/>
          <w:szCs w:val="24"/>
          <w:lang w:val="en-GB"/>
        </w:rPr>
        <w:t>ing</w:t>
      </w:r>
      <w:r w:rsidRPr="00A94875">
        <w:rPr>
          <w:rFonts w:asciiTheme="majorBidi" w:hAnsiTheme="majorBidi" w:cstheme="majorBidi"/>
          <w:sz w:val="24"/>
          <w:szCs w:val="24"/>
          <w:lang w:val="en-GB"/>
        </w:rPr>
        <w:t xml:space="preserve"> that </w:t>
      </w:r>
      <w:proofErr w:type="gramStart"/>
      <w:r w:rsidRPr="00A94875">
        <w:rPr>
          <w:rFonts w:asciiTheme="majorBidi" w:hAnsiTheme="majorBidi" w:cstheme="majorBidi"/>
          <w:sz w:val="24"/>
          <w:szCs w:val="24"/>
          <w:lang w:val="en-GB"/>
        </w:rPr>
        <w:t>standards-making</w:t>
      </w:r>
      <w:proofErr w:type="gramEnd"/>
      <w:r w:rsidRPr="00A94875">
        <w:rPr>
          <w:rFonts w:asciiTheme="majorBidi" w:hAnsiTheme="majorBidi" w:cstheme="majorBidi"/>
          <w:sz w:val="24"/>
          <w:szCs w:val="24"/>
          <w:lang w:val="en-GB"/>
        </w:rPr>
        <w:t xml:space="preserve"> is inclusive of the needs of all regions.</w:t>
      </w:r>
    </w:p>
    <w:p w14:paraId="27EF9612" w14:textId="17D862F5" w:rsidR="006944F8" w:rsidRPr="00A94875" w:rsidRDefault="006944F8" w:rsidP="009261B2">
      <w:pPr>
        <w:pStyle w:val="ListParagraph"/>
        <w:numPr>
          <w:ilvl w:val="0"/>
          <w:numId w:val="26"/>
        </w:numPr>
        <w:spacing w:before="120"/>
        <w:ind w:left="714" w:hanging="357"/>
        <w:contextualSpacing w:val="0"/>
        <w:rPr>
          <w:rFonts w:asciiTheme="majorBidi" w:hAnsiTheme="majorBidi" w:cstheme="majorBidi"/>
          <w:sz w:val="24"/>
          <w:szCs w:val="24"/>
          <w:lang w:val="en-GB"/>
        </w:rPr>
      </w:pPr>
      <w:r w:rsidRPr="00A94875">
        <w:rPr>
          <w:rFonts w:asciiTheme="majorBidi" w:hAnsiTheme="majorBidi" w:cstheme="majorBidi"/>
          <w:b/>
          <w:bCs/>
          <w:sz w:val="24"/>
          <w:szCs w:val="24"/>
          <w:lang w:val="en-GB"/>
        </w:rPr>
        <w:t>Awareness</w:t>
      </w:r>
      <w:r w:rsidRPr="00A94875">
        <w:rPr>
          <w:rFonts w:asciiTheme="majorBidi" w:hAnsiTheme="majorBidi" w:cstheme="majorBidi"/>
          <w:sz w:val="24"/>
          <w:szCs w:val="24"/>
          <w:lang w:val="en-GB"/>
        </w:rPr>
        <w:t xml:space="preserve"> covers information sharing, </w:t>
      </w:r>
      <w:r w:rsidR="00E95E52" w:rsidRPr="00A94875">
        <w:rPr>
          <w:rFonts w:asciiTheme="majorBidi" w:hAnsiTheme="majorBidi" w:cstheme="majorBidi"/>
          <w:sz w:val="24"/>
          <w:szCs w:val="24"/>
          <w:lang w:val="en-GB"/>
        </w:rPr>
        <w:t xml:space="preserve">using </w:t>
      </w:r>
      <w:r w:rsidRPr="00A94875">
        <w:rPr>
          <w:rFonts w:asciiTheme="majorBidi" w:hAnsiTheme="majorBidi" w:cstheme="majorBidi"/>
          <w:sz w:val="24"/>
          <w:szCs w:val="24"/>
          <w:lang w:val="en-GB"/>
        </w:rPr>
        <w:t>ITU-T publications on a wide range of topics a</w:t>
      </w:r>
      <w:r w:rsidR="00E95E52" w:rsidRPr="00A94875">
        <w:rPr>
          <w:rFonts w:asciiTheme="majorBidi" w:hAnsiTheme="majorBidi" w:cstheme="majorBidi"/>
          <w:sz w:val="24"/>
          <w:szCs w:val="24"/>
          <w:lang w:val="en-GB"/>
        </w:rPr>
        <w:t>s well as</w:t>
      </w:r>
      <w:r w:rsidRPr="00A94875">
        <w:rPr>
          <w:rFonts w:asciiTheme="majorBidi" w:hAnsiTheme="majorBidi" w:cstheme="majorBidi"/>
          <w:sz w:val="24"/>
          <w:szCs w:val="24"/>
          <w:lang w:val="en-GB"/>
        </w:rPr>
        <w:t xml:space="preserve"> Regional and Inter-</w:t>
      </w:r>
      <w:r w:rsidR="00E95E52" w:rsidRPr="00A94875">
        <w:rPr>
          <w:rFonts w:asciiTheme="majorBidi" w:hAnsiTheme="majorBidi" w:cstheme="majorBidi"/>
          <w:sz w:val="24"/>
          <w:szCs w:val="24"/>
          <w:lang w:val="en-GB"/>
        </w:rPr>
        <w:t>R</w:t>
      </w:r>
      <w:r w:rsidRPr="00A94875">
        <w:rPr>
          <w:rFonts w:asciiTheme="majorBidi" w:hAnsiTheme="majorBidi" w:cstheme="majorBidi"/>
          <w:sz w:val="24"/>
          <w:szCs w:val="24"/>
          <w:lang w:val="en-GB"/>
        </w:rPr>
        <w:t>egional standardization forums.</w:t>
      </w:r>
    </w:p>
    <w:p w14:paraId="2D5CF8FF" w14:textId="77777777" w:rsidR="006944F8" w:rsidRPr="00A94875" w:rsidRDefault="006944F8" w:rsidP="009261B2">
      <w:pPr>
        <w:pStyle w:val="ListParagraph"/>
        <w:numPr>
          <w:ilvl w:val="0"/>
          <w:numId w:val="26"/>
        </w:numPr>
        <w:spacing w:before="120"/>
        <w:ind w:left="714" w:hanging="357"/>
        <w:contextualSpacing w:val="0"/>
        <w:rPr>
          <w:rFonts w:asciiTheme="majorBidi" w:hAnsiTheme="majorBidi" w:cstheme="majorBidi"/>
          <w:sz w:val="24"/>
          <w:szCs w:val="24"/>
          <w:lang w:val="en-GB"/>
        </w:rPr>
      </w:pPr>
      <w:proofErr w:type="gramStart"/>
      <w:r w:rsidRPr="00A94875">
        <w:rPr>
          <w:rFonts w:asciiTheme="majorBidi" w:hAnsiTheme="majorBidi" w:cstheme="majorBidi"/>
          <w:b/>
          <w:bCs/>
          <w:sz w:val="24"/>
          <w:szCs w:val="24"/>
          <w:lang w:val="en-GB"/>
        </w:rPr>
        <w:t>Partnering</w:t>
      </w:r>
      <w:proofErr w:type="gramEnd"/>
      <w:r w:rsidRPr="00A94875">
        <w:rPr>
          <w:rFonts w:asciiTheme="majorBidi" w:hAnsiTheme="majorBidi" w:cstheme="majorBidi"/>
          <w:sz w:val="24"/>
          <w:szCs w:val="24"/>
          <w:lang w:val="en-GB"/>
        </w:rPr>
        <w:t xml:space="preserve"> is about mobilizing resources and fostering collaboration.</w:t>
      </w:r>
    </w:p>
    <w:p w14:paraId="62C91AE9" w14:textId="65777AC2" w:rsidR="006944F8" w:rsidRPr="00A94875" w:rsidRDefault="006944F8" w:rsidP="006944F8">
      <w:pPr>
        <w:keepNext/>
        <w:jc w:val="center"/>
        <w:rPr>
          <w:lang w:val="en-GB"/>
        </w:rPr>
      </w:pPr>
      <w:r w:rsidRPr="00A94875">
        <w:rPr>
          <w:rFonts w:asciiTheme="majorBidi" w:hAnsiTheme="majorBidi" w:cstheme="majorBidi"/>
          <w:noProof/>
          <w:lang w:val="en-GB"/>
        </w:rPr>
        <w:lastRenderedPageBreak/>
        <w:drawing>
          <wp:inline distT="0" distB="0" distL="0" distR="0" wp14:anchorId="4B63B8EA" wp14:editId="7F4FFFBC">
            <wp:extent cx="4086225" cy="2426129"/>
            <wp:effectExtent l="0" t="0" r="0" b="0"/>
            <wp:docPr id="232"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1"/>
                    <pic:cNvPicPr>
                      <a:picLocks noChangeAspect="1"/>
                    </pic:cNvPicPr>
                  </pic:nvPicPr>
                  <pic:blipFill>
                    <a:blip r:embed="rId84"/>
                    <a:stretch>
                      <a:fillRect/>
                    </a:stretch>
                  </pic:blipFill>
                  <pic:spPr>
                    <a:xfrm>
                      <a:off x="0" y="0"/>
                      <a:ext cx="4129240" cy="2451669"/>
                    </a:xfrm>
                    <a:prstGeom prst="rect">
                      <a:avLst/>
                    </a:prstGeom>
                  </pic:spPr>
                </pic:pic>
              </a:graphicData>
            </a:graphic>
          </wp:inline>
        </w:drawing>
      </w:r>
    </w:p>
    <w:p w14:paraId="581A5966" w14:textId="77777777" w:rsidR="006944F8" w:rsidRPr="00A94875" w:rsidRDefault="006944F8" w:rsidP="006944F8">
      <w:pPr>
        <w:pStyle w:val="Caption"/>
        <w:jc w:val="center"/>
        <w:rPr>
          <w:rFonts w:asciiTheme="majorBidi" w:hAnsiTheme="majorBidi" w:cstheme="majorBidi"/>
          <w:sz w:val="24"/>
          <w:szCs w:val="24"/>
          <w:lang w:val="en-GB"/>
        </w:rPr>
      </w:pPr>
      <w:r w:rsidRPr="00A94875">
        <w:rPr>
          <w:sz w:val="24"/>
          <w:szCs w:val="24"/>
          <w:lang w:val="en-GB"/>
        </w:rPr>
        <w:t xml:space="preserve">Figure </w:t>
      </w:r>
      <w:r w:rsidRPr="00A94875">
        <w:rPr>
          <w:sz w:val="24"/>
          <w:szCs w:val="24"/>
          <w:lang w:val="en-GB"/>
        </w:rPr>
        <w:fldChar w:fldCharType="begin"/>
      </w:r>
      <w:r w:rsidRPr="00A94875">
        <w:rPr>
          <w:sz w:val="24"/>
          <w:szCs w:val="24"/>
          <w:lang w:val="en-GB"/>
        </w:rPr>
        <w:instrText xml:space="preserve"> SEQ Figure \* ARABIC </w:instrText>
      </w:r>
      <w:r w:rsidRPr="00A94875">
        <w:rPr>
          <w:sz w:val="24"/>
          <w:szCs w:val="24"/>
          <w:lang w:val="en-GB"/>
        </w:rPr>
        <w:fldChar w:fldCharType="separate"/>
      </w:r>
      <w:r w:rsidRPr="00A94875">
        <w:rPr>
          <w:sz w:val="24"/>
          <w:szCs w:val="24"/>
          <w:lang w:val="en-GB"/>
        </w:rPr>
        <w:t>1</w:t>
      </w:r>
      <w:r w:rsidRPr="00A94875">
        <w:rPr>
          <w:sz w:val="24"/>
          <w:szCs w:val="24"/>
          <w:lang w:val="en-GB"/>
        </w:rPr>
        <w:fldChar w:fldCharType="end"/>
      </w:r>
      <w:r w:rsidRPr="00A94875">
        <w:rPr>
          <w:sz w:val="24"/>
          <w:szCs w:val="24"/>
          <w:lang w:val="en-GB"/>
        </w:rPr>
        <w:t xml:space="preserve"> - Five pillars of the BSG Programme</w:t>
      </w:r>
    </w:p>
    <w:p w14:paraId="05E48875" w14:textId="635912CA" w:rsidR="006944F8" w:rsidRPr="00A94875" w:rsidRDefault="00D64AF8" w:rsidP="006944F8">
      <w:pPr>
        <w:pStyle w:val="Heading2"/>
        <w:rPr>
          <w:rFonts w:asciiTheme="majorBidi" w:hAnsiTheme="majorBidi" w:cstheme="majorBidi"/>
          <w:lang w:val="en-GB"/>
        </w:rPr>
      </w:pPr>
      <w:bookmarkStart w:id="116" w:name="_Toc462664261"/>
      <w:bookmarkStart w:id="117" w:name="_Toc480527847"/>
      <w:bookmarkStart w:id="118" w:name="_Toc530571868"/>
      <w:r w:rsidRPr="00A94875">
        <w:rPr>
          <w:rFonts w:asciiTheme="majorBidi" w:hAnsiTheme="majorBidi" w:cstheme="majorBidi"/>
          <w:lang w:val="en-GB"/>
        </w:rPr>
        <w:t>7</w:t>
      </w:r>
      <w:r w:rsidR="006944F8" w:rsidRPr="00A94875">
        <w:rPr>
          <w:rFonts w:asciiTheme="majorBidi" w:hAnsiTheme="majorBidi" w:cstheme="majorBidi"/>
          <w:lang w:val="en-GB"/>
        </w:rPr>
        <w:t>.1</w:t>
      </w:r>
      <w:r w:rsidR="006944F8" w:rsidRPr="00A94875">
        <w:rPr>
          <w:rFonts w:asciiTheme="majorBidi" w:hAnsiTheme="majorBidi" w:cstheme="majorBidi"/>
          <w:lang w:val="en-GB"/>
        </w:rPr>
        <w:tab/>
      </w:r>
      <w:bookmarkEnd w:id="116"/>
      <w:r w:rsidR="006944F8" w:rsidRPr="00A94875">
        <w:rPr>
          <w:rFonts w:asciiTheme="majorBidi" w:hAnsiTheme="majorBidi" w:cstheme="majorBidi"/>
          <w:lang w:val="en-GB"/>
        </w:rPr>
        <w:t>BSG hands-on training sessions</w:t>
      </w:r>
      <w:bookmarkEnd w:id="117"/>
      <w:bookmarkEnd w:id="118"/>
    </w:p>
    <w:p w14:paraId="2B53A149" w14:textId="1455E191" w:rsidR="006944F8" w:rsidRPr="00A94875" w:rsidRDefault="006944F8" w:rsidP="009E5FFA">
      <w:pPr>
        <w:rPr>
          <w:lang w:val="en-GB"/>
        </w:rPr>
      </w:pPr>
      <w:r w:rsidRPr="00A94875">
        <w:rPr>
          <w:lang w:val="en-GB"/>
        </w:rPr>
        <w:t xml:space="preserve">ITU-T has introduced the new ‘BSG Hands-On Study Group effectiveness training’ </w:t>
      </w:r>
      <w:r w:rsidR="00E95E52" w:rsidRPr="00A94875">
        <w:rPr>
          <w:lang w:val="en-GB"/>
        </w:rPr>
        <w:t xml:space="preserve">in response to WTSA </w:t>
      </w:r>
      <w:r w:rsidRPr="00A94875">
        <w:rPr>
          <w:lang w:val="en-GB"/>
        </w:rPr>
        <w:t>Resolution 44</w:t>
      </w:r>
      <w:r w:rsidR="00E95E52" w:rsidRPr="00A94875">
        <w:rPr>
          <w:lang w:val="en-GB"/>
        </w:rPr>
        <w:t xml:space="preserve">. </w:t>
      </w:r>
      <w:r w:rsidRPr="00A94875">
        <w:rPr>
          <w:lang w:val="en-GB"/>
        </w:rPr>
        <w:t>The training focuses on the development of practical skills to maximize the effectiveness of developing countries' participation in the ITU-T standardization process, covering topics including strategies for participation in study groups, drafting contributions to meetings, presenting proposals, collaborative working methods and building consensus.</w:t>
      </w:r>
    </w:p>
    <w:p w14:paraId="425F2A83" w14:textId="77777777" w:rsidR="006944F8" w:rsidRPr="00A94875" w:rsidRDefault="006944F8" w:rsidP="006944F8">
      <w:pPr>
        <w:keepNext/>
        <w:jc w:val="center"/>
        <w:rPr>
          <w:lang w:val="en-GB"/>
        </w:rPr>
      </w:pPr>
      <w:r w:rsidRPr="00A94875">
        <w:rPr>
          <w:noProof/>
          <w:lang w:val="en-GB"/>
        </w:rPr>
        <w:drawing>
          <wp:inline distT="0" distB="0" distL="0" distR="0" wp14:anchorId="330CD2A1" wp14:editId="0DF94B00">
            <wp:extent cx="4798771" cy="1232177"/>
            <wp:effectExtent l="0" t="0" r="1905"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4816994" cy="1236856"/>
                    </a:xfrm>
                    <a:prstGeom prst="rect">
                      <a:avLst/>
                    </a:prstGeom>
                    <a:noFill/>
                  </pic:spPr>
                </pic:pic>
              </a:graphicData>
            </a:graphic>
          </wp:inline>
        </w:drawing>
      </w:r>
    </w:p>
    <w:p w14:paraId="57EEB7E2" w14:textId="77777777" w:rsidR="006944F8" w:rsidRPr="00A94875" w:rsidRDefault="006944F8" w:rsidP="006944F8">
      <w:pPr>
        <w:pStyle w:val="Caption"/>
        <w:jc w:val="center"/>
        <w:rPr>
          <w:rFonts w:asciiTheme="majorBidi" w:hAnsiTheme="majorBidi" w:cstheme="majorBidi"/>
          <w:sz w:val="24"/>
          <w:szCs w:val="24"/>
          <w:lang w:val="en-GB"/>
        </w:rPr>
      </w:pPr>
      <w:r w:rsidRPr="00A94875">
        <w:rPr>
          <w:rFonts w:asciiTheme="majorBidi" w:hAnsiTheme="majorBidi" w:cstheme="majorBidi"/>
          <w:sz w:val="24"/>
          <w:szCs w:val="24"/>
          <w:lang w:val="en-GB"/>
        </w:rPr>
        <w:t xml:space="preserve">Figure </w:t>
      </w:r>
      <w:proofErr w:type="gramStart"/>
      <w:r w:rsidRPr="00A94875">
        <w:rPr>
          <w:rFonts w:asciiTheme="majorBidi" w:hAnsiTheme="majorBidi" w:cstheme="majorBidi"/>
          <w:sz w:val="24"/>
          <w:szCs w:val="24"/>
          <w:lang w:val="en-GB"/>
        </w:rPr>
        <w:t>1</w:t>
      </w:r>
      <w:proofErr w:type="gramEnd"/>
      <w:r w:rsidRPr="00A94875">
        <w:rPr>
          <w:rFonts w:asciiTheme="majorBidi" w:hAnsiTheme="majorBidi" w:cstheme="majorBidi"/>
          <w:sz w:val="24"/>
          <w:szCs w:val="24"/>
          <w:lang w:val="en-GB"/>
        </w:rPr>
        <w:t xml:space="preserve"> – Key Statistics on hands-on capacity-building training sessions</w:t>
      </w:r>
    </w:p>
    <w:p w14:paraId="7C114033" w14:textId="3DBB40BB" w:rsidR="006944F8" w:rsidRPr="00A94875" w:rsidRDefault="00D64AF8" w:rsidP="006944F8">
      <w:pPr>
        <w:pStyle w:val="Heading2"/>
        <w:rPr>
          <w:rFonts w:asciiTheme="majorBidi" w:hAnsiTheme="majorBidi" w:cstheme="majorBidi"/>
          <w:lang w:val="en-GB"/>
        </w:rPr>
      </w:pPr>
      <w:bookmarkStart w:id="119" w:name="_Toc480527848"/>
      <w:bookmarkStart w:id="120" w:name="_Toc530571869"/>
      <w:r w:rsidRPr="00A94875">
        <w:rPr>
          <w:rFonts w:asciiTheme="majorBidi" w:hAnsiTheme="majorBidi" w:cstheme="majorBidi"/>
          <w:lang w:val="en-GB"/>
        </w:rPr>
        <w:t>7</w:t>
      </w:r>
      <w:r w:rsidR="006944F8" w:rsidRPr="00A94875">
        <w:rPr>
          <w:rFonts w:asciiTheme="majorBidi" w:hAnsiTheme="majorBidi" w:cstheme="majorBidi"/>
          <w:lang w:val="en-GB"/>
        </w:rPr>
        <w:t>.2</w:t>
      </w:r>
      <w:r w:rsidR="006944F8" w:rsidRPr="00A94875">
        <w:rPr>
          <w:rFonts w:asciiTheme="majorBidi" w:hAnsiTheme="majorBidi" w:cstheme="majorBidi"/>
          <w:lang w:val="en-GB"/>
        </w:rPr>
        <w:tab/>
        <w:t>Regional Groups</w:t>
      </w:r>
      <w:bookmarkEnd w:id="119"/>
      <w:bookmarkEnd w:id="120"/>
    </w:p>
    <w:p w14:paraId="3CD8E255" w14:textId="77777777" w:rsidR="006944F8" w:rsidRPr="00A94875" w:rsidRDefault="006944F8" w:rsidP="006944F8">
      <w:pPr>
        <w:rPr>
          <w:rFonts w:asciiTheme="majorBidi" w:hAnsiTheme="majorBidi" w:cstheme="majorBidi"/>
          <w:szCs w:val="24"/>
          <w:lang w:val="en-GB"/>
        </w:rPr>
      </w:pPr>
      <w:bookmarkStart w:id="121" w:name="_Toc480527849"/>
      <w:r w:rsidRPr="00A94875">
        <w:rPr>
          <w:rFonts w:asciiTheme="majorBidi" w:hAnsiTheme="majorBidi" w:cstheme="majorBidi"/>
          <w:lang w:val="en-GB"/>
        </w:rPr>
        <w:t>Regional Groups within ITU-T Study Groups have proven effective mechanisms to coordinate regional contributions to ITU and increase the number and quality of technical contributions from developing countries.</w:t>
      </w:r>
    </w:p>
    <w:p w14:paraId="676FAFD1" w14:textId="77777777" w:rsidR="006944F8" w:rsidRPr="00A94875" w:rsidRDefault="006944F8" w:rsidP="006944F8">
      <w:pPr>
        <w:tabs>
          <w:tab w:val="clear" w:pos="794"/>
          <w:tab w:val="clear" w:pos="1191"/>
          <w:tab w:val="clear" w:pos="1588"/>
          <w:tab w:val="clear" w:pos="1985"/>
          <w:tab w:val="left" w:pos="1134"/>
          <w:tab w:val="left" w:pos="1871"/>
          <w:tab w:val="left" w:pos="2268"/>
        </w:tabs>
        <w:rPr>
          <w:rFonts w:asciiTheme="majorBidi" w:hAnsiTheme="majorBidi" w:cstheme="majorBidi"/>
          <w:lang w:val="en-GB"/>
        </w:rPr>
      </w:pPr>
      <w:r w:rsidRPr="00A94875">
        <w:rPr>
          <w:rFonts w:asciiTheme="majorBidi" w:hAnsiTheme="majorBidi" w:cstheme="majorBidi"/>
          <w:lang w:val="en-GB"/>
        </w:rPr>
        <w:t>Participation in Regional Group meetings continues to increase, with more than 520 delegates participating in 2018, compared to just over 300 in 2016.</w:t>
      </w:r>
    </w:p>
    <w:p w14:paraId="42B8D611" w14:textId="31325F0E" w:rsidR="006944F8" w:rsidRPr="00A94875" w:rsidRDefault="006944F8" w:rsidP="006944F8">
      <w:pPr>
        <w:tabs>
          <w:tab w:val="clear" w:pos="794"/>
          <w:tab w:val="clear" w:pos="1191"/>
          <w:tab w:val="clear" w:pos="1588"/>
          <w:tab w:val="clear" w:pos="1985"/>
          <w:tab w:val="left" w:pos="1134"/>
          <w:tab w:val="left" w:pos="1871"/>
          <w:tab w:val="left" w:pos="2268"/>
        </w:tabs>
        <w:rPr>
          <w:rFonts w:asciiTheme="majorBidi" w:hAnsiTheme="majorBidi" w:cstheme="majorBidi"/>
          <w:lang w:val="en-GB"/>
        </w:rPr>
      </w:pPr>
      <w:r w:rsidRPr="00A94875">
        <w:rPr>
          <w:b/>
          <w:bCs/>
          <w:noProof/>
          <w:lang w:val="en-GB"/>
        </w:rPr>
        <w:drawing>
          <wp:anchor distT="0" distB="0" distL="114300" distR="114300" simplePos="0" relativeHeight="251659264" behindDoc="1" locked="0" layoutInCell="1" allowOverlap="1" wp14:anchorId="2FBEF0AE" wp14:editId="4B240718">
            <wp:simplePos x="0" y="0"/>
            <wp:positionH relativeFrom="column">
              <wp:posOffset>4726940</wp:posOffset>
            </wp:positionH>
            <wp:positionV relativeFrom="paragraph">
              <wp:posOffset>45229</wp:posOffset>
            </wp:positionV>
            <wp:extent cx="1059815" cy="552450"/>
            <wp:effectExtent l="95250" t="95250" r="83185" b="133350"/>
            <wp:wrapTight wrapText="bothSides">
              <wp:wrapPolygon edited="0">
                <wp:start x="-777" y="-3724"/>
                <wp:lineTo x="-1941" y="-2234"/>
                <wp:lineTo x="-1941" y="21600"/>
                <wp:lineTo x="-1165" y="26069"/>
                <wp:lineTo x="22131" y="26069"/>
                <wp:lineTo x="22519" y="24579"/>
                <wp:lineTo x="22907" y="9683"/>
                <wp:lineTo x="21742" y="-1490"/>
                <wp:lineTo x="21742" y="-3724"/>
                <wp:lineTo x="-777" y="-3724"/>
              </wp:wrapPolygon>
            </wp:wrapTight>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rotWithShape="1">
                    <a:blip r:embed="rId86"/>
                    <a:srcRect l="49362"/>
                    <a:stretch/>
                  </pic:blipFill>
                  <pic:spPr>
                    <a:xfrm>
                      <a:off x="0" y="0"/>
                      <a:ext cx="1059815" cy="552450"/>
                    </a:xfrm>
                    <a:prstGeom prst="rect">
                      <a:avLst/>
                    </a:prstGeom>
                    <a:solidFill>
                      <a:srgbClr val="FFFFFF">
                        <a:shade val="85000"/>
                      </a:srgbClr>
                    </a:solidFill>
                    <a:ln w="3175"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A94875">
        <w:rPr>
          <w:rFonts w:asciiTheme="majorBidi" w:hAnsiTheme="majorBidi" w:cstheme="majorBidi"/>
          <w:lang w:val="en-GB"/>
        </w:rPr>
        <w:t>In 2018, ITU celebrates 50 years of the existence of ITU-T Regional Groups. The first four Regional Groups under ITU-T S</w:t>
      </w:r>
      <w:r w:rsidR="00E95E52" w:rsidRPr="00A94875">
        <w:rPr>
          <w:rFonts w:asciiTheme="majorBidi" w:hAnsiTheme="majorBidi" w:cstheme="majorBidi"/>
          <w:lang w:val="en-GB"/>
        </w:rPr>
        <w:t xml:space="preserve">tudy </w:t>
      </w:r>
      <w:r w:rsidRPr="00A94875">
        <w:rPr>
          <w:rFonts w:asciiTheme="majorBidi" w:hAnsiTheme="majorBidi" w:cstheme="majorBidi"/>
          <w:lang w:val="en-GB"/>
        </w:rPr>
        <w:t>G</w:t>
      </w:r>
      <w:r w:rsidR="00E95E52" w:rsidRPr="00A94875">
        <w:rPr>
          <w:rFonts w:asciiTheme="majorBidi" w:hAnsiTheme="majorBidi" w:cstheme="majorBidi"/>
          <w:lang w:val="en-GB"/>
        </w:rPr>
        <w:t xml:space="preserve">roup </w:t>
      </w:r>
      <w:r w:rsidRPr="00A94875">
        <w:rPr>
          <w:rFonts w:asciiTheme="majorBidi" w:hAnsiTheme="majorBidi" w:cstheme="majorBidi"/>
          <w:lang w:val="en-GB"/>
        </w:rPr>
        <w:t xml:space="preserve">3 were established in 1968 by the </w:t>
      </w:r>
      <w:proofErr w:type="gramStart"/>
      <w:r w:rsidRPr="00A94875">
        <w:rPr>
          <w:rFonts w:asciiTheme="majorBidi" w:hAnsiTheme="majorBidi" w:cstheme="majorBidi"/>
          <w:lang w:val="en-GB"/>
        </w:rPr>
        <w:t>4th</w:t>
      </w:r>
      <w:proofErr w:type="gramEnd"/>
      <w:r w:rsidRPr="00A94875">
        <w:rPr>
          <w:rFonts w:asciiTheme="majorBidi" w:hAnsiTheme="majorBidi" w:cstheme="majorBidi"/>
          <w:lang w:val="en-GB"/>
        </w:rPr>
        <w:t xml:space="preserve"> Plenary Assembly of CCITT.</w:t>
      </w:r>
    </w:p>
    <w:p w14:paraId="47F92EA8" w14:textId="00F55A03" w:rsidR="006944F8" w:rsidRPr="00A94875" w:rsidRDefault="006944F8" w:rsidP="009E5FFA">
      <w:pPr>
        <w:tabs>
          <w:tab w:val="clear" w:pos="794"/>
          <w:tab w:val="clear" w:pos="1191"/>
          <w:tab w:val="clear" w:pos="1588"/>
          <w:tab w:val="clear" w:pos="1985"/>
          <w:tab w:val="left" w:pos="1134"/>
          <w:tab w:val="left" w:pos="1871"/>
          <w:tab w:val="left" w:pos="2268"/>
        </w:tabs>
        <w:spacing w:line="276" w:lineRule="auto"/>
        <w:rPr>
          <w:rFonts w:asciiTheme="majorBidi" w:hAnsiTheme="majorBidi" w:cstheme="majorBidi"/>
          <w:szCs w:val="24"/>
          <w:lang w:val="en-GB"/>
        </w:rPr>
      </w:pPr>
      <w:r w:rsidRPr="00A94875">
        <w:rPr>
          <w:rFonts w:asciiTheme="majorBidi" w:hAnsiTheme="majorBidi" w:cstheme="majorBidi"/>
          <w:szCs w:val="24"/>
          <w:lang w:val="en-GB"/>
        </w:rPr>
        <w:t xml:space="preserve">Since February 2018, 15 Regional </w:t>
      </w:r>
      <w:r w:rsidR="00E95E52" w:rsidRPr="00A94875">
        <w:rPr>
          <w:rFonts w:asciiTheme="majorBidi" w:hAnsiTheme="majorBidi" w:cstheme="majorBidi"/>
          <w:szCs w:val="24"/>
          <w:lang w:val="en-GB"/>
        </w:rPr>
        <w:t>G</w:t>
      </w:r>
      <w:r w:rsidRPr="00A94875">
        <w:rPr>
          <w:rFonts w:asciiTheme="majorBidi" w:hAnsiTheme="majorBidi" w:cstheme="majorBidi"/>
          <w:szCs w:val="24"/>
          <w:lang w:val="en-GB"/>
        </w:rPr>
        <w:t xml:space="preserve">roups </w:t>
      </w:r>
      <w:r w:rsidR="00E95E52" w:rsidRPr="00A94875">
        <w:rPr>
          <w:rFonts w:asciiTheme="majorBidi" w:hAnsiTheme="majorBidi" w:cstheme="majorBidi"/>
          <w:szCs w:val="24"/>
          <w:lang w:val="en-GB"/>
        </w:rPr>
        <w:t xml:space="preserve">have </w:t>
      </w:r>
      <w:r w:rsidRPr="00A94875">
        <w:rPr>
          <w:rFonts w:asciiTheme="majorBidi" w:hAnsiTheme="majorBidi" w:cstheme="majorBidi"/>
          <w:szCs w:val="24"/>
          <w:lang w:val="en-GB"/>
        </w:rPr>
        <w:t>held meetings:</w:t>
      </w:r>
    </w:p>
    <w:p w14:paraId="3D7FACC3" w14:textId="77777777" w:rsidR="006944F8" w:rsidRPr="00A94875" w:rsidRDefault="006944F8" w:rsidP="009261B2">
      <w:pPr>
        <w:pStyle w:val="ListParagraph"/>
        <w:numPr>
          <w:ilvl w:val="0"/>
          <w:numId w:val="27"/>
        </w:numPr>
        <w:spacing w:line="276" w:lineRule="auto"/>
        <w:rPr>
          <w:rFonts w:asciiTheme="majorBidi" w:hAnsiTheme="majorBidi" w:cstheme="majorBidi"/>
          <w:szCs w:val="24"/>
          <w:lang w:val="en-GB"/>
        </w:rPr>
      </w:pPr>
      <w:r w:rsidRPr="00A94875">
        <w:rPr>
          <w:rFonts w:asciiTheme="majorBidi" w:hAnsiTheme="majorBidi" w:cstheme="majorBidi"/>
          <w:sz w:val="24"/>
          <w:szCs w:val="24"/>
          <w:lang w:val="en-GB"/>
        </w:rPr>
        <w:t>Seven in Africa (Study Groups 2, 3, 5, 11, 12, 13, and 20)</w:t>
      </w:r>
    </w:p>
    <w:p w14:paraId="6613847D" w14:textId="77777777" w:rsidR="006944F8" w:rsidRPr="00A94875" w:rsidRDefault="006944F8" w:rsidP="009261B2">
      <w:pPr>
        <w:pStyle w:val="ListParagraph"/>
        <w:numPr>
          <w:ilvl w:val="0"/>
          <w:numId w:val="27"/>
        </w:numPr>
        <w:spacing w:line="276" w:lineRule="auto"/>
        <w:rPr>
          <w:rFonts w:asciiTheme="majorBidi" w:hAnsiTheme="majorBidi" w:cstheme="majorBidi"/>
          <w:szCs w:val="24"/>
          <w:lang w:val="en-GB"/>
        </w:rPr>
      </w:pPr>
      <w:r w:rsidRPr="00A94875">
        <w:rPr>
          <w:rFonts w:asciiTheme="majorBidi" w:hAnsiTheme="majorBidi" w:cstheme="majorBidi"/>
          <w:sz w:val="24"/>
          <w:szCs w:val="24"/>
          <w:lang w:val="en-GB"/>
        </w:rPr>
        <w:t>Two for the Americas (Study Groups 5 and 20)</w:t>
      </w:r>
    </w:p>
    <w:p w14:paraId="15CE8C79" w14:textId="77777777" w:rsidR="006944F8" w:rsidRPr="00A94875" w:rsidRDefault="006944F8" w:rsidP="009261B2">
      <w:pPr>
        <w:pStyle w:val="ListParagraph"/>
        <w:numPr>
          <w:ilvl w:val="0"/>
          <w:numId w:val="27"/>
        </w:numPr>
        <w:spacing w:line="276" w:lineRule="auto"/>
        <w:rPr>
          <w:rFonts w:asciiTheme="majorBidi" w:hAnsiTheme="majorBidi" w:cstheme="majorBidi"/>
          <w:szCs w:val="24"/>
          <w:lang w:val="en-GB"/>
        </w:rPr>
      </w:pPr>
      <w:r w:rsidRPr="00A94875">
        <w:rPr>
          <w:rFonts w:asciiTheme="majorBidi" w:hAnsiTheme="majorBidi" w:cstheme="majorBidi"/>
          <w:sz w:val="24"/>
          <w:szCs w:val="24"/>
          <w:lang w:val="en-GB"/>
        </w:rPr>
        <w:t>Four for the Arab States (Study Groups 2, 5, 17 and 20)</w:t>
      </w:r>
    </w:p>
    <w:p w14:paraId="2FEFC85D" w14:textId="77777777" w:rsidR="006944F8" w:rsidRPr="00A94875" w:rsidRDefault="006944F8" w:rsidP="009261B2">
      <w:pPr>
        <w:pStyle w:val="ListParagraph"/>
        <w:numPr>
          <w:ilvl w:val="0"/>
          <w:numId w:val="27"/>
        </w:numPr>
        <w:spacing w:line="276" w:lineRule="auto"/>
        <w:rPr>
          <w:rFonts w:asciiTheme="majorBidi" w:hAnsiTheme="majorBidi" w:cstheme="majorBidi"/>
          <w:szCs w:val="24"/>
          <w:lang w:val="en-GB"/>
        </w:rPr>
      </w:pPr>
      <w:r w:rsidRPr="00A94875">
        <w:rPr>
          <w:rFonts w:asciiTheme="majorBidi" w:hAnsiTheme="majorBidi" w:cstheme="majorBidi"/>
          <w:sz w:val="24"/>
          <w:szCs w:val="24"/>
          <w:lang w:val="en-GB"/>
        </w:rPr>
        <w:t>Two for Asia and the Pacific (Study Groups 3 and 5)</w:t>
      </w:r>
    </w:p>
    <w:p w14:paraId="1CE6596D" w14:textId="77777777" w:rsidR="006944F8" w:rsidRPr="00A94875" w:rsidRDefault="006944F8" w:rsidP="009261B2">
      <w:pPr>
        <w:pStyle w:val="ListParagraph"/>
        <w:numPr>
          <w:ilvl w:val="0"/>
          <w:numId w:val="27"/>
        </w:numPr>
        <w:spacing w:line="276" w:lineRule="auto"/>
        <w:rPr>
          <w:rFonts w:asciiTheme="majorBidi" w:hAnsiTheme="majorBidi" w:cstheme="majorBidi"/>
          <w:szCs w:val="24"/>
          <w:lang w:val="en-GB"/>
        </w:rPr>
      </w:pPr>
      <w:r w:rsidRPr="00A94875">
        <w:rPr>
          <w:rFonts w:asciiTheme="majorBidi" w:hAnsiTheme="majorBidi" w:cstheme="majorBidi"/>
          <w:sz w:val="24"/>
          <w:szCs w:val="24"/>
          <w:lang w:val="en-GB"/>
        </w:rPr>
        <w:t>Two for Eastern Europe, Central Asia and Transcaucasia (Study Groups 11 and 20).</w:t>
      </w:r>
    </w:p>
    <w:p w14:paraId="4C016292" w14:textId="5F8AC5C2" w:rsidR="006944F8" w:rsidRPr="00A94875" w:rsidRDefault="00D64AF8" w:rsidP="006944F8">
      <w:pPr>
        <w:pStyle w:val="Heading2"/>
        <w:rPr>
          <w:rFonts w:asciiTheme="majorBidi" w:hAnsiTheme="majorBidi" w:cstheme="majorBidi"/>
          <w:lang w:val="en-GB"/>
        </w:rPr>
      </w:pPr>
      <w:bookmarkStart w:id="122" w:name="_Toc530571870"/>
      <w:r w:rsidRPr="00A94875">
        <w:rPr>
          <w:rFonts w:asciiTheme="majorBidi" w:hAnsiTheme="majorBidi" w:cstheme="majorBidi"/>
          <w:lang w:val="en-GB"/>
        </w:rPr>
        <w:lastRenderedPageBreak/>
        <w:t>7</w:t>
      </w:r>
      <w:r w:rsidR="006944F8" w:rsidRPr="00A94875">
        <w:rPr>
          <w:rFonts w:asciiTheme="majorBidi" w:hAnsiTheme="majorBidi" w:cstheme="majorBidi"/>
          <w:lang w:val="en-GB"/>
        </w:rPr>
        <w:t>.3</w:t>
      </w:r>
      <w:r w:rsidR="006944F8" w:rsidRPr="00A94875">
        <w:rPr>
          <w:rFonts w:asciiTheme="majorBidi" w:hAnsiTheme="majorBidi" w:cstheme="majorBidi"/>
          <w:lang w:val="en-GB"/>
        </w:rPr>
        <w:tab/>
      </w:r>
      <w:r w:rsidRPr="00A94875">
        <w:rPr>
          <w:rFonts w:asciiTheme="majorBidi" w:hAnsiTheme="majorBidi" w:cstheme="majorBidi"/>
          <w:lang w:val="en-GB"/>
        </w:rPr>
        <w:t xml:space="preserve">Regional </w:t>
      </w:r>
      <w:r w:rsidR="006944F8" w:rsidRPr="00A94875">
        <w:rPr>
          <w:rFonts w:asciiTheme="majorBidi" w:hAnsiTheme="majorBidi" w:cstheme="majorBidi"/>
          <w:lang w:val="en-GB"/>
        </w:rPr>
        <w:t>Standardization Forums</w:t>
      </w:r>
      <w:bookmarkEnd w:id="121"/>
      <w:bookmarkEnd w:id="122"/>
    </w:p>
    <w:p w14:paraId="6C2F48D0" w14:textId="1A63B852" w:rsidR="006944F8" w:rsidRPr="00A94875" w:rsidRDefault="006944F8" w:rsidP="006944F8">
      <w:pPr>
        <w:rPr>
          <w:lang w:val="en-GB"/>
        </w:rPr>
      </w:pPr>
      <w:r w:rsidRPr="00A94875">
        <w:rPr>
          <w:lang w:val="en-GB"/>
        </w:rPr>
        <w:t xml:space="preserve">Regional Standardization Forums </w:t>
      </w:r>
      <w:r w:rsidR="00A74E8B" w:rsidRPr="00A94875">
        <w:rPr>
          <w:lang w:val="en-GB"/>
        </w:rPr>
        <w:t xml:space="preserve">(RSFs) </w:t>
      </w:r>
      <w:r w:rsidRPr="00A94875">
        <w:rPr>
          <w:lang w:val="en-GB"/>
        </w:rPr>
        <w:t xml:space="preserve">provide tutorials on ITU-T working methods as well as more </w:t>
      </w:r>
      <w:proofErr w:type="gramStart"/>
      <w:r w:rsidRPr="00A94875">
        <w:rPr>
          <w:lang w:val="en-GB"/>
        </w:rPr>
        <w:t>technically-oriented</w:t>
      </w:r>
      <w:proofErr w:type="gramEnd"/>
      <w:r w:rsidRPr="00A94875">
        <w:rPr>
          <w:lang w:val="en-GB"/>
        </w:rPr>
        <w:t xml:space="preserve"> themes such as human exposure to EMF, quality of service, smart water management, international mobile roaming, mobile financial services, digital identity, big data, and security and trust.</w:t>
      </w:r>
    </w:p>
    <w:p w14:paraId="696FDA3E" w14:textId="1FE3B841" w:rsidR="00A74E8B" w:rsidRPr="00A94875" w:rsidRDefault="006944F8" w:rsidP="0033393D">
      <w:pPr>
        <w:rPr>
          <w:lang w:val="en-GB"/>
        </w:rPr>
      </w:pPr>
      <w:r w:rsidRPr="00A94875">
        <w:rPr>
          <w:lang w:val="en-GB"/>
        </w:rPr>
        <w:t>R</w:t>
      </w:r>
      <w:r w:rsidR="00A74E8B" w:rsidRPr="00A94875">
        <w:rPr>
          <w:lang w:val="en-GB"/>
        </w:rPr>
        <w:t xml:space="preserve">SFs </w:t>
      </w:r>
      <w:proofErr w:type="gramStart"/>
      <w:r w:rsidR="00A74E8B" w:rsidRPr="00A94875">
        <w:rPr>
          <w:lang w:val="en-GB"/>
        </w:rPr>
        <w:t>are being held</w:t>
      </w:r>
      <w:proofErr w:type="gramEnd"/>
      <w:r w:rsidR="00A74E8B" w:rsidRPr="00A94875">
        <w:rPr>
          <w:lang w:val="en-GB"/>
        </w:rPr>
        <w:t xml:space="preserve"> in conjunction with meetings Regional Groups to improve the alignment of RSF discussions and the </w:t>
      </w:r>
      <w:r w:rsidRPr="00A94875">
        <w:rPr>
          <w:lang w:val="en-GB"/>
        </w:rPr>
        <w:t xml:space="preserve">priorities of ITU-T </w:t>
      </w:r>
      <w:r w:rsidR="00A74E8B" w:rsidRPr="00A94875">
        <w:rPr>
          <w:lang w:val="en-GB"/>
        </w:rPr>
        <w:t>S</w:t>
      </w:r>
      <w:r w:rsidRPr="00A94875">
        <w:rPr>
          <w:lang w:val="en-GB"/>
        </w:rPr>
        <w:t xml:space="preserve">tudy </w:t>
      </w:r>
      <w:r w:rsidR="00A74E8B" w:rsidRPr="00A94875">
        <w:rPr>
          <w:lang w:val="en-GB"/>
        </w:rPr>
        <w:t>G</w:t>
      </w:r>
      <w:r w:rsidRPr="00A94875">
        <w:rPr>
          <w:lang w:val="en-GB"/>
        </w:rPr>
        <w:t xml:space="preserve">roups, </w:t>
      </w:r>
      <w:r w:rsidR="00A74E8B" w:rsidRPr="00A94875">
        <w:rPr>
          <w:lang w:val="en-GB"/>
        </w:rPr>
        <w:t xml:space="preserve">being </w:t>
      </w:r>
      <w:r w:rsidRPr="00A94875">
        <w:rPr>
          <w:lang w:val="en-GB"/>
        </w:rPr>
        <w:t xml:space="preserve">held in coordination with </w:t>
      </w:r>
      <w:r w:rsidR="00A74E8B" w:rsidRPr="00A94875">
        <w:rPr>
          <w:lang w:val="en-GB"/>
        </w:rPr>
        <w:t>R</w:t>
      </w:r>
      <w:r w:rsidRPr="00A94875">
        <w:rPr>
          <w:lang w:val="en-GB"/>
        </w:rPr>
        <w:t>egional</w:t>
      </w:r>
      <w:r w:rsidR="00A74E8B" w:rsidRPr="00A94875">
        <w:rPr>
          <w:lang w:val="en-GB"/>
        </w:rPr>
        <w:t xml:space="preserve"> G</w:t>
      </w:r>
      <w:r w:rsidRPr="00A94875">
        <w:rPr>
          <w:lang w:val="en-GB"/>
        </w:rPr>
        <w:t xml:space="preserve">roups. RSFs are also raising awareness of our standards activities through the participation of key decision makers (Prime </w:t>
      </w:r>
      <w:r w:rsidR="00A74E8B" w:rsidRPr="00A94875">
        <w:rPr>
          <w:lang w:val="en-GB"/>
        </w:rPr>
        <w:t>M</w:t>
      </w:r>
      <w:r w:rsidRPr="00A94875">
        <w:rPr>
          <w:lang w:val="en-GB"/>
        </w:rPr>
        <w:t xml:space="preserve">inisters, Ministers, </w:t>
      </w:r>
      <w:r w:rsidR="00A74E8B" w:rsidRPr="00A94875">
        <w:rPr>
          <w:lang w:val="en-GB"/>
        </w:rPr>
        <w:t>H</w:t>
      </w:r>
      <w:r w:rsidRPr="00A94875">
        <w:rPr>
          <w:lang w:val="en-GB"/>
        </w:rPr>
        <w:t>ead</w:t>
      </w:r>
      <w:r w:rsidR="00A74E8B" w:rsidRPr="00A94875">
        <w:rPr>
          <w:lang w:val="en-GB"/>
        </w:rPr>
        <w:t>s</w:t>
      </w:r>
      <w:r w:rsidRPr="00A94875">
        <w:rPr>
          <w:lang w:val="en-GB"/>
        </w:rPr>
        <w:t xml:space="preserve"> of Regulators, C</w:t>
      </w:r>
      <w:r w:rsidR="00A74E8B" w:rsidRPr="00A94875">
        <w:rPr>
          <w:lang w:val="en-GB"/>
        </w:rPr>
        <w:t>E</w:t>
      </w:r>
      <w:r w:rsidRPr="00A94875">
        <w:rPr>
          <w:lang w:val="en-GB"/>
        </w:rPr>
        <w:t>Os</w:t>
      </w:r>
      <w:r w:rsidR="00A74E8B" w:rsidRPr="00A94875">
        <w:rPr>
          <w:lang w:val="en-GB"/>
        </w:rPr>
        <w:t>,</w:t>
      </w:r>
      <w:r w:rsidRPr="00A94875">
        <w:rPr>
          <w:lang w:val="en-GB"/>
        </w:rPr>
        <w:t xml:space="preserve"> etc</w:t>
      </w:r>
      <w:r w:rsidR="00A74E8B" w:rsidRPr="00A94875">
        <w:rPr>
          <w:lang w:val="en-GB"/>
        </w:rPr>
        <w:t>.)</w:t>
      </w:r>
      <w:r w:rsidRPr="00A94875">
        <w:rPr>
          <w:lang w:val="en-GB"/>
        </w:rPr>
        <w:t xml:space="preserve">. </w:t>
      </w:r>
    </w:p>
    <w:p w14:paraId="6D09423B" w14:textId="388F5E4B" w:rsidR="006944F8" w:rsidRPr="00A94875" w:rsidRDefault="006944F8" w:rsidP="009E5FFA">
      <w:pPr>
        <w:rPr>
          <w:lang w:val="en-GB"/>
        </w:rPr>
      </w:pPr>
      <w:r w:rsidRPr="00A94875">
        <w:rPr>
          <w:lang w:val="en-GB"/>
        </w:rPr>
        <w:t>The following</w:t>
      </w:r>
      <w:r w:rsidR="00A74E8B" w:rsidRPr="00A94875">
        <w:rPr>
          <w:lang w:val="en-GB"/>
        </w:rPr>
        <w:t xml:space="preserve"> RSFs</w:t>
      </w:r>
      <w:r w:rsidRPr="00A94875">
        <w:rPr>
          <w:lang w:val="en-GB"/>
        </w:rPr>
        <w:t xml:space="preserve"> </w:t>
      </w:r>
      <w:proofErr w:type="gramStart"/>
      <w:r w:rsidRPr="00A94875">
        <w:rPr>
          <w:lang w:val="en-GB"/>
        </w:rPr>
        <w:t>were held</w:t>
      </w:r>
      <w:proofErr w:type="gramEnd"/>
      <w:r w:rsidRPr="00A94875">
        <w:rPr>
          <w:lang w:val="en-GB"/>
        </w:rPr>
        <w:t xml:space="preserve"> in 2018</w:t>
      </w:r>
      <w:r w:rsidR="00A74E8B" w:rsidRPr="00A94875">
        <w:rPr>
          <w:lang w:val="en-GB"/>
        </w:rPr>
        <w:t>:</w:t>
      </w:r>
    </w:p>
    <w:p w14:paraId="173EB637" w14:textId="77777777" w:rsidR="006944F8" w:rsidRPr="00A94875" w:rsidRDefault="006944F8" w:rsidP="009261B2">
      <w:pPr>
        <w:pStyle w:val="ListParagraph"/>
        <w:numPr>
          <w:ilvl w:val="0"/>
          <w:numId w:val="28"/>
        </w:numPr>
        <w:spacing w:after="200" w:line="276" w:lineRule="auto"/>
        <w:rPr>
          <w:rFonts w:asciiTheme="majorBidi" w:hAnsiTheme="majorBidi" w:cstheme="majorBidi"/>
          <w:sz w:val="24"/>
          <w:szCs w:val="24"/>
          <w:lang w:val="en-GB"/>
        </w:rPr>
      </w:pPr>
      <w:r w:rsidRPr="00A94875">
        <w:rPr>
          <w:rFonts w:asciiTheme="majorBidi" w:hAnsiTheme="majorBidi" w:cstheme="majorBidi"/>
          <w:sz w:val="24"/>
          <w:szCs w:val="24"/>
          <w:lang w:val="en-GB"/>
        </w:rPr>
        <w:t>ITU Regional Standardization Forum on Emerging Economic, Regulatory and Policy Trends in a Fast-Changing Digital World, Kigali, Rwanda, 5 February 2018</w:t>
      </w:r>
    </w:p>
    <w:p w14:paraId="5BE11B4B" w14:textId="77777777" w:rsidR="006944F8" w:rsidRPr="00A94875" w:rsidRDefault="006944F8" w:rsidP="009261B2">
      <w:pPr>
        <w:pStyle w:val="ListParagraph"/>
        <w:numPr>
          <w:ilvl w:val="0"/>
          <w:numId w:val="28"/>
        </w:numPr>
        <w:spacing w:after="200" w:line="276" w:lineRule="auto"/>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ITU Regional Standardization Forum on Emerging Economic, Regulatory and Policy Trends in a Fast-Changing Digital World, </w:t>
      </w:r>
      <w:proofErr w:type="spellStart"/>
      <w:r w:rsidRPr="00A94875">
        <w:rPr>
          <w:rFonts w:asciiTheme="majorBidi" w:hAnsiTheme="majorBidi" w:cstheme="majorBidi"/>
          <w:sz w:val="24"/>
          <w:szCs w:val="24"/>
          <w:lang w:val="en-GB"/>
        </w:rPr>
        <w:t>X’ian</w:t>
      </w:r>
      <w:proofErr w:type="spellEnd"/>
      <w:r w:rsidRPr="00A94875">
        <w:rPr>
          <w:rFonts w:asciiTheme="majorBidi" w:hAnsiTheme="majorBidi" w:cstheme="majorBidi"/>
          <w:sz w:val="24"/>
          <w:szCs w:val="24"/>
          <w:lang w:val="en-GB"/>
        </w:rPr>
        <w:t>, China, 27 August 2018.</w:t>
      </w:r>
    </w:p>
    <w:p w14:paraId="65E0F8BE" w14:textId="699E81BF" w:rsidR="006944F8" w:rsidRPr="00A94875" w:rsidRDefault="00D64AF8" w:rsidP="0033393D">
      <w:pPr>
        <w:pStyle w:val="Heading2"/>
        <w:rPr>
          <w:rFonts w:asciiTheme="majorBidi" w:hAnsiTheme="majorBidi" w:cstheme="majorBidi"/>
          <w:lang w:val="en-GB"/>
        </w:rPr>
      </w:pPr>
      <w:bookmarkStart w:id="123" w:name="_Toc475354525"/>
      <w:bookmarkStart w:id="124" w:name="_Toc480527850"/>
      <w:bookmarkStart w:id="125" w:name="_Toc530571871"/>
      <w:r w:rsidRPr="00A94875">
        <w:rPr>
          <w:rFonts w:asciiTheme="majorBidi" w:hAnsiTheme="majorBidi" w:cstheme="majorBidi"/>
          <w:lang w:val="en-GB"/>
        </w:rPr>
        <w:t>7</w:t>
      </w:r>
      <w:r w:rsidR="006944F8" w:rsidRPr="00A94875">
        <w:rPr>
          <w:rFonts w:asciiTheme="majorBidi" w:hAnsiTheme="majorBidi" w:cstheme="majorBidi"/>
          <w:lang w:val="en-GB"/>
        </w:rPr>
        <w:t>.4</w:t>
      </w:r>
      <w:r w:rsidR="006944F8" w:rsidRPr="00A94875">
        <w:rPr>
          <w:rFonts w:asciiTheme="majorBidi" w:hAnsiTheme="majorBidi" w:cstheme="majorBidi"/>
          <w:lang w:val="en-GB"/>
        </w:rPr>
        <w:tab/>
      </w:r>
      <w:bookmarkStart w:id="126" w:name="_Toc475354527"/>
      <w:bookmarkStart w:id="127" w:name="_Toc480527852"/>
      <w:bookmarkEnd w:id="123"/>
      <w:bookmarkEnd w:id="124"/>
      <w:r w:rsidR="006944F8" w:rsidRPr="00A94875">
        <w:rPr>
          <w:rFonts w:asciiTheme="majorBidi" w:hAnsiTheme="majorBidi" w:cstheme="majorBidi"/>
          <w:lang w:val="en-GB"/>
        </w:rPr>
        <w:t>National Standardization Secretariats</w:t>
      </w:r>
      <w:bookmarkEnd w:id="125"/>
      <w:r w:rsidR="006944F8" w:rsidRPr="00A94875">
        <w:rPr>
          <w:rFonts w:asciiTheme="majorBidi" w:hAnsiTheme="majorBidi" w:cstheme="majorBidi"/>
          <w:lang w:val="en-GB"/>
        </w:rPr>
        <w:t xml:space="preserve"> </w:t>
      </w:r>
    </w:p>
    <w:p w14:paraId="02B36B77" w14:textId="56EFCE6F" w:rsidR="006944F8" w:rsidRPr="00A94875" w:rsidRDefault="006944F8" w:rsidP="009E5FFA">
      <w:pPr>
        <w:keepNext/>
        <w:keepLines/>
        <w:rPr>
          <w:lang w:val="en-GB"/>
        </w:rPr>
      </w:pPr>
      <w:r w:rsidRPr="00A94875">
        <w:rPr>
          <w:rFonts w:asciiTheme="majorBidi" w:hAnsiTheme="majorBidi" w:cstheme="majorBidi"/>
          <w:lang w:val="en-GB"/>
        </w:rPr>
        <w:t xml:space="preserve">ITU-T is finalizing new Guidelines for </w:t>
      </w:r>
      <w:r w:rsidR="00A74E8B" w:rsidRPr="00A94875">
        <w:rPr>
          <w:rFonts w:asciiTheme="majorBidi" w:hAnsiTheme="majorBidi" w:cstheme="majorBidi"/>
          <w:lang w:val="en-GB"/>
        </w:rPr>
        <w:t>National Standardization Secretariats (</w:t>
      </w:r>
      <w:r w:rsidRPr="00A94875">
        <w:rPr>
          <w:rFonts w:asciiTheme="majorBidi" w:hAnsiTheme="majorBidi" w:cstheme="majorBidi"/>
          <w:lang w:val="en-GB"/>
        </w:rPr>
        <w:t>NSS</w:t>
      </w:r>
      <w:r w:rsidR="00A74E8B" w:rsidRPr="00A94875">
        <w:rPr>
          <w:rFonts w:asciiTheme="majorBidi" w:hAnsiTheme="majorBidi" w:cstheme="majorBidi"/>
          <w:lang w:val="en-GB"/>
        </w:rPr>
        <w:t>),</w:t>
      </w:r>
      <w:r w:rsidRPr="00A94875">
        <w:rPr>
          <w:rFonts w:asciiTheme="majorBidi" w:hAnsiTheme="majorBidi" w:cstheme="majorBidi"/>
          <w:lang w:val="en-GB"/>
        </w:rPr>
        <w:t xml:space="preserve"> taking in</w:t>
      </w:r>
      <w:r w:rsidR="007D74A5" w:rsidRPr="00A94875">
        <w:rPr>
          <w:rFonts w:asciiTheme="majorBidi" w:hAnsiTheme="majorBidi" w:cstheme="majorBidi"/>
          <w:lang w:val="en-GB"/>
        </w:rPr>
        <w:t>to</w:t>
      </w:r>
      <w:r w:rsidRPr="00A94875">
        <w:rPr>
          <w:rFonts w:asciiTheme="majorBidi" w:hAnsiTheme="majorBidi" w:cstheme="majorBidi"/>
          <w:lang w:val="en-GB"/>
        </w:rPr>
        <w:t xml:space="preserve"> account the Membership feedback on the </w:t>
      </w:r>
      <w:hyperlink r:id="rId87" w:history="1">
        <w:r w:rsidRPr="00A94875">
          <w:rPr>
            <w:rStyle w:val="Hyperlink"/>
            <w:rFonts w:asciiTheme="majorBidi" w:hAnsiTheme="majorBidi" w:cstheme="majorBidi"/>
            <w:lang w:val="en-GB"/>
          </w:rPr>
          <w:t>"Guidelines on the establishment of a National Standardization Secretariat for ITU-T"</w:t>
        </w:r>
      </w:hyperlink>
      <w:r w:rsidR="007D74A5" w:rsidRPr="00A94875">
        <w:rPr>
          <w:rFonts w:asciiTheme="majorBidi" w:hAnsiTheme="majorBidi" w:cstheme="majorBidi"/>
          <w:lang w:val="en-GB"/>
        </w:rPr>
        <w:t xml:space="preserve"> first </w:t>
      </w:r>
      <w:r w:rsidRPr="00A94875">
        <w:rPr>
          <w:rFonts w:asciiTheme="majorBidi" w:hAnsiTheme="majorBidi" w:cstheme="majorBidi"/>
          <w:lang w:val="en-GB"/>
        </w:rPr>
        <w:t xml:space="preserve">published in 2014. </w:t>
      </w:r>
      <w:r w:rsidRPr="00A94875">
        <w:rPr>
          <w:lang w:val="en-GB"/>
        </w:rPr>
        <w:t>The new Guid</w:t>
      </w:r>
      <w:r w:rsidR="007D74A5" w:rsidRPr="00A94875">
        <w:rPr>
          <w:lang w:val="en-GB"/>
        </w:rPr>
        <w:t>e</w:t>
      </w:r>
      <w:r w:rsidRPr="00A94875">
        <w:rPr>
          <w:lang w:val="en-GB"/>
        </w:rPr>
        <w:t xml:space="preserve">lines set out a number of options for developing national procedures and processes </w:t>
      </w:r>
      <w:r w:rsidR="00A74E8B" w:rsidRPr="00A94875">
        <w:rPr>
          <w:lang w:val="en-GB"/>
        </w:rPr>
        <w:t xml:space="preserve">to support </w:t>
      </w:r>
      <w:r w:rsidRPr="00A94875">
        <w:rPr>
          <w:lang w:val="en-GB"/>
        </w:rPr>
        <w:t>effective participati</w:t>
      </w:r>
      <w:r w:rsidR="00A74E8B" w:rsidRPr="00A94875">
        <w:rPr>
          <w:lang w:val="en-GB"/>
        </w:rPr>
        <w:t>on</w:t>
      </w:r>
      <w:r w:rsidRPr="00A94875">
        <w:rPr>
          <w:lang w:val="en-GB"/>
        </w:rPr>
        <w:t xml:space="preserve"> in the ITU-T</w:t>
      </w:r>
      <w:r w:rsidR="00A74E8B" w:rsidRPr="00A94875">
        <w:rPr>
          <w:lang w:val="en-GB"/>
        </w:rPr>
        <w:t xml:space="preserve"> standards-development process</w:t>
      </w:r>
      <w:r w:rsidRPr="00A94875">
        <w:rPr>
          <w:lang w:val="en-GB"/>
        </w:rPr>
        <w:t>.</w:t>
      </w:r>
    </w:p>
    <w:p w14:paraId="382E70EC" w14:textId="425566B9" w:rsidR="006944F8" w:rsidRPr="00A94875" w:rsidRDefault="006944F8" w:rsidP="009E5FFA">
      <w:pPr>
        <w:rPr>
          <w:lang w:val="en-GB"/>
        </w:rPr>
      </w:pPr>
      <w:r w:rsidRPr="00A94875">
        <w:rPr>
          <w:lang w:val="en-GB"/>
        </w:rPr>
        <w:t xml:space="preserve">The working procedures of ITU-T </w:t>
      </w:r>
      <w:proofErr w:type="gramStart"/>
      <w:r w:rsidRPr="00A94875">
        <w:rPr>
          <w:lang w:val="en-GB"/>
        </w:rPr>
        <w:t>are briefly outlined</w:t>
      </w:r>
      <w:proofErr w:type="gramEnd"/>
      <w:r w:rsidRPr="00A94875">
        <w:rPr>
          <w:lang w:val="en-GB"/>
        </w:rPr>
        <w:t>, together with the benefits of establishing a</w:t>
      </w:r>
      <w:r w:rsidR="00A74E8B" w:rsidRPr="00A94875">
        <w:rPr>
          <w:lang w:val="en-GB"/>
        </w:rPr>
        <w:t xml:space="preserve">n </w:t>
      </w:r>
      <w:r w:rsidRPr="00A94875">
        <w:rPr>
          <w:lang w:val="en-GB"/>
        </w:rPr>
        <w:t>NSS to support effective participation in ITU-T. A</w:t>
      </w:r>
      <w:r w:rsidR="00A74E8B" w:rsidRPr="00A94875">
        <w:rPr>
          <w:lang w:val="en-GB"/>
        </w:rPr>
        <w:t xml:space="preserve">n NSS, </w:t>
      </w:r>
      <w:r w:rsidRPr="00A94875">
        <w:rPr>
          <w:lang w:val="en-GB"/>
        </w:rPr>
        <w:t>as described in this document</w:t>
      </w:r>
      <w:r w:rsidR="00A74E8B" w:rsidRPr="00A94875">
        <w:rPr>
          <w:lang w:val="en-GB"/>
        </w:rPr>
        <w:t xml:space="preserve">, </w:t>
      </w:r>
      <w:r w:rsidRPr="00A94875">
        <w:rPr>
          <w:lang w:val="en-GB"/>
        </w:rPr>
        <w:t>is the full set of arrangements by which participation in and contributions to ITU-T are coordinated within a country</w:t>
      </w:r>
      <w:r w:rsidR="00342279" w:rsidRPr="00A94875">
        <w:rPr>
          <w:lang w:val="en-GB"/>
        </w:rPr>
        <w:t>. These arrangements</w:t>
      </w:r>
      <w:r w:rsidRPr="00A94875">
        <w:rPr>
          <w:lang w:val="en-GB"/>
        </w:rPr>
        <w:t xml:space="preserve"> include an </w:t>
      </w:r>
      <w:r w:rsidR="00342279" w:rsidRPr="00A94875">
        <w:rPr>
          <w:lang w:val="en-GB"/>
        </w:rPr>
        <w:t>“</w:t>
      </w:r>
      <w:r w:rsidRPr="00A94875">
        <w:rPr>
          <w:lang w:val="en-GB"/>
        </w:rPr>
        <w:t>NSS Bureau</w:t>
      </w:r>
      <w:r w:rsidR="00342279" w:rsidRPr="00A94875">
        <w:rPr>
          <w:lang w:val="en-GB"/>
        </w:rPr>
        <w:t xml:space="preserve">” </w:t>
      </w:r>
      <w:r w:rsidRPr="00A94875">
        <w:rPr>
          <w:lang w:val="en-GB"/>
        </w:rPr>
        <w:t>to support these activities.</w:t>
      </w:r>
    </w:p>
    <w:p w14:paraId="68AEEC85" w14:textId="3BC906F0" w:rsidR="006944F8" w:rsidRPr="00A94875" w:rsidRDefault="006944F8" w:rsidP="009E5FFA">
      <w:pPr>
        <w:rPr>
          <w:lang w:val="en-GB"/>
        </w:rPr>
      </w:pPr>
      <w:proofErr w:type="gramStart"/>
      <w:r w:rsidRPr="00A94875">
        <w:rPr>
          <w:lang w:val="en-GB"/>
        </w:rPr>
        <w:t>An extensive set of functions that a</w:t>
      </w:r>
      <w:r w:rsidR="00342279" w:rsidRPr="00A94875">
        <w:rPr>
          <w:lang w:val="en-GB"/>
        </w:rPr>
        <w:t>n NSS</w:t>
      </w:r>
      <w:r w:rsidRPr="00A94875">
        <w:rPr>
          <w:lang w:val="en-GB"/>
        </w:rPr>
        <w:t xml:space="preserve"> could perform are presented</w:t>
      </w:r>
      <w:r w:rsidR="00342279" w:rsidRPr="00A94875">
        <w:rPr>
          <w:lang w:val="en-GB"/>
        </w:rPr>
        <w:t>,</w:t>
      </w:r>
      <w:r w:rsidRPr="00A94875">
        <w:rPr>
          <w:lang w:val="en-GB"/>
        </w:rPr>
        <w:t xml:space="preserve"> </w:t>
      </w:r>
      <w:r w:rsidR="00342279" w:rsidRPr="00A94875">
        <w:rPr>
          <w:lang w:val="en-GB"/>
        </w:rPr>
        <w:t xml:space="preserve">enabling a country to </w:t>
      </w:r>
      <w:r w:rsidRPr="00A94875">
        <w:rPr>
          <w:lang w:val="en-GB"/>
        </w:rPr>
        <w:t>select functions and organizational arrangements in a modular fashion</w:t>
      </w:r>
      <w:r w:rsidR="00342279" w:rsidRPr="00A94875">
        <w:rPr>
          <w:lang w:val="en-GB"/>
        </w:rPr>
        <w:t xml:space="preserve">, </w:t>
      </w:r>
      <w:r w:rsidRPr="00A94875">
        <w:rPr>
          <w:lang w:val="en-GB"/>
        </w:rPr>
        <w:t>considering factors such as its telecommunication standardization policies</w:t>
      </w:r>
      <w:r w:rsidR="00342279" w:rsidRPr="00A94875">
        <w:rPr>
          <w:lang w:val="en-GB"/>
        </w:rPr>
        <w:t>;</w:t>
      </w:r>
      <w:r w:rsidRPr="00A94875">
        <w:rPr>
          <w:lang w:val="en-GB"/>
        </w:rPr>
        <w:t xml:space="preserve"> the number and type of organizations with an interest in telecommunication standardization in the country (e.g. number of service providers, equipment manufacturers and academic </w:t>
      </w:r>
      <w:r w:rsidR="00342279" w:rsidRPr="00A94875">
        <w:rPr>
          <w:lang w:val="en-GB"/>
        </w:rPr>
        <w:t xml:space="preserve">and research </w:t>
      </w:r>
      <w:r w:rsidRPr="00A94875">
        <w:rPr>
          <w:lang w:val="en-GB"/>
        </w:rPr>
        <w:t>institutes)</w:t>
      </w:r>
      <w:r w:rsidR="00342279" w:rsidRPr="00A94875">
        <w:rPr>
          <w:lang w:val="en-GB"/>
        </w:rPr>
        <w:t>;</w:t>
      </w:r>
      <w:r w:rsidRPr="00A94875">
        <w:rPr>
          <w:lang w:val="en-GB"/>
        </w:rPr>
        <w:t xml:space="preserve"> and the level of participation in ITU-T Study Groups (e.g. whether as an initiator of work items, active contributor or observer in</w:t>
      </w:r>
      <w:r w:rsidR="007D74A5" w:rsidRPr="00A94875">
        <w:rPr>
          <w:lang w:val="en-GB"/>
        </w:rPr>
        <w:t xml:space="preserve"> </w:t>
      </w:r>
      <w:r w:rsidRPr="00A94875">
        <w:rPr>
          <w:lang w:val="en-GB"/>
        </w:rPr>
        <w:t xml:space="preserve">one or more </w:t>
      </w:r>
      <w:r w:rsidR="00342279" w:rsidRPr="00A94875">
        <w:rPr>
          <w:lang w:val="en-GB"/>
        </w:rPr>
        <w:t xml:space="preserve">ITU-T </w:t>
      </w:r>
      <w:r w:rsidRPr="00A94875">
        <w:rPr>
          <w:lang w:val="en-GB"/>
        </w:rPr>
        <w:t>Study Groups).</w:t>
      </w:r>
      <w:proofErr w:type="gramEnd"/>
    </w:p>
    <w:p w14:paraId="19B4928B" w14:textId="2A1C0313" w:rsidR="006944F8" w:rsidRPr="00A94875" w:rsidRDefault="00D64AF8" w:rsidP="006944F8">
      <w:pPr>
        <w:pStyle w:val="Heading2"/>
        <w:keepNext w:val="0"/>
        <w:keepLines w:val="0"/>
        <w:rPr>
          <w:rFonts w:asciiTheme="majorBidi" w:hAnsiTheme="majorBidi" w:cstheme="majorBidi"/>
          <w:lang w:val="en-GB"/>
        </w:rPr>
      </w:pPr>
      <w:bookmarkStart w:id="128" w:name="_Toc530571872"/>
      <w:r w:rsidRPr="00A94875">
        <w:rPr>
          <w:rFonts w:asciiTheme="majorBidi" w:hAnsiTheme="majorBidi" w:cstheme="majorBidi"/>
          <w:lang w:val="en-GB"/>
        </w:rPr>
        <w:t>7</w:t>
      </w:r>
      <w:r w:rsidR="006944F8" w:rsidRPr="00A94875">
        <w:rPr>
          <w:rFonts w:asciiTheme="majorBidi" w:hAnsiTheme="majorBidi" w:cstheme="majorBidi"/>
          <w:lang w:val="en-GB"/>
        </w:rPr>
        <w:t>.5</w:t>
      </w:r>
      <w:r w:rsidR="006944F8" w:rsidRPr="00A94875">
        <w:rPr>
          <w:rFonts w:asciiTheme="majorBidi" w:hAnsiTheme="majorBidi" w:cstheme="majorBidi"/>
          <w:lang w:val="en-GB"/>
        </w:rPr>
        <w:tab/>
        <w:t>e-Learning courses</w:t>
      </w:r>
      <w:bookmarkEnd w:id="126"/>
      <w:bookmarkEnd w:id="127"/>
      <w:bookmarkEnd w:id="128"/>
    </w:p>
    <w:p w14:paraId="3F66AB5F" w14:textId="10C82846" w:rsidR="006944F8" w:rsidRPr="00A94875" w:rsidRDefault="00342279" w:rsidP="0033393D">
      <w:pPr>
        <w:rPr>
          <w:rFonts w:asciiTheme="majorBidi" w:eastAsia="SimSun" w:hAnsiTheme="majorBidi" w:cstheme="majorBidi"/>
          <w:color w:val="000000"/>
          <w:szCs w:val="24"/>
          <w:lang w:val="en-GB"/>
        </w:rPr>
      </w:pPr>
      <w:r w:rsidRPr="00A94875">
        <w:rPr>
          <w:rFonts w:asciiTheme="majorBidi" w:eastAsia="SimSun" w:hAnsiTheme="majorBidi" w:cstheme="majorBidi"/>
          <w:color w:val="000000"/>
          <w:szCs w:val="24"/>
          <w:lang w:val="en-GB"/>
        </w:rPr>
        <w:t>O</w:t>
      </w:r>
      <w:r w:rsidR="006944F8" w:rsidRPr="00A94875">
        <w:rPr>
          <w:rFonts w:asciiTheme="majorBidi" w:eastAsia="SimSun" w:hAnsiTheme="majorBidi" w:cstheme="majorBidi"/>
          <w:color w:val="000000"/>
          <w:szCs w:val="24"/>
          <w:lang w:val="en-GB"/>
        </w:rPr>
        <w:t xml:space="preserve">ne of the new </w:t>
      </w:r>
      <w:r w:rsidRPr="00A94875">
        <w:rPr>
          <w:rFonts w:asciiTheme="majorBidi" w:eastAsia="SimSun" w:hAnsiTheme="majorBidi" w:cstheme="majorBidi"/>
          <w:color w:val="000000"/>
          <w:szCs w:val="24"/>
          <w:lang w:val="en-GB"/>
        </w:rPr>
        <w:t xml:space="preserve">BSG </w:t>
      </w:r>
      <w:r w:rsidR="006944F8" w:rsidRPr="00A94875">
        <w:rPr>
          <w:rFonts w:asciiTheme="majorBidi" w:eastAsia="SimSun" w:hAnsiTheme="majorBidi" w:cstheme="majorBidi"/>
          <w:color w:val="000000"/>
          <w:szCs w:val="24"/>
          <w:lang w:val="en-GB"/>
        </w:rPr>
        <w:t xml:space="preserve">measures adopted under </w:t>
      </w:r>
      <w:r w:rsidRPr="00A94875">
        <w:rPr>
          <w:rFonts w:asciiTheme="majorBidi" w:eastAsia="SimSun" w:hAnsiTheme="majorBidi" w:cstheme="majorBidi"/>
          <w:color w:val="000000"/>
          <w:szCs w:val="24"/>
          <w:lang w:val="en-GB"/>
        </w:rPr>
        <w:t xml:space="preserve">WTSA </w:t>
      </w:r>
      <w:r w:rsidR="006944F8" w:rsidRPr="00A94875">
        <w:rPr>
          <w:rFonts w:asciiTheme="majorBidi" w:eastAsia="SimSun" w:hAnsiTheme="majorBidi" w:cstheme="majorBidi"/>
          <w:color w:val="000000"/>
          <w:szCs w:val="24"/>
          <w:lang w:val="en-GB"/>
        </w:rPr>
        <w:t>Resolution 44 was to explor</w:t>
      </w:r>
      <w:r w:rsidRPr="00A94875">
        <w:rPr>
          <w:rFonts w:asciiTheme="majorBidi" w:eastAsia="SimSun" w:hAnsiTheme="majorBidi" w:cstheme="majorBidi"/>
          <w:color w:val="000000"/>
          <w:szCs w:val="24"/>
          <w:lang w:val="en-GB"/>
        </w:rPr>
        <w:t xml:space="preserve">ation of </w:t>
      </w:r>
      <w:r w:rsidR="006944F8" w:rsidRPr="00A94875">
        <w:rPr>
          <w:rFonts w:asciiTheme="majorBidi" w:eastAsia="SimSun" w:hAnsiTheme="majorBidi" w:cstheme="majorBidi"/>
          <w:color w:val="000000"/>
          <w:szCs w:val="24"/>
          <w:lang w:val="en-GB"/>
        </w:rPr>
        <w:t>the use of e-learning channels for training on ITU-T Recommendations.</w:t>
      </w:r>
    </w:p>
    <w:p w14:paraId="60C94349" w14:textId="77777777" w:rsidR="006944F8" w:rsidRPr="00A94875" w:rsidRDefault="006944F8" w:rsidP="006944F8">
      <w:pPr>
        <w:spacing w:before="80"/>
        <w:rPr>
          <w:rFonts w:asciiTheme="majorBidi" w:eastAsia="SimSun" w:hAnsiTheme="majorBidi" w:cstheme="majorBidi"/>
          <w:color w:val="000000"/>
          <w:szCs w:val="24"/>
          <w:lang w:val="en-GB"/>
        </w:rPr>
      </w:pPr>
      <w:r w:rsidRPr="00A94875">
        <w:rPr>
          <w:rFonts w:asciiTheme="majorBidi" w:eastAsia="SimSun" w:hAnsiTheme="majorBidi" w:cstheme="majorBidi"/>
          <w:color w:val="000000"/>
          <w:szCs w:val="24"/>
          <w:lang w:val="en-GB"/>
        </w:rPr>
        <w:t>In this context, TSB has developed two e-learning courses:</w:t>
      </w:r>
    </w:p>
    <w:p w14:paraId="24273751" w14:textId="77777777" w:rsidR="006944F8" w:rsidRPr="00A94875" w:rsidRDefault="006944F8" w:rsidP="009261B2">
      <w:pPr>
        <w:pStyle w:val="ListParagraph"/>
        <w:numPr>
          <w:ilvl w:val="0"/>
          <w:numId w:val="29"/>
        </w:numPr>
        <w:tabs>
          <w:tab w:val="left" w:pos="794"/>
          <w:tab w:val="left" w:pos="1191"/>
          <w:tab w:val="left" w:pos="1588"/>
          <w:tab w:val="left" w:pos="1985"/>
        </w:tabs>
        <w:overflowPunct w:val="0"/>
        <w:autoSpaceDE w:val="0"/>
        <w:autoSpaceDN w:val="0"/>
        <w:adjustRightInd w:val="0"/>
        <w:spacing w:before="80"/>
        <w:textAlignment w:val="baseline"/>
        <w:rPr>
          <w:rFonts w:asciiTheme="majorBidi" w:eastAsia="SimSun" w:hAnsiTheme="majorBidi" w:cstheme="majorBidi"/>
          <w:color w:val="000000"/>
          <w:sz w:val="24"/>
          <w:szCs w:val="24"/>
          <w:lang w:val="en-GB"/>
        </w:rPr>
      </w:pPr>
      <w:r w:rsidRPr="00A94875">
        <w:rPr>
          <w:rFonts w:asciiTheme="majorBidi" w:eastAsia="SimSun" w:hAnsiTheme="majorBidi" w:cstheme="majorBidi"/>
          <w:b/>
          <w:color w:val="000000"/>
          <w:sz w:val="24"/>
          <w:szCs w:val="24"/>
          <w:lang w:val="en-GB"/>
        </w:rPr>
        <w:t>Recommendation ITU-T A.1: Working Methods of ITU-T study groups</w:t>
      </w:r>
    </w:p>
    <w:p w14:paraId="0F81D234" w14:textId="1D1E6B7F" w:rsidR="006944F8" w:rsidRPr="00A94875" w:rsidRDefault="006944F8" w:rsidP="0033393D">
      <w:pPr>
        <w:pStyle w:val="ListParagraph"/>
        <w:spacing w:before="80"/>
        <w:ind w:left="360"/>
        <w:rPr>
          <w:rFonts w:asciiTheme="majorBidi" w:eastAsia="SimSun" w:hAnsiTheme="majorBidi" w:cstheme="majorBidi"/>
          <w:color w:val="000000"/>
          <w:sz w:val="24"/>
          <w:szCs w:val="24"/>
          <w:lang w:val="en-GB"/>
        </w:rPr>
      </w:pPr>
      <w:r w:rsidRPr="00A94875">
        <w:rPr>
          <w:rFonts w:asciiTheme="majorBidi" w:eastAsia="SimSun" w:hAnsiTheme="majorBidi" w:cstheme="majorBidi"/>
          <w:color w:val="000000"/>
          <w:sz w:val="24"/>
          <w:szCs w:val="24"/>
          <w:lang w:val="en-GB"/>
        </w:rPr>
        <w:t xml:space="preserve">The main objectives of the e-learning course are to introduce the structures, management, coordination mechanisms and operating procedures of ITU-T </w:t>
      </w:r>
      <w:r w:rsidR="00342279" w:rsidRPr="00A94875">
        <w:rPr>
          <w:rFonts w:asciiTheme="majorBidi" w:eastAsia="SimSun" w:hAnsiTheme="majorBidi" w:cstheme="majorBidi"/>
          <w:color w:val="000000"/>
          <w:sz w:val="24"/>
          <w:szCs w:val="24"/>
          <w:lang w:val="en-GB"/>
        </w:rPr>
        <w:t>S</w:t>
      </w:r>
      <w:r w:rsidRPr="00A94875">
        <w:rPr>
          <w:rFonts w:asciiTheme="majorBidi" w:eastAsia="SimSun" w:hAnsiTheme="majorBidi" w:cstheme="majorBidi"/>
          <w:color w:val="000000"/>
          <w:sz w:val="24"/>
          <w:szCs w:val="24"/>
          <w:lang w:val="en-GB"/>
        </w:rPr>
        <w:t xml:space="preserve">tudy </w:t>
      </w:r>
      <w:r w:rsidR="00342279" w:rsidRPr="00A94875">
        <w:rPr>
          <w:rFonts w:asciiTheme="majorBidi" w:eastAsia="SimSun" w:hAnsiTheme="majorBidi" w:cstheme="majorBidi"/>
          <w:color w:val="000000"/>
          <w:sz w:val="24"/>
          <w:szCs w:val="24"/>
          <w:lang w:val="en-GB"/>
        </w:rPr>
        <w:t>G</w:t>
      </w:r>
      <w:r w:rsidRPr="00A94875">
        <w:rPr>
          <w:rFonts w:asciiTheme="majorBidi" w:eastAsia="SimSun" w:hAnsiTheme="majorBidi" w:cstheme="majorBidi"/>
          <w:color w:val="000000"/>
          <w:sz w:val="24"/>
          <w:szCs w:val="24"/>
          <w:lang w:val="en-GB"/>
        </w:rPr>
        <w:t xml:space="preserve">roups as defined in Recommendation ITU-T A.1. The course </w:t>
      </w:r>
      <w:proofErr w:type="gramStart"/>
      <w:r w:rsidRPr="00A94875">
        <w:rPr>
          <w:rFonts w:asciiTheme="majorBidi" w:eastAsia="SimSun" w:hAnsiTheme="majorBidi" w:cstheme="majorBidi"/>
          <w:color w:val="000000"/>
          <w:sz w:val="24"/>
          <w:szCs w:val="24"/>
          <w:lang w:val="en-GB"/>
        </w:rPr>
        <w:t>is intended</w:t>
      </w:r>
      <w:proofErr w:type="gramEnd"/>
      <w:r w:rsidRPr="00A94875">
        <w:rPr>
          <w:rFonts w:asciiTheme="majorBidi" w:eastAsia="SimSun" w:hAnsiTheme="majorBidi" w:cstheme="majorBidi"/>
          <w:color w:val="000000"/>
          <w:sz w:val="24"/>
          <w:szCs w:val="24"/>
          <w:lang w:val="en-GB"/>
        </w:rPr>
        <w:t xml:space="preserve"> for delegates participating in ITU-T study group meetings, especially new participants.</w:t>
      </w:r>
    </w:p>
    <w:p w14:paraId="0269DC14" w14:textId="77777777" w:rsidR="006944F8" w:rsidRPr="00A94875" w:rsidRDefault="006944F8" w:rsidP="006944F8">
      <w:pPr>
        <w:spacing w:before="80"/>
        <w:ind w:firstLine="720"/>
        <w:rPr>
          <w:rFonts w:asciiTheme="majorBidi" w:eastAsia="SimSun" w:hAnsiTheme="majorBidi" w:cstheme="majorBidi"/>
          <w:color w:val="000000"/>
          <w:szCs w:val="24"/>
          <w:lang w:val="en-GB"/>
        </w:rPr>
      </w:pPr>
      <w:r w:rsidRPr="00A94875">
        <w:rPr>
          <w:rFonts w:asciiTheme="majorBidi" w:eastAsia="SimSun" w:hAnsiTheme="majorBidi" w:cstheme="majorBidi"/>
          <w:color w:val="000000"/>
          <w:szCs w:val="24"/>
          <w:lang w:val="en-GB"/>
        </w:rPr>
        <w:t>The course is comprised of six modules:</w:t>
      </w:r>
    </w:p>
    <w:p w14:paraId="322C8DCF" w14:textId="77777777" w:rsidR="006944F8" w:rsidRPr="00A94875" w:rsidRDefault="006944F8" w:rsidP="006944F8">
      <w:pPr>
        <w:pStyle w:val="enumlev1"/>
        <w:spacing w:before="40"/>
        <w:ind w:left="1154"/>
        <w:rPr>
          <w:rFonts w:eastAsia="SimSun"/>
          <w:szCs w:val="24"/>
          <w:lang w:val="en-GB"/>
        </w:rPr>
      </w:pPr>
      <w:r w:rsidRPr="00A94875">
        <w:rPr>
          <w:rFonts w:eastAsia="SimSun"/>
          <w:szCs w:val="24"/>
          <w:lang w:val="en-GB"/>
        </w:rPr>
        <w:t>‒</w:t>
      </w:r>
      <w:r w:rsidRPr="00A94875">
        <w:rPr>
          <w:rFonts w:eastAsia="SimSun"/>
          <w:szCs w:val="24"/>
          <w:lang w:val="en-GB"/>
        </w:rPr>
        <w:tab/>
        <w:t>Standardization in ITU-T</w:t>
      </w:r>
    </w:p>
    <w:p w14:paraId="72490DEC" w14:textId="77777777" w:rsidR="006944F8" w:rsidRPr="00A94875" w:rsidRDefault="006944F8" w:rsidP="006944F8">
      <w:pPr>
        <w:pStyle w:val="enumlev1"/>
        <w:spacing w:before="40"/>
        <w:ind w:left="1154"/>
        <w:rPr>
          <w:rFonts w:eastAsia="SimSun"/>
          <w:szCs w:val="24"/>
          <w:lang w:val="en-GB"/>
        </w:rPr>
      </w:pPr>
      <w:r w:rsidRPr="00A94875">
        <w:rPr>
          <w:rFonts w:eastAsia="SimSun"/>
          <w:szCs w:val="24"/>
          <w:lang w:val="en-GB"/>
        </w:rPr>
        <w:t>‒</w:t>
      </w:r>
      <w:r w:rsidRPr="00A94875">
        <w:rPr>
          <w:rFonts w:eastAsia="SimSun"/>
          <w:szCs w:val="24"/>
          <w:lang w:val="en-GB"/>
        </w:rPr>
        <w:tab/>
      </w:r>
      <w:proofErr w:type="gramStart"/>
      <w:r w:rsidRPr="00A94875">
        <w:rPr>
          <w:rFonts w:eastAsia="SimSun"/>
          <w:szCs w:val="24"/>
          <w:lang w:val="en-GB"/>
        </w:rPr>
        <w:t>Managing</w:t>
      </w:r>
      <w:proofErr w:type="gramEnd"/>
      <w:r w:rsidRPr="00A94875">
        <w:rPr>
          <w:rFonts w:eastAsia="SimSun"/>
          <w:szCs w:val="24"/>
          <w:lang w:val="en-GB"/>
        </w:rPr>
        <w:t xml:space="preserve"> the study groups</w:t>
      </w:r>
    </w:p>
    <w:p w14:paraId="77A811C3" w14:textId="77777777" w:rsidR="006944F8" w:rsidRPr="00A94875" w:rsidRDefault="006944F8" w:rsidP="006944F8">
      <w:pPr>
        <w:pStyle w:val="enumlev1"/>
        <w:spacing w:before="40"/>
        <w:ind w:left="1154"/>
        <w:rPr>
          <w:rFonts w:eastAsia="SimSun"/>
          <w:szCs w:val="24"/>
          <w:lang w:val="en-GB"/>
        </w:rPr>
      </w:pPr>
      <w:r w:rsidRPr="00A94875">
        <w:rPr>
          <w:rFonts w:eastAsia="SimSun"/>
          <w:szCs w:val="24"/>
          <w:lang w:val="en-GB"/>
        </w:rPr>
        <w:t>‒</w:t>
      </w:r>
      <w:r w:rsidRPr="00A94875">
        <w:rPr>
          <w:rFonts w:eastAsia="SimSun"/>
          <w:szCs w:val="24"/>
          <w:lang w:val="en-GB"/>
        </w:rPr>
        <w:tab/>
        <w:t>Coordination</w:t>
      </w:r>
    </w:p>
    <w:p w14:paraId="05BE6FF0" w14:textId="77777777" w:rsidR="006944F8" w:rsidRPr="00A94875" w:rsidRDefault="006944F8" w:rsidP="006944F8">
      <w:pPr>
        <w:pStyle w:val="enumlev1"/>
        <w:spacing w:before="40"/>
        <w:ind w:left="1154"/>
        <w:rPr>
          <w:rFonts w:eastAsia="SimSun"/>
          <w:szCs w:val="24"/>
          <w:lang w:val="en-GB"/>
        </w:rPr>
      </w:pPr>
      <w:r w:rsidRPr="00A94875">
        <w:rPr>
          <w:rFonts w:eastAsia="SimSun"/>
          <w:szCs w:val="24"/>
          <w:lang w:val="en-GB"/>
        </w:rPr>
        <w:t>‒</w:t>
      </w:r>
      <w:r w:rsidRPr="00A94875">
        <w:rPr>
          <w:rFonts w:eastAsia="SimSun"/>
          <w:szCs w:val="24"/>
          <w:lang w:val="en-GB"/>
        </w:rPr>
        <w:tab/>
        <w:t>Inputs to the study groups</w:t>
      </w:r>
    </w:p>
    <w:p w14:paraId="75D8F4AB" w14:textId="77777777" w:rsidR="006944F8" w:rsidRPr="00A94875" w:rsidRDefault="006944F8" w:rsidP="006944F8">
      <w:pPr>
        <w:pStyle w:val="enumlev1"/>
        <w:spacing w:before="40"/>
        <w:ind w:left="1154"/>
        <w:rPr>
          <w:rFonts w:eastAsia="SimSun"/>
          <w:szCs w:val="24"/>
          <w:lang w:val="en-GB"/>
        </w:rPr>
      </w:pPr>
      <w:r w:rsidRPr="00A94875">
        <w:rPr>
          <w:rFonts w:eastAsia="SimSun"/>
          <w:szCs w:val="24"/>
          <w:lang w:val="en-GB"/>
        </w:rPr>
        <w:lastRenderedPageBreak/>
        <w:t>‒</w:t>
      </w:r>
      <w:r w:rsidRPr="00A94875">
        <w:rPr>
          <w:rFonts w:eastAsia="SimSun"/>
          <w:szCs w:val="24"/>
          <w:lang w:val="en-GB"/>
        </w:rPr>
        <w:tab/>
        <w:t>Outputs of the study groups</w:t>
      </w:r>
    </w:p>
    <w:p w14:paraId="1F2F43F3" w14:textId="77777777" w:rsidR="006944F8" w:rsidRPr="00A94875" w:rsidRDefault="006944F8" w:rsidP="006944F8">
      <w:pPr>
        <w:pStyle w:val="enumlev1"/>
        <w:spacing w:before="40"/>
        <w:ind w:left="1154"/>
        <w:rPr>
          <w:rFonts w:eastAsia="SimSun"/>
          <w:szCs w:val="24"/>
          <w:lang w:val="en-GB"/>
        </w:rPr>
      </w:pPr>
      <w:r w:rsidRPr="00A94875">
        <w:rPr>
          <w:rFonts w:eastAsia="SimSun"/>
          <w:szCs w:val="24"/>
          <w:lang w:val="en-GB"/>
        </w:rPr>
        <w:t>‒</w:t>
      </w:r>
      <w:r w:rsidRPr="00A94875">
        <w:rPr>
          <w:rFonts w:eastAsia="SimSun"/>
          <w:szCs w:val="24"/>
          <w:lang w:val="en-GB"/>
        </w:rPr>
        <w:tab/>
      </w:r>
      <w:proofErr w:type="gramStart"/>
      <w:r w:rsidRPr="00A94875">
        <w:rPr>
          <w:rFonts w:eastAsia="SimSun"/>
          <w:szCs w:val="24"/>
          <w:lang w:val="en-GB"/>
        </w:rPr>
        <w:t>Further</w:t>
      </w:r>
      <w:proofErr w:type="gramEnd"/>
      <w:r w:rsidRPr="00A94875">
        <w:rPr>
          <w:rFonts w:eastAsia="SimSun"/>
          <w:szCs w:val="24"/>
          <w:lang w:val="en-GB"/>
        </w:rPr>
        <w:t xml:space="preserve"> infrastructure supporting the study group process</w:t>
      </w:r>
    </w:p>
    <w:p w14:paraId="734E969E" w14:textId="33FF8480" w:rsidR="006944F8" w:rsidRPr="00A94875" w:rsidRDefault="006944F8" w:rsidP="0033393D">
      <w:pPr>
        <w:spacing w:before="80"/>
        <w:ind w:left="360"/>
        <w:rPr>
          <w:rFonts w:asciiTheme="majorBidi" w:eastAsia="SimSun" w:hAnsiTheme="majorBidi" w:cstheme="majorBidi"/>
          <w:color w:val="000000"/>
          <w:szCs w:val="24"/>
          <w:lang w:val="en-GB"/>
        </w:rPr>
      </w:pPr>
      <w:r w:rsidRPr="00A94875">
        <w:rPr>
          <w:rFonts w:asciiTheme="majorBidi" w:eastAsia="SimSun" w:hAnsiTheme="majorBidi" w:cstheme="majorBidi"/>
          <w:color w:val="000000"/>
          <w:szCs w:val="24"/>
          <w:lang w:val="en-GB"/>
        </w:rPr>
        <w:t xml:space="preserve">Each module is a self-contained unit, including course content and quizzes. </w:t>
      </w:r>
      <w:r w:rsidR="00342279" w:rsidRPr="00A94875">
        <w:rPr>
          <w:rFonts w:asciiTheme="majorBidi" w:eastAsia="SimSun" w:hAnsiTheme="majorBidi" w:cstheme="majorBidi"/>
          <w:color w:val="000000"/>
          <w:szCs w:val="24"/>
          <w:lang w:val="en-GB"/>
        </w:rPr>
        <w:t>S</w:t>
      </w:r>
      <w:r w:rsidRPr="00A94875">
        <w:rPr>
          <w:rFonts w:asciiTheme="majorBidi" w:eastAsia="SimSun" w:hAnsiTheme="majorBidi" w:cstheme="majorBidi"/>
          <w:color w:val="000000"/>
          <w:szCs w:val="24"/>
          <w:lang w:val="en-GB"/>
        </w:rPr>
        <w:t>cor</w:t>
      </w:r>
      <w:r w:rsidR="00342279" w:rsidRPr="00A94875">
        <w:rPr>
          <w:rFonts w:asciiTheme="majorBidi" w:eastAsia="SimSun" w:hAnsiTheme="majorBidi" w:cstheme="majorBidi"/>
          <w:color w:val="000000"/>
          <w:szCs w:val="24"/>
          <w:lang w:val="en-GB"/>
        </w:rPr>
        <w:t xml:space="preserve">es of </w:t>
      </w:r>
      <w:r w:rsidRPr="00A94875">
        <w:rPr>
          <w:rFonts w:asciiTheme="majorBidi" w:eastAsia="SimSun" w:hAnsiTheme="majorBidi" w:cstheme="majorBidi"/>
          <w:color w:val="000000"/>
          <w:szCs w:val="24"/>
          <w:lang w:val="en-GB"/>
        </w:rPr>
        <w:t>at least 8</w:t>
      </w:r>
      <w:r w:rsidR="00B72A2A" w:rsidRPr="00A94875">
        <w:rPr>
          <w:rFonts w:asciiTheme="majorBidi" w:eastAsia="SimSun" w:hAnsiTheme="majorBidi" w:cstheme="majorBidi"/>
          <w:color w:val="000000"/>
          <w:szCs w:val="24"/>
          <w:lang w:val="en-GB"/>
        </w:rPr>
        <w:t xml:space="preserve">0 per cent in the final assessment of the e-learning course result in the award of </w:t>
      </w:r>
      <w:r w:rsidRPr="00A94875">
        <w:rPr>
          <w:rFonts w:asciiTheme="majorBidi" w:eastAsia="SimSun" w:hAnsiTheme="majorBidi" w:cstheme="majorBidi"/>
          <w:color w:val="000000"/>
          <w:szCs w:val="24"/>
          <w:lang w:val="en-GB"/>
        </w:rPr>
        <w:t>a certificate of achievement.</w:t>
      </w:r>
    </w:p>
    <w:p w14:paraId="28F52755" w14:textId="6C8AE93B" w:rsidR="006944F8" w:rsidRPr="00A94875" w:rsidRDefault="006944F8" w:rsidP="009261B2">
      <w:pPr>
        <w:pStyle w:val="enumlev1"/>
        <w:keepNext/>
        <w:keepLines/>
        <w:numPr>
          <w:ilvl w:val="0"/>
          <w:numId w:val="50"/>
        </w:numPr>
        <w:spacing w:before="40"/>
        <w:rPr>
          <w:rFonts w:eastAsia="SimSun"/>
          <w:b/>
          <w:szCs w:val="24"/>
          <w:lang w:val="en-GB"/>
        </w:rPr>
      </w:pPr>
      <w:r w:rsidRPr="00A94875">
        <w:rPr>
          <w:rFonts w:eastAsia="SimSun"/>
          <w:b/>
          <w:szCs w:val="24"/>
          <w:lang w:val="en-GB"/>
        </w:rPr>
        <w:t xml:space="preserve">Introduction to Next Generation Networks </w:t>
      </w:r>
    </w:p>
    <w:p w14:paraId="5FF2AC23" w14:textId="2D319CBE" w:rsidR="006944F8" w:rsidRPr="00A94875" w:rsidRDefault="006944F8" w:rsidP="009E5FFA">
      <w:pPr>
        <w:pStyle w:val="enumlev1"/>
        <w:keepNext/>
        <w:keepLines/>
        <w:spacing w:before="40"/>
        <w:ind w:left="720" w:firstLine="0"/>
        <w:rPr>
          <w:rFonts w:eastAsia="SimSun"/>
          <w:szCs w:val="24"/>
          <w:lang w:val="en-GB"/>
        </w:rPr>
      </w:pPr>
      <w:r w:rsidRPr="00A94875">
        <w:rPr>
          <w:rFonts w:eastAsia="SimSun"/>
          <w:szCs w:val="24"/>
          <w:lang w:val="en-GB"/>
        </w:rPr>
        <w:t xml:space="preserve">The course </w:t>
      </w:r>
      <w:proofErr w:type="gramStart"/>
      <w:r w:rsidRPr="00A94875">
        <w:rPr>
          <w:rFonts w:eastAsia="SimSun"/>
          <w:szCs w:val="24"/>
          <w:lang w:val="en-GB"/>
        </w:rPr>
        <w:t>provides an introduction to</w:t>
      </w:r>
      <w:proofErr w:type="gramEnd"/>
      <w:r w:rsidRPr="00A94875">
        <w:rPr>
          <w:rFonts w:eastAsia="SimSun"/>
          <w:szCs w:val="24"/>
          <w:lang w:val="en-GB"/>
        </w:rPr>
        <w:t xml:space="preserve"> Next Generation Networks (NGN)</w:t>
      </w:r>
      <w:r w:rsidR="00B72A2A" w:rsidRPr="00A94875">
        <w:rPr>
          <w:rFonts w:eastAsia="SimSun"/>
          <w:szCs w:val="24"/>
          <w:lang w:val="en-GB"/>
        </w:rPr>
        <w:t xml:space="preserve">, building </w:t>
      </w:r>
      <w:r w:rsidRPr="00A94875">
        <w:rPr>
          <w:rFonts w:eastAsia="SimSun"/>
          <w:szCs w:val="24"/>
          <w:lang w:val="en-GB"/>
        </w:rPr>
        <w:t xml:space="preserve">understanding of the </w:t>
      </w:r>
      <w:r w:rsidR="00B72A2A" w:rsidRPr="00A94875">
        <w:rPr>
          <w:rFonts w:eastAsia="SimSun"/>
          <w:szCs w:val="24"/>
          <w:lang w:val="en-GB"/>
        </w:rPr>
        <w:t xml:space="preserve">forces </w:t>
      </w:r>
      <w:r w:rsidRPr="00A94875">
        <w:rPr>
          <w:rFonts w:eastAsia="SimSun"/>
          <w:szCs w:val="24"/>
          <w:lang w:val="en-GB"/>
        </w:rPr>
        <w:t>driv</w:t>
      </w:r>
      <w:r w:rsidR="00B72A2A" w:rsidRPr="00A94875">
        <w:rPr>
          <w:rFonts w:eastAsia="SimSun"/>
          <w:szCs w:val="24"/>
          <w:lang w:val="en-GB"/>
        </w:rPr>
        <w:t>ing</w:t>
      </w:r>
      <w:r w:rsidRPr="00A94875">
        <w:rPr>
          <w:rFonts w:eastAsia="SimSun"/>
          <w:szCs w:val="24"/>
          <w:lang w:val="en-GB"/>
        </w:rPr>
        <w:t xml:space="preserve"> </w:t>
      </w:r>
      <w:r w:rsidR="00B72A2A" w:rsidRPr="00A94875">
        <w:rPr>
          <w:rFonts w:eastAsia="SimSun"/>
          <w:szCs w:val="24"/>
          <w:lang w:val="en-GB"/>
        </w:rPr>
        <w:t xml:space="preserve">the </w:t>
      </w:r>
      <w:r w:rsidRPr="00A94875">
        <w:rPr>
          <w:rFonts w:eastAsia="SimSun"/>
          <w:szCs w:val="24"/>
          <w:lang w:val="en-GB"/>
        </w:rPr>
        <w:t>migrat</w:t>
      </w:r>
      <w:r w:rsidR="00B72A2A" w:rsidRPr="00A94875">
        <w:rPr>
          <w:rFonts w:eastAsia="SimSun"/>
          <w:szCs w:val="24"/>
          <w:lang w:val="en-GB"/>
        </w:rPr>
        <w:t>ion</w:t>
      </w:r>
      <w:r w:rsidRPr="00A94875">
        <w:rPr>
          <w:rFonts w:eastAsia="SimSun"/>
          <w:szCs w:val="24"/>
          <w:lang w:val="en-GB"/>
        </w:rPr>
        <w:t xml:space="preserve"> to NGN and </w:t>
      </w:r>
      <w:r w:rsidR="00B72A2A" w:rsidRPr="00A94875">
        <w:rPr>
          <w:rFonts w:eastAsia="SimSun"/>
          <w:szCs w:val="24"/>
          <w:lang w:val="en-GB"/>
        </w:rPr>
        <w:t xml:space="preserve">their </w:t>
      </w:r>
      <w:r w:rsidRPr="00A94875">
        <w:rPr>
          <w:rFonts w:eastAsia="SimSun"/>
          <w:szCs w:val="24"/>
          <w:lang w:val="en-GB"/>
        </w:rPr>
        <w:t>possible</w:t>
      </w:r>
      <w:r w:rsidR="00B72A2A" w:rsidRPr="00A94875">
        <w:rPr>
          <w:rFonts w:eastAsia="SimSun"/>
          <w:szCs w:val="24"/>
          <w:lang w:val="en-GB"/>
        </w:rPr>
        <w:t xml:space="preserve"> </w:t>
      </w:r>
      <w:r w:rsidRPr="00A94875">
        <w:rPr>
          <w:rFonts w:eastAsia="SimSun"/>
          <w:szCs w:val="24"/>
          <w:lang w:val="en-GB"/>
        </w:rPr>
        <w:t xml:space="preserve">impacts </w:t>
      </w:r>
      <w:r w:rsidR="00B72A2A" w:rsidRPr="00A94875">
        <w:rPr>
          <w:rFonts w:eastAsia="SimSun"/>
          <w:szCs w:val="24"/>
          <w:lang w:val="en-GB"/>
        </w:rPr>
        <w:t>on</w:t>
      </w:r>
      <w:r w:rsidRPr="00A94875">
        <w:rPr>
          <w:rFonts w:eastAsia="SimSun"/>
          <w:szCs w:val="24"/>
          <w:lang w:val="en-GB"/>
        </w:rPr>
        <w:t xml:space="preserve"> telecommunication regulatory frameworks. </w:t>
      </w:r>
    </w:p>
    <w:p w14:paraId="6598A089" w14:textId="77777777" w:rsidR="00B72A2A" w:rsidRPr="00A94875" w:rsidRDefault="00B72A2A" w:rsidP="009261B2">
      <w:pPr>
        <w:pStyle w:val="ListParagraph"/>
        <w:numPr>
          <w:ilvl w:val="0"/>
          <w:numId w:val="50"/>
        </w:numPr>
        <w:spacing w:before="80"/>
        <w:rPr>
          <w:rFonts w:asciiTheme="majorBidi" w:eastAsia="SimSun" w:hAnsiTheme="majorBidi" w:cstheme="majorBidi"/>
          <w:b/>
          <w:bCs/>
          <w:color w:val="000000"/>
          <w:sz w:val="24"/>
          <w:szCs w:val="24"/>
          <w:lang w:val="en-GB"/>
        </w:rPr>
      </w:pPr>
      <w:r w:rsidRPr="00A94875">
        <w:rPr>
          <w:rFonts w:asciiTheme="majorBidi" w:eastAsia="SimSun" w:hAnsiTheme="majorBidi" w:cstheme="majorBidi"/>
          <w:b/>
          <w:bCs/>
          <w:color w:val="000000"/>
          <w:sz w:val="24"/>
          <w:szCs w:val="24"/>
          <w:lang w:val="en-GB"/>
        </w:rPr>
        <w:t>Recommendation ITU-T F.921 “Audio-based indoor and outdoor network navigation system for persons with vision impairment”</w:t>
      </w:r>
    </w:p>
    <w:p w14:paraId="7BC2A6C2" w14:textId="786A7337" w:rsidR="006944F8" w:rsidRPr="00A94875" w:rsidRDefault="00B72A2A" w:rsidP="009E5FFA">
      <w:pPr>
        <w:pStyle w:val="ListParagraph"/>
        <w:spacing w:before="80"/>
        <w:rPr>
          <w:rFonts w:asciiTheme="majorBidi" w:eastAsia="SimSun" w:hAnsiTheme="majorBidi" w:cstheme="majorBidi"/>
          <w:color w:val="000000"/>
          <w:sz w:val="24"/>
          <w:szCs w:val="24"/>
          <w:lang w:val="en-GB"/>
        </w:rPr>
      </w:pPr>
      <w:r w:rsidRPr="00A94875">
        <w:rPr>
          <w:rFonts w:asciiTheme="majorBidi" w:eastAsia="SimSun" w:hAnsiTheme="majorBidi" w:cstheme="majorBidi"/>
          <w:color w:val="000000"/>
          <w:sz w:val="24"/>
          <w:szCs w:val="24"/>
          <w:lang w:val="en-GB"/>
        </w:rPr>
        <w:t xml:space="preserve">The most </w:t>
      </w:r>
      <w:r w:rsidR="006944F8" w:rsidRPr="00A94875">
        <w:rPr>
          <w:rFonts w:asciiTheme="majorBidi" w:eastAsia="SimSun" w:hAnsiTheme="majorBidi" w:cstheme="majorBidi"/>
          <w:color w:val="000000"/>
          <w:sz w:val="24"/>
          <w:szCs w:val="24"/>
          <w:lang w:val="en-GB"/>
        </w:rPr>
        <w:t>recent add</w:t>
      </w:r>
      <w:r w:rsidRPr="00A94875">
        <w:rPr>
          <w:rFonts w:asciiTheme="majorBidi" w:eastAsia="SimSun" w:hAnsiTheme="majorBidi" w:cstheme="majorBidi"/>
          <w:color w:val="000000"/>
          <w:sz w:val="24"/>
          <w:szCs w:val="24"/>
          <w:lang w:val="en-GB"/>
        </w:rPr>
        <w:t>ition to</w:t>
      </w:r>
      <w:r w:rsidR="006944F8" w:rsidRPr="00A94875">
        <w:rPr>
          <w:rFonts w:asciiTheme="majorBidi" w:eastAsia="SimSun" w:hAnsiTheme="majorBidi" w:cstheme="majorBidi"/>
          <w:color w:val="000000"/>
          <w:sz w:val="24"/>
          <w:szCs w:val="24"/>
          <w:lang w:val="en-GB"/>
        </w:rPr>
        <w:t xml:space="preserve"> the ITU Academia platform train</w:t>
      </w:r>
      <w:r w:rsidRPr="00A94875">
        <w:rPr>
          <w:rFonts w:asciiTheme="majorBidi" w:eastAsia="SimSun" w:hAnsiTheme="majorBidi" w:cstheme="majorBidi"/>
          <w:color w:val="000000"/>
          <w:sz w:val="24"/>
          <w:szCs w:val="24"/>
          <w:lang w:val="en-GB"/>
        </w:rPr>
        <w:t>s</w:t>
      </w:r>
      <w:r w:rsidR="006944F8" w:rsidRPr="00A94875">
        <w:rPr>
          <w:rFonts w:asciiTheme="majorBidi" w:eastAsia="SimSun" w:hAnsiTheme="majorBidi" w:cstheme="majorBidi"/>
          <w:color w:val="000000"/>
          <w:sz w:val="24"/>
          <w:szCs w:val="24"/>
          <w:lang w:val="en-GB"/>
        </w:rPr>
        <w:t xml:space="preserve"> developers of systems compliant </w:t>
      </w:r>
      <w:r w:rsidRPr="00A94875">
        <w:rPr>
          <w:rFonts w:asciiTheme="majorBidi" w:eastAsia="SimSun" w:hAnsiTheme="majorBidi" w:cstheme="majorBidi"/>
          <w:color w:val="000000"/>
          <w:sz w:val="24"/>
          <w:szCs w:val="24"/>
          <w:lang w:val="en-GB"/>
        </w:rPr>
        <w:t xml:space="preserve">with </w:t>
      </w:r>
      <w:proofErr w:type="spellStart"/>
      <w:r w:rsidRPr="00A94875">
        <w:rPr>
          <w:rFonts w:asciiTheme="majorBidi" w:eastAsia="SimSun" w:hAnsiTheme="majorBidi" w:cstheme="majorBidi"/>
          <w:color w:val="000000"/>
          <w:sz w:val="24"/>
          <w:szCs w:val="24"/>
          <w:lang w:val="en-GB"/>
        </w:rPr>
        <w:t>Recommendcation</w:t>
      </w:r>
      <w:proofErr w:type="spellEnd"/>
      <w:r w:rsidR="006944F8" w:rsidRPr="00A94875">
        <w:rPr>
          <w:rFonts w:asciiTheme="majorBidi" w:eastAsia="SimSun" w:hAnsiTheme="majorBidi" w:cstheme="majorBidi"/>
          <w:color w:val="000000"/>
          <w:sz w:val="24"/>
          <w:szCs w:val="24"/>
          <w:lang w:val="en-GB"/>
        </w:rPr>
        <w:t xml:space="preserve"> ITU-T F.921</w:t>
      </w:r>
      <w:r w:rsidR="00D64AF8" w:rsidRPr="00A94875">
        <w:rPr>
          <w:rFonts w:asciiTheme="majorBidi" w:eastAsia="SimSun" w:hAnsiTheme="majorBidi" w:cstheme="majorBidi"/>
          <w:color w:val="000000"/>
          <w:sz w:val="24"/>
          <w:szCs w:val="24"/>
          <w:lang w:val="en-GB"/>
        </w:rPr>
        <w:t xml:space="preserve">. </w:t>
      </w:r>
      <w:proofErr w:type="gramStart"/>
      <w:r w:rsidR="006944F8" w:rsidRPr="00A94875">
        <w:rPr>
          <w:rFonts w:asciiTheme="majorBidi" w:eastAsia="SimSun" w:hAnsiTheme="majorBidi" w:cstheme="majorBidi"/>
          <w:color w:val="000000"/>
          <w:sz w:val="24"/>
          <w:szCs w:val="24"/>
          <w:lang w:val="en-GB"/>
        </w:rPr>
        <w:t xml:space="preserve">The course was developed by </w:t>
      </w:r>
      <w:proofErr w:type="spellStart"/>
      <w:r w:rsidR="006944F8" w:rsidRPr="00A94875">
        <w:rPr>
          <w:rFonts w:asciiTheme="majorBidi" w:eastAsia="SimSun" w:hAnsiTheme="majorBidi" w:cstheme="majorBidi"/>
          <w:color w:val="000000"/>
          <w:sz w:val="24"/>
          <w:szCs w:val="24"/>
          <w:lang w:val="en-GB"/>
        </w:rPr>
        <w:t>Wayfindr</w:t>
      </w:r>
      <w:proofErr w:type="spellEnd"/>
      <w:proofErr w:type="gramEnd"/>
      <w:r w:rsidR="006944F8" w:rsidRPr="00A94875">
        <w:rPr>
          <w:rFonts w:asciiTheme="majorBidi" w:eastAsia="SimSun" w:hAnsiTheme="majorBidi" w:cstheme="majorBidi"/>
          <w:color w:val="000000"/>
          <w:sz w:val="24"/>
          <w:szCs w:val="24"/>
          <w:lang w:val="en-GB"/>
        </w:rPr>
        <w:t xml:space="preserve">, </w:t>
      </w:r>
      <w:r w:rsidRPr="00A94875">
        <w:rPr>
          <w:rFonts w:asciiTheme="majorBidi" w:eastAsia="SimSun" w:hAnsiTheme="majorBidi" w:cstheme="majorBidi"/>
          <w:color w:val="000000"/>
          <w:sz w:val="24"/>
          <w:szCs w:val="24"/>
          <w:lang w:val="en-GB"/>
        </w:rPr>
        <w:t xml:space="preserve">in collaboration with TSB and BDT. </w:t>
      </w:r>
    </w:p>
    <w:p w14:paraId="75845DD4" w14:textId="64388B4A" w:rsidR="006944F8" w:rsidRPr="00A94875" w:rsidRDefault="006944F8" w:rsidP="0033393D">
      <w:pPr>
        <w:spacing w:before="80"/>
        <w:rPr>
          <w:rFonts w:asciiTheme="majorBidi" w:eastAsia="SimSun" w:hAnsiTheme="majorBidi" w:cstheme="majorBidi"/>
          <w:color w:val="000000"/>
          <w:szCs w:val="24"/>
          <w:lang w:val="en-GB"/>
        </w:rPr>
      </w:pPr>
      <w:r w:rsidRPr="00A94875">
        <w:rPr>
          <w:rFonts w:asciiTheme="majorBidi" w:eastAsia="SimSun" w:hAnsiTheme="majorBidi" w:cstheme="majorBidi"/>
          <w:color w:val="000000"/>
          <w:szCs w:val="24"/>
          <w:lang w:val="en-GB"/>
        </w:rPr>
        <w:t>These courses are available on the ITU Academy website at</w:t>
      </w:r>
      <w:r w:rsidRPr="00A94875">
        <w:rPr>
          <w:rFonts w:asciiTheme="majorBidi" w:hAnsiTheme="majorBidi" w:cstheme="majorBidi"/>
          <w:szCs w:val="24"/>
          <w:lang w:val="en-GB"/>
        </w:rPr>
        <w:t xml:space="preserve"> </w:t>
      </w:r>
      <w:hyperlink r:id="rId88" w:history="1">
        <w:r w:rsidRPr="00A94875">
          <w:rPr>
            <w:rStyle w:val="Hyperlink"/>
            <w:rFonts w:cstheme="majorBidi"/>
            <w:szCs w:val="24"/>
            <w:lang w:val="en-GB"/>
          </w:rPr>
          <w:t>http://academy.itu.int</w:t>
        </w:r>
      </w:hyperlink>
      <w:r w:rsidRPr="00A94875">
        <w:rPr>
          <w:rFonts w:asciiTheme="majorBidi" w:hAnsiTheme="majorBidi" w:cstheme="majorBidi"/>
          <w:szCs w:val="24"/>
          <w:lang w:val="en-GB"/>
        </w:rPr>
        <w:t xml:space="preserve">. </w:t>
      </w:r>
    </w:p>
    <w:p w14:paraId="721089DF" w14:textId="68446F92" w:rsidR="006944F8" w:rsidRPr="00A94875" w:rsidRDefault="00D64AF8" w:rsidP="006944F8">
      <w:pPr>
        <w:pStyle w:val="Heading2"/>
        <w:rPr>
          <w:rFonts w:asciiTheme="majorBidi" w:hAnsiTheme="majorBidi" w:cstheme="majorBidi"/>
          <w:lang w:val="en-GB"/>
        </w:rPr>
      </w:pPr>
      <w:bookmarkStart w:id="129" w:name="_Toc475354528"/>
      <w:bookmarkStart w:id="130" w:name="_Toc480527853"/>
      <w:bookmarkStart w:id="131" w:name="_Toc530571873"/>
      <w:r w:rsidRPr="00A94875">
        <w:rPr>
          <w:rFonts w:asciiTheme="majorBidi" w:hAnsiTheme="majorBidi" w:cstheme="majorBidi"/>
          <w:lang w:val="en-GB"/>
        </w:rPr>
        <w:t>7</w:t>
      </w:r>
      <w:r w:rsidR="006944F8" w:rsidRPr="00A94875">
        <w:rPr>
          <w:rFonts w:asciiTheme="majorBidi" w:hAnsiTheme="majorBidi" w:cstheme="majorBidi"/>
          <w:lang w:val="en-GB"/>
        </w:rPr>
        <w:t>.6</w:t>
      </w:r>
      <w:r w:rsidR="006944F8" w:rsidRPr="00A94875">
        <w:rPr>
          <w:rFonts w:asciiTheme="majorBidi" w:hAnsiTheme="majorBidi" w:cstheme="majorBidi"/>
          <w:lang w:val="en-GB"/>
        </w:rPr>
        <w:tab/>
        <w:t>Study Group Mentoring Programme</w:t>
      </w:r>
      <w:bookmarkEnd w:id="129"/>
      <w:bookmarkEnd w:id="130"/>
      <w:bookmarkEnd w:id="131"/>
    </w:p>
    <w:p w14:paraId="7F861396"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 xml:space="preserve">In 2011, a mentoring programme for ITU-T Study Groups </w:t>
      </w:r>
      <w:proofErr w:type="gramStart"/>
      <w:r w:rsidRPr="00A94875">
        <w:rPr>
          <w:rFonts w:asciiTheme="majorBidi" w:hAnsiTheme="majorBidi" w:cstheme="majorBidi"/>
          <w:lang w:val="en-GB"/>
        </w:rPr>
        <w:t>was introduced</w:t>
      </w:r>
      <w:proofErr w:type="gramEnd"/>
      <w:r w:rsidRPr="00A94875">
        <w:rPr>
          <w:rFonts w:asciiTheme="majorBidi" w:hAnsiTheme="majorBidi" w:cstheme="majorBidi"/>
          <w:lang w:val="en-GB"/>
        </w:rPr>
        <w:t>. The objective of the mentoring programme is to provide a contact point to assist new delegates with the working methods of ITU-T and to facilitate participation and contributions from developing countries. It has since featured as an important part of the work of ITU-T Study Groups and TSAG.</w:t>
      </w:r>
    </w:p>
    <w:p w14:paraId="55AA7121" w14:textId="24791E24" w:rsidR="006944F8" w:rsidRPr="00A94875" w:rsidRDefault="00D64AF8" w:rsidP="006944F8">
      <w:pPr>
        <w:pStyle w:val="Heading2"/>
        <w:rPr>
          <w:rFonts w:asciiTheme="majorBidi" w:hAnsiTheme="majorBidi" w:cstheme="majorBidi"/>
          <w:lang w:val="en-GB"/>
        </w:rPr>
      </w:pPr>
      <w:bookmarkStart w:id="132" w:name="_Toc480527855"/>
      <w:bookmarkStart w:id="133" w:name="_Toc530571874"/>
      <w:r w:rsidRPr="00A94875">
        <w:rPr>
          <w:rFonts w:asciiTheme="majorBidi" w:hAnsiTheme="majorBidi" w:cstheme="majorBidi"/>
          <w:lang w:val="en-GB"/>
        </w:rPr>
        <w:t>7</w:t>
      </w:r>
      <w:r w:rsidR="006944F8" w:rsidRPr="00A94875">
        <w:rPr>
          <w:rFonts w:asciiTheme="majorBidi" w:hAnsiTheme="majorBidi" w:cstheme="majorBidi"/>
          <w:lang w:val="en-GB"/>
        </w:rPr>
        <w:t>.7</w:t>
      </w:r>
      <w:r w:rsidR="006944F8" w:rsidRPr="00A94875">
        <w:rPr>
          <w:rFonts w:asciiTheme="majorBidi" w:hAnsiTheme="majorBidi" w:cstheme="majorBidi"/>
          <w:lang w:val="en-GB"/>
        </w:rPr>
        <w:tab/>
        <w:t>Technical Papers</w:t>
      </w:r>
      <w:bookmarkEnd w:id="132"/>
      <w:bookmarkEnd w:id="133"/>
    </w:p>
    <w:p w14:paraId="06C2E0C6" w14:textId="1E71CC75"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A series of technical reports and papers produced provide additional information for developing countries on the best practices in implementing ITU-T Recommendations. See</w:t>
      </w:r>
      <w:r w:rsidR="00B72A2A" w:rsidRPr="00A94875">
        <w:rPr>
          <w:rFonts w:asciiTheme="majorBidi" w:hAnsiTheme="majorBidi" w:cstheme="majorBidi"/>
          <w:lang w:val="en-GB"/>
        </w:rPr>
        <w:t xml:space="preserve"> the</w:t>
      </w:r>
      <w:r w:rsidRPr="00A94875">
        <w:rPr>
          <w:rFonts w:asciiTheme="majorBidi" w:hAnsiTheme="majorBidi" w:cstheme="majorBidi"/>
          <w:lang w:val="en-GB"/>
        </w:rPr>
        <w:t xml:space="preserve"> technical reports and papers </w:t>
      </w:r>
      <w:hyperlink r:id="rId89" w:history="1">
        <w:r w:rsidRPr="00A94875">
          <w:rPr>
            <w:rStyle w:val="Hyperlink"/>
            <w:rFonts w:asciiTheme="majorBidi" w:hAnsiTheme="majorBidi" w:cstheme="majorBidi"/>
            <w:lang w:val="en-GB"/>
          </w:rPr>
          <w:t>web page</w:t>
        </w:r>
      </w:hyperlink>
      <w:r w:rsidRPr="00A94875">
        <w:rPr>
          <w:rFonts w:asciiTheme="majorBidi" w:hAnsiTheme="majorBidi" w:cstheme="majorBidi"/>
          <w:lang w:val="en-GB"/>
        </w:rPr>
        <w:t>.</w:t>
      </w:r>
    </w:p>
    <w:p w14:paraId="7D35C0FA" w14:textId="55860658" w:rsidR="006944F8" w:rsidRPr="00A94875" w:rsidRDefault="00D64AF8" w:rsidP="006944F8">
      <w:pPr>
        <w:pStyle w:val="Heading2"/>
        <w:rPr>
          <w:rFonts w:asciiTheme="majorBidi" w:hAnsiTheme="majorBidi" w:cstheme="majorBidi"/>
          <w:lang w:val="en-GB"/>
        </w:rPr>
      </w:pPr>
      <w:bookmarkStart w:id="134" w:name="_Toc480527856"/>
      <w:bookmarkStart w:id="135" w:name="_Toc530571875"/>
      <w:r w:rsidRPr="00A94875">
        <w:rPr>
          <w:rFonts w:asciiTheme="majorBidi" w:hAnsiTheme="majorBidi" w:cstheme="majorBidi"/>
          <w:lang w:val="en-GB"/>
        </w:rPr>
        <w:t>7</w:t>
      </w:r>
      <w:r w:rsidR="006944F8" w:rsidRPr="00A94875">
        <w:rPr>
          <w:rFonts w:asciiTheme="majorBidi" w:hAnsiTheme="majorBidi" w:cstheme="majorBidi"/>
          <w:lang w:val="en-GB"/>
        </w:rPr>
        <w:t>.8</w:t>
      </w:r>
      <w:r w:rsidR="006944F8" w:rsidRPr="00A94875">
        <w:rPr>
          <w:rFonts w:asciiTheme="majorBidi" w:hAnsiTheme="majorBidi" w:cstheme="majorBidi"/>
          <w:lang w:val="en-GB"/>
        </w:rPr>
        <w:tab/>
        <w:t>Fellowships</w:t>
      </w:r>
      <w:bookmarkEnd w:id="134"/>
      <w:bookmarkEnd w:id="135"/>
    </w:p>
    <w:p w14:paraId="123927BE" w14:textId="77777777" w:rsidR="006944F8" w:rsidRPr="00A94875" w:rsidRDefault="006944F8" w:rsidP="006944F8">
      <w:pPr>
        <w:spacing w:after="120"/>
        <w:rPr>
          <w:rFonts w:asciiTheme="majorBidi" w:hAnsiTheme="majorBidi" w:cstheme="majorBidi"/>
          <w:lang w:val="en-GB"/>
        </w:rPr>
      </w:pPr>
      <w:bookmarkStart w:id="136" w:name="_Toc462664265"/>
      <w:bookmarkStart w:id="137" w:name="_Toc462665590"/>
      <w:bookmarkStart w:id="138" w:name="_Toc462669176"/>
      <w:r w:rsidRPr="00A94875">
        <w:rPr>
          <w:rFonts w:asciiTheme="majorBidi" w:hAnsiTheme="majorBidi" w:cstheme="majorBidi"/>
          <w:lang w:val="en-GB"/>
        </w:rPr>
        <w:t xml:space="preserve">The table below shows the fellowships awarded during the period from January 2018 until September 2018. </w:t>
      </w:r>
      <w:proofErr w:type="gramStart"/>
      <w:r w:rsidRPr="00A94875">
        <w:rPr>
          <w:rFonts w:asciiTheme="majorBidi" w:hAnsiTheme="majorBidi" w:cstheme="majorBidi"/>
          <w:lang w:val="en-GB"/>
        </w:rPr>
        <w:t>239</w:t>
      </w:r>
      <w:proofErr w:type="gramEnd"/>
      <w:r w:rsidRPr="00A94875">
        <w:rPr>
          <w:rFonts w:asciiTheme="majorBidi" w:hAnsiTheme="majorBidi" w:cstheme="majorBidi"/>
          <w:lang w:val="en-GB"/>
        </w:rPr>
        <w:t xml:space="preserve"> fellowships were requested and 176 fellowships were awarded. Of the 176 fellowships awarded, 148 fellowships </w:t>
      </w:r>
      <w:proofErr w:type="gramStart"/>
      <w:r w:rsidRPr="00A94875">
        <w:rPr>
          <w:rFonts w:asciiTheme="majorBidi" w:hAnsiTheme="majorBidi" w:cstheme="majorBidi"/>
          <w:lang w:val="en-GB"/>
        </w:rPr>
        <w:t>were used</w:t>
      </w:r>
      <w:proofErr w:type="gramEnd"/>
      <w:r w:rsidRPr="00A94875">
        <w:rPr>
          <w:rFonts w:asciiTheme="majorBidi" w:hAnsiTheme="majorBidi" w:cstheme="majorBidi"/>
          <w:lang w:val="en-GB"/>
        </w:rPr>
        <w:t xml:space="preserve"> and 28 were cancelled.</w:t>
      </w:r>
    </w:p>
    <w:tbl>
      <w:tblPr>
        <w:tblStyle w:val="TableGrid"/>
        <w:tblW w:w="9639" w:type="dxa"/>
        <w:tblInd w:w="-5" w:type="dxa"/>
        <w:tblLook w:val="04A0" w:firstRow="1" w:lastRow="0" w:firstColumn="1" w:lastColumn="0" w:noHBand="0" w:noVBand="1"/>
      </w:tblPr>
      <w:tblGrid>
        <w:gridCol w:w="3828"/>
        <w:gridCol w:w="1701"/>
        <w:gridCol w:w="1559"/>
        <w:gridCol w:w="2551"/>
      </w:tblGrid>
      <w:tr w:rsidR="006944F8" w:rsidRPr="00A94875" w14:paraId="350E5586" w14:textId="77777777" w:rsidTr="00071381">
        <w:trPr>
          <w:cantSplit/>
          <w:tblHeader/>
        </w:trPr>
        <w:tc>
          <w:tcPr>
            <w:tcW w:w="3828" w:type="dxa"/>
            <w:vMerge w:val="restart"/>
            <w:shd w:val="clear" w:color="auto" w:fill="B8CCE4" w:themeFill="accent1" w:themeFillTint="66"/>
            <w:vAlign w:val="center"/>
          </w:tcPr>
          <w:p w14:paraId="35B64D4F" w14:textId="77777777" w:rsidR="006944F8" w:rsidRPr="00A94875" w:rsidRDefault="006944F8" w:rsidP="00071381">
            <w:pPr>
              <w:rPr>
                <w:rFonts w:asciiTheme="majorBidi" w:hAnsiTheme="majorBidi" w:cstheme="majorBidi"/>
                <w:b/>
                <w:bCs/>
                <w:lang w:val="en-GB"/>
              </w:rPr>
            </w:pPr>
            <w:r w:rsidRPr="00A94875">
              <w:rPr>
                <w:rFonts w:asciiTheme="majorBidi" w:hAnsiTheme="majorBidi" w:cstheme="majorBidi"/>
                <w:b/>
                <w:bCs/>
                <w:lang w:val="en-GB"/>
              </w:rPr>
              <w:t>Meeting</w:t>
            </w:r>
          </w:p>
        </w:tc>
        <w:tc>
          <w:tcPr>
            <w:tcW w:w="3260" w:type="dxa"/>
            <w:gridSpan w:val="2"/>
            <w:shd w:val="clear" w:color="auto" w:fill="B8CCE4" w:themeFill="accent1" w:themeFillTint="66"/>
            <w:vAlign w:val="center"/>
          </w:tcPr>
          <w:p w14:paraId="2DC0ACC3" w14:textId="77777777" w:rsidR="006944F8" w:rsidRPr="00A94875" w:rsidRDefault="006944F8" w:rsidP="00071381">
            <w:pPr>
              <w:jc w:val="center"/>
              <w:rPr>
                <w:rFonts w:asciiTheme="majorBidi" w:hAnsiTheme="majorBidi" w:cstheme="majorBidi"/>
                <w:b/>
                <w:bCs/>
                <w:lang w:val="en-GB"/>
              </w:rPr>
            </w:pPr>
            <w:r w:rsidRPr="00A94875">
              <w:rPr>
                <w:rFonts w:asciiTheme="majorBidi" w:hAnsiTheme="majorBidi" w:cstheme="majorBidi"/>
                <w:b/>
                <w:bCs/>
                <w:lang w:val="en-GB"/>
              </w:rPr>
              <w:t>Fellows</w:t>
            </w:r>
          </w:p>
        </w:tc>
        <w:tc>
          <w:tcPr>
            <w:tcW w:w="2551" w:type="dxa"/>
            <w:vMerge w:val="restart"/>
            <w:shd w:val="clear" w:color="auto" w:fill="B8CCE4" w:themeFill="accent1" w:themeFillTint="66"/>
            <w:vAlign w:val="center"/>
          </w:tcPr>
          <w:p w14:paraId="53B07F3E" w14:textId="77777777" w:rsidR="006944F8" w:rsidRPr="00A94875" w:rsidRDefault="006944F8" w:rsidP="00071381">
            <w:pPr>
              <w:jc w:val="center"/>
              <w:rPr>
                <w:rFonts w:asciiTheme="majorBidi" w:hAnsiTheme="majorBidi" w:cstheme="majorBidi"/>
                <w:b/>
                <w:bCs/>
                <w:lang w:val="en-GB"/>
              </w:rPr>
            </w:pPr>
            <w:r w:rsidRPr="00A94875">
              <w:rPr>
                <w:rFonts w:asciiTheme="majorBidi" w:hAnsiTheme="majorBidi" w:cstheme="majorBidi"/>
                <w:b/>
                <w:bCs/>
                <w:lang w:val="en-GB"/>
              </w:rPr>
              <w:t>Total</w:t>
            </w:r>
          </w:p>
        </w:tc>
      </w:tr>
      <w:tr w:rsidR="006944F8" w:rsidRPr="00A94875" w14:paraId="0D2401B7" w14:textId="77777777" w:rsidTr="00071381">
        <w:trPr>
          <w:cantSplit/>
          <w:tblHeader/>
        </w:trPr>
        <w:tc>
          <w:tcPr>
            <w:tcW w:w="3828" w:type="dxa"/>
            <w:vMerge/>
            <w:shd w:val="clear" w:color="auto" w:fill="B8CCE4" w:themeFill="accent1" w:themeFillTint="66"/>
            <w:vAlign w:val="center"/>
          </w:tcPr>
          <w:p w14:paraId="01F3D405" w14:textId="77777777" w:rsidR="006944F8" w:rsidRPr="00A94875" w:rsidRDefault="006944F8" w:rsidP="00071381">
            <w:pPr>
              <w:rPr>
                <w:rFonts w:asciiTheme="majorBidi" w:hAnsiTheme="majorBidi" w:cstheme="majorBidi"/>
                <w:b/>
                <w:bCs/>
                <w:lang w:val="en-GB"/>
              </w:rPr>
            </w:pPr>
          </w:p>
        </w:tc>
        <w:tc>
          <w:tcPr>
            <w:tcW w:w="1701" w:type="dxa"/>
            <w:shd w:val="clear" w:color="auto" w:fill="B8CCE4" w:themeFill="accent1" w:themeFillTint="66"/>
            <w:vAlign w:val="center"/>
          </w:tcPr>
          <w:p w14:paraId="02196B3C" w14:textId="77777777" w:rsidR="006944F8" w:rsidRPr="00A94875" w:rsidRDefault="006944F8" w:rsidP="00071381">
            <w:pPr>
              <w:jc w:val="center"/>
              <w:rPr>
                <w:rFonts w:asciiTheme="majorBidi" w:hAnsiTheme="majorBidi" w:cstheme="majorBidi"/>
                <w:b/>
                <w:bCs/>
                <w:lang w:val="en-GB"/>
              </w:rPr>
            </w:pPr>
            <w:r w:rsidRPr="00A94875">
              <w:rPr>
                <w:rFonts w:asciiTheme="majorBidi" w:hAnsiTheme="majorBidi" w:cstheme="majorBidi"/>
                <w:b/>
                <w:bCs/>
                <w:lang w:val="en-GB"/>
              </w:rPr>
              <w:t>Female</w:t>
            </w:r>
          </w:p>
        </w:tc>
        <w:tc>
          <w:tcPr>
            <w:tcW w:w="1559" w:type="dxa"/>
            <w:shd w:val="clear" w:color="auto" w:fill="B8CCE4" w:themeFill="accent1" w:themeFillTint="66"/>
            <w:vAlign w:val="center"/>
          </w:tcPr>
          <w:p w14:paraId="24337EBE" w14:textId="77777777" w:rsidR="006944F8" w:rsidRPr="00A94875" w:rsidRDefault="006944F8" w:rsidP="00071381">
            <w:pPr>
              <w:jc w:val="center"/>
              <w:rPr>
                <w:rFonts w:asciiTheme="majorBidi" w:hAnsiTheme="majorBidi" w:cstheme="majorBidi"/>
                <w:b/>
                <w:bCs/>
                <w:lang w:val="en-GB"/>
              </w:rPr>
            </w:pPr>
            <w:r w:rsidRPr="00A94875">
              <w:rPr>
                <w:rFonts w:asciiTheme="majorBidi" w:hAnsiTheme="majorBidi" w:cstheme="majorBidi"/>
                <w:b/>
                <w:bCs/>
                <w:lang w:val="en-GB"/>
              </w:rPr>
              <w:t>Male</w:t>
            </w:r>
          </w:p>
        </w:tc>
        <w:tc>
          <w:tcPr>
            <w:tcW w:w="2551" w:type="dxa"/>
            <w:vMerge/>
            <w:shd w:val="clear" w:color="auto" w:fill="B8CCE4" w:themeFill="accent1" w:themeFillTint="66"/>
            <w:vAlign w:val="center"/>
          </w:tcPr>
          <w:p w14:paraId="6692145C" w14:textId="77777777" w:rsidR="006944F8" w:rsidRPr="00A94875" w:rsidRDefault="006944F8" w:rsidP="00071381">
            <w:pPr>
              <w:jc w:val="center"/>
              <w:rPr>
                <w:rFonts w:asciiTheme="majorBidi" w:hAnsiTheme="majorBidi" w:cstheme="majorBidi"/>
                <w:b/>
                <w:bCs/>
                <w:lang w:val="en-GB"/>
              </w:rPr>
            </w:pPr>
          </w:p>
        </w:tc>
      </w:tr>
      <w:tr w:rsidR="006944F8" w:rsidRPr="00A94875" w14:paraId="61A7044F" w14:textId="77777777" w:rsidTr="00071381">
        <w:tc>
          <w:tcPr>
            <w:tcW w:w="3828" w:type="dxa"/>
          </w:tcPr>
          <w:p w14:paraId="3962795C"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15 Meeting</w:t>
            </w:r>
          </w:p>
          <w:p w14:paraId="11D69AE3"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Geneva, 29 January – 9 February 2018</w:t>
            </w:r>
          </w:p>
        </w:tc>
        <w:tc>
          <w:tcPr>
            <w:tcW w:w="1701" w:type="dxa"/>
          </w:tcPr>
          <w:p w14:paraId="7100AF7C" w14:textId="77777777" w:rsidR="006944F8" w:rsidRPr="00A94875" w:rsidDel="00D922E0"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0</w:t>
            </w:r>
          </w:p>
        </w:tc>
        <w:tc>
          <w:tcPr>
            <w:tcW w:w="1559" w:type="dxa"/>
          </w:tcPr>
          <w:p w14:paraId="42590AA7" w14:textId="77777777" w:rsidR="006944F8" w:rsidRPr="00A94875" w:rsidDel="00D922E0"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3</w:t>
            </w:r>
          </w:p>
        </w:tc>
        <w:tc>
          <w:tcPr>
            <w:tcW w:w="2551" w:type="dxa"/>
          </w:tcPr>
          <w:p w14:paraId="6CFA8401" w14:textId="77777777" w:rsidR="006944F8" w:rsidRPr="00A94875" w:rsidDel="00D922E0"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3 fellowships awarded</w:t>
            </w:r>
            <w:r w:rsidRPr="00A94875">
              <w:rPr>
                <w:rFonts w:asciiTheme="majorBidi" w:hAnsiTheme="majorBidi" w:cstheme="majorBidi"/>
                <w:lang w:val="en-GB"/>
              </w:rPr>
              <w:br/>
              <w:t>3 participants</w:t>
            </w:r>
          </w:p>
        </w:tc>
      </w:tr>
      <w:tr w:rsidR="006944F8" w:rsidRPr="00A94875" w14:paraId="19C90859" w14:textId="77777777" w:rsidTr="00071381">
        <w:tc>
          <w:tcPr>
            <w:tcW w:w="3828" w:type="dxa"/>
          </w:tcPr>
          <w:p w14:paraId="5F5D44E8"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3 RG-AFR Meeting</w:t>
            </w:r>
          </w:p>
          <w:p w14:paraId="18295BF0"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Kigali, Rwanda 5 – 8 February 2018</w:t>
            </w:r>
          </w:p>
        </w:tc>
        <w:tc>
          <w:tcPr>
            <w:tcW w:w="1701" w:type="dxa"/>
          </w:tcPr>
          <w:p w14:paraId="05B8CFFF"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7 + 1 cancelled</w:t>
            </w:r>
          </w:p>
        </w:tc>
        <w:tc>
          <w:tcPr>
            <w:tcW w:w="1559" w:type="dxa"/>
          </w:tcPr>
          <w:p w14:paraId="1E1019E5"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8 + 1 cancelled</w:t>
            </w:r>
          </w:p>
        </w:tc>
        <w:tc>
          <w:tcPr>
            <w:tcW w:w="2551" w:type="dxa"/>
          </w:tcPr>
          <w:p w14:paraId="6ABE18C4" w14:textId="757CD921"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17 fellowships awarded, 15 partic</w:t>
            </w:r>
            <w:r w:rsidR="007D61AB" w:rsidRPr="00A94875">
              <w:rPr>
                <w:rFonts w:asciiTheme="majorBidi" w:hAnsiTheme="majorBidi" w:cstheme="majorBidi"/>
                <w:lang w:val="en-GB"/>
              </w:rPr>
              <w:t>i</w:t>
            </w:r>
            <w:r w:rsidRPr="00A94875">
              <w:rPr>
                <w:rFonts w:asciiTheme="majorBidi" w:hAnsiTheme="majorBidi" w:cstheme="majorBidi"/>
                <w:lang w:val="en-GB"/>
              </w:rPr>
              <w:t>pants</w:t>
            </w:r>
          </w:p>
        </w:tc>
      </w:tr>
      <w:tr w:rsidR="006944F8" w:rsidRPr="00A94875" w14:paraId="721AA6D5" w14:textId="77777777" w:rsidTr="00071381">
        <w:tc>
          <w:tcPr>
            <w:tcW w:w="3828" w:type="dxa"/>
          </w:tcPr>
          <w:p w14:paraId="5051FC72"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TSAG Meeting</w:t>
            </w:r>
          </w:p>
          <w:p w14:paraId="744E9181"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Geneva 26 February- 2 March 2018</w:t>
            </w:r>
          </w:p>
        </w:tc>
        <w:tc>
          <w:tcPr>
            <w:tcW w:w="1701" w:type="dxa"/>
          </w:tcPr>
          <w:p w14:paraId="0530F7E1"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0</w:t>
            </w:r>
          </w:p>
        </w:tc>
        <w:tc>
          <w:tcPr>
            <w:tcW w:w="1559" w:type="dxa"/>
          </w:tcPr>
          <w:p w14:paraId="42A22983"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9</w:t>
            </w:r>
          </w:p>
          <w:p w14:paraId="621F57F6"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+ 2 cancelled</w:t>
            </w:r>
          </w:p>
        </w:tc>
        <w:tc>
          <w:tcPr>
            <w:tcW w:w="2551" w:type="dxa"/>
          </w:tcPr>
          <w:p w14:paraId="677E5C3F"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11 fellowships awarded</w:t>
            </w:r>
          </w:p>
          <w:p w14:paraId="75A5BB98"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9 participants</w:t>
            </w:r>
          </w:p>
        </w:tc>
      </w:tr>
      <w:tr w:rsidR="006944F8" w:rsidRPr="00A94875" w14:paraId="3D2AFB52" w14:textId="77777777" w:rsidTr="00071381">
        <w:tc>
          <w:tcPr>
            <w:tcW w:w="3828" w:type="dxa"/>
          </w:tcPr>
          <w:p w14:paraId="037F39E3"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5 (WP2/5) Meeting</w:t>
            </w:r>
          </w:p>
          <w:p w14:paraId="42DC5A5C"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Geneva 5-9 March 2018</w:t>
            </w:r>
          </w:p>
        </w:tc>
        <w:tc>
          <w:tcPr>
            <w:tcW w:w="1701" w:type="dxa"/>
          </w:tcPr>
          <w:p w14:paraId="1A834B4C"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w:t>
            </w:r>
          </w:p>
        </w:tc>
        <w:tc>
          <w:tcPr>
            <w:tcW w:w="1559" w:type="dxa"/>
          </w:tcPr>
          <w:p w14:paraId="39EC6E36"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0</w:t>
            </w:r>
          </w:p>
        </w:tc>
        <w:tc>
          <w:tcPr>
            <w:tcW w:w="2551" w:type="dxa"/>
          </w:tcPr>
          <w:p w14:paraId="3E4CF206"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 fellowship awarded</w:t>
            </w:r>
          </w:p>
          <w:p w14:paraId="28ED92F1"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 participant</w:t>
            </w:r>
          </w:p>
        </w:tc>
      </w:tr>
      <w:tr w:rsidR="006944F8" w:rsidRPr="00A94875" w14:paraId="767C439E" w14:textId="77777777" w:rsidTr="00071381">
        <w:tc>
          <w:tcPr>
            <w:tcW w:w="3828" w:type="dxa"/>
          </w:tcPr>
          <w:p w14:paraId="34F8557A"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12 RG-AFR Meeting</w:t>
            </w:r>
          </w:p>
          <w:p w14:paraId="35F3F73F"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lastRenderedPageBreak/>
              <w:t>Dakar, Senegal 19-23 March 2018</w:t>
            </w:r>
          </w:p>
        </w:tc>
        <w:tc>
          <w:tcPr>
            <w:tcW w:w="1701" w:type="dxa"/>
          </w:tcPr>
          <w:p w14:paraId="6B610220"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lastRenderedPageBreak/>
              <w:t>1</w:t>
            </w:r>
          </w:p>
        </w:tc>
        <w:tc>
          <w:tcPr>
            <w:tcW w:w="1559" w:type="dxa"/>
          </w:tcPr>
          <w:p w14:paraId="039B8874"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6 + 2 cancelled</w:t>
            </w:r>
          </w:p>
        </w:tc>
        <w:tc>
          <w:tcPr>
            <w:tcW w:w="2551" w:type="dxa"/>
          </w:tcPr>
          <w:p w14:paraId="00CE8351"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9 fellowships awarded</w:t>
            </w:r>
          </w:p>
          <w:p w14:paraId="0D905E3F"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7 participants</w:t>
            </w:r>
          </w:p>
        </w:tc>
      </w:tr>
      <w:tr w:rsidR="006944F8" w:rsidRPr="00A94875" w14:paraId="5D10C6E1" w14:textId="77777777" w:rsidTr="00071381">
        <w:tc>
          <w:tcPr>
            <w:tcW w:w="3828" w:type="dxa"/>
          </w:tcPr>
          <w:p w14:paraId="183AFA9A" w14:textId="4A7B667A" w:rsidR="006944F8" w:rsidRPr="00A94875" w:rsidRDefault="001F0C31" w:rsidP="00071381">
            <w:pPr>
              <w:spacing w:before="40" w:after="40"/>
              <w:rPr>
                <w:rFonts w:asciiTheme="majorBidi" w:hAnsiTheme="majorBidi" w:cstheme="majorBidi"/>
                <w:lang w:val="en-GB"/>
              </w:rPr>
            </w:pPr>
            <w:r w:rsidRPr="00A94875">
              <w:rPr>
                <w:rFonts w:asciiTheme="majorBidi" w:hAnsiTheme="majorBidi" w:cstheme="majorBidi"/>
                <w:lang w:val="en-GB"/>
              </w:rPr>
              <w:t>ITU-T Study Group 17</w:t>
            </w:r>
          </w:p>
          <w:p w14:paraId="29AC9AEC"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 xml:space="preserve"> Geneva 20-29 March 2018</w:t>
            </w:r>
          </w:p>
        </w:tc>
        <w:tc>
          <w:tcPr>
            <w:tcW w:w="1701" w:type="dxa"/>
          </w:tcPr>
          <w:p w14:paraId="5DC01351"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2</w:t>
            </w:r>
          </w:p>
        </w:tc>
        <w:tc>
          <w:tcPr>
            <w:tcW w:w="1559" w:type="dxa"/>
          </w:tcPr>
          <w:p w14:paraId="2CB2047C"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5</w:t>
            </w:r>
          </w:p>
          <w:p w14:paraId="4462DEC4"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+ 1 cancelled</w:t>
            </w:r>
          </w:p>
        </w:tc>
        <w:tc>
          <w:tcPr>
            <w:tcW w:w="2551" w:type="dxa"/>
          </w:tcPr>
          <w:p w14:paraId="2008D740"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8 fellowships awarded</w:t>
            </w:r>
          </w:p>
          <w:p w14:paraId="0E36881F"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7 participants</w:t>
            </w:r>
          </w:p>
        </w:tc>
      </w:tr>
      <w:tr w:rsidR="006944F8" w:rsidRPr="00A94875" w14:paraId="4AAA1A36" w14:textId="77777777" w:rsidTr="00071381">
        <w:tc>
          <w:tcPr>
            <w:tcW w:w="3828" w:type="dxa"/>
          </w:tcPr>
          <w:p w14:paraId="67AA99BA"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13 RG-AFR Meeting</w:t>
            </w:r>
          </w:p>
          <w:p w14:paraId="16D8554E"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Abidjan, Côte d’Ivoire 26-29 March 2018</w:t>
            </w:r>
          </w:p>
        </w:tc>
        <w:tc>
          <w:tcPr>
            <w:tcW w:w="1701" w:type="dxa"/>
          </w:tcPr>
          <w:p w14:paraId="044D57EC"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 + 1 cancelled</w:t>
            </w:r>
          </w:p>
        </w:tc>
        <w:tc>
          <w:tcPr>
            <w:tcW w:w="1559" w:type="dxa"/>
          </w:tcPr>
          <w:p w14:paraId="2632B042"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12</w:t>
            </w:r>
          </w:p>
          <w:p w14:paraId="01A09E4F"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+ 1 cancelled</w:t>
            </w:r>
          </w:p>
        </w:tc>
        <w:tc>
          <w:tcPr>
            <w:tcW w:w="2551" w:type="dxa"/>
          </w:tcPr>
          <w:p w14:paraId="09E5F75F"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15 fellowships awarded</w:t>
            </w:r>
          </w:p>
          <w:p w14:paraId="564FB39B"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13 participants</w:t>
            </w:r>
          </w:p>
        </w:tc>
      </w:tr>
      <w:tr w:rsidR="006944F8" w:rsidRPr="00A94875" w14:paraId="5FD211FA" w14:textId="77777777" w:rsidTr="00071381">
        <w:tc>
          <w:tcPr>
            <w:tcW w:w="3828" w:type="dxa"/>
          </w:tcPr>
          <w:p w14:paraId="7ABC6421" w14:textId="5888F17D"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w:t>
            </w:r>
            <w:r w:rsidR="001F0C31" w:rsidRPr="00A94875">
              <w:rPr>
                <w:rFonts w:asciiTheme="majorBidi" w:hAnsiTheme="majorBidi" w:cstheme="majorBidi"/>
                <w:lang w:val="en-GB"/>
              </w:rPr>
              <w:t xml:space="preserve">up 5 RG-AFR and SG5 RG-ARB and SG20 RG-AFR </w:t>
            </w:r>
            <w:r w:rsidRPr="00A94875">
              <w:rPr>
                <w:rFonts w:asciiTheme="majorBidi" w:hAnsiTheme="majorBidi" w:cstheme="majorBidi"/>
                <w:lang w:val="en-GB"/>
              </w:rPr>
              <w:t>Meetings (Green Standards Week)</w:t>
            </w:r>
          </w:p>
          <w:p w14:paraId="285A3003"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Zanzibar, Tanzania 9-12 April 2018</w:t>
            </w:r>
          </w:p>
        </w:tc>
        <w:tc>
          <w:tcPr>
            <w:tcW w:w="1701" w:type="dxa"/>
          </w:tcPr>
          <w:p w14:paraId="26F0BDD4"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3 + 1 cancelled</w:t>
            </w:r>
          </w:p>
        </w:tc>
        <w:tc>
          <w:tcPr>
            <w:tcW w:w="1559" w:type="dxa"/>
          </w:tcPr>
          <w:p w14:paraId="7CAF4694"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7</w:t>
            </w:r>
          </w:p>
          <w:p w14:paraId="6B33906D"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+ 1 cancelled</w:t>
            </w:r>
          </w:p>
        </w:tc>
        <w:tc>
          <w:tcPr>
            <w:tcW w:w="2551" w:type="dxa"/>
          </w:tcPr>
          <w:p w14:paraId="34389EC2"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12 fellowships awarded</w:t>
            </w:r>
          </w:p>
          <w:p w14:paraId="7B2F475F"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10 participants</w:t>
            </w:r>
          </w:p>
        </w:tc>
      </w:tr>
      <w:tr w:rsidR="006944F8" w:rsidRPr="00A94875" w14:paraId="4E028CFA" w14:textId="77777777" w:rsidTr="00071381">
        <w:tc>
          <w:tcPr>
            <w:tcW w:w="3828" w:type="dxa"/>
          </w:tcPr>
          <w:p w14:paraId="19089770"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3 Meeting</w:t>
            </w:r>
          </w:p>
          <w:p w14:paraId="79A66193"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Geneva 9-18 April 2018</w:t>
            </w:r>
          </w:p>
        </w:tc>
        <w:tc>
          <w:tcPr>
            <w:tcW w:w="1701" w:type="dxa"/>
          </w:tcPr>
          <w:p w14:paraId="7EFA45F3"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6 + 1 cancelled</w:t>
            </w:r>
          </w:p>
        </w:tc>
        <w:tc>
          <w:tcPr>
            <w:tcW w:w="1559" w:type="dxa"/>
          </w:tcPr>
          <w:p w14:paraId="625A7DBA"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7</w:t>
            </w:r>
          </w:p>
        </w:tc>
        <w:tc>
          <w:tcPr>
            <w:tcW w:w="2551" w:type="dxa"/>
          </w:tcPr>
          <w:p w14:paraId="44962B8D"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14 fellowships awarded</w:t>
            </w:r>
          </w:p>
          <w:p w14:paraId="5011980A"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 xml:space="preserve">13 participants </w:t>
            </w:r>
          </w:p>
        </w:tc>
      </w:tr>
      <w:tr w:rsidR="006944F8" w:rsidRPr="00A94875" w14:paraId="074583CC" w14:textId="77777777" w:rsidTr="00071381">
        <w:tc>
          <w:tcPr>
            <w:tcW w:w="3828" w:type="dxa"/>
          </w:tcPr>
          <w:p w14:paraId="52E72863"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11 RG-AFR Meeting</w:t>
            </w:r>
          </w:p>
          <w:p w14:paraId="09054871"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Tunis, Tunisia 23-25 April 2018</w:t>
            </w:r>
          </w:p>
        </w:tc>
        <w:tc>
          <w:tcPr>
            <w:tcW w:w="1701" w:type="dxa"/>
          </w:tcPr>
          <w:p w14:paraId="2AB8CECD"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w:t>
            </w:r>
          </w:p>
        </w:tc>
        <w:tc>
          <w:tcPr>
            <w:tcW w:w="1559" w:type="dxa"/>
          </w:tcPr>
          <w:p w14:paraId="0EE24759"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2</w:t>
            </w:r>
          </w:p>
        </w:tc>
        <w:tc>
          <w:tcPr>
            <w:tcW w:w="2551" w:type="dxa"/>
          </w:tcPr>
          <w:p w14:paraId="6B41AC86" w14:textId="77777777" w:rsidR="001F0C31" w:rsidRPr="00A94875" w:rsidRDefault="006944F8" w:rsidP="001F0C31">
            <w:pPr>
              <w:spacing w:before="40" w:after="40"/>
              <w:jc w:val="center"/>
              <w:rPr>
                <w:rFonts w:asciiTheme="majorBidi" w:hAnsiTheme="majorBidi" w:cstheme="majorBidi"/>
                <w:lang w:val="en-GB"/>
              </w:rPr>
            </w:pPr>
            <w:r w:rsidRPr="00A94875">
              <w:rPr>
                <w:rFonts w:asciiTheme="majorBidi" w:hAnsiTheme="majorBidi" w:cstheme="majorBidi"/>
                <w:lang w:val="en-GB"/>
              </w:rPr>
              <w:t>3 fellowships awarded</w:t>
            </w:r>
          </w:p>
          <w:p w14:paraId="19D7CFA4" w14:textId="7739460F" w:rsidR="006944F8" w:rsidRPr="00A94875" w:rsidRDefault="006944F8" w:rsidP="001F0C31">
            <w:pPr>
              <w:spacing w:before="40" w:after="40"/>
              <w:jc w:val="center"/>
              <w:rPr>
                <w:rFonts w:asciiTheme="majorBidi" w:hAnsiTheme="majorBidi" w:cstheme="majorBidi"/>
                <w:lang w:val="en-GB"/>
              </w:rPr>
            </w:pPr>
            <w:r w:rsidRPr="00A94875">
              <w:rPr>
                <w:rFonts w:asciiTheme="majorBidi" w:hAnsiTheme="majorBidi" w:cstheme="majorBidi"/>
                <w:lang w:val="en-GB"/>
              </w:rPr>
              <w:t>3 participants</w:t>
            </w:r>
          </w:p>
        </w:tc>
      </w:tr>
      <w:tr w:rsidR="006944F8" w:rsidRPr="00A94875" w14:paraId="4643528F" w14:textId="77777777" w:rsidTr="00071381">
        <w:tc>
          <w:tcPr>
            <w:tcW w:w="3828" w:type="dxa"/>
          </w:tcPr>
          <w:p w14:paraId="10DDEBF3"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2 RG-AFR and SG2 RG-ARB Meetings</w:t>
            </w:r>
          </w:p>
          <w:p w14:paraId="2CB17DA7"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Tunis, Tunisia 26-27 April 2018</w:t>
            </w:r>
          </w:p>
        </w:tc>
        <w:tc>
          <w:tcPr>
            <w:tcW w:w="1701" w:type="dxa"/>
          </w:tcPr>
          <w:p w14:paraId="302E483C"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2 + 1 cancelled</w:t>
            </w:r>
          </w:p>
        </w:tc>
        <w:tc>
          <w:tcPr>
            <w:tcW w:w="1559" w:type="dxa"/>
          </w:tcPr>
          <w:p w14:paraId="7A95F418"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5</w:t>
            </w:r>
          </w:p>
        </w:tc>
        <w:tc>
          <w:tcPr>
            <w:tcW w:w="2551" w:type="dxa"/>
          </w:tcPr>
          <w:p w14:paraId="65C235CD"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8 fellowships awarded</w:t>
            </w:r>
          </w:p>
          <w:p w14:paraId="6696E7B1"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7 participants</w:t>
            </w:r>
          </w:p>
        </w:tc>
      </w:tr>
      <w:tr w:rsidR="006944F8" w:rsidRPr="00A94875" w14:paraId="3B7AADF1" w14:textId="77777777" w:rsidTr="00071381">
        <w:tc>
          <w:tcPr>
            <w:tcW w:w="3828" w:type="dxa"/>
          </w:tcPr>
          <w:p w14:paraId="1FC308F3"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C&amp;I Training for AFR Region</w:t>
            </w:r>
          </w:p>
          <w:p w14:paraId="183B1351"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Tunis, Tunisia 30 April - 4 May 2018</w:t>
            </w:r>
          </w:p>
        </w:tc>
        <w:tc>
          <w:tcPr>
            <w:tcW w:w="1701" w:type="dxa"/>
          </w:tcPr>
          <w:p w14:paraId="2D60D761"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0</w:t>
            </w:r>
          </w:p>
        </w:tc>
        <w:tc>
          <w:tcPr>
            <w:tcW w:w="1559" w:type="dxa"/>
          </w:tcPr>
          <w:p w14:paraId="77336C9E"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8</w:t>
            </w:r>
          </w:p>
          <w:p w14:paraId="0ADAD513"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+ 2 cancelled</w:t>
            </w:r>
          </w:p>
        </w:tc>
        <w:tc>
          <w:tcPr>
            <w:tcW w:w="2551" w:type="dxa"/>
          </w:tcPr>
          <w:p w14:paraId="082CEE22"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10 fellowships awarded</w:t>
            </w:r>
          </w:p>
          <w:p w14:paraId="3EB8329E"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8 participants</w:t>
            </w:r>
          </w:p>
        </w:tc>
      </w:tr>
      <w:tr w:rsidR="006944F8" w:rsidRPr="00A94875" w14:paraId="75693754" w14:textId="77777777" w:rsidTr="00071381">
        <w:tc>
          <w:tcPr>
            <w:tcW w:w="3828" w:type="dxa"/>
          </w:tcPr>
          <w:p w14:paraId="6C6FC885"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12 Meeting</w:t>
            </w:r>
          </w:p>
          <w:p w14:paraId="176C8B95"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Geneva 1-10 May 2018</w:t>
            </w:r>
          </w:p>
        </w:tc>
        <w:tc>
          <w:tcPr>
            <w:tcW w:w="1701" w:type="dxa"/>
          </w:tcPr>
          <w:p w14:paraId="3A3390F2"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w:t>
            </w:r>
          </w:p>
        </w:tc>
        <w:tc>
          <w:tcPr>
            <w:tcW w:w="1559" w:type="dxa"/>
          </w:tcPr>
          <w:p w14:paraId="674C6822"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4</w:t>
            </w:r>
          </w:p>
          <w:p w14:paraId="7943C07B"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+ 1 cancelled</w:t>
            </w:r>
          </w:p>
        </w:tc>
        <w:tc>
          <w:tcPr>
            <w:tcW w:w="2551" w:type="dxa"/>
          </w:tcPr>
          <w:p w14:paraId="373C309C"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6 fellowships awarded</w:t>
            </w:r>
          </w:p>
          <w:p w14:paraId="1B21A951"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5 participants</w:t>
            </w:r>
          </w:p>
        </w:tc>
      </w:tr>
      <w:tr w:rsidR="006944F8" w:rsidRPr="00A94875" w14:paraId="4D386F07" w14:textId="77777777" w:rsidTr="00071381">
        <w:tc>
          <w:tcPr>
            <w:tcW w:w="3828" w:type="dxa"/>
          </w:tcPr>
          <w:p w14:paraId="607C867A"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20 Meeting</w:t>
            </w:r>
          </w:p>
          <w:p w14:paraId="243FE4FE"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 xml:space="preserve"> </w:t>
            </w:r>
            <w:r w:rsidRPr="00A94875">
              <w:rPr>
                <w:rFonts w:asciiTheme="majorBidi" w:hAnsiTheme="majorBidi" w:cstheme="majorBidi"/>
                <w:i/>
                <w:iCs/>
                <w:lang w:val="en-GB"/>
              </w:rPr>
              <w:t>Cairo, Egypt 6-16 May 2018</w:t>
            </w:r>
          </w:p>
        </w:tc>
        <w:tc>
          <w:tcPr>
            <w:tcW w:w="1701" w:type="dxa"/>
          </w:tcPr>
          <w:p w14:paraId="4240A29D"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2 + 1 cancelled</w:t>
            </w:r>
          </w:p>
        </w:tc>
        <w:tc>
          <w:tcPr>
            <w:tcW w:w="1559" w:type="dxa"/>
          </w:tcPr>
          <w:p w14:paraId="44AB3FAB"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5</w:t>
            </w:r>
          </w:p>
        </w:tc>
        <w:tc>
          <w:tcPr>
            <w:tcW w:w="2551" w:type="dxa"/>
          </w:tcPr>
          <w:p w14:paraId="78B66CC4"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8 fellowships awarded</w:t>
            </w:r>
          </w:p>
          <w:p w14:paraId="09779FC1"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7 participants</w:t>
            </w:r>
          </w:p>
        </w:tc>
      </w:tr>
      <w:tr w:rsidR="006944F8" w:rsidRPr="00A94875" w14:paraId="6256F2A1" w14:textId="77777777" w:rsidTr="00071381">
        <w:tc>
          <w:tcPr>
            <w:tcW w:w="3828" w:type="dxa"/>
          </w:tcPr>
          <w:p w14:paraId="09083710"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11 RG-EECAT and SG20RG-EECAT Meetings</w:t>
            </w:r>
          </w:p>
          <w:p w14:paraId="1B351A49"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Saint Petersburg, Russia 4-6 June 2018</w:t>
            </w:r>
          </w:p>
        </w:tc>
        <w:tc>
          <w:tcPr>
            <w:tcW w:w="1701" w:type="dxa"/>
          </w:tcPr>
          <w:p w14:paraId="5F3E2235"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0</w:t>
            </w:r>
          </w:p>
        </w:tc>
        <w:tc>
          <w:tcPr>
            <w:tcW w:w="1559" w:type="dxa"/>
          </w:tcPr>
          <w:p w14:paraId="6DB3343A"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w:t>
            </w:r>
          </w:p>
        </w:tc>
        <w:tc>
          <w:tcPr>
            <w:tcW w:w="2551" w:type="dxa"/>
          </w:tcPr>
          <w:p w14:paraId="0EE78145" w14:textId="58EC97B5" w:rsidR="006944F8" w:rsidRPr="00A94875" w:rsidRDefault="006944F8" w:rsidP="006D37AF">
            <w:pPr>
              <w:spacing w:before="40" w:after="40"/>
              <w:jc w:val="center"/>
              <w:rPr>
                <w:rFonts w:asciiTheme="majorBidi" w:hAnsiTheme="majorBidi" w:cstheme="majorBidi"/>
                <w:lang w:val="en-GB"/>
              </w:rPr>
            </w:pPr>
            <w:r w:rsidRPr="00A94875">
              <w:rPr>
                <w:rFonts w:asciiTheme="majorBidi" w:hAnsiTheme="majorBidi" w:cstheme="majorBidi"/>
                <w:lang w:val="en-GB"/>
              </w:rPr>
              <w:t>1 fellowship awar</w:t>
            </w:r>
            <w:r w:rsidR="006D37AF" w:rsidRPr="00A94875">
              <w:rPr>
                <w:rFonts w:asciiTheme="majorBidi" w:hAnsiTheme="majorBidi" w:cstheme="majorBidi"/>
                <w:lang w:val="en-GB"/>
              </w:rPr>
              <w:t>ded</w:t>
            </w:r>
            <w:r w:rsidRPr="00A94875">
              <w:rPr>
                <w:rFonts w:asciiTheme="majorBidi" w:hAnsiTheme="majorBidi" w:cstheme="majorBidi"/>
                <w:lang w:val="en-GB"/>
              </w:rPr>
              <w:br/>
              <w:t>1</w:t>
            </w:r>
            <w:r w:rsidR="00FA75CC" w:rsidRPr="00A94875">
              <w:rPr>
                <w:rFonts w:asciiTheme="majorBidi" w:hAnsiTheme="majorBidi" w:cstheme="majorBidi"/>
                <w:lang w:val="en-GB"/>
              </w:rPr>
              <w:t xml:space="preserve"> </w:t>
            </w:r>
            <w:r w:rsidRPr="00A94875">
              <w:rPr>
                <w:rFonts w:asciiTheme="majorBidi" w:hAnsiTheme="majorBidi" w:cstheme="majorBidi"/>
                <w:lang w:val="en-GB"/>
              </w:rPr>
              <w:t>participant</w:t>
            </w:r>
          </w:p>
        </w:tc>
      </w:tr>
      <w:tr w:rsidR="006944F8" w:rsidRPr="00A94875" w14:paraId="2A1AC92C" w14:textId="77777777" w:rsidTr="00071381">
        <w:tc>
          <w:tcPr>
            <w:tcW w:w="3828" w:type="dxa"/>
          </w:tcPr>
          <w:p w14:paraId="3CA6FE07"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 xml:space="preserve">ITU-T Study Group 2 Meeting, </w:t>
            </w:r>
          </w:p>
          <w:p w14:paraId="6D6C2FD4"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Geneva 4-13 July 2018</w:t>
            </w:r>
          </w:p>
        </w:tc>
        <w:tc>
          <w:tcPr>
            <w:tcW w:w="1701" w:type="dxa"/>
          </w:tcPr>
          <w:p w14:paraId="6A73B752"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0</w:t>
            </w:r>
          </w:p>
        </w:tc>
        <w:tc>
          <w:tcPr>
            <w:tcW w:w="1559" w:type="dxa"/>
          </w:tcPr>
          <w:p w14:paraId="744CC6C9"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5 + 1 cancelled</w:t>
            </w:r>
          </w:p>
        </w:tc>
        <w:tc>
          <w:tcPr>
            <w:tcW w:w="2551" w:type="dxa"/>
          </w:tcPr>
          <w:p w14:paraId="407312D7"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6 fellowships awarded</w:t>
            </w:r>
          </w:p>
          <w:p w14:paraId="19A6ABD5"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5 participants</w:t>
            </w:r>
          </w:p>
        </w:tc>
      </w:tr>
      <w:tr w:rsidR="006944F8" w:rsidRPr="00A94875" w14:paraId="5DFB7EA0" w14:textId="77777777" w:rsidTr="00071381">
        <w:tc>
          <w:tcPr>
            <w:tcW w:w="3828" w:type="dxa"/>
          </w:tcPr>
          <w:p w14:paraId="60A458B3"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16 Meeting</w:t>
            </w:r>
          </w:p>
          <w:p w14:paraId="1BEBC251" w14:textId="6612FBB5" w:rsidR="006944F8" w:rsidRPr="00A94875" w:rsidRDefault="001F0C31" w:rsidP="00071381">
            <w:pPr>
              <w:spacing w:before="40" w:after="40"/>
              <w:rPr>
                <w:rFonts w:asciiTheme="majorBidi" w:hAnsiTheme="majorBidi" w:cstheme="majorBidi"/>
                <w:lang w:val="en-GB"/>
              </w:rPr>
            </w:pPr>
            <w:r w:rsidRPr="00A94875">
              <w:rPr>
                <w:rFonts w:asciiTheme="majorBidi" w:hAnsiTheme="majorBidi" w:cstheme="majorBidi"/>
                <w:i/>
                <w:iCs/>
                <w:lang w:val="en-GB"/>
              </w:rPr>
              <w:t>Ljubljana, Slovenia 9 – 20 July</w:t>
            </w:r>
            <w:r w:rsidR="006944F8" w:rsidRPr="00A94875">
              <w:rPr>
                <w:rFonts w:asciiTheme="majorBidi" w:hAnsiTheme="majorBidi" w:cstheme="majorBidi"/>
                <w:i/>
                <w:iCs/>
                <w:lang w:val="en-GB"/>
              </w:rPr>
              <w:t xml:space="preserve"> 2018</w:t>
            </w:r>
          </w:p>
        </w:tc>
        <w:tc>
          <w:tcPr>
            <w:tcW w:w="1701" w:type="dxa"/>
          </w:tcPr>
          <w:p w14:paraId="3E8A577F"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0</w:t>
            </w:r>
          </w:p>
        </w:tc>
        <w:tc>
          <w:tcPr>
            <w:tcW w:w="1559" w:type="dxa"/>
          </w:tcPr>
          <w:p w14:paraId="5C4B7435"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2</w:t>
            </w:r>
          </w:p>
          <w:p w14:paraId="55B6039F"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+ 1 cancelled</w:t>
            </w:r>
          </w:p>
        </w:tc>
        <w:tc>
          <w:tcPr>
            <w:tcW w:w="2551" w:type="dxa"/>
          </w:tcPr>
          <w:p w14:paraId="42B5D9F5"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3 fellowships awarded</w:t>
            </w:r>
          </w:p>
          <w:p w14:paraId="557754C2"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2 participants</w:t>
            </w:r>
          </w:p>
        </w:tc>
      </w:tr>
      <w:tr w:rsidR="006944F8" w:rsidRPr="00A94875" w14:paraId="25F83B4C" w14:textId="77777777" w:rsidTr="00071381">
        <w:tc>
          <w:tcPr>
            <w:tcW w:w="3828" w:type="dxa"/>
          </w:tcPr>
          <w:p w14:paraId="1435AC66"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13 Meeting</w:t>
            </w:r>
          </w:p>
          <w:p w14:paraId="6A238A96"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Geneva 16-27 July 2018</w:t>
            </w:r>
          </w:p>
        </w:tc>
        <w:tc>
          <w:tcPr>
            <w:tcW w:w="1701" w:type="dxa"/>
          </w:tcPr>
          <w:p w14:paraId="70888BE8"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w:t>
            </w:r>
          </w:p>
        </w:tc>
        <w:tc>
          <w:tcPr>
            <w:tcW w:w="1559" w:type="dxa"/>
          </w:tcPr>
          <w:p w14:paraId="416C474E"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6 + 1 cancelled</w:t>
            </w:r>
          </w:p>
        </w:tc>
        <w:tc>
          <w:tcPr>
            <w:tcW w:w="2551" w:type="dxa"/>
          </w:tcPr>
          <w:p w14:paraId="71F85745"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8 fellowships awarded</w:t>
            </w:r>
          </w:p>
          <w:p w14:paraId="5F38ED66"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7 participants</w:t>
            </w:r>
          </w:p>
        </w:tc>
      </w:tr>
      <w:tr w:rsidR="006944F8" w:rsidRPr="00A94875" w14:paraId="4AD8757F" w14:textId="77777777" w:rsidTr="00071381">
        <w:tc>
          <w:tcPr>
            <w:tcW w:w="3828" w:type="dxa"/>
          </w:tcPr>
          <w:p w14:paraId="3F0792E6"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11 Meeting</w:t>
            </w:r>
          </w:p>
          <w:p w14:paraId="209B558D"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Geneva 18-27 July 2018</w:t>
            </w:r>
          </w:p>
        </w:tc>
        <w:tc>
          <w:tcPr>
            <w:tcW w:w="1701" w:type="dxa"/>
          </w:tcPr>
          <w:p w14:paraId="022DCD74"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0</w:t>
            </w:r>
          </w:p>
        </w:tc>
        <w:tc>
          <w:tcPr>
            <w:tcW w:w="1559" w:type="dxa"/>
          </w:tcPr>
          <w:p w14:paraId="322F9CB4"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7</w:t>
            </w:r>
          </w:p>
          <w:p w14:paraId="679B7CC2"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+ 2 cancelled</w:t>
            </w:r>
          </w:p>
        </w:tc>
        <w:tc>
          <w:tcPr>
            <w:tcW w:w="2551" w:type="dxa"/>
          </w:tcPr>
          <w:p w14:paraId="530E0760"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9 fellowships awarded</w:t>
            </w:r>
          </w:p>
          <w:p w14:paraId="5C3DD31A"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7 participants</w:t>
            </w:r>
          </w:p>
        </w:tc>
      </w:tr>
      <w:tr w:rsidR="006944F8" w:rsidRPr="00A94875" w14:paraId="202F37C9" w14:textId="77777777" w:rsidTr="00071381">
        <w:tc>
          <w:tcPr>
            <w:tcW w:w="3828" w:type="dxa"/>
          </w:tcPr>
          <w:p w14:paraId="6D2055F0"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3RG-AO Meeting</w:t>
            </w:r>
          </w:p>
          <w:p w14:paraId="0C8DB900"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Xi’an, China 28-31 August 2018</w:t>
            </w:r>
          </w:p>
        </w:tc>
        <w:tc>
          <w:tcPr>
            <w:tcW w:w="1701" w:type="dxa"/>
          </w:tcPr>
          <w:p w14:paraId="33FEDC30"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w:t>
            </w:r>
          </w:p>
        </w:tc>
        <w:tc>
          <w:tcPr>
            <w:tcW w:w="1559" w:type="dxa"/>
          </w:tcPr>
          <w:p w14:paraId="5351F733"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 + 1 cancelled</w:t>
            </w:r>
          </w:p>
        </w:tc>
        <w:tc>
          <w:tcPr>
            <w:tcW w:w="2551" w:type="dxa"/>
          </w:tcPr>
          <w:p w14:paraId="0A855099"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2 fellowships awarded</w:t>
            </w:r>
          </w:p>
          <w:p w14:paraId="3771B4BB"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 participant</w:t>
            </w:r>
          </w:p>
        </w:tc>
      </w:tr>
      <w:tr w:rsidR="006944F8" w:rsidRPr="00A94875" w14:paraId="015FBF64" w14:textId="77777777" w:rsidTr="00071381">
        <w:tc>
          <w:tcPr>
            <w:tcW w:w="3828" w:type="dxa"/>
          </w:tcPr>
          <w:p w14:paraId="4E7BE94B"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17 Meeting</w:t>
            </w:r>
          </w:p>
          <w:p w14:paraId="02B1C2D5"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lastRenderedPageBreak/>
              <w:t>Geneva, 29 August -7 September 2018</w:t>
            </w:r>
          </w:p>
        </w:tc>
        <w:tc>
          <w:tcPr>
            <w:tcW w:w="1701" w:type="dxa"/>
          </w:tcPr>
          <w:p w14:paraId="788C1E06"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lastRenderedPageBreak/>
              <w:t>3</w:t>
            </w:r>
          </w:p>
        </w:tc>
        <w:tc>
          <w:tcPr>
            <w:tcW w:w="1559" w:type="dxa"/>
          </w:tcPr>
          <w:p w14:paraId="3268B24F"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5 + 1 cancelled</w:t>
            </w:r>
          </w:p>
        </w:tc>
        <w:tc>
          <w:tcPr>
            <w:tcW w:w="2551" w:type="dxa"/>
          </w:tcPr>
          <w:p w14:paraId="758D6147"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9 fellowships awarded</w:t>
            </w:r>
          </w:p>
          <w:p w14:paraId="4BD9E62A"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8 participants</w:t>
            </w:r>
          </w:p>
        </w:tc>
      </w:tr>
      <w:tr w:rsidR="006944F8" w:rsidRPr="00A94875" w14:paraId="18BA144E" w14:textId="77777777" w:rsidTr="00071381">
        <w:tc>
          <w:tcPr>
            <w:tcW w:w="3828" w:type="dxa"/>
          </w:tcPr>
          <w:p w14:paraId="513E028B"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lang w:val="en-GB"/>
              </w:rPr>
              <w:t>ITU-T Study Group 5 Meeting</w:t>
            </w:r>
          </w:p>
          <w:p w14:paraId="52F47692" w14:textId="77777777" w:rsidR="006944F8" w:rsidRPr="00A94875" w:rsidRDefault="006944F8" w:rsidP="00071381">
            <w:pPr>
              <w:spacing w:before="40" w:after="40"/>
              <w:rPr>
                <w:rFonts w:asciiTheme="majorBidi" w:hAnsiTheme="majorBidi" w:cstheme="majorBidi"/>
                <w:lang w:val="en-GB"/>
              </w:rPr>
            </w:pPr>
            <w:r w:rsidRPr="00A94875">
              <w:rPr>
                <w:rFonts w:asciiTheme="majorBidi" w:hAnsiTheme="majorBidi" w:cstheme="majorBidi"/>
                <w:i/>
                <w:iCs/>
                <w:lang w:val="en-GB"/>
              </w:rPr>
              <w:t>Geneva 11-21 September 2018</w:t>
            </w:r>
          </w:p>
        </w:tc>
        <w:tc>
          <w:tcPr>
            <w:tcW w:w="1701" w:type="dxa"/>
          </w:tcPr>
          <w:p w14:paraId="0775AFCF"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5</w:t>
            </w:r>
          </w:p>
        </w:tc>
        <w:tc>
          <w:tcPr>
            <w:tcW w:w="1559" w:type="dxa"/>
          </w:tcPr>
          <w:p w14:paraId="48E659D6"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4 + 3 cancelled</w:t>
            </w:r>
          </w:p>
        </w:tc>
        <w:tc>
          <w:tcPr>
            <w:tcW w:w="2551" w:type="dxa"/>
          </w:tcPr>
          <w:p w14:paraId="48114514"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12 fellowships awarded</w:t>
            </w:r>
          </w:p>
          <w:p w14:paraId="5993DE0A" w14:textId="77777777" w:rsidR="006944F8" w:rsidRPr="00A94875" w:rsidRDefault="006944F8" w:rsidP="00071381">
            <w:pPr>
              <w:spacing w:before="40" w:after="40"/>
              <w:jc w:val="center"/>
              <w:rPr>
                <w:rFonts w:asciiTheme="majorBidi" w:hAnsiTheme="majorBidi" w:cstheme="majorBidi"/>
                <w:lang w:val="en-GB"/>
              </w:rPr>
            </w:pPr>
            <w:r w:rsidRPr="00A94875">
              <w:rPr>
                <w:rFonts w:asciiTheme="majorBidi" w:hAnsiTheme="majorBidi" w:cstheme="majorBidi"/>
                <w:lang w:val="en-GB"/>
              </w:rPr>
              <w:t>9 participants</w:t>
            </w:r>
          </w:p>
        </w:tc>
      </w:tr>
    </w:tbl>
    <w:p w14:paraId="35A9B2AD" w14:textId="7EB4B975" w:rsidR="006944F8" w:rsidRPr="00A94875" w:rsidRDefault="00D64AF8" w:rsidP="00EF080A">
      <w:pPr>
        <w:pStyle w:val="Heading2"/>
        <w:rPr>
          <w:rFonts w:asciiTheme="majorBidi" w:hAnsiTheme="majorBidi" w:cstheme="majorBidi"/>
          <w:lang w:val="en-GB"/>
        </w:rPr>
      </w:pPr>
      <w:bookmarkStart w:id="139" w:name="_Toc530571876"/>
      <w:bookmarkStart w:id="140" w:name="_Toc480527858"/>
      <w:r w:rsidRPr="00A94875">
        <w:rPr>
          <w:rFonts w:asciiTheme="majorBidi" w:hAnsiTheme="majorBidi" w:cstheme="majorBidi"/>
          <w:lang w:val="en-GB"/>
        </w:rPr>
        <w:t>7</w:t>
      </w:r>
      <w:r w:rsidR="006944F8" w:rsidRPr="00A94875">
        <w:rPr>
          <w:rFonts w:asciiTheme="majorBidi" w:hAnsiTheme="majorBidi" w:cstheme="majorBidi"/>
          <w:lang w:val="en-GB"/>
        </w:rPr>
        <w:t>.9</w:t>
      </w:r>
      <w:r w:rsidR="006944F8" w:rsidRPr="00A94875">
        <w:rPr>
          <w:rFonts w:asciiTheme="majorBidi" w:hAnsiTheme="majorBidi" w:cstheme="majorBidi"/>
          <w:lang w:val="en-GB"/>
        </w:rPr>
        <w:tab/>
      </w:r>
      <w:r w:rsidR="00EF080A" w:rsidRPr="00A94875">
        <w:rPr>
          <w:rFonts w:asciiTheme="majorBidi" w:hAnsiTheme="majorBidi" w:cstheme="majorBidi"/>
          <w:lang w:val="en-GB"/>
        </w:rPr>
        <w:t>Questionnaires for</w:t>
      </w:r>
      <w:r w:rsidR="006944F8" w:rsidRPr="00A94875">
        <w:rPr>
          <w:rFonts w:asciiTheme="majorBidi" w:hAnsiTheme="majorBidi" w:cstheme="majorBidi"/>
          <w:lang w:val="en-GB"/>
        </w:rPr>
        <w:t xml:space="preserve"> </w:t>
      </w:r>
      <w:r w:rsidR="00B72A2A" w:rsidRPr="00A94875">
        <w:rPr>
          <w:rFonts w:asciiTheme="majorBidi" w:hAnsiTheme="majorBidi" w:cstheme="majorBidi"/>
          <w:lang w:val="en-GB"/>
        </w:rPr>
        <w:t>d</w:t>
      </w:r>
      <w:r w:rsidR="006944F8" w:rsidRPr="00A94875">
        <w:rPr>
          <w:rFonts w:asciiTheme="majorBidi" w:hAnsiTheme="majorBidi" w:cstheme="majorBidi"/>
          <w:lang w:val="en-GB"/>
        </w:rPr>
        <w:t xml:space="preserve">eveloping </w:t>
      </w:r>
      <w:r w:rsidR="00B72A2A" w:rsidRPr="00A94875">
        <w:rPr>
          <w:rFonts w:asciiTheme="majorBidi" w:hAnsiTheme="majorBidi" w:cstheme="majorBidi"/>
          <w:lang w:val="en-GB"/>
        </w:rPr>
        <w:t>c</w:t>
      </w:r>
      <w:r w:rsidR="006944F8" w:rsidRPr="00A94875">
        <w:rPr>
          <w:rFonts w:asciiTheme="majorBidi" w:hAnsiTheme="majorBidi" w:cstheme="majorBidi"/>
          <w:lang w:val="en-GB"/>
        </w:rPr>
        <w:t>ountries</w:t>
      </w:r>
      <w:bookmarkEnd w:id="139"/>
    </w:p>
    <w:p w14:paraId="2F621C25" w14:textId="4CF3341F" w:rsidR="00564FEE" w:rsidRPr="00A94875" w:rsidRDefault="00EF080A" w:rsidP="0033393D">
      <w:pPr>
        <w:rPr>
          <w:szCs w:val="22"/>
          <w:lang w:val="en-GB"/>
        </w:rPr>
      </w:pPr>
      <w:r w:rsidRPr="00A94875">
        <w:rPr>
          <w:szCs w:val="22"/>
          <w:lang w:val="en-GB"/>
        </w:rPr>
        <w:t>Two questionnaires on</w:t>
      </w:r>
      <w:r w:rsidRPr="00A94875">
        <w:rPr>
          <w:i/>
          <w:iCs/>
          <w:szCs w:val="22"/>
          <w:lang w:val="en-GB"/>
        </w:rPr>
        <w:t xml:space="preserve"> </w:t>
      </w:r>
      <w:r w:rsidR="00B72A2A" w:rsidRPr="00A94875">
        <w:rPr>
          <w:szCs w:val="22"/>
          <w:lang w:val="en-GB"/>
        </w:rPr>
        <w:t>“</w:t>
      </w:r>
      <w:r w:rsidRPr="00A94875">
        <w:rPr>
          <w:szCs w:val="22"/>
          <w:lang w:val="en-GB"/>
        </w:rPr>
        <w:t>Big Data Adoption in Developing Countries</w:t>
      </w:r>
      <w:r w:rsidR="00B72A2A" w:rsidRPr="00A94875">
        <w:rPr>
          <w:szCs w:val="22"/>
          <w:lang w:val="en-GB"/>
        </w:rPr>
        <w:t>”</w:t>
      </w:r>
      <w:r w:rsidRPr="00A94875">
        <w:rPr>
          <w:szCs w:val="22"/>
          <w:lang w:val="en-GB"/>
        </w:rPr>
        <w:t xml:space="preserve"> and on </w:t>
      </w:r>
      <w:r w:rsidR="00B72A2A" w:rsidRPr="00A94875">
        <w:rPr>
          <w:szCs w:val="22"/>
          <w:lang w:val="en-GB"/>
        </w:rPr>
        <w:t>the “</w:t>
      </w:r>
      <w:r w:rsidRPr="00A94875">
        <w:rPr>
          <w:szCs w:val="22"/>
          <w:lang w:val="en-GB"/>
        </w:rPr>
        <w:t>Use of ITU-T Recommendations by Developing Countries</w:t>
      </w:r>
      <w:r w:rsidR="00B72A2A" w:rsidRPr="00A94875">
        <w:rPr>
          <w:szCs w:val="22"/>
          <w:lang w:val="en-GB"/>
        </w:rPr>
        <w:t>”</w:t>
      </w:r>
      <w:r w:rsidRPr="00A94875">
        <w:rPr>
          <w:b/>
          <w:bCs/>
          <w:szCs w:val="22"/>
          <w:lang w:val="en-GB"/>
        </w:rPr>
        <w:t xml:space="preserve"> </w:t>
      </w:r>
      <w:r w:rsidRPr="00A94875">
        <w:rPr>
          <w:szCs w:val="22"/>
          <w:lang w:val="en-GB"/>
        </w:rPr>
        <w:t xml:space="preserve">were </w:t>
      </w:r>
      <w:r w:rsidR="00B72A2A" w:rsidRPr="00A94875">
        <w:rPr>
          <w:szCs w:val="22"/>
          <w:lang w:val="en-GB"/>
        </w:rPr>
        <w:t xml:space="preserve">distributed in </w:t>
      </w:r>
      <w:r w:rsidRPr="00A94875">
        <w:rPr>
          <w:szCs w:val="22"/>
          <w:lang w:val="en-GB"/>
        </w:rPr>
        <w:t xml:space="preserve">July 2018. </w:t>
      </w:r>
    </w:p>
    <w:p w14:paraId="31A95224" w14:textId="292F022A" w:rsidR="00564FEE" w:rsidRPr="00A94875" w:rsidRDefault="00B72A2A" w:rsidP="009E5FFA">
      <w:pPr>
        <w:rPr>
          <w:szCs w:val="22"/>
          <w:lang w:val="en-GB"/>
        </w:rPr>
      </w:pPr>
      <w:r w:rsidRPr="00A94875">
        <w:rPr>
          <w:szCs w:val="22"/>
          <w:lang w:val="en-GB"/>
        </w:rPr>
        <w:t>R</w:t>
      </w:r>
      <w:r w:rsidR="00EF080A" w:rsidRPr="00A94875">
        <w:rPr>
          <w:szCs w:val="22"/>
          <w:lang w:val="en-GB"/>
        </w:rPr>
        <w:t xml:space="preserve">esponses </w:t>
      </w:r>
      <w:r w:rsidRPr="00A94875">
        <w:rPr>
          <w:szCs w:val="22"/>
          <w:lang w:val="en-GB"/>
        </w:rPr>
        <w:t xml:space="preserve">to the first questionnaire </w:t>
      </w:r>
      <w:r w:rsidR="00EF080A" w:rsidRPr="00A94875">
        <w:rPr>
          <w:szCs w:val="22"/>
          <w:lang w:val="en-GB"/>
        </w:rPr>
        <w:t xml:space="preserve">will </w:t>
      </w:r>
      <w:r w:rsidRPr="00A94875">
        <w:rPr>
          <w:szCs w:val="22"/>
          <w:lang w:val="en-GB"/>
        </w:rPr>
        <w:t>in</w:t>
      </w:r>
      <w:r w:rsidR="00EF080A" w:rsidRPr="00A94875">
        <w:rPr>
          <w:szCs w:val="22"/>
          <w:lang w:val="en-GB"/>
        </w:rPr>
        <w:t xml:space="preserve">form </w:t>
      </w:r>
      <w:r w:rsidRPr="00A94875">
        <w:rPr>
          <w:szCs w:val="22"/>
          <w:lang w:val="en-GB"/>
        </w:rPr>
        <w:t xml:space="preserve">the </w:t>
      </w:r>
      <w:r w:rsidR="00EF080A" w:rsidRPr="00A94875">
        <w:rPr>
          <w:szCs w:val="22"/>
          <w:lang w:val="en-GB"/>
        </w:rPr>
        <w:t xml:space="preserve">development of </w:t>
      </w:r>
      <w:r w:rsidR="009C4D1A" w:rsidRPr="00A94875">
        <w:rPr>
          <w:szCs w:val="22"/>
          <w:lang w:val="en-GB"/>
        </w:rPr>
        <w:t>a</w:t>
      </w:r>
      <w:r w:rsidR="00EF080A" w:rsidRPr="00A94875">
        <w:rPr>
          <w:szCs w:val="22"/>
          <w:lang w:val="en-GB"/>
        </w:rPr>
        <w:t xml:space="preserve"> new Supplement on </w:t>
      </w:r>
      <w:r w:rsidRPr="00A94875">
        <w:rPr>
          <w:szCs w:val="22"/>
          <w:lang w:val="en-GB"/>
        </w:rPr>
        <w:t>“</w:t>
      </w:r>
      <w:r w:rsidR="00EF080A" w:rsidRPr="00A94875">
        <w:rPr>
          <w:szCs w:val="22"/>
          <w:lang w:val="en-GB"/>
        </w:rPr>
        <w:t>Big Data Adoption in Developing Countries</w:t>
      </w:r>
      <w:r w:rsidRPr="00A94875">
        <w:rPr>
          <w:szCs w:val="22"/>
          <w:lang w:val="en-GB"/>
        </w:rPr>
        <w:t>”</w:t>
      </w:r>
      <w:r w:rsidR="00EF080A" w:rsidRPr="00A94875">
        <w:rPr>
          <w:szCs w:val="22"/>
          <w:lang w:val="en-GB"/>
        </w:rPr>
        <w:t xml:space="preserve">. </w:t>
      </w:r>
      <w:r w:rsidR="00564FEE" w:rsidRPr="00A94875">
        <w:rPr>
          <w:iCs/>
          <w:szCs w:val="22"/>
          <w:lang w:val="en-GB"/>
        </w:rPr>
        <w:t xml:space="preserve">The questionnaire is </w:t>
      </w:r>
      <w:r w:rsidR="00564FEE" w:rsidRPr="00A94875">
        <w:rPr>
          <w:szCs w:val="22"/>
          <w:lang w:val="en-GB"/>
        </w:rPr>
        <w:t xml:space="preserve">collecting data on the main opportunities, requirements, use cases and challenges relevant to Big Data adoption in developing countries. Its objective is to identify issues that </w:t>
      </w:r>
      <w:proofErr w:type="gramStart"/>
      <w:r w:rsidR="00564FEE" w:rsidRPr="00A94875">
        <w:rPr>
          <w:szCs w:val="22"/>
          <w:lang w:val="en-GB"/>
        </w:rPr>
        <w:t>could be addressed</w:t>
      </w:r>
      <w:proofErr w:type="gramEnd"/>
      <w:r w:rsidR="00564FEE" w:rsidRPr="00A94875">
        <w:rPr>
          <w:szCs w:val="22"/>
          <w:lang w:val="en-GB"/>
        </w:rPr>
        <w:t xml:space="preserve"> by ITU-T Recommendations or related guidelines on the adoption of Big Data technologies in these countries.</w:t>
      </w:r>
    </w:p>
    <w:p w14:paraId="5C417010" w14:textId="1947EFF8" w:rsidR="006944F8" w:rsidRPr="00A94875" w:rsidRDefault="00B72A2A" w:rsidP="0033393D">
      <w:pPr>
        <w:rPr>
          <w:szCs w:val="22"/>
          <w:lang w:val="en-GB"/>
        </w:rPr>
      </w:pPr>
      <w:r w:rsidRPr="00A94875">
        <w:rPr>
          <w:szCs w:val="22"/>
          <w:lang w:val="en-GB"/>
        </w:rPr>
        <w:t>R</w:t>
      </w:r>
      <w:r w:rsidR="00EF080A" w:rsidRPr="00A94875">
        <w:rPr>
          <w:szCs w:val="22"/>
          <w:lang w:val="en-GB"/>
        </w:rPr>
        <w:t>esponses to the second questionnaire will</w:t>
      </w:r>
      <w:r w:rsidR="00564FEE" w:rsidRPr="00A94875">
        <w:rPr>
          <w:szCs w:val="22"/>
          <w:lang w:val="en-GB"/>
        </w:rPr>
        <w:t xml:space="preserve"> support the </w:t>
      </w:r>
      <w:r w:rsidR="00EF080A" w:rsidRPr="00A94875">
        <w:rPr>
          <w:szCs w:val="22"/>
          <w:lang w:val="en-GB"/>
        </w:rPr>
        <w:t>promotion of ITU-T Recommendations in developing countries</w:t>
      </w:r>
      <w:r w:rsidR="00564FEE" w:rsidRPr="00A94875">
        <w:rPr>
          <w:szCs w:val="22"/>
          <w:lang w:val="en-GB"/>
        </w:rPr>
        <w:t xml:space="preserve">, </w:t>
      </w:r>
      <w:r w:rsidR="00EF080A" w:rsidRPr="00A94875">
        <w:rPr>
          <w:szCs w:val="22"/>
          <w:lang w:val="en-GB"/>
        </w:rPr>
        <w:t>contribut</w:t>
      </w:r>
      <w:r w:rsidR="00564FEE" w:rsidRPr="00A94875">
        <w:rPr>
          <w:szCs w:val="22"/>
          <w:lang w:val="en-GB"/>
        </w:rPr>
        <w:t xml:space="preserve">ing to the BSG programme. </w:t>
      </w:r>
      <w:r w:rsidR="006944F8" w:rsidRPr="00A94875">
        <w:rPr>
          <w:szCs w:val="22"/>
          <w:lang w:val="en-GB"/>
        </w:rPr>
        <w:t xml:space="preserve">The questionnaire </w:t>
      </w:r>
      <w:r w:rsidR="00564FEE" w:rsidRPr="00A94875">
        <w:rPr>
          <w:szCs w:val="22"/>
          <w:lang w:val="en-GB"/>
        </w:rPr>
        <w:t xml:space="preserve">is </w:t>
      </w:r>
      <w:r w:rsidR="006944F8" w:rsidRPr="00A94875">
        <w:rPr>
          <w:szCs w:val="22"/>
          <w:lang w:val="en-GB"/>
        </w:rPr>
        <w:t>collect</w:t>
      </w:r>
      <w:r w:rsidR="00564FEE" w:rsidRPr="00A94875">
        <w:rPr>
          <w:szCs w:val="22"/>
          <w:lang w:val="en-GB"/>
        </w:rPr>
        <w:t>ing</w:t>
      </w:r>
      <w:r w:rsidR="006944F8" w:rsidRPr="00A94875">
        <w:rPr>
          <w:szCs w:val="22"/>
          <w:lang w:val="en-GB"/>
        </w:rPr>
        <w:t xml:space="preserve"> information</w:t>
      </w:r>
      <w:r w:rsidR="00564FEE" w:rsidRPr="00A94875">
        <w:rPr>
          <w:szCs w:val="22"/>
          <w:lang w:val="en-GB"/>
        </w:rPr>
        <w:t xml:space="preserve"> on </w:t>
      </w:r>
      <w:r w:rsidR="006944F8" w:rsidRPr="00A94875">
        <w:rPr>
          <w:szCs w:val="22"/>
          <w:lang w:val="en-GB"/>
        </w:rPr>
        <w:t xml:space="preserve">how developing countries use ITU-T Recommendations </w:t>
      </w:r>
      <w:r w:rsidR="00564FEE" w:rsidRPr="00A94875">
        <w:rPr>
          <w:szCs w:val="22"/>
          <w:lang w:val="en-GB"/>
        </w:rPr>
        <w:t xml:space="preserve">and standards developed by other standards bodies. </w:t>
      </w:r>
    </w:p>
    <w:p w14:paraId="5574FC17" w14:textId="77CDB2BD" w:rsidR="006944F8" w:rsidRPr="00A94875" w:rsidRDefault="00D64AF8" w:rsidP="006944F8">
      <w:pPr>
        <w:pStyle w:val="Heading1"/>
        <w:rPr>
          <w:rFonts w:asciiTheme="majorBidi" w:hAnsiTheme="majorBidi" w:cstheme="majorBidi"/>
          <w:lang w:val="en-GB"/>
        </w:rPr>
      </w:pPr>
      <w:bookmarkStart w:id="141" w:name="_Toc530571877"/>
      <w:r w:rsidRPr="00A94875">
        <w:rPr>
          <w:rFonts w:asciiTheme="majorBidi" w:hAnsiTheme="majorBidi" w:cstheme="majorBidi"/>
          <w:lang w:val="en-GB"/>
        </w:rPr>
        <w:t>8</w:t>
      </w:r>
      <w:r w:rsidR="006944F8" w:rsidRPr="00A94875">
        <w:rPr>
          <w:rFonts w:asciiTheme="majorBidi" w:hAnsiTheme="majorBidi" w:cstheme="majorBidi"/>
          <w:lang w:val="en-GB"/>
        </w:rPr>
        <w:tab/>
        <w:t>Membership</w:t>
      </w:r>
      <w:bookmarkEnd w:id="109"/>
      <w:bookmarkEnd w:id="110"/>
      <w:bookmarkEnd w:id="111"/>
      <w:bookmarkEnd w:id="112"/>
      <w:bookmarkEnd w:id="113"/>
      <w:bookmarkEnd w:id="114"/>
      <w:bookmarkEnd w:id="115"/>
      <w:bookmarkEnd w:id="136"/>
      <w:bookmarkEnd w:id="137"/>
      <w:bookmarkEnd w:id="138"/>
      <w:bookmarkEnd w:id="140"/>
      <w:bookmarkEnd w:id="141"/>
    </w:p>
    <w:p w14:paraId="03F7D5E0" w14:textId="475034C6" w:rsidR="006944F8" w:rsidRPr="00A94875" w:rsidRDefault="00D64AF8" w:rsidP="00412E28">
      <w:pPr>
        <w:pStyle w:val="Heading2"/>
        <w:spacing w:before="120"/>
        <w:rPr>
          <w:rFonts w:asciiTheme="majorBidi" w:hAnsiTheme="majorBidi" w:cstheme="majorBidi"/>
          <w:lang w:val="en-GB"/>
        </w:rPr>
      </w:pPr>
      <w:bookmarkStart w:id="142" w:name="_Toc462664266"/>
      <w:bookmarkStart w:id="143" w:name="_Toc480527859"/>
      <w:bookmarkStart w:id="144" w:name="_Toc530571878"/>
      <w:r w:rsidRPr="00A94875">
        <w:rPr>
          <w:rFonts w:asciiTheme="majorBidi" w:hAnsiTheme="majorBidi" w:cstheme="majorBidi"/>
          <w:lang w:val="en-GB"/>
        </w:rPr>
        <w:t>8</w:t>
      </w:r>
      <w:r w:rsidR="006944F8" w:rsidRPr="00A94875">
        <w:rPr>
          <w:rFonts w:asciiTheme="majorBidi" w:hAnsiTheme="majorBidi" w:cstheme="majorBidi"/>
          <w:lang w:val="en-GB"/>
        </w:rPr>
        <w:t>.1</w:t>
      </w:r>
      <w:r w:rsidR="006944F8" w:rsidRPr="00A94875">
        <w:rPr>
          <w:rFonts w:asciiTheme="majorBidi" w:hAnsiTheme="majorBidi" w:cstheme="majorBidi"/>
          <w:lang w:val="en-GB"/>
        </w:rPr>
        <w:tab/>
        <w:t>Evolution of ITU-T membership</w:t>
      </w:r>
      <w:bookmarkEnd w:id="142"/>
      <w:bookmarkEnd w:id="143"/>
      <w:bookmarkEnd w:id="144"/>
    </w:p>
    <w:p w14:paraId="7999A193" w14:textId="6C3DCF99" w:rsidR="004209FC" w:rsidRPr="00A94875" w:rsidRDefault="004209FC" w:rsidP="009E5FFA">
      <w:pPr>
        <w:rPr>
          <w:rFonts w:eastAsia="SimSun"/>
          <w:szCs w:val="24"/>
          <w:lang w:val="en-GB"/>
        </w:rPr>
      </w:pPr>
      <w:r w:rsidRPr="00A94875">
        <w:rPr>
          <w:rFonts w:eastAsia="SimSun"/>
          <w:szCs w:val="24"/>
          <w:lang w:val="en-GB"/>
        </w:rPr>
        <w:t>ITU-T has achieved a significant net increase of 2</w:t>
      </w:r>
      <w:r w:rsidR="00E95E52" w:rsidRPr="00A94875">
        <w:rPr>
          <w:rFonts w:eastAsia="SimSun"/>
          <w:szCs w:val="24"/>
          <w:lang w:val="en-GB"/>
        </w:rPr>
        <w:t>6</w:t>
      </w:r>
      <w:r w:rsidRPr="00A94875">
        <w:rPr>
          <w:rFonts w:eastAsia="SimSun"/>
          <w:szCs w:val="24"/>
          <w:lang w:val="en-GB"/>
        </w:rPr>
        <w:t xml:space="preserve"> new memberships in 2018</w:t>
      </w:r>
      <w:r w:rsidR="00E95E52" w:rsidRPr="00A94875">
        <w:rPr>
          <w:rFonts w:eastAsia="SimSun"/>
          <w:szCs w:val="24"/>
          <w:lang w:val="en-GB"/>
        </w:rPr>
        <w:t>, a 92 per cent improvement over the net increase achieved in 2017</w:t>
      </w:r>
      <w:r w:rsidRPr="00A94875">
        <w:rPr>
          <w:rFonts w:eastAsia="SimSun"/>
          <w:szCs w:val="24"/>
          <w:lang w:val="en-GB"/>
        </w:rPr>
        <w:t>.</w:t>
      </w:r>
      <w:r w:rsidRPr="00A94875">
        <w:rPr>
          <w:rFonts w:eastAsia="SimSun"/>
          <w:bCs/>
          <w:szCs w:val="24"/>
          <w:lang w:val="en-GB"/>
        </w:rPr>
        <w:t xml:space="preserve"> </w:t>
      </w:r>
      <w:r w:rsidRPr="00A94875">
        <w:rPr>
          <w:rFonts w:eastAsia="SimSun"/>
          <w:szCs w:val="24"/>
          <w:lang w:val="en-GB"/>
        </w:rPr>
        <w:t>14 Sector Members and 29 Associates have joined ITU-T in 2018</w:t>
      </w:r>
      <w:r w:rsidR="00E95E52" w:rsidRPr="00A94875">
        <w:rPr>
          <w:rFonts w:eastAsia="SimSun"/>
          <w:szCs w:val="24"/>
          <w:lang w:val="en-GB"/>
        </w:rPr>
        <w:t>,</w:t>
      </w:r>
      <w:r w:rsidRPr="00A94875">
        <w:rPr>
          <w:rFonts w:eastAsia="SimSun"/>
          <w:szCs w:val="24"/>
          <w:lang w:val="en-GB"/>
        </w:rPr>
        <w:t xml:space="preserve"> amounting to 4</w:t>
      </w:r>
      <w:r w:rsidR="00E95E52" w:rsidRPr="00A94875">
        <w:rPr>
          <w:rFonts w:eastAsia="SimSun"/>
          <w:szCs w:val="24"/>
          <w:lang w:val="en-GB"/>
        </w:rPr>
        <w:t>3</w:t>
      </w:r>
      <w:r w:rsidRPr="00A94875">
        <w:rPr>
          <w:rFonts w:eastAsia="SimSun"/>
          <w:szCs w:val="24"/>
          <w:lang w:val="en-GB"/>
        </w:rPr>
        <w:t xml:space="preserve"> new members.</w:t>
      </w:r>
    </w:p>
    <w:p w14:paraId="15D87001" w14:textId="3024BB8E" w:rsidR="004209FC" w:rsidRPr="00A94875" w:rsidRDefault="00653C5B" w:rsidP="009E5FFA">
      <w:pPr>
        <w:rPr>
          <w:rFonts w:eastAsia="SimSun"/>
          <w:szCs w:val="24"/>
          <w:lang w:val="en-GB" w:eastAsia="ja-JP"/>
        </w:rPr>
      </w:pPr>
      <w:r w:rsidRPr="00A94875">
        <w:rPr>
          <w:rFonts w:eastAsia="SimSun"/>
          <w:szCs w:val="24"/>
          <w:lang w:val="en-GB" w:eastAsia="ja-JP"/>
        </w:rPr>
        <w:t xml:space="preserve">New </w:t>
      </w:r>
      <w:r w:rsidR="004209FC" w:rsidRPr="00A94875">
        <w:rPr>
          <w:rFonts w:eastAsia="SimSun"/>
          <w:szCs w:val="24"/>
          <w:lang w:val="en-GB" w:eastAsia="ja-JP"/>
        </w:rPr>
        <w:t xml:space="preserve">ITU-T </w:t>
      </w:r>
      <w:r w:rsidRPr="00A94875">
        <w:rPr>
          <w:rFonts w:eastAsia="SimSun"/>
          <w:szCs w:val="24"/>
          <w:lang w:val="en-GB" w:eastAsia="ja-JP"/>
        </w:rPr>
        <w:t xml:space="preserve">members include </w:t>
      </w:r>
      <w:r w:rsidR="0037553F" w:rsidRPr="00A94875">
        <w:rPr>
          <w:lang w:val="en-GB"/>
        </w:rPr>
        <w:t>mobile virtual network operators and enablers (MVNOs and MVNEs), manufacturers of unmanned aerial vehicles, telematics and automotive companies, OTT service providers, energy utilities, and companies specializing in quantum cryptography and quantum communications</w:t>
      </w:r>
      <w:r w:rsidR="004209FC" w:rsidRPr="00A94875">
        <w:rPr>
          <w:rFonts w:eastAsia="SimSun"/>
          <w:szCs w:val="24"/>
          <w:lang w:val="en-GB" w:eastAsia="ja-JP"/>
        </w:rPr>
        <w:t>.</w:t>
      </w:r>
    </w:p>
    <w:p w14:paraId="2B4D838C" w14:textId="77777777" w:rsidR="004209FC" w:rsidRPr="00A94875" w:rsidRDefault="004209FC" w:rsidP="004209FC">
      <w:pPr>
        <w:rPr>
          <w:rFonts w:eastAsia="SimSun"/>
          <w:szCs w:val="24"/>
          <w:lang w:val="en-GB" w:eastAsia="ja-JP"/>
        </w:rPr>
      </w:pPr>
      <w:r w:rsidRPr="00A94875">
        <w:rPr>
          <w:rFonts w:eastAsia="SimSun"/>
          <w:szCs w:val="24"/>
          <w:lang w:val="en-GB" w:eastAsia="ja-JP"/>
        </w:rPr>
        <w:t>Targeted membership outreach and campaigns – executed in collaboration by TSB Membership, Communications and Study Groups divisions – continue to show great promise in attracting and recruiting new ITU-T members.</w:t>
      </w:r>
    </w:p>
    <w:p w14:paraId="60CD28CE" w14:textId="57BC59A4" w:rsidR="0084775E" w:rsidRPr="00A94875" w:rsidRDefault="004209FC" w:rsidP="004209FC">
      <w:pPr>
        <w:rPr>
          <w:rFonts w:eastAsia="SimSun"/>
          <w:szCs w:val="24"/>
          <w:lang w:val="en-GB" w:eastAsia="ja-JP"/>
        </w:rPr>
      </w:pPr>
      <w:r w:rsidRPr="00A94875">
        <w:rPr>
          <w:rFonts w:eastAsia="SimSun"/>
          <w:szCs w:val="24"/>
          <w:lang w:val="en-GB" w:eastAsia="ja-JP"/>
        </w:rPr>
        <w:t>TSB Membership and Communications have put increased emphasis on tailored outreach to membership prospects while also enhancing the level of account management to ITU-T’s existing membership.</w:t>
      </w:r>
    </w:p>
    <w:p w14:paraId="48848C8B" w14:textId="77777777" w:rsidR="0084775E" w:rsidRPr="00A94875" w:rsidRDefault="0084775E" w:rsidP="0084775E">
      <w:pPr>
        <w:rPr>
          <w:szCs w:val="24"/>
          <w:u w:val="single"/>
          <w:lang w:val="en-GB" w:eastAsia="ja-JP"/>
        </w:rPr>
      </w:pPr>
      <w:r w:rsidRPr="00A94875">
        <w:rPr>
          <w:szCs w:val="24"/>
          <w:u w:val="single"/>
          <w:lang w:val="en-GB" w:eastAsia="ja-JP"/>
        </w:rPr>
        <w:t>New Sector Members since January 2018:</w:t>
      </w:r>
    </w:p>
    <w:p w14:paraId="51BD83C4" w14:textId="174E6AA6" w:rsidR="0084775E" w:rsidRPr="00A94875" w:rsidRDefault="004209FC" w:rsidP="0084775E">
      <w:pPr>
        <w:rPr>
          <w:szCs w:val="24"/>
          <w:lang w:val="en-GB" w:eastAsia="ja-JP"/>
        </w:rPr>
      </w:pPr>
      <w:proofErr w:type="gramStart"/>
      <w:r w:rsidRPr="00A94875">
        <w:rPr>
          <w:szCs w:val="24"/>
          <w:lang w:val="en-GB" w:eastAsia="ja-JP"/>
        </w:rPr>
        <w:t xml:space="preserve">Nepal Telecommunications Authority (NTA), SZ DJI Technology Co. Ltd., Telecom Regulatory Authority of India (TRAI), 360 Technology Co, Ltd., </w:t>
      </w:r>
      <w:proofErr w:type="spellStart"/>
      <w:r w:rsidRPr="00A94875">
        <w:rPr>
          <w:szCs w:val="24"/>
          <w:lang w:val="en-GB" w:eastAsia="ja-JP"/>
        </w:rPr>
        <w:t>OneWeb</w:t>
      </w:r>
      <w:proofErr w:type="spellEnd"/>
      <w:r w:rsidRPr="00A94875">
        <w:rPr>
          <w:szCs w:val="24"/>
          <w:lang w:val="en-GB" w:eastAsia="ja-JP"/>
        </w:rPr>
        <w:t xml:space="preserve">, </w:t>
      </w:r>
      <w:proofErr w:type="spellStart"/>
      <w:r w:rsidRPr="00A94875">
        <w:rPr>
          <w:szCs w:val="24"/>
          <w:lang w:val="en-GB" w:eastAsia="ja-JP"/>
        </w:rPr>
        <w:t>Bayernwerk</w:t>
      </w:r>
      <w:proofErr w:type="spellEnd"/>
      <w:r w:rsidRPr="00A94875">
        <w:rPr>
          <w:szCs w:val="24"/>
          <w:lang w:val="en-GB" w:eastAsia="ja-JP"/>
        </w:rPr>
        <w:t xml:space="preserve"> AG, ATDI, Common Market for Eastern &amp; Southern Africa (COMESA), Telematics Industry Application Alliance (TIAA), </w:t>
      </w:r>
      <w:proofErr w:type="spellStart"/>
      <w:r w:rsidRPr="00A94875">
        <w:rPr>
          <w:szCs w:val="24"/>
          <w:lang w:val="en-GB" w:eastAsia="ja-JP"/>
        </w:rPr>
        <w:t>Tencent</w:t>
      </w:r>
      <w:proofErr w:type="spellEnd"/>
      <w:r w:rsidRPr="00A94875">
        <w:rPr>
          <w:szCs w:val="24"/>
          <w:lang w:val="en-GB" w:eastAsia="ja-JP"/>
        </w:rPr>
        <w:t xml:space="preserve"> Technology (Shenzhen) Company Limited, Hangzhou </w:t>
      </w:r>
      <w:proofErr w:type="spellStart"/>
      <w:r w:rsidRPr="00A94875">
        <w:rPr>
          <w:szCs w:val="24"/>
          <w:lang w:val="en-GB" w:eastAsia="ja-JP"/>
        </w:rPr>
        <w:t>Hikvision</w:t>
      </w:r>
      <w:proofErr w:type="spellEnd"/>
      <w:r w:rsidRPr="00A94875">
        <w:rPr>
          <w:szCs w:val="24"/>
          <w:lang w:val="en-GB" w:eastAsia="ja-JP"/>
        </w:rPr>
        <w:t xml:space="preserve"> Digital Technology </w:t>
      </w:r>
      <w:proofErr w:type="spellStart"/>
      <w:r w:rsidRPr="00A94875">
        <w:rPr>
          <w:szCs w:val="24"/>
          <w:lang w:val="en-GB" w:eastAsia="ja-JP"/>
        </w:rPr>
        <w:t>Co.,Ltd</w:t>
      </w:r>
      <w:proofErr w:type="spellEnd"/>
      <w:r w:rsidRPr="00A94875">
        <w:rPr>
          <w:szCs w:val="24"/>
          <w:lang w:val="en-GB" w:eastAsia="ja-JP"/>
        </w:rPr>
        <w:t>., Information Science Academy of China Electronics Technology Group Corporation (ISA CETC), Tata Communications (UK) Limited, Yong Xin Hua Yun Cultural Development Corporation</w:t>
      </w:r>
      <w:r w:rsidR="0084775E" w:rsidRPr="00A94875">
        <w:rPr>
          <w:szCs w:val="24"/>
          <w:lang w:val="en-GB" w:eastAsia="ja-JP"/>
        </w:rPr>
        <w:t>.</w:t>
      </w:r>
      <w:proofErr w:type="gramEnd"/>
    </w:p>
    <w:p w14:paraId="2FE4C874" w14:textId="77777777" w:rsidR="004209FC" w:rsidRPr="00A94875" w:rsidRDefault="0084775E" w:rsidP="001A5609">
      <w:pPr>
        <w:keepNext/>
        <w:keepLines/>
        <w:rPr>
          <w:szCs w:val="24"/>
          <w:u w:val="single"/>
          <w:lang w:val="en-GB" w:eastAsia="ja-JP"/>
        </w:rPr>
      </w:pPr>
      <w:r w:rsidRPr="00A94875">
        <w:rPr>
          <w:szCs w:val="24"/>
          <w:u w:val="single"/>
          <w:lang w:val="en-GB" w:eastAsia="ja-JP"/>
        </w:rPr>
        <w:lastRenderedPageBreak/>
        <w:t>New Associates since January 2018:</w:t>
      </w:r>
    </w:p>
    <w:p w14:paraId="581FF4FA" w14:textId="2AC0AF18" w:rsidR="00412E28" w:rsidRPr="00A94875" w:rsidRDefault="004209FC" w:rsidP="001A5609">
      <w:pPr>
        <w:keepNext/>
        <w:keepLines/>
        <w:rPr>
          <w:szCs w:val="24"/>
          <w:u w:val="single"/>
          <w:lang w:val="en-GB" w:eastAsia="ja-JP"/>
        </w:rPr>
      </w:pPr>
      <w:proofErr w:type="gramStart"/>
      <w:r w:rsidRPr="00A94875">
        <w:rPr>
          <w:szCs w:val="24"/>
          <w:lang w:val="en-GB" w:eastAsia="ja-JP"/>
        </w:rPr>
        <w:t xml:space="preserve">Cubic Telecom Ltd. (SG2), </w:t>
      </w:r>
      <w:proofErr w:type="spellStart"/>
      <w:r w:rsidRPr="00A94875">
        <w:rPr>
          <w:szCs w:val="24"/>
          <w:lang w:val="en-GB" w:eastAsia="ja-JP"/>
        </w:rPr>
        <w:t>GloTell</w:t>
      </w:r>
      <w:proofErr w:type="spellEnd"/>
      <w:r w:rsidRPr="00A94875">
        <w:rPr>
          <w:szCs w:val="24"/>
          <w:lang w:val="en-GB" w:eastAsia="ja-JP"/>
        </w:rPr>
        <w:t xml:space="preserve"> B.V. (SG2), </w:t>
      </w:r>
      <w:proofErr w:type="spellStart"/>
      <w:r w:rsidRPr="00A94875">
        <w:rPr>
          <w:szCs w:val="24"/>
          <w:lang w:val="en-GB" w:eastAsia="ja-JP"/>
        </w:rPr>
        <w:t>Truphone</w:t>
      </w:r>
      <w:proofErr w:type="spellEnd"/>
      <w:r w:rsidRPr="00A94875">
        <w:rPr>
          <w:szCs w:val="24"/>
          <w:lang w:val="en-GB" w:eastAsia="ja-JP"/>
        </w:rPr>
        <w:t xml:space="preserve"> Limited (SG2), 1nce GmbH (SG2), Limitless Mobile Inc. (SG2), </w:t>
      </w:r>
      <w:proofErr w:type="spellStart"/>
      <w:r w:rsidRPr="00A94875">
        <w:rPr>
          <w:szCs w:val="24"/>
          <w:lang w:val="en-GB" w:eastAsia="ja-JP"/>
        </w:rPr>
        <w:t>JpU</w:t>
      </w:r>
      <w:proofErr w:type="spellEnd"/>
      <w:r w:rsidRPr="00A94875">
        <w:rPr>
          <w:szCs w:val="24"/>
          <w:lang w:val="en-GB" w:eastAsia="ja-JP"/>
        </w:rPr>
        <w:t xml:space="preserve"> Io Ltd. (SG2), Arm Limited (SG2), Internet Initiative Japan (SG3), XOX Com </w:t>
      </w:r>
      <w:proofErr w:type="spellStart"/>
      <w:r w:rsidRPr="00A94875">
        <w:rPr>
          <w:szCs w:val="24"/>
          <w:lang w:val="en-GB" w:eastAsia="ja-JP"/>
        </w:rPr>
        <w:t>Sdn</w:t>
      </w:r>
      <w:proofErr w:type="spellEnd"/>
      <w:r w:rsidRPr="00A94875">
        <w:rPr>
          <w:szCs w:val="24"/>
          <w:lang w:val="en-GB" w:eastAsia="ja-JP"/>
        </w:rPr>
        <w:t xml:space="preserve"> </w:t>
      </w:r>
      <w:proofErr w:type="spellStart"/>
      <w:r w:rsidRPr="00A94875">
        <w:rPr>
          <w:szCs w:val="24"/>
          <w:lang w:val="en-GB" w:eastAsia="ja-JP"/>
        </w:rPr>
        <w:t>Bhd</w:t>
      </w:r>
      <w:proofErr w:type="spellEnd"/>
      <w:r w:rsidRPr="00A94875">
        <w:rPr>
          <w:szCs w:val="24"/>
          <w:lang w:val="en-GB" w:eastAsia="ja-JP"/>
        </w:rPr>
        <w:t xml:space="preserve"> (SG3), </w:t>
      </w:r>
      <w:proofErr w:type="spellStart"/>
      <w:r w:rsidRPr="00A94875">
        <w:rPr>
          <w:szCs w:val="24"/>
          <w:lang w:val="en-GB" w:eastAsia="ja-JP"/>
        </w:rPr>
        <w:t>FraudBuster</w:t>
      </w:r>
      <w:proofErr w:type="spellEnd"/>
      <w:r w:rsidRPr="00A94875">
        <w:rPr>
          <w:szCs w:val="24"/>
          <w:lang w:val="en-GB" w:eastAsia="ja-JP"/>
        </w:rPr>
        <w:t xml:space="preserve"> (SG3), Xiamen SET Electronics Co., Ltd (SG5), Beijing </w:t>
      </w:r>
      <w:proofErr w:type="spellStart"/>
      <w:r w:rsidRPr="00A94875">
        <w:rPr>
          <w:szCs w:val="24"/>
          <w:lang w:val="en-GB" w:eastAsia="ja-JP"/>
        </w:rPr>
        <w:t>JiShi</w:t>
      </w:r>
      <w:proofErr w:type="spellEnd"/>
      <w:r w:rsidRPr="00A94875">
        <w:rPr>
          <w:szCs w:val="24"/>
          <w:lang w:val="en-GB" w:eastAsia="ja-JP"/>
        </w:rPr>
        <w:t xml:space="preserve"> </w:t>
      </w:r>
      <w:proofErr w:type="spellStart"/>
      <w:r w:rsidRPr="00A94875">
        <w:rPr>
          <w:szCs w:val="24"/>
          <w:lang w:val="en-GB" w:eastAsia="ja-JP"/>
        </w:rPr>
        <w:t>HuiTong</w:t>
      </w:r>
      <w:proofErr w:type="spellEnd"/>
      <w:r w:rsidRPr="00A94875">
        <w:rPr>
          <w:szCs w:val="24"/>
          <w:lang w:val="en-GB" w:eastAsia="ja-JP"/>
        </w:rPr>
        <w:t xml:space="preserve"> Technology </w:t>
      </w:r>
      <w:proofErr w:type="spellStart"/>
      <w:r w:rsidRPr="00A94875">
        <w:rPr>
          <w:szCs w:val="24"/>
          <w:lang w:val="en-GB" w:eastAsia="ja-JP"/>
        </w:rPr>
        <w:t>Co.,Ltd</w:t>
      </w:r>
      <w:proofErr w:type="spellEnd"/>
      <w:r w:rsidRPr="00A94875">
        <w:rPr>
          <w:szCs w:val="24"/>
          <w:lang w:val="en-GB" w:eastAsia="ja-JP"/>
        </w:rPr>
        <w:t xml:space="preserve"> (SG9), Shenzhen Skyworth Digital Technology Co. Ltd. (SG9), Toda Network Corporation (SG11), Botswana Fibre Networks (SG15), Yangtze Optical Fibre and Cable Joint Stock Limited Company (SG15), Power Plus Communications AG (SG15), </w:t>
      </w:r>
      <w:proofErr w:type="spellStart"/>
      <w:r w:rsidRPr="00A94875">
        <w:rPr>
          <w:szCs w:val="24"/>
          <w:lang w:val="en-GB" w:eastAsia="ja-JP"/>
        </w:rPr>
        <w:t>devolo</w:t>
      </w:r>
      <w:proofErr w:type="spellEnd"/>
      <w:r w:rsidRPr="00A94875">
        <w:rPr>
          <w:szCs w:val="24"/>
          <w:lang w:val="en-GB" w:eastAsia="ja-JP"/>
        </w:rPr>
        <w:t xml:space="preserve"> AG (SG15), </w:t>
      </w:r>
      <w:proofErr w:type="spellStart"/>
      <w:r w:rsidRPr="00A94875">
        <w:rPr>
          <w:szCs w:val="24"/>
          <w:lang w:val="en-GB" w:eastAsia="ja-JP"/>
        </w:rPr>
        <w:t>Corinex</w:t>
      </w:r>
      <w:proofErr w:type="spellEnd"/>
      <w:r w:rsidRPr="00A94875">
        <w:rPr>
          <w:szCs w:val="24"/>
          <w:lang w:val="en-GB" w:eastAsia="ja-JP"/>
        </w:rPr>
        <w:t xml:space="preserve"> Communications (SG15), Applied Optoelectronics, Inc.(SG15), Google </w:t>
      </w:r>
      <w:proofErr w:type="spellStart"/>
      <w:r w:rsidRPr="00A94875">
        <w:rPr>
          <w:szCs w:val="24"/>
          <w:lang w:val="en-GB" w:eastAsia="ja-JP"/>
        </w:rPr>
        <w:t>Fiber</w:t>
      </w:r>
      <w:proofErr w:type="spellEnd"/>
      <w:r w:rsidRPr="00A94875">
        <w:rPr>
          <w:szCs w:val="24"/>
          <w:lang w:val="en-GB" w:eastAsia="ja-JP"/>
        </w:rPr>
        <w:t xml:space="preserve"> (SG15), </w:t>
      </w:r>
      <w:proofErr w:type="spellStart"/>
      <w:r w:rsidRPr="00A94875">
        <w:rPr>
          <w:szCs w:val="24"/>
          <w:lang w:val="en-GB" w:eastAsia="ja-JP"/>
        </w:rPr>
        <w:t>Iberdrola</w:t>
      </w:r>
      <w:proofErr w:type="spellEnd"/>
      <w:r w:rsidRPr="00A94875">
        <w:rPr>
          <w:szCs w:val="24"/>
          <w:lang w:val="en-GB" w:eastAsia="ja-JP"/>
        </w:rPr>
        <w:t xml:space="preserve"> (SG15), BOE Technology Group Co. Ltd (SG16), </w:t>
      </w:r>
      <w:proofErr w:type="spellStart"/>
      <w:r w:rsidRPr="00A94875">
        <w:rPr>
          <w:szCs w:val="24"/>
          <w:lang w:val="en-GB" w:eastAsia="ja-JP"/>
        </w:rPr>
        <w:t>Guizhou</w:t>
      </w:r>
      <w:proofErr w:type="spellEnd"/>
      <w:r w:rsidRPr="00A94875">
        <w:rPr>
          <w:szCs w:val="24"/>
          <w:lang w:val="en-GB" w:eastAsia="ja-JP"/>
        </w:rPr>
        <w:t xml:space="preserve"> </w:t>
      </w:r>
      <w:proofErr w:type="spellStart"/>
      <w:r w:rsidRPr="00A94875">
        <w:rPr>
          <w:szCs w:val="24"/>
          <w:lang w:val="en-GB" w:eastAsia="ja-JP"/>
        </w:rPr>
        <w:t>Creco</w:t>
      </w:r>
      <w:proofErr w:type="spellEnd"/>
      <w:r w:rsidRPr="00A94875">
        <w:rPr>
          <w:szCs w:val="24"/>
          <w:lang w:val="en-GB" w:eastAsia="ja-JP"/>
        </w:rPr>
        <w:t xml:space="preserve"> Technology Ltd. (SG16), Shenzhen OLYM Information Security Technology Co. Ltd. (SG17), </w:t>
      </w:r>
      <w:proofErr w:type="spellStart"/>
      <w:r w:rsidRPr="00A94875">
        <w:rPr>
          <w:szCs w:val="24"/>
          <w:lang w:val="en-GB" w:eastAsia="ja-JP"/>
        </w:rPr>
        <w:t>itk</w:t>
      </w:r>
      <w:proofErr w:type="spellEnd"/>
      <w:r w:rsidRPr="00A94875">
        <w:rPr>
          <w:szCs w:val="24"/>
          <w:lang w:val="en-GB" w:eastAsia="ja-JP"/>
        </w:rPr>
        <w:t xml:space="preserve"> </w:t>
      </w:r>
      <w:proofErr w:type="spellStart"/>
      <w:r w:rsidRPr="00A94875">
        <w:rPr>
          <w:szCs w:val="24"/>
          <w:lang w:val="en-GB" w:eastAsia="ja-JP"/>
        </w:rPr>
        <w:t>AVtobvS</w:t>
      </w:r>
      <w:proofErr w:type="spellEnd"/>
      <w:r w:rsidRPr="00A94875">
        <w:rPr>
          <w:szCs w:val="24"/>
          <w:lang w:val="en-GB" w:eastAsia="ja-JP"/>
        </w:rPr>
        <w:t xml:space="preserve"> </w:t>
      </w:r>
      <w:proofErr w:type="spellStart"/>
      <w:r w:rsidRPr="00A94875">
        <w:rPr>
          <w:szCs w:val="24"/>
          <w:lang w:val="en-GB" w:eastAsia="ja-JP"/>
        </w:rPr>
        <w:t>Sarl</w:t>
      </w:r>
      <w:proofErr w:type="spellEnd"/>
      <w:r w:rsidRPr="00A94875">
        <w:rPr>
          <w:szCs w:val="24"/>
          <w:lang w:val="en-GB" w:eastAsia="ja-JP"/>
        </w:rPr>
        <w:t xml:space="preserve"> (SG17), ID </w:t>
      </w:r>
      <w:proofErr w:type="spellStart"/>
      <w:r w:rsidRPr="00A94875">
        <w:rPr>
          <w:szCs w:val="24"/>
          <w:lang w:val="en-GB" w:eastAsia="ja-JP"/>
        </w:rPr>
        <w:t>Quantique</w:t>
      </w:r>
      <w:proofErr w:type="spellEnd"/>
      <w:r w:rsidRPr="00A94875">
        <w:rPr>
          <w:szCs w:val="24"/>
          <w:lang w:val="en-GB" w:eastAsia="ja-JP"/>
        </w:rPr>
        <w:t xml:space="preserve"> (SG17), Quantum </w:t>
      </w:r>
      <w:proofErr w:type="spellStart"/>
      <w:r w:rsidRPr="00A94875">
        <w:rPr>
          <w:szCs w:val="24"/>
          <w:lang w:val="en-GB" w:eastAsia="ja-JP"/>
        </w:rPr>
        <w:t>Xchange</w:t>
      </w:r>
      <w:proofErr w:type="spellEnd"/>
      <w:r w:rsidRPr="00A94875">
        <w:rPr>
          <w:szCs w:val="24"/>
          <w:lang w:val="en-GB" w:eastAsia="ja-JP"/>
        </w:rPr>
        <w:t xml:space="preserve"> (SG17), Hudson Institute (SG17)</w:t>
      </w:r>
      <w:r w:rsidR="0084775E" w:rsidRPr="00A94875">
        <w:rPr>
          <w:szCs w:val="24"/>
          <w:lang w:val="en-GB" w:eastAsia="ja-JP"/>
        </w:rPr>
        <w:t>.</w:t>
      </w:r>
      <w:proofErr w:type="gramEnd"/>
    </w:p>
    <w:p w14:paraId="4B6A87D4" w14:textId="77777777" w:rsidR="00412E28" w:rsidRPr="00A94875" w:rsidRDefault="00412E28" w:rsidP="00412E28">
      <w:pPr>
        <w:spacing w:before="240"/>
        <w:rPr>
          <w:szCs w:val="24"/>
          <w:lang w:val="en-GB" w:eastAsia="ja-JP"/>
        </w:rPr>
      </w:pPr>
      <w:r w:rsidRPr="00A94875">
        <w:rPr>
          <w:szCs w:val="24"/>
          <w:lang w:val="en-GB" w:eastAsia="ja-JP"/>
        </w:rPr>
        <w:t>Total ITU-T Sector Members, Associates and Academia (2006-present):</w:t>
      </w:r>
    </w:p>
    <w:p w14:paraId="50E9B877" w14:textId="77777777" w:rsidR="00412E28" w:rsidRPr="00A94875" w:rsidRDefault="00412E28" w:rsidP="00412E28">
      <w:pPr>
        <w:keepNext/>
        <w:keepLines/>
        <w:spacing w:after="120"/>
        <w:jc w:val="center"/>
        <w:rPr>
          <w:b/>
          <w:lang w:val="en-GB"/>
        </w:rPr>
      </w:pPr>
      <w:r w:rsidRPr="00A94875">
        <w:rPr>
          <w:b/>
          <w:lang w:val="en-GB"/>
        </w:rPr>
        <w:t>Table 1: Evolution of ITU-T membership from 31 December 2006 to 31 October 2018</w:t>
      </w:r>
    </w:p>
    <w:tbl>
      <w:tblPr>
        <w:tblW w:w="10267" w:type="dxa"/>
        <w:jc w:val="center"/>
        <w:tblCellMar>
          <w:left w:w="0" w:type="dxa"/>
          <w:right w:w="0" w:type="dxa"/>
        </w:tblCellMar>
        <w:tblLook w:val="04A0" w:firstRow="1" w:lastRow="0" w:firstColumn="1" w:lastColumn="0" w:noHBand="0" w:noVBand="1"/>
      </w:tblPr>
      <w:tblGrid>
        <w:gridCol w:w="1739"/>
        <w:gridCol w:w="656"/>
        <w:gridCol w:w="656"/>
        <w:gridCol w:w="656"/>
        <w:gridCol w:w="656"/>
        <w:gridCol w:w="656"/>
        <w:gridCol w:w="656"/>
        <w:gridCol w:w="656"/>
        <w:gridCol w:w="656"/>
        <w:gridCol w:w="656"/>
        <w:gridCol w:w="656"/>
        <w:gridCol w:w="656"/>
        <w:gridCol w:w="656"/>
        <w:gridCol w:w="656"/>
      </w:tblGrid>
      <w:tr w:rsidR="00412E28" w:rsidRPr="00A94875" w14:paraId="1261BDAB" w14:textId="77777777" w:rsidTr="0089421A">
        <w:trPr>
          <w:tblHeader/>
          <w:jc w:val="center"/>
        </w:trPr>
        <w:tc>
          <w:tcPr>
            <w:tcW w:w="1739" w:type="dxa"/>
            <w:tcBorders>
              <w:top w:val="nil"/>
              <w:left w:val="nil"/>
              <w:bottom w:val="single" w:sz="12" w:space="0" w:color="auto"/>
              <w:right w:val="single" w:sz="12" w:space="0" w:color="auto"/>
            </w:tcBorders>
            <w:tcMar>
              <w:top w:w="0" w:type="dxa"/>
              <w:left w:w="108" w:type="dxa"/>
              <w:bottom w:w="0" w:type="dxa"/>
              <w:right w:w="108" w:type="dxa"/>
            </w:tcMar>
            <w:hideMark/>
          </w:tcPr>
          <w:p w14:paraId="31568F03" w14:textId="77777777" w:rsidR="00412E28" w:rsidRPr="00A94875" w:rsidRDefault="00412E28" w:rsidP="0089421A">
            <w:pPr>
              <w:rPr>
                <w:lang w:val="en-GB"/>
              </w:rPr>
            </w:pPr>
          </w:p>
        </w:tc>
        <w:tc>
          <w:tcPr>
            <w:tcW w:w="656"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60B94180" w14:textId="77777777" w:rsidR="00412E28" w:rsidRPr="00A94875" w:rsidRDefault="00412E28" w:rsidP="0089421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rFonts w:eastAsia="SimSun"/>
                <w:b/>
                <w:lang w:val="en-GB"/>
              </w:rPr>
            </w:pPr>
            <w:r w:rsidRPr="00A94875">
              <w:rPr>
                <w:b/>
                <w:sz w:val="20"/>
                <w:lang w:val="en-GB"/>
              </w:rPr>
              <w:t>2006</w:t>
            </w:r>
          </w:p>
        </w:tc>
        <w:tc>
          <w:tcPr>
            <w:tcW w:w="656"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3E12BC6B" w14:textId="77777777" w:rsidR="00412E28" w:rsidRPr="00A94875" w:rsidRDefault="00412E28" w:rsidP="0089421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lang w:val="en-GB"/>
              </w:rPr>
            </w:pPr>
            <w:r w:rsidRPr="00A94875">
              <w:rPr>
                <w:b/>
                <w:sz w:val="20"/>
                <w:lang w:val="en-GB"/>
              </w:rPr>
              <w:t>2007</w:t>
            </w:r>
          </w:p>
        </w:tc>
        <w:tc>
          <w:tcPr>
            <w:tcW w:w="656"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6FD32471" w14:textId="77777777" w:rsidR="00412E28" w:rsidRPr="00A94875" w:rsidRDefault="00412E28" w:rsidP="0089421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lang w:val="en-GB"/>
              </w:rPr>
            </w:pPr>
            <w:r w:rsidRPr="00A94875">
              <w:rPr>
                <w:b/>
                <w:sz w:val="20"/>
                <w:lang w:val="en-GB"/>
              </w:rPr>
              <w:t>2008</w:t>
            </w:r>
          </w:p>
        </w:tc>
        <w:tc>
          <w:tcPr>
            <w:tcW w:w="656"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1229FF83" w14:textId="77777777" w:rsidR="00412E28" w:rsidRPr="00A94875" w:rsidRDefault="00412E28" w:rsidP="0089421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lang w:val="en-GB"/>
              </w:rPr>
            </w:pPr>
            <w:r w:rsidRPr="00A94875">
              <w:rPr>
                <w:b/>
                <w:sz w:val="20"/>
                <w:lang w:val="en-GB"/>
              </w:rPr>
              <w:t>2009</w:t>
            </w:r>
          </w:p>
        </w:tc>
        <w:tc>
          <w:tcPr>
            <w:tcW w:w="656"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703BECD3" w14:textId="77777777" w:rsidR="00412E28" w:rsidRPr="00A94875" w:rsidRDefault="00412E28" w:rsidP="0089421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lang w:val="en-GB"/>
              </w:rPr>
            </w:pPr>
            <w:r w:rsidRPr="00A94875">
              <w:rPr>
                <w:b/>
                <w:sz w:val="20"/>
                <w:lang w:val="en-GB"/>
              </w:rPr>
              <w:t>2010</w:t>
            </w:r>
          </w:p>
        </w:tc>
        <w:tc>
          <w:tcPr>
            <w:tcW w:w="656"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45F9493F" w14:textId="77777777" w:rsidR="00412E28" w:rsidRPr="00A94875" w:rsidRDefault="00412E28" w:rsidP="0089421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lang w:val="en-GB"/>
              </w:rPr>
            </w:pPr>
            <w:r w:rsidRPr="00A94875">
              <w:rPr>
                <w:b/>
                <w:sz w:val="20"/>
                <w:lang w:val="en-GB"/>
              </w:rPr>
              <w:t>2011</w:t>
            </w:r>
          </w:p>
        </w:tc>
        <w:tc>
          <w:tcPr>
            <w:tcW w:w="656"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077BD3A0" w14:textId="77777777" w:rsidR="00412E28" w:rsidRPr="00A94875" w:rsidRDefault="00412E28" w:rsidP="0089421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lang w:val="en-GB"/>
              </w:rPr>
            </w:pPr>
            <w:r w:rsidRPr="00A94875">
              <w:rPr>
                <w:b/>
                <w:sz w:val="20"/>
                <w:lang w:val="en-GB"/>
              </w:rPr>
              <w:t>2012</w:t>
            </w:r>
          </w:p>
        </w:tc>
        <w:tc>
          <w:tcPr>
            <w:tcW w:w="656"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34725D85" w14:textId="77777777" w:rsidR="00412E28" w:rsidRPr="00A94875" w:rsidRDefault="00412E28" w:rsidP="0089421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lang w:val="en-GB"/>
              </w:rPr>
            </w:pPr>
            <w:r w:rsidRPr="00A94875">
              <w:rPr>
                <w:b/>
                <w:sz w:val="20"/>
                <w:lang w:val="en-GB"/>
              </w:rPr>
              <w:t>2013</w:t>
            </w:r>
          </w:p>
        </w:tc>
        <w:tc>
          <w:tcPr>
            <w:tcW w:w="656"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227A7A3B" w14:textId="77777777" w:rsidR="00412E28" w:rsidRPr="00A94875" w:rsidRDefault="00412E28" w:rsidP="0089421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lang w:val="en-GB"/>
              </w:rPr>
            </w:pPr>
            <w:r w:rsidRPr="00A94875">
              <w:rPr>
                <w:b/>
                <w:sz w:val="20"/>
                <w:lang w:val="en-GB"/>
              </w:rPr>
              <w:t>2014</w:t>
            </w:r>
          </w:p>
        </w:tc>
        <w:tc>
          <w:tcPr>
            <w:tcW w:w="656"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4FAFE4C7" w14:textId="77777777" w:rsidR="00412E28" w:rsidRPr="00A94875" w:rsidRDefault="00412E28" w:rsidP="0089421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lang w:val="en-GB"/>
              </w:rPr>
            </w:pPr>
            <w:r w:rsidRPr="00A94875">
              <w:rPr>
                <w:b/>
                <w:sz w:val="20"/>
                <w:lang w:val="en-GB"/>
              </w:rPr>
              <w:t>2015</w:t>
            </w:r>
          </w:p>
        </w:tc>
        <w:tc>
          <w:tcPr>
            <w:tcW w:w="656" w:type="dxa"/>
            <w:tcBorders>
              <w:top w:val="single" w:sz="12" w:space="0" w:color="auto"/>
              <w:left w:val="nil"/>
              <w:bottom w:val="single" w:sz="12" w:space="0" w:color="auto"/>
              <w:right w:val="single" w:sz="8" w:space="0" w:color="auto"/>
            </w:tcBorders>
            <w:tcMar>
              <w:top w:w="0" w:type="dxa"/>
              <w:left w:w="108" w:type="dxa"/>
              <w:bottom w:w="0" w:type="dxa"/>
              <w:right w:w="108" w:type="dxa"/>
            </w:tcMar>
            <w:hideMark/>
          </w:tcPr>
          <w:p w14:paraId="29E87ABD" w14:textId="77777777" w:rsidR="00412E28" w:rsidRPr="00A94875" w:rsidRDefault="00412E28" w:rsidP="0089421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lang w:val="en-GB"/>
              </w:rPr>
            </w:pPr>
            <w:r w:rsidRPr="00A94875">
              <w:rPr>
                <w:b/>
                <w:sz w:val="20"/>
                <w:lang w:val="en-GB"/>
              </w:rPr>
              <w:t>2016</w:t>
            </w:r>
          </w:p>
        </w:tc>
        <w:tc>
          <w:tcPr>
            <w:tcW w:w="656" w:type="dxa"/>
            <w:tcBorders>
              <w:top w:val="single" w:sz="12" w:space="0" w:color="auto"/>
              <w:left w:val="nil"/>
              <w:bottom w:val="single" w:sz="12" w:space="0" w:color="auto"/>
              <w:right w:val="single" w:sz="12" w:space="0" w:color="auto"/>
            </w:tcBorders>
            <w:tcMar>
              <w:top w:w="0" w:type="dxa"/>
              <w:left w:w="108" w:type="dxa"/>
              <w:bottom w:w="0" w:type="dxa"/>
              <w:right w:w="108" w:type="dxa"/>
            </w:tcMar>
            <w:hideMark/>
          </w:tcPr>
          <w:p w14:paraId="56B97355" w14:textId="77777777" w:rsidR="00412E28" w:rsidRPr="00A94875" w:rsidRDefault="00412E28" w:rsidP="0089421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lang w:val="en-GB"/>
              </w:rPr>
            </w:pPr>
            <w:r w:rsidRPr="00A94875">
              <w:rPr>
                <w:b/>
                <w:sz w:val="20"/>
                <w:lang w:val="en-GB"/>
              </w:rPr>
              <w:t>2017</w:t>
            </w:r>
          </w:p>
        </w:tc>
        <w:tc>
          <w:tcPr>
            <w:tcW w:w="656" w:type="dxa"/>
            <w:tcBorders>
              <w:top w:val="single" w:sz="12" w:space="0" w:color="auto"/>
              <w:left w:val="nil"/>
              <w:bottom w:val="single" w:sz="12" w:space="0" w:color="auto"/>
              <w:right w:val="single" w:sz="12" w:space="0" w:color="auto"/>
            </w:tcBorders>
            <w:hideMark/>
          </w:tcPr>
          <w:p w14:paraId="238A7972" w14:textId="77777777" w:rsidR="00412E28" w:rsidRPr="00A94875" w:rsidRDefault="00412E28" w:rsidP="0089421A">
            <w:pPr>
              <w:keepNext/>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rPr>
                <w:b/>
                <w:sz w:val="20"/>
                <w:lang w:val="en-GB"/>
              </w:rPr>
            </w:pPr>
            <w:r w:rsidRPr="00A94875">
              <w:rPr>
                <w:b/>
                <w:sz w:val="20"/>
                <w:lang w:val="en-GB"/>
              </w:rPr>
              <w:t>2018</w:t>
            </w:r>
          </w:p>
        </w:tc>
      </w:tr>
      <w:tr w:rsidR="004209FC" w:rsidRPr="00A94875" w14:paraId="416FC988" w14:textId="77777777" w:rsidTr="0089421A">
        <w:trPr>
          <w:jc w:val="center"/>
        </w:trPr>
        <w:tc>
          <w:tcPr>
            <w:tcW w:w="1739"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4AB605E3"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0"/>
                <w:lang w:val="en-GB"/>
              </w:rPr>
            </w:pPr>
            <w:r w:rsidRPr="00A94875">
              <w:rPr>
                <w:sz w:val="20"/>
                <w:lang w:val="en-GB"/>
              </w:rPr>
              <w:t>Sector Members</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440CBB38"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344</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37772072"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314</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70248BBB"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309</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4511685D"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294</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47DD931F"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273</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1A61F637"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271</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3B2F4950"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278</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201C57C8"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284</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7A6065B3"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274</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5F2A8042"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267</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7C87441B" w14:textId="483E8AA3"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254</w:t>
            </w:r>
          </w:p>
        </w:tc>
        <w:tc>
          <w:tcPr>
            <w:tcW w:w="656" w:type="dxa"/>
            <w:tcBorders>
              <w:top w:val="nil"/>
              <w:left w:val="nil"/>
              <w:bottom w:val="single" w:sz="8" w:space="0" w:color="auto"/>
              <w:right w:val="single" w:sz="12" w:space="0" w:color="auto"/>
            </w:tcBorders>
            <w:tcMar>
              <w:top w:w="0" w:type="dxa"/>
              <w:left w:w="108" w:type="dxa"/>
              <w:bottom w:w="0" w:type="dxa"/>
              <w:right w:w="108" w:type="dxa"/>
            </w:tcMar>
            <w:hideMark/>
          </w:tcPr>
          <w:p w14:paraId="6C4CC1BB"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0"/>
                <w:lang w:val="en-GB"/>
              </w:rPr>
            </w:pPr>
            <w:r w:rsidRPr="00A94875">
              <w:rPr>
                <w:sz w:val="20"/>
                <w:lang w:val="en-GB"/>
              </w:rPr>
              <w:t xml:space="preserve"> 258</w:t>
            </w:r>
          </w:p>
        </w:tc>
        <w:tc>
          <w:tcPr>
            <w:tcW w:w="656" w:type="dxa"/>
            <w:tcBorders>
              <w:top w:val="nil"/>
              <w:left w:val="nil"/>
              <w:bottom w:val="single" w:sz="8" w:space="0" w:color="auto"/>
              <w:right w:val="single" w:sz="12" w:space="0" w:color="auto"/>
            </w:tcBorders>
            <w:hideMark/>
          </w:tcPr>
          <w:p w14:paraId="57B121F0" w14:textId="0C3BF96D"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26</w:t>
            </w:r>
            <w:r w:rsidR="00057DFA" w:rsidRPr="00A94875">
              <w:rPr>
                <w:sz w:val="20"/>
                <w:lang w:val="en-GB"/>
              </w:rPr>
              <w:t>2</w:t>
            </w:r>
          </w:p>
        </w:tc>
      </w:tr>
      <w:tr w:rsidR="004209FC" w:rsidRPr="00A94875" w14:paraId="71CF1083" w14:textId="77777777" w:rsidTr="0089421A">
        <w:trPr>
          <w:jc w:val="center"/>
        </w:trPr>
        <w:tc>
          <w:tcPr>
            <w:tcW w:w="1739"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78933BF9"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0"/>
                <w:lang w:val="en-GB"/>
              </w:rPr>
            </w:pPr>
            <w:r w:rsidRPr="00A94875">
              <w:rPr>
                <w:sz w:val="20"/>
                <w:lang w:val="en-GB"/>
              </w:rPr>
              <w:t>Associates</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4370A9EE"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112</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5433EDA5"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116</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6730B924"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134</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533B90FD"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128</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2F361DDE"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125</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4A248CF6"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136</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7740A5DC"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144</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0627E9BA"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139</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443E4156"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134</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235D65FF"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134</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511EB4BD"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130</w:t>
            </w:r>
          </w:p>
        </w:tc>
        <w:tc>
          <w:tcPr>
            <w:tcW w:w="656" w:type="dxa"/>
            <w:tcBorders>
              <w:top w:val="nil"/>
              <w:left w:val="nil"/>
              <w:bottom w:val="single" w:sz="8" w:space="0" w:color="auto"/>
              <w:right w:val="single" w:sz="12" w:space="0" w:color="auto"/>
            </w:tcBorders>
            <w:tcMar>
              <w:top w:w="0" w:type="dxa"/>
              <w:left w:w="108" w:type="dxa"/>
              <w:bottom w:w="0" w:type="dxa"/>
              <w:right w:w="108" w:type="dxa"/>
            </w:tcMar>
            <w:hideMark/>
          </w:tcPr>
          <w:p w14:paraId="22088CFB" w14:textId="30F48625"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139</w:t>
            </w:r>
          </w:p>
        </w:tc>
        <w:tc>
          <w:tcPr>
            <w:tcW w:w="656" w:type="dxa"/>
            <w:tcBorders>
              <w:top w:val="nil"/>
              <w:left w:val="nil"/>
              <w:bottom w:val="single" w:sz="8" w:space="0" w:color="auto"/>
              <w:right w:val="single" w:sz="12" w:space="0" w:color="auto"/>
            </w:tcBorders>
            <w:hideMark/>
          </w:tcPr>
          <w:p w14:paraId="3D153640" w14:textId="3118076C"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161</w:t>
            </w:r>
          </w:p>
        </w:tc>
      </w:tr>
      <w:tr w:rsidR="004209FC" w:rsidRPr="00A94875" w14:paraId="39A8165D" w14:textId="77777777" w:rsidTr="0089421A">
        <w:trPr>
          <w:jc w:val="center"/>
        </w:trPr>
        <w:tc>
          <w:tcPr>
            <w:tcW w:w="1739" w:type="dxa"/>
            <w:tcBorders>
              <w:top w:val="nil"/>
              <w:left w:val="single" w:sz="12" w:space="0" w:color="auto"/>
              <w:bottom w:val="single" w:sz="8" w:space="0" w:color="auto"/>
              <w:right w:val="single" w:sz="8" w:space="0" w:color="auto"/>
            </w:tcBorders>
            <w:tcMar>
              <w:top w:w="0" w:type="dxa"/>
              <w:left w:w="108" w:type="dxa"/>
              <w:bottom w:w="0" w:type="dxa"/>
              <w:right w:w="108" w:type="dxa"/>
            </w:tcMar>
            <w:hideMark/>
          </w:tcPr>
          <w:p w14:paraId="2FB95492"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0"/>
                <w:lang w:val="en-GB"/>
              </w:rPr>
            </w:pPr>
            <w:r w:rsidRPr="00A94875">
              <w:rPr>
                <w:sz w:val="20"/>
                <w:lang w:val="en-GB"/>
              </w:rPr>
              <w:t>Academia</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73EE3CED"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noBreakHyphen/>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15A452C7"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noBreakHyphen/>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5C084760"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noBreakHyphen/>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44A718B9"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noBreakHyphen/>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596C4BCB"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noBreakHyphen/>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2AA49BBD"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25</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07F77835"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36</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3BCB34DD"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45</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7DB7D12E"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86</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0FE0DC2F"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109</w:t>
            </w:r>
          </w:p>
        </w:tc>
        <w:tc>
          <w:tcPr>
            <w:tcW w:w="656" w:type="dxa"/>
            <w:tcBorders>
              <w:top w:val="nil"/>
              <w:left w:val="nil"/>
              <w:bottom w:val="single" w:sz="8" w:space="0" w:color="auto"/>
              <w:right w:val="single" w:sz="8" w:space="0" w:color="auto"/>
            </w:tcBorders>
            <w:tcMar>
              <w:top w:w="0" w:type="dxa"/>
              <w:left w:w="108" w:type="dxa"/>
              <w:bottom w:w="0" w:type="dxa"/>
              <w:right w:w="108" w:type="dxa"/>
            </w:tcMar>
            <w:hideMark/>
          </w:tcPr>
          <w:p w14:paraId="406B9DF6"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107</w:t>
            </w:r>
          </w:p>
        </w:tc>
        <w:tc>
          <w:tcPr>
            <w:tcW w:w="656" w:type="dxa"/>
            <w:tcBorders>
              <w:top w:val="nil"/>
              <w:left w:val="nil"/>
              <w:bottom w:val="single" w:sz="8" w:space="0" w:color="auto"/>
              <w:right w:val="single" w:sz="12" w:space="0" w:color="auto"/>
            </w:tcBorders>
            <w:tcMar>
              <w:top w:w="0" w:type="dxa"/>
              <w:left w:w="108" w:type="dxa"/>
              <w:bottom w:w="0" w:type="dxa"/>
              <w:right w:w="108" w:type="dxa"/>
            </w:tcMar>
            <w:hideMark/>
          </w:tcPr>
          <w:p w14:paraId="7B97CA9E"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125</w:t>
            </w:r>
          </w:p>
        </w:tc>
        <w:tc>
          <w:tcPr>
            <w:tcW w:w="656" w:type="dxa"/>
            <w:tcBorders>
              <w:top w:val="nil"/>
              <w:left w:val="nil"/>
              <w:bottom w:val="single" w:sz="8" w:space="0" w:color="auto"/>
              <w:right w:val="single" w:sz="12" w:space="0" w:color="auto"/>
            </w:tcBorders>
            <w:hideMark/>
          </w:tcPr>
          <w:p w14:paraId="094510F4" w14:textId="454B16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154</w:t>
            </w:r>
          </w:p>
        </w:tc>
      </w:tr>
      <w:tr w:rsidR="004209FC" w:rsidRPr="00A94875" w14:paraId="3AEB0D07" w14:textId="77777777" w:rsidTr="0089421A">
        <w:trPr>
          <w:jc w:val="center"/>
        </w:trPr>
        <w:tc>
          <w:tcPr>
            <w:tcW w:w="1739" w:type="dxa"/>
            <w:tcBorders>
              <w:top w:val="nil"/>
              <w:left w:val="single" w:sz="12" w:space="0" w:color="auto"/>
              <w:bottom w:val="single" w:sz="12" w:space="0" w:color="auto"/>
              <w:right w:val="single" w:sz="8" w:space="0" w:color="auto"/>
            </w:tcBorders>
            <w:tcMar>
              <w:top w:w="0" w:type="dxa"/>
              <w:left w:w="108" w:type="dxa"/>
              <w:bottom w:w="0" w:type="dxa"/>
              <w:right w:w="108" w:type="dxa"/>
            </w:tcMar>
            <w:hideMark/>
          </w:tcPr>
          <w:p w14:paraId="006ED0B2"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0"/>
                <w:lang w:val="en-GB"/>
              </w:rPr>
            </w:pPr>
            <w:r w:rsidRPr="00A94875">
              <w:rPr>
                <w:sz w:val="20"/>
                <w:lang w:val="en-GB"/>
              </w:rPr>
              <w:t xml:space="preserve">TOTAL </w:t>
            </w:r>
          </w:p>
        </w:tc>
        <w:tc>
          <w:tcPr>
            <w:tcW w:w="656" w:type="dxa"/>
            <w:tcBorders>
              <w:top w:val="nil"/>
              <w:left w:val="nil"/>
              <w:bottom w:val="single" w:sz="12" w:space="0" w:color="auto"/>
              <w:right w:val="single" w:sz="8" w:space="0" w:color="auto"/>
            </w:tcBorders>
            <w:tcMar>
              <w:top w:w="0" w:type="dxa"/>
              <w:left w:w="108" w:type="dxa"/>
              <w:bottom w:w="0" w:type="dxa"/>
              <w:right w:w="108" w:type="dxa"/>
            </w:tcMar>
            <w:hideMark/>
          </w:tcPr>
          <w:p w14:paraId="3648E726"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456</w:t>
            </w:r>
          </w:p>
        </w:tc>
        <w:tc>
          <w:tcPr>
            <w:tcW w:w="656" w:type="dxa"/>
            <w:tcBorders>
              <w:top w:val="nil"/>
              <w:left w:val="nil"/>
              <w:bottom w:val="single" w:sz="12" w:space="0" w:color="auto"/>
              <w:right w:val="single" w:sz="8" w:space="0" w:color="auto"/>
            </w:tcBorders>
            <w:tcMar>
              <w:top w:w="0" w:type="dxa"/>
              <w:left w:w="108" w:type="dxa"/>
              <w:bottom w:w="0" w:type="dxa"/>
              <w:right w:w="108" w:type="dxa"/>
            </w:tcMar>
            <w:hideMark/>
          </w:tcPr>
          <w:p w14:paraId="25D87646"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430</w:t>
            </w:r>
          </w:p>
        </w:tc>
        <w:tc>
          <w:tcPr>
            <w:tcW w:w="656" w:type="dxa"/>
            <w:tcBorders>
              <w:top w:val="nil"/>
              <w:left w:val="nil"/>
              <w:bottom w:val="single" w:sz="12" w:space="0" w:color="auto"/>
              <w:right w:val="single" w:sz="8" w:space="0" w:color="auto"/>
            </w:tcBorders>
            <w:tcMar>
              <w:top w:w="0" w:type="dxa"/>
              <w:left w:w="108" w:type="dxa"/>
              <w:bottom w:w="0" w:type="dxa"/>
              <w:right w:w="108" w:type="dxa"/>
            </w:tcMar>
            <w:hideMark/>
          </w:tcPr>
          <w:p w14:paraId="7C3E15B8"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443</w:t>
            </w:r>
          </w:p>
        </w:tc>
        <w:tc>
          <w:tcPr>
            <w:tcW w:w="656" w:type="dxa"/>
            <w:tcBorders>
              <w:top w:val="nil"/>
              <w:left w:val="nil"/>
              <w:bottom w:val="single" w:sz="12" w:space="0" w:color="auto"/>
              <w:right w:val="single" w:sz="8" w:space="0" w:color="auto"/>
            </w:tcBorders>
            <w:tcMar>
              <w:top w:w="0" w:type="dxa"/>
              <w:left w:w="108" w:type="dxa"/>
              <w:bottom w:w="0" w:type="dxa"/>
              <w:right w:w="108" w:type="dxa"/>
            </w:tcMar>
            <w:hideMark/>
          </w:tcPr>
          <w:p w14:paraId="74D4402E"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422</w:t>
            </w:r>
          </w:p>
        </w:tc>
        <w:tc>
          <w:tcPr>
            <w:tcW w:w="656" w:type="dxa"/>
            <w:tcBorders>
              <w:top w:val="nil"/>
              <w:left w:val="nil"/>
              <w:bottom w:val="single" w:sz="12" w:space="0" w:color="auto"/>
              <w:right w:val="single" w:sz="8" w:space="0" w:color="auto"/>
            </w:tcBorders>
            <w:tcMar>
              <w:top w:w="0" w:type="dxa"/>
              <w:left w:w="108" w:type="dxa"/>
              <w:bottom w:w="0" w:type="dxa"/>
              <w:right w:w="108" w:type="dxa"/>
            </w:tcMar>
            <w:hideMark/>
          </w:tcPr>
          <w:p w14:paraId="0DAF2D29"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398</w:t>
            </w:r>
          </w:p>
        </w:tc>
        <w:tc>
          <w:tcPr>
            <w:tcW w:w="656" w:type="dxa"/>
            <w:tcBorders>
              <w:top w:val="nil"/>
              <w:left w:val="nil"/>
              <w:bottom w:val="single" w:sz="12" w:space="0" w:color="auto"/>
              <w:right w:val="single" w:sz="8" w:space="0" w:color="auto"/>
            </w:tcBorders>
            <w:tcMar>
              <w:top w:w="0" w:type="dxa"/>
              <w:left w:w="108" w:type="dxa"/>
              <w:bottom w:w="0" w:type="dxa"/>
              <w:right w:w="108" w:type="dxa"/>
            </w:tcMar>
            <w:hideMark/>
          </w:tcPr>
          <w:p w14:paraId="14642888"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432</w:t>
            </w:r>
          </w:p>
        </w:tc>
        <w:tc>
          <w:tcPr>
            <w:tcW w:w="656" w:type="dxa"/>
            <w:tcBorders>
              <w:top w:val="nil"/>
              <w:left w:val="nil"/>
              <w:bottom w:val="single" w:sz="12" w:space="0" w:color="auto"/>
              <w:right w:val="single" w:sz="8" w:space="0" w:color="auto"/>
            </w:tcBorders>
            <w:tcMar>
              <w:top w:w="0" w:type="dxa"/>
              <w:left w:w="108" w:type="dxa"/>
              <w:bottom w:w="0" w:type="dxa"/>
              <w:right w:w="108" w:type="dxa"/>
            </w:tcMar>
            <w:hideMark/>
          </w:tcPr>
          <w:p w14:paraId="6173AA71"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458</w:t>
            </w:r>
          </w:p>
        </w:tc>
        <w:tc>
          <w:tcPr>
            <w:tcW w:w="656" w:type="dxa"/>
            <w:tcBorders>
              <w:top w:val="nil"/>
              <w:left w:val="nil"/>
              <w:bottom w:val="single" w:sz="12" w:space="0" w:color="auto"/>
              <w:right w:val="single" w:sz="8" w:space="0" w:color="auto"/>
            </w:tcBorders>
            <w:tcMar>
              <w:top w:w="0" w:type="dxa"/>
              <w:left w:w="108" w:type="dxa"/>
              <w:bottom w:w="0" w:type="dxa"/>
              <w:right w:w="108" w:type="dxa"/>
            </w:tcMar>
            <w:hideMark/>
          </w:tcPr>
          <w:p w14:paraId="2D5EA45E"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468</w:t>
            </w:r>
          </w:p>
        </w:tc>
        <w:tc>
          <w:tcPr>
            <w:tcW w:w="656" w:type="dxa"/>
            <w:tcBorders>
              <w:top w:val="nil"/>
              <w:left w:val="nil"/>
              <w:bottom w:val="single" w:sz="12" w:space="0" w:color="auto"/>
              <w:right w:val="single" w:sz="8" w:space="0" w:color="auto"/>
            </w:tcBorders>
            <w:tcMar>
              <w:top w:w="0" w:type="dxa"/>
              <w:left w:w="108" w:type="dxa"/>
              <w:bottom w:w="0" w:type="dxa"/>
              <w:right w:w="108" w:type="dxa"/>
            </w:tcMar>
            <w:hideMark/>
          </w:tcPr>
          <w:p w14:paraId="22D47288"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494</w:t>
            </w:r>
          </w:p>
        </w:tc>
        <w:tc>
          <w:tcPr>
            <w:tcW w:w="656" w:type="dxa"/>
            <w:tcBorders>
              <w:top w:val="nil"/>
              <w:left w:val="nil"/>
              <w:bottom w:val="single" w:sz="12" w:space="0" w:color="auto"/>
              <w:right w:val="single" w:sz="8" w:space="0" w:color="auto"/>
            </w:tcBorders>
            <w:tcMar>
              <w:top w:w="0" w:type="dxa"/>
              <w:left w:w="108" w:type="dxa"/>
              <w:bottom w:w="0" w:type="dxa"/>
              <w:right w:w="108" w:type="dxa"/>
            </w:tcMar>
            <w:hideMark/>
          </w:tcPr>
          <w:p w14:paraId="4B3A90B7"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510</w:t>
            </w:r>
          </w:p>
        </w:tc>
        <w:tc>
          <w:tcPr>
            <w:tcW w:w="656" w:type="dxa"/>
            <w:tcBorders>
              <w:top w:val="nil"/>
              <w:left w:val="nil"/>
              <w:bottom w:val="single" w:sz="12" w:space="0" w:color="auto"/>
              <w:right w:val="single" w:sz="8" w:space="0" w:color="auto"/>
            </w:tcBorders>
            <w:tcMar>
              <w:top w:w="0" w:type="dxa"/>
              <w:left w:w="108" w:type="dxa"/>
              <w:bottom w:w="0" w:type="dxa"/>
              <w:right w:w="108" w:type="dxa"/>
            </w:tcMar>
            <w:hideMark/>
          </w:tcPr>
          <w:p w14:paraId="20CE96FF"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rPr>
                <w:sz w:val="20"/>
                <w:lang w:val="en-GB"/>
              </w:rPr>
            </w:pPr>
            <w:r w:rsidRPr="00A94875">
              <w:rPr>
                <w:sz w:val="20"/>
                <w:lang w:val="en-GB"/>
              </w:rPr>
              <w:t xml:space="preserve"> 491</w:t>
            </w:r>
          </w:p>
        </w:tc>
        <w:tc>
          <w:tcPr>
            <w:tcW w:w="656" w:type="dxa"/>
            <w:tcBorders>
              <w:top w:val="nil"/>
              <w:left w:val="nil"/>
              <w:bottom w:val="single" w:sz="12" w:space="0" w:color="auto"/>
              <w:right w:val="single" w:sz="12" w:space="0" w:color="auto"/>
            </w:tcBorders>
            <w:tcMar>
              <w:top w:w="0" w:type="dxa"/>
              <w:left w:w="108" w:type="dxa"/>
              <w:bottom w:w="0" w:type="dxa"/>
              <w:right w:w="108" w:type="dxa"/>
            </w:tcMar>
            <w:hideMark/>
          </w:tcPr>
          <w:p w14:paraId="3083784C" w14:textId="77777777"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522</w:t>
            </w:r>
          </w:p>
        </w:tc>
        <w:tc>
          <w:tcPr>
            <w:tcW w:w="656" w:type="dxa"/>
            <w:tcBorders>
              <w:top w:val="nil"/>
              <w:left w:val="nil"/>
              <w:bottom w:val="single" w:sz="12" w:space="0" w:color="auto"/>
              <w:right w:val="single" w:sz="12" w:space="0" w:color="auto"/>
            </w:tcBorders>
            <w:hideMark/>
          </w:tcPr>
          <w:p w14:paraId="3EAAD646" w14:textId="73DC7EF8" w:rsidR="004209FC" w:rsidRPr="00A94875" w:rsidRDefault="004209FC" w:rsidP="004209FC">
            <w:pPr>
              <w:tabs>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center"/>
              <w:rPr>
                <w:sz w:val="20"/>
                <w:lang w:val="en-GB"/>
              </w:rPr>
            </w:pPr>
            <w:r w:rsidRPr="00A94875">
              <w:rPr>
                <w:sz w:val="20"/>
                <w:lang w:val="en-GB"/>
              </w:rPr>
              <w:t>57</w:t>
            </w:r>
            <w:r w:rsidR="00057DFA" w:rsidRPr="00A94875">
              <w:rPr>
                <w:sz w:val="20"/>
                <w:lang w:val="en-GB"/>
              </w:rPr>
              <w:t>7</w:t>
            </w:r>
          </w:p>
        </w:tc>
      </w:tr>
    </w:tbl>
    <w:p w14:paraId="19E1DC19" w14:textId="6CFFEF05" w:rsidR="00057DFA" w:rsidRPr="00A94875" w:rsidRDefault="00057DFA" w:rsidP="00412E28">
      <w:pPr>
        <w:jc w:val="center"/>
        <w:rPr>
          <w:lang w:val="en-GB"/>
        </w:rPr>
      </w:pPr>
      <w:r w:rsidRPr="00A94875">
        <w:rPr>
          <w:noProof/>
          <w:lang w:val="en-GB"/>
        </w:rPr>
        <w:drawing>
          <wp:inline distT="0" distB="0" distL="0" distR="0" wp14:anchorId="189830CD" wp14:editId="2194F68D">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0"/>
              </a:graphicData>
            </a:graphic>
          </wp:inline>
        </w:drawing>
      </w:r>
    </w:p>
    <w:p w14:paraId="509B98FD" w14:textId="77777777" w:rsidR="00412E28" w:rsidRPr="00A94875" w:rsidRDefault="00412E28" w:rsidP="00412E28">
      <w:pPr>
        <w:pStyle w:val="Figurelegend"/>
        <w:spacing w:before="120" w:after="120"/>
        <w:ind w:left="567"/>
        <w:rPr>
          <w:rFonts w:asciiTheme="majorBidi" w:hAnsiTheme="majorBidi" w:cstheme="majorBidi"/>
          <w:lang w:val="en-GB"/>
        </w:rPr>
      </w:pPr>
      <w:r w:rsidRPr="00A94875">
        <w:rPr>
          <w:rFonts w:asciiTheme="majorBidi" w:hAnsiTheme="majorBidi" w:cstheme="majorBidi"/>
          <w:lang w:val="en-GB"/>
        </w:rPr>
        <w:t xml:space="preserve">NOTE – The Academia category </w:t>
      </w:r>
      <w:proofErr w:type="gramStart"/>
      <w:r w:rsidRPr="00A94875">
        <w:rPr>
          <w:rFonts w:asciiTheme="majorBidi" w:hAnsiTheme="majorBidi" w:cstheme="majorBidi"/>
          <w:lang w:val="en-GB"/>
        </w:rPr>
        <w:t>was created</w:t>
      </w:r>
      <w:proofErr w:type="gramEnd"/>
      <w:r w:rsidRPr="00A94875">
        <w:rPr>
          <w:rFonts w:asciiTheme="majorBidi" w:hAnsiTheme="majorBidi" w:cstheme="majorBidi"/>
          <w:lang w:val="en-GB"/>
        </w:rPr>
        <w:t xml:space="preserve"> in 2011.</w:t>
      </w:r>
    </w:p>
    <w:p w14:paraId="7C490BDB" w14:textId="0A2B07FE" w:rsidR="00412E28" w:rsidRPr="00A94875" w:rsidRDefault="00412E28" w:rsidP="00412E28">
      <w:pPr>
        <w:pStyle w:val="Caption"/>
        <w:jc w:val="center"/>
        <w:rPr>
          <w:rFonts w:asciiTheme="majorBidi" w:hAnsiTheme="majorBidi" w:cstheme="majorBidi"/>
          <w:sz w:val="24"/>
          <w:szCs w:val="24"/>
          <w:lang w:val="en-GB"/>
        </w:rPr>
      </w:pPr>
      <w:r w:rsidRPr="00A94875">
        <w:rPr>
          <w:rFonts w:asciiTheme="majorBidi" w:hAnsiTheme="majorBidi" w:cstheme="majorBidi"/>
          <w:sz w:val="24"/>
          <w:szCs w:val="24"/>
          <w:lang w:val="en-GB"/>
        </w:rPr>
        <w:t xml:space="preserve">Figure </w:t>
      </w:r>
      <w:proofErr w:type="gramStart"/>
      <w:r w:rsidRPr="00A94875">
        <w:rPr>
          <w:rFonts w:asciiTheme="majorBidi" w:hAnsiTheme="majorBidi" w:cstheme="majorBidi"/>
          <w:sz w:val="24"/>
          <w:szCs w:val="24"/>
          <w:lang w:val="en-GB"/>
        </w:rPr>
        <w:t>3</w:t>
      </w:r>
      <w:proofErr w:type="gramEnd"/>
      <w:r w:rsidRPr="00A94875">
        <w:rPr>
          <w:rFonts w:asciiTheme="majorBidi" w:hAnsiTheme="majorBidi" w:cstheme="majorBidi"/>
          <w:sz w:val="24"/>
          <w:szCs w:val="24"/>
          <w:lang w:val="en-GB"/>
        </w:rPr>
        <w:t xml:space="preserve"> – Evolution of ITU-T membership from 31 December 2006 to 31 October 2018</w:t>
      </w:r>
    </w:p>
    <w:p w14:paraId="6A9851FD" w14:textId="74041384" w:rsidR="00412E28" w:rsidRPr="00A94875" w:rsidRDefault="00D64AF8" w:rsidP="001A5609">
      <w:pPr>
        <w:pStyle w:val="Heading2"/>
        <w:keepNext w:val="0"/>
        <w:keepLines w:val="0"/>
        <w:spacing w:before="120"/>
        <w:rPr>
          <w:b w:val="0"/>
          <w:bCs/>
          <w:szCs w:val="24"/>
          <w:lang w:val="en-GB" w:eastAsia="ja-JP"/>
        </w:rPr>
      </w:pPr>
      <w:bookmarkStart w:id="145" w:name="_Toc530571879"/>
      <w:r w:rsidRPr="00A94875">
        <w:rPr>
          <w:rFonts w:asciiTheme="majorBidi" w:hAnsiTheme="majorBidi" w:cstheme="majorBidi"/>
          <w:lang w:val="en-GB"/>
        </w:rPr>
        <w:t>8</w:t>
      </w:r>
      <w:r w:rsidR="002F0E38" w:rsidRPr="00A94875">
        <w:rPr>
          <w:rFonts w:asciiTheme="majorBidi" w:hAnsiTheme="majorBidi" w:cstheme="majorBidi"/>
          <w:lang w:val="en-GB"/>
        </w:rPr>
        <w:t>.2</w:t>
      </w:r>
      <w:r w:rsidRPr="00A94875">
        <w:rPr>
          <w:rFonts w:asciiTheme="majorBidi" w:hAnsiTheme="majorBidi" w:cstheme="majorBidi"/>
          <w:lang w:val="en-GB"/>
        </w:rPr>
        <w:tab/>
        <w:t>Implementation of SME Pilot Project</w:t>
      </w:r>
      <w:bookmarkEnd w:id="145"/>
      <w:r w:rsidRPr="00A94875">
        <w:rPr>
          <w:rFonts w:asciiTheme="majorBidi" w:hAnsiTheme="majorBidi" w:cstheme="majorBidi"/>
          <w:lang w:val="en-GB"/>
        </w:rPr>
        <w:t xml:space="preserve"> </w:t>
      </w:r>
    </w:p>
    <w:p w14:paraId="086EAC08" w14:textId="7EE3C62E" w:rsidR="00564FEE" w:rsidRPr="00A94875" w:rsidRDefault="004209FC" w:rsidP="001A5609">
      <w:pPr>
        <w:rPr>
          <w:lang w:val="en-GB"/>
        </w:rPr>
      </w:pPr>
      <w:r w:rsidRPr="00A94875">
        <w:rPr>
          <w:lang w:val="en-GB"/>
        </w:rPr>
        <w:t xml:space="preserve">ITU-T </w:t>
      </w:r>
      <w:r w:rsidR="00564FEE" w:rsidRPr="00A94875">
        <w:rPr>
          <w:lang w:val="en-GB"/>
        </w:rPr>
        <w:t xml:space="preserve">Study Groups </w:t>
      </w:r>
      <w:r w:rsidRPr="00A94875">
        <w:rPr>
          <w:lang w:val="en-GB"/>
        </w:rPr>
        <w:t>5,</w:t>
      </w:r>
      <w:r w:rsidR="00564FEE" w:rsidRPr="00A94875">
        <w:rPr>
          <w:lang w:val="en-GB"/>
        </w:rPr>
        <w:t xml:space="preserve"> </w:t>
      </w:r>
      <w:r w:rsidRPr="00A94875">
        <w:rPr>
          <w:lang w:val="en-GB"/>
        </w:rPr>
        <w:t>11,</w:t>
      </w:r>
      <w:r w:rsidR="00564FEE" w:rsidRPr="00A94875">
        <w:rPr>
          <w:lang w:val="en-GB"/>
        </w:rPr>
        <w:t xml:space="preserve"> </w:t>
      </w:r>
      <w:r w:rsidRPr="00A94875">
        <w:rPr>
          <w:lang w:val="en-GB"/>
        </w:rPr>
        <w:t xml:space="preserve">16 and 20 </w:t>
      </w:r>
      <w:r w:rsidR="00564FEE" w:rsidRPr="00A94875">
        <w:rPr>
          <w:lang w:val="en-GB"/>
        </w:rPr>
        <w:t xml:space="preserve">have </w:t>
      </w:r>
      <w:r w:rsidRPr="00A94875">
        <w:rPr>
          <w:lang w:val="en-GB"/>
        </w:rPr>
        <w:t xml:space="preserve">implemented a pilot project to </w:t>
      </w:r>
      <w:r w:rsidR="00564FEE" w:rsidRPr="00A94875">
        <w:rPr>
          <w:lang w:val="en-GB"/>
        </w:rPr>
        <w:t xml:space="preserve">increase the </w:t>
      </w:r>
      <w:r w:rsidRPr="00A94875">
        <w:rPr>
          <w:lang w:val="en-GB"/>
        </w:rPr>
        <w:t>engage</w:t>
      </w:r>
      <w:r w:rsidR="00564FEE" w:rsidRPr="00A94875">
        <w:rPr>
          <w:lang w:val="en-GB"/>
        </w:rPr>
        <w:t>ment of</w:t>
      </w:r>
      <w:r w:rsidRPr="00A94875">
        <w:rPr>
          <w:lang w:val="en-GB"/>
        </w:rPr>
        <w:t xml:space="preserve"> SMEs in the work of ITU. </w:t>
      </w:r>
      <w:proofErr w:type="gramStart"/>
      <w:r w:rsidRPr="00A94875">
        <w:rPr>
          <w:lang w:val="en-GB"/>
        </w:rPr>
        <w:t>15</w:t>
      </w:r>
      <w:proofErr w:type="gramEnd"/>
      <w:r w:rsidRPr="00A94875">
        <w:rPr>
          <w:lang w:val="en-GB"/>
        </w:rPr>
        <w:t xml:space="preserve"> SMEs were approved by relevant administrations to participate in ITU-T meetings under the pilot. </w:t>
      </w:r>
    </w:p>
    <w:p w14:paraId="708E4EA5" w14:textId="29463572" w:rsidR="00412E28" w:rsidRPr="00A94875" w:rsidRDefault="00564FEE" w:rsidP="001A5609">
      <w:pPr>
        <w:rPr>
          <w:lang w:val="en-GB"/>
        </w:rPr>
      </w:pPr>
      <w:r w:rsidRPr="00A94875">
        <w:rPr>
          <w:lang w:val="en-GB"/>
        </w:rPr>
        <w:t>ITU-T Study Group 16 has experienced positive results</w:t>
      </w:r>
      <w:r w:rsidR="004209FC" w:rsidRPr="00A94875">
        <w:rPr>
          <w:lang w:val="en-GB"/>
        </w:rPr>
        <w:t xml:space="preserve">. For example, ASTEM (Japan) </w:t>
      </w:r>
      <w:r w:rsidRPr="00A94875">
        <w:rPr>
          <w:lang w:val="en-GB"/>
        </w:rPr>
        <w:t xml:space="preserve">has </w:t>
      </w:r>
      <w:r w:rsidR="004209FC" w:rsidRPr="00A94875">
        <w:rPr>
          <w:lang w:val="en-GB"/>
        </w:rPr>
        <w:t xml:space="preserve">contributed significant specifications for standards on accessible IPTV terminals and their testing, which </w:t>
      </w:r>
      <w:proofErr w:type="gramStart"/>
      <w:r w:rsidR="004209FC" w:rsidRPr="00A94875">
        <w:rPr>
          <w:lang w:val="en-GB"/>
        </w:rPr>
        <w:t>are now found</w:t>
      </w:r>
      <w:proofErr w:type="gramEnd"/>
      <w:r w:rsidR="004209FC" w:rsidRPr="00A94875">
        <w:rPr>
          <w:lang w:val="en-GB"/>
        </w:rPr>
        <w:t xml:space="preserve"> in Recommendation ITU-T H.702 and Technical Paper ITU-T HSTP-CONF-H702. </w:t>
      </w:r>
      <w:proofErr w:type="spellStart"/>
      <w:r w:rsidR="004209FC" w:rsidRPr="00A94875">
        <w:rPr>
          <w:lang w:val="en-GB"/>
        </w:rPr>
        <w:t>Wayfindr</w:t>
      </w:r>
      <w:proofErr w:type="spellEnd"/>
      <w:r w:rsidRPr="00A94875">
        <w:rPr>
          <w:lang w:val="en-GB"/>
        </w:rPr>
        <w:t xml:space="preserve"> (</w:t>
      </w:r>
      <w:r w:rsidR="004209FC" w:rsidRPr="00A94875">
        <w:rPr>
          <w:lang w:val="en-GB"/>
        </w:rPr>
        <w:t>U</w:t>
      </w:r>
      <w:r w:rsidRPr="00A94875">
        <w:rPr>
          <w:lang w:val="en-GB"/>
        </w:rPr>
        <w:t xml:space="preserve">nited </w:t>
      </w:r>
      <w:r w:rsidR="004209FC" w:rsidRPr="00A94875">
        <w:rPr>
          <w:lang w:val="en-GB"/>
        </w:rPr>
        <w:t>K</w:t>
      </w:r>
      <w:r w:rsidRPr="00A94875">
        <w:rPr>
          <w:lang w:val="en-GB"/>
        </w:rPr>
        <w:t xml:space="preserve">ingdom) </w:t>
      </w:r>
      <w:r w:rsidR="004209FC" w:rsidRPr="00A94875">
        <w:rPr>
          <w:lang w:val="en-GB"/>
        </w:rPr>
        <w:t xml:space="preserve">brought specifications for audio-based network navigation </w:t>
      </w:r>
      <w:r w:rsidR="004209FC" w:rsidRPr="00A94875">
        <w:rPr>
          <w:lang w:val="en-GB"/>
        </w:rPr>
        <w:lastRenderedPageBreak/>
        <w:t xml:space="preserve">system for persons with vision impairment and its conformance testing (Recommendation ITU-T F.921 and Technical Paper ITU-T HSTP-CONF-F921). </w:t>
      </w:r>
      <w:proofErr w:type="spellStart"/>
      <w:r w:rsidR="004209FC" w:rsidRPr="00A94875">
        <w:rPr>
          <w:lang w:val="en-GB"/>
        </w:rPr>
        <w:t>Wayfindr</w:t>
      </w:r>
      <w:proofErr w:type="spellEnd"/>
      <w:r w:rsidR="004209FC" w:rsidRPr="00A94875">
        <w:rPr>
          <w:lang w:val="en-GB"/>
        </w:rPr>
        <w:t xml:space="preserve"> also developed associated online training material </w:t>
      </w:r>
      <w:r w:rsidRPr="00A94875">
        <w:rPr>
          <w:lang w:val="en-GB"/>
        </w:rPr>
        <w:t xml:space="preserve">found on the </w:t>
      </w:r>
      <w:r w:rsidR="004209FC" w:rsidRPr="00A94875">
        <w:rPr>
          <w:lang w:val="en-GB"/>
        </w:rPr>
        <w:t>ITU Academy platform</w:t>
      </w:r>
      <w:r w:rsidR="00412E28" w:rsidRPr="00A94875">
        <w:rPr>
          <w:lang w:val="en-GB"/>
        </w:rPr>
        <w:t>.</w:t>
      </w:r>
    </w:p>
    <w:p w14:paraId="388FD5E3" w14:textId="5D5EC839" w:rsidR="00FB7CDF" w:rsidRPr="00A94875" w:rsidRDefault="00FB7CDF" w:rsidP="009E5FFA">
      <w:pPr>
        <w:pStyle w:val="Heading1"/>
        <w:rPr>
          <w:rFonts w:asciiTheme="majorBidi" w:hAnsiTheme="majorBidi" w:cstheme="majorBidi"/>
          <w:lang w:val="en-GB"/>
        </w:rPr>
      </w:pPr>
      <w:bookmarkStart w:id="146" w:name="_Toc530571880"/>
      <w:bookmarkStart w:id="147" w:name="_Toc438553987"/>
      <w:bookmarkStart w:id="148" w:name="_Toc453929111"/>
      <w:bookmarkStart w:id="149" w:name="_Toc453932982"/>
      <w:bookmarkStart w:id="150" w:name="_Toc454295888"/>
      <w:bookmarkStart w:id="151" w:name="_Toc462664268"/>
      <w:bookmarkStart w:id="152" w:name="_Toc480527861"/>
      <w:r w:rsidRPr="00A94875">
        <w:rPr>
          <w:rFonts w:asciiTheme="majorBidi" w:hAnsiTheme="majorBidi" w:cstheme="majorBidi"/>
          <w:lang w:val="en-GB"/>
        </w:rPr>
        <w:t>9</w:t>
      </w:r>
      <w:r w:rsidRPr="00A94875">
        <w:rPr>
          <w:rFonts w:asciiTheme="majorBidi" w:hAnsiTheme="majorBidi" w:cstheme="majorBidi"/>
          <w:lang w:val="en-GB"/>
        </w:rPr>
        <w:tab/>
        <w:t>Gender</w:t>
      </w:r>
      <w:bookmarkEnd w:id="146"/>
    </w:p>
    <w:p w14:paraId="2BAEF13D"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TSB continues its efforts to include a gender perspective in all of its activities and programmes under the umbrella of the ITU Gender Task Force.</w:t>
      </w:r>
    </w:p>
    <w:p w14:paraId="716969E1" w14:textId="0CC88690"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 xml:space="preserve">WTSA-16 reaffirmed </w:t>
      </w:r>
      <w:r w:rsidR="00564FEE" w:rsidRPr="00A94875">
        <w:rPr>
          <w:rFonts w:asciiTheme="majorBidi" w:hAnsiTheme="majorBidi" w:cstheme="majorBidi"/>
          <w:lang w:val="en-GB"/>
        </w:rPr>
        <w:t>WTSA</w:t>
      </w:r>
      <w:r w:rsidRPr="00A94875">
        <w:rPr>
          <w:rFonts w:asciiTheme="majorBidi" w:hAnsiTheme="majorBidi" w:cstheme="majorBidi"/>
          <w:lang w:val="en-GB"/>
        </w:rPr>
        <w:t xml:space="preserve"> </w:t>
      </w:r>
      <w:r w:rsidR="00564FEE" w:rsidRPr="00A94875">
        <w:rPr>
          <w:rStyle w:val="Hyperlink"/>
          <w:rFonts w:asciiTheme="majorBidi" w:hAnsiTheme="majorBidi" w:cstheme="majorBidi"/>
          <w:szCs w:val="22"/>
          <w:lang w:val="en-GB"/>
        </w:rPr>
        <w:t>Resolution 55</w:t>
      </w:r>
      <w:r w:rsidRPr="00A94875">
        <w:rPr>
          <w:rFonts w:asciiTheme="majorBidi" w:hAnsiTheme="majorBidi" w:cstheme="majorBidi"/>
          <w:szCs w:val="22"/>
          <w:lang w:val="en-GB"/>
        </w:rPr>
        <w:t xml:space="preserve"> </w:t>
      </w:r>
      <w:r w:rsidRPr="00A94875">
        <w:rPr>
          <w:rFonts w:asciiTheme="majorBidi" w:hAnsiTheme="majorBidi" w:cstheme="majorBidi"/>
          <w:lang w:val="en-GB"/>
        </w:rPr>
        <w:t>to promote gender equality in ITU-T. ITU Member States and Sector Members are encouraged to support the active involvement of women experts in standardization groups and activities.</w:t>
      </w:r>
    </w:p>
    <w:p w14:paraId="740FC9D5" w14:textId="17F9F003" w:rsidR="006944F8" w:rsidRPr="00A94875" w:rsidRDefault="006944F8" w:rsidP="0033393D">
      <w:pPr>
        <w:rPr>
          <w:rFonts w:asciiTheme="majorBidi" w:hAnsiTheme="majorBidi" w:cstheme="majorBidi"/>
          <w:lang w:val="en-GB"/>
        </w:rPr>
      </w:pPr>
      <w:proofErr w:type="gramStart"/>
      <w:r w:rsidRPr="00A94875">
        <w:rPr>
          <w:rFonts w:asciiTheme="majorBidi" w:hAnsiTheme="majorBidi" w:cstheme="majorBidi"/>
          <w:lang w:val="en-GB"/>
        </w:rPr>
        <w:t>48 per cent</w:t>
      </w:r>
      <w:proofErr w:type="gramEnd"/>
      <w:r w:rsidRPr="00A94875">
        <w:rPr>
          <w:rFonts w:asciiTheme="majorBidi" w:hAnsiTheme="majorBidi" w:cstheme="majorBidi"/>
          <w:lang w:val="en-GB"/>
        </w:rPr>
        <w:t xml:space="preserve"> of all TSB staff are women. </w:t>
      </w:r>
      <w:proofErr w:type="gramStart"/>
      <w:r w:rsidRPr="00A94875">
        <w:rPr>
          <w:rFonts w:asciiTheme="majorBidi" w:hAnsiTheme="majorBidi" w:cstheme="majorBidi"/>
          <w:lang w:val="en-GB"/>
        </w:rPr>
        <w:t>37 per cent of professional posts are held by women</w:t>
      </w:r>
      <w:proofErr w:type="gramEnd"/>
      <w:r w:rsidRPr="00A94875">
        <w:rPr>
          <w:rFonts w:asciiTheme="majorBidi" w:hAnsiTheme="majorBidi" w:cstheme="majorBidi"/>
          <w:lang w:val="en-GB"/>
        </w:rPr>
        <w:t xml:space="preserve">, and </w:t>
      </w:r>
      <w:r w:rsidR="00564FEE" w:rsidRPr="00A94875">
        <w:rPr>
          <w:rFonts w:asciiTheme="majorBidi" w:hAnsiTheme="majorBidi" w:cstheme="majorBidi"/>
          <w:lang w:val="en-GB"/>
        </w:rPr>
        <w:t xml:space="preserve">women hold </w:t>
      </w:r>
      <w:r w:rsidRPr="00A94875">
        <w:rPr>
          <w:rFonts w:asciiTheme="majorBidi" w:hAnsiTheme="majorBidi" w:cstheme="majorBidi"/>
          <w:lang w:val="en-GB"/>
        </w:rPr>
        <w:t xml:space="preserve">67 per cent of </w:t>
      </w:r>
      <w:r w:rsidR="00564FEE" w:rsidRPr="00A94875">
        <w:rPr>
          <w:rFonts w:asciiTheme="majorBidi" w:hAnsiTheme="majorBidi" w:cstheme="majorBidi"/>
          <w:lang w:val="en-GB"/>
        </w:rPr>
        <w:t xml:space="preserve">P5 </w:t>
      </w:r>
      <w:r w:rsidRPr="00A94875">
        <w:rPr>
          <w:rFonts w:asciiTheme="majorBidi" w:hAnsiTheme="majorBidi" w:cstheme="majorBidi"/>
          <w:lang w:val="en-GB"/>
        </w:rPr>
        <w:t>posts</w:t>
      </w:r>
      <w:r w:rsidR="00564FEE" w:rsidRPr="00A94875">
        <w:rPr>
          <w:rFonts w:asciiTheme="majorBidi" w:hAnsiTheme="majorBidi" w:cstheme="majorBidi"/>
          <w:lang w:val="en-GB"/>
        </w:rPr>
        <w:t xml:space="preserve"> in TSB</w:t>
      </w:r>
      <w:r w:rsidRPr="00A94875">
        <w:rPr>
          <w:rFonts w:asciiTheme="majorBidi" w:hAnsiTheme="majorBidi" w:cstheme="majorBidi"/>
          <w:lang w:val="en-GB"/>
        </w:rPr>
        <w:t xml:space="preserve">. </w:t>
      </w:r>
    </w:p>
    <w:p w14:paraId="1CBEDC34"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Diversity of staff, gender equality and the empowerment of women continue to be among TSB's priorities.</w:t>
      </w:r>
    </w:p>
    <w:p w14:paraId="6112790D" w14:textId="6A7972F6" w:rsidR="006944F8" w:rsidRPr="00A94875" w:rsidRDefault="002F0E38" w:rsidP="006944F8">
      <w:pPr>
        <w:pStyle w:val="Heading1"/>
        <w:rPr>
          <w:rFonts w:asciiTheme="majorBidi" w:hAnsiTheme="majorBidi" w:cstheme="majorBidi"/>
          <w:lang w:val="en-GB"/>
        </w:rPr>
      </w:pPr>
      <w:bookmarkStart w:id="153" w:name="_Toc530571881"/>
      <w:r w:rsidRPr="00A94875">
        <w:rPr>
          <w:rFonts w:asciiTheme="majorBidi" w:hAnsiTheme="majorBidi" w:cstheme="majorBidi"/>
          <w:lang w:val="en-GB"/>
        </w:rPr>
        <w:t>10</w:t>
      </w:r>
      <w:r w:rsidR="006944F8" w:rsidRPr="00A94875">
        <w:rPr>
          <w:rFonts w:asciiTheme="majorBidi" w:hAnsiTheme="majorBidi" w:cstheme="majorBidi"/>
          <w:lang w:val="en-GB"/>
        </w:rPr>
        <w:tab/>
        <w:t>Academia</w:t>
      </w:r>
      <w:bookmarkEnd w:id="147"/>
      <w:bookmarkEnd w:id="148"/>
      <w:bookmarkEnd w:id="149"/>
      <w:bookmarkEnd w:id="150"/>
      <w:bookmarkEnd w:id="151"/>
      <w:bookmarkEnd w:id="152"/>
      <w:bookmarkEnd w:id="153"/>
    </w:p>
    <w:p w14:paraId="1CBAD07A" w14:textId="1E93A849" w:rsidR="006944F8" w:rsidRPr="00A94875" w:rsidRDefault="002F0E38" w:rsidP="006944F8">
      <w:pPr>
        <w:pStyle w:val="Heading3"/>
        <w:rPr>
          <w:rFonts w:asciiTheme="majorBidi" w:hAnsiTheme="majorBidi" w:cstheme="majorBidi"/>
          <w:lang w:val="en-GB"/>
        </w:rPr>
      </w:pPr>
      <w:r w:rsidRPr="00A94875">
        <w:rPr>
          <w:rFonts w:asciiTheme="majorBidi" w:hAnsiTheme="majorBidi" w:cstheme="majorBidi"/>
          <w:lang w:val="en-GB"/>
        </w:rPr>
        <w:t>10</w:t>
      </w:r>
      <w:r w:rsidR="006944F8" w:rsidRPr="00A94875">
        <w:rPr>
          <w:rFonts w:asciiTheme="majorBidi" w:hAnsiTheme="majorBidi" w:cstheme="majorBidi"/>
          <w:lang w:val="en-GB"/>
        </w:rPr>
        <w:t>.1</w:t>
      </w:r>
      <w:r w:rsidR="006944F8" w:rsidRPr="00A94875">
        <w:rPr>
          <w:rFonts w:asciiTheme="majorBidi" w:hAnsiTheme="majorBidi" w:cstheme="majorBidi"/>
          <w:lang w:val="en-GB"/>
        </w:rPr>
        <w:tab/>
        <w:t>ITU Kaleidoscope academic conferences</w:t>
      </w:r>
    </w:p>
    <w:p w14:paraId="45DC8940" w14:textId="77777777" w:rsidR="006944F8" w:rsidRPr="00A94875" w:rsidRDefault="006944F8" w:rsidP="006944F8">
      <w:pPr>
        <w:pStyle w:val="NormalWeb"/>
        <w:spacing w:before="120" w:beforeAutospacing="0" w:after="0" w:afterAutospacing="0"/>
        <w:rPr>
          <w:rFonts w:ascii="Times New Roman" w:hAnsi="Times New Roman"/>
          <w:lang w:val="en-GB"/>
        </w:rPr>
      </w:pPr>
      <w:r w:rsidRPr="00A94875">
        <w:rPr>
          <w:rFonts w:ascii="Times New Roman" w:hAnsi="Times New Roman"/>
          <w:lang w:val="en-GB"/>
        </w:rPr>
        <w:t>The ITU Kaleidoscope series of peer-reviewed academic conferences – technically co-sponsored by the IEEE Communications Society – calls for original research on ICT innovation and related demands on international standardization.</w:t>
      </w:r>
    </w:p>
    <w:p w14:paraId="388A272E" w14:textId="2E67AEDF" w:rsidR="006944F8" w:rsidRPr="00A94875" w:rsidRDefault="006944F8" w:rsidP="0033393D">
      <w:pPr>
        <w:pStyle w:val="NormalWeb"/>
        <w:spacing w:before="120" w:beforeAutospacing="0" w:after="0" w:afterAutospacing="0"/>
        <w:rPr>
          <w:lang w:val="en-GB"/>
        </w:rPr>
      </w:pPr>
      <w:r w:rsidRPr="00A94875">
        <w:rPr>
          <w:rFonts w:ascii="Times New Roman" w:hAnsi="Times New Roman"/>
          <w:lang w:val="en-GB"/>
        </w:rPr>
        <w:t xml:space="preserve">The 10th edition of Kaleidoscope, </w:t>
      </w:r>
      <w:hyperlink r:id="rId91" w:history="1">
        <w:proofErr w:type="spellStart"/>
        <w:r w:rsidRPr="00A94875">
          <w:rPr>
            <w:rStyle w:val="Hyperlink"/>
            <w:rFonts w:asciiTheme="majorBidi" w:hAnsiTheme="majorBidi" w:cstheme="majorBidi"/>
            <w:lang w:val="en-GB"/>
          </w:rPr>
          <w:t>Kaleidosope</w:t>
        </w:r>
        <w:proofErr w:type="spellEnd"/>
        <w:r w:rsidRPr="00A94875">
          <w:rPr>
            <w:rStyle w:val="Hyperlink"/>
            <w:rFonts w:asciiTheme="majorBidi" w:hAnsiTheme="majorBidi" w:cstheme="majorBidi"/>
            <w:lang w:val="en-GB"/>
          </w:rPr>
          <w:t xml:space="preserve"> 2018: </w:t>
        </w:r>
        <w:r w:rsidRPr="00A94875">
          <w:rPr>
            <w:rStyle w:val="Hyperlink"/>
            <w:rFonts w:asciiTheme="majorBidi" w:hAnsiTheme="majorBidi" w:cstheme="majorBidi"/>
            <w:i/>
            <w:iCs/>
            <w:lang w:val="en-GB"/>
          </w:rPr>
          <w:t>Machine Learning for a 5G future</w:t>
        </w:r>
      </w:hyperlink>
      <w:proofErr w:type="gramStart"/>
      <w:r w:rsidRPr="00A94875">
        <w:rPr>
          <w:rFonts w:ascii="Times New Roman" w:hAnsi="Times New Roman"/>
          <w:lang w:val="en-GB"/>
        </w:rPr>
        <w:t>,</w:t>
      </w:r>
      <w:proofErr w:type="gramEnd"/>
      <w:r w:rsidRPr="00A94875">
        <w:rPr>
          <w:rFonts w:ascii="Times New Roman" w:hAnsi="Times New Roman"/>
          <w:lang w:val="en-GB"/>
        </w:rPr>
        <w:t xml:space="preserve"> will be </w:t>
      </w:r>
      <w:r w:rsidR="00564FEE" w:rsidRPr="00A94875">
        <w:rPr>
          <w:rFonts w:ascii="Times New Roman" w:hAnsi="Times New Roman"/>
          <w:lang w:val="en-GB"/>
        </w:rPr>
        <w:t xml:space="preserve">held in Santa Fe, Argentina, 26-28 November 2018, </w:t>
      </w:r>
      <w:r w:rsidRPr="00A94875">
        <w:rPr>
          <w:rFonts w:ascii="Times New Roman" w:hAnsi="Times New Roman"/>
          <w:lang w:val="en-GB"/>
        </w:rPr>
        <w:t xml:space="preserve">hosted by Universidad </w:t>
      </w:r>
      <w:proofErr w:type="spellStart"/>
      <w:r w:rsidRPr="00A94875">
        <w:rPr>
          <w:rFonts w:ascii="Times New Roman" w:hAnsi="Times New Roman"/>
          <w:lang w:val="en-GB"/>
        </w:rPr>
        <w:t>Tecnológica</w:t>
      </w:r>
      <w:proofErr w:type="spellEnd"/>
      <w:r w:rsidRPr="00A94875">
        <w:rPr>
          <w:rFonts w:ascii="Times New Roman" w:hAnsi="Times New Roman"/>
          <w:lang w:val="en-GB"/>
        </w:rPr>
        <w:t xml:space="preserve"> Nacional.</w:t>
      </w:r>
    </w:p>
    <w:p w14:paraId="270DDBC4" w14:textId="77777777" w:rsidR="006944F8" w:rsidRPr="00A94875" w:rsidRDefault="006944F8" w:rsidP="006944F8">
      <w:pPr>
        <w:pStyle w:val="NormalWeb"/>
        <w:spacing w:before="120" w:beforeAutospacing="0" w:after="0" w:afterAutospacing="0"/>
        <w:rPr>
          <w:rFonts w:asciiTheme="majorBidi" w:hAnsiTheme="majorBidi" w:cstheme="majorBidi"/>
          <w:lang w:val="en-GB"/>
        </w:rPr>
      </w:pPr>
      <w:r w:rsidRPr="00A94875">
        <w:rPr>
          <w:rFonts w:asciiTheme="majorBidi" w:hAnsiTheme="majorBidi" w:cstheme="majorBidi"/>
          <w:lang w:val="en-GB"/>
        </w:rPr>
        <w:t xml:space="preserve">Authors of outstanding Kaleidoscope 2018 papers </w:t>
      </w:r>
      <w:proofErr w:type="gramStart"/>
      <w:r w:rsidRPr="00A94875">
        <w:rPr>
          <w:rFonts w:asciiTheme="majorBidi" w:hAnsiTheme="majorBidi" w:cstheme="majorBidi"/>
          <w:lang w:val="en-GB"/>
        </w:rPr>
        <w:t>will be invited</w:t>
      </w:r>
      <w:proofErr w:type="gramEnd"/>
      <w:r w:rsidRPr="00A94875">
        <w:rPr>
          <w:rFonts w:asciiTheme="majorBidi" w:hAnsiTheme="majorBidi" w:cstheme="majorBidi"/>
          <w:lang w:val="en-GB"/>
        </w:rPr>
        <w:t xml:space="preserve"> to contribute to the work of the </w:t>
      </w:r>
      <w:hyperlink r:id="rId92" w:history="1">
        <w:r w:rsidRPr="00A94875">
          <w:rPr>
            <w:rStyle w:val="Hyperlink"/>
            <w:rFonts w:asciiTheme="majorBidi" w:hAnsiTheme="majorBidi" w:cstheme="majorBidi"/>
            <w:lang w:val="en-GB"/>
          </w:rPr>
          <w:t>ITU-T Focus Group on Machine Learning for Future Networks including 5G</w:t>
        </w:r>
      </w:hyperlink>
      <w:r w:rsidRPr="00A94875">
        <w:rPr>
          <w:rFonts w:asciiTheme="majorBidi" w:hAnsiTheme="majorBidi" w:cstheme="majorBidi"/>
          <w:lang w:val="en-GB"/>
        </w:rPr>
        <w:t>.</w:t>
      </w:r>
    </w:p>
    <w:p w14:paraId="59B4AFB0" w14:textId="5AAC6FFC" w:rsidR="006944F8" w:rsidRPr="00A94875" w:rsidRDefault="006944F8" w:rsidP="006944F8">
      <w:pPr>
        <w:pStyle w:val="Heading3"/>
        <w:spacing w:before="240"/>
        <w:rPr>
          <w:rFonts w:asciiTheme="majorBidi" w:hAnsiTheme="majorBidi" w:cstheme="majorBidi"/>
          <w:lang w:val="en-GB"/>
        </w:rPr>
      </w:pPr>
      <w:r w:rsidRPr="00A94875">
        <w:rPr>
          <w:rFonts w:asciiTheme="majorBidi" w:hAnsiTheme="majorBidi" w:cstheme="majorBidi"/>
          <w:lang w:val="en-GB"/>
        </w:rPr>
        <w:t>1</w:t>
      </w:r>
      <w:r w:rsidR="002F0E38" w:rsidRPr="00A94875">
        <w:rPr>
          <w:rFonts w:asciiTheme="majorBidi" w:hAnsiTheme="majorBidi" w:cstheme="majorBidi"/>
          <w:lang w:val="en-GB"/>
        </w:rPr>
        <w:t>0</w:t>
      </w:r>
      <w:r w:rsidRPr="00A94875">
        <w:rPr>
          <w:rFonts w:asciiTheme="majorBidi" w:hAnsiTheme="majorBidi" w:cstheme="majorBidi"/>
          <w:lang w:val="en-GB"/>
        </w:rPr>
        <w:t>.2</w:t>
      </w:r>
      <w:r w:rsidRPr="00A94875">
        <w:rPr>
          <w:rFonts w:asciiTheme="majorBidi" w:hAnsiTheme="majorBidi" w:cstheme="majorBidi"/>
          <w:lang w:val="en-GB"/>
        </w:rPr>
        <w:tab/>
        <w:t xml:space="preserve">ITU Journal: </w:t>
      </w:r>
      <w:r w:rsidRPr="00A94875">
        <w:rPr>
          <w:rFonts w:asciiTheme="majorBidi" w:hAnsiTheme="majorBidi" w:cstheme="majorBidi"/>
          <w:i/>
          <w:iCs/>
          <w:lang w:val="en-GB"/>
        </w:rPr>
        <w:t>ICT Discoveries</w:t>
      </w:r>
    </w:p>
    <w:p w14:paraId="03C4E9B4" w14:textId="52B7F9E4" w:rsidR="006944F8" w:rsidRPr="00A94875" w:rsidRDefault="006944F8" w:rsidP="0033393D">
      <w:pPr>
        <w:pStyle w:val="NormalWeb"/>
        <w:spacing w:before="120" w:beforeAutospacing="0" w:after="0" w:afterAutospacing="0"/>
        <w:rPr>
          <w:rFonts w:ascii="Times New Roman" w:hAnsi="Times New Roman"/>
          <w:lang w:val="en-GB"/>
        </w:rPr>
      </w:pPr>
      <w:r w:rsidRPr="00A94875">
        <w:rPr>
          <w:rFonts w:ascii="Times New Roman" w:hAnsi="Times New Roman"/>
          <w:lang w:val="en-GB"/>
        </w:rPr>
        <w:t xml:space="preserve">The first issue of the </w:t>
      </w:r>
      <w:hyperlink r:id="rId93" w:history="1">
        <w:r w:rsidRPr="00A94875">
          <w:rPr>
            <w:rStyle w:val="Hyperlink"/>
            <w:rFonts w:ascii="Times New Roman" w:hAnsi="Times New Roman"/>
            <w:lang w:val="en-GB"/>
          </w:rPr>
          <w:t>ITU Journal</w:t>
        </w:r>
      </w:hyperlink>
      <w:r w:rsidRPr="00A94875">
        <w:rPr>
          <w:rFonts w:ascii="Times New Roman" w:hAnsi="Times New Roman"/>
          <w:lang w:val="en-GB"/>
        </w:rPr>
        <w:t xml:space="preserve"> forecasts the impact of Artificial Intelligence on ICT networking. The second will share a strong bond with the first, investigating the data dimensions of modern economies and where innovation can ensure that data proves a force for good. </w:t>
      </w:r>
    </w:p>
    <w:p w14:paraId="3E16A1C1" w14:textId="5B6F80DB" w:rsidR="006944F8" w:rsidRPr="00A94875" w:rsidRDefault="006944F8" w:rsidP="009E5FFA">
      <w:pPr>
        <w:pStyle w:val="NormalWeb"/>
        <w:spacing w:before="120" w:beforeAutospacing="0" w:after="0" w:afterAutospacing="0"/>
        <w:rPr>
          <w:lang w:val="en-GB"/>
        </w:rPr>
      </w:pPr>
      <w:r w:rsidRPr="00A94875">
        <w:rPr>
          <w:rFonts w:ascii="Times New Roman" w:hAnsi="Times New Roman"/>
          <w:lang w:val="en-GB"/>
        </w:rPr>
        <w:t xml:space="preserve">The </w:t>
      </w:r>
      <w:hyperlink r:id="rId94" w:history="1">
        <w:r w:rsidRPr="00A94875">
          <w:rPr>
            <w:rStyle w:val="Hyperlink"/>
            <w:rFonts w:ascii="Times New Roman" w:hAnsi="Times New Roman"/>
            <w:lang w:val="en-GB"/>
          </w:rPr>
          <w:t>second issue</w:t>
        </w:r>
      </w:hyperlink>
      <w:r w:rsidRPr="00A94875">
        <w:rPr>
          <w:rFonts w:ascii="Times New Roman" w:hAnsi="Times New Roman"/>
          <w:lang w:val="en-GB"/>
        </w:rPr>
        <w:t xml:space="preserve"> of the ITU Journal</w:t>
      </w:r>
      <w:r w:rsidR="008D184E" w:rsidRPr="00A94875">
        <w:rPr>
          <w:rFonts w:ascii="Times New Roman" w:hAnsi="Times New Roman"/>
          <w:lang w:val="en-GB"/>
        </w:rPr>
        <w:t xml:space="preserve">, to </w:t>
      </w:r>
      <w:proofErr w:type="gramStart"/>
      <w:r w:rsidR="008D184E" w:rsidRPr="00A94875">
        <w:rPr>
          <w:rFonts w:ascii="Times New Roman" w:hAnsi="Times New Roman"/>
          <w:lang w:val="en-GB"/>
        </w:rPr>
        <w:t>be published</w:t>
      </w:r>
      <w:proofErr w:type="gramEnd"/>
      <w:r w:rsidR="008D184E" w:rsidRPr="00A94875">
        <w:rPr>
          <w:rFonts w:ascii="Times New Roman" w:hAnsi="Times New Roman"/>
          <w:lang w:val="en-GB"/>
        </w:rPr>
        <w:t xml:space="preserve"> in December 2018, </w:t>
      </w:r>
      <w:r w:rsidRPr="00A94875">
        <w:rPr>
          <w:rFonts w:ascii="Times New Roman" w:hAnsi="Times New Roman"/>
          <w:lang w:val="en-GB"/>
        </w:rPr>
        <w:t xml:space="preserve">is dedicated to the theme </w:t>
      </w:r>
      <w:r w:rsidR="008D184E" w:rsidRPr="00A94875">
        <w:rPr>
          <w:rFonts w:ascii="Times New Roman" w:hAnsi="Times New Roman"/>
          <w:lang w:val="en-GB"/>
        </w:rPr>
        <w:t>“</w:t>
      </w:r>
      <w:r w:rsidRPr="00A94875">
        <w:rPr>
          <w:rFonts w:ascii="Times New Roman" w:hAnsi="Times New Roman"/>
          <w:lang w:val="en-GB"/>
        </w:rPr>
        <w:t>Data for Good</w:t>
      </w:r>
      <w:r w:rsidR="008D184E" w:rsidRPr="00A94875">
        <w:rPr>
          <w:rFonts w:ascii="Times New Roman" w:hAnsi="Times New Roman"/>
          <w:lang w:val="en-GB"/>
        </w:rPr>
        <w:t>”</w:t>
      </w:r>
      <w:r w:rsidRPr="00A94875">
        <w:rPr>
          <w:rFonts w:ascii="Times New Roman" w:hAnsi="Times New Roman"/>
          <w:lang w:val="en-GB"/>
        </w:rPr>
        <w:t xml:space="preserve">. It </w:t>
      </w:r>
      <w:r w:rsidR="008D184E" w:rsidRPr="00A94875">
        <w:rPr>
          <w:rFonts w:ascii="Times New Roman" w:hAnsi="Times New Roman"/>
          <w:lang w:val="en-GB"/>
        </w:rPr>
        <w:t xml:space="preserve">will publish </w:t>
      </w:r>
      <w:r w:rsidRPr="00A94875">
        <w:rPr>
          <w:rFonts w:ascii="Times New Roman" w:hAnsi="Times New Roman"/>
          <w:lang w:val="en-GB"/>
        </w:rPr>
        <w:t xml:space="preserve">original academic papers investigating the technical, business and policy challenges underlying effective data management and analysis. </w:t>
      </w:r>
    </w:p>
    <w:p w14:paraId="05484A99" w14:textId="5FAF3EE1" w:rsidR="006944F8" w:rsidRPr="00A94875" w:rsidRDefault="006944F8" w:rsidP="006944F8">
      <w:pPr>
        <w:pStyle w:val="Heading3"/>
        <w:spacing w:before="240"/>
        <w:rPr>
          <w:rFonts w:asciiTheme="majorBidi" w:hAnsiTheme="majorBidi" w:cstheme="majorBidi"/>
          <w:lang w:val="en-GB"/>
        </w:rPr>
      </w:pPr>
      <w:r w:rsidRPr="00A94875">
        <w:rPr>
          <w:rFonts w:asciiTheme="majorBidi" w:hAnsiTheme="majorBidi" w:cstheme="majorBidi"/>
          <w:lang w:val="en-GB"/>
        </w:rPr>
        <w:t>1</w:t>
      </w:r>
      <w:r w:rsidR="002F0E38" w:rsidRPr="00A94875">
        <w:rPr>
          <w:rFonts w:asciiTheme="majorBidi" w:hAnsiTheme="majorBidi" w:cstheme="majorBidi"/>
          <w:lang w:val="en-GB"/>
        </w:rPr>
        <w:t>0</w:t>
      </w:r>
      <w:r w:rsidRPr="00A94875">
        <w:rPr>
          <w:rFonts w:asciiTheme="majorBidi" w:hAnsiTheme="majorBidi" w:cstheme="majorBidi"/>
          <w:lang w:val="en-GB"/>
        </w:rPr>
        <w:t>.3</w:t>
      </w:r>
      <w:r w:rsidRPr="00A94875">
        <w:rPr>
          <w:rFonts w:asciiTheme="majorBidi" w:hAnsiTheme="majorBidi" w:cstheme="majorBidi"/>
          <w:lang w:val="en-GB"/>
        </w:rPr>
        <w:tab/>
        <w:t>World Standards Cooperation and Academia</w:t>
      </w:r>
    </w:p>
    <w:p w14:paraId="41628F1F" w14:textId="610C181A" w:rsidR="006944F8" w:rsidRPr="00A94875" w:rsidRDefault="006944F8" w:rsidP="006944F8">
      <w:pPr>
        <w:tabs>
          <w:tab w:val="num" w:pos="720"/>
        </w:tabs>
        <w:rPr>
          <w:rFonts w:asciiTheme="majorBidi" w:hAnsiTheme="majorBidi" w:cstheme="majorBidi"/>
          <w:szCs w:val="24"/>
          <w:lang w:val="en-GB"/>
        </w:rPr>
      </w:pPr>
      <w:r w:rsidRPr="00A94875">
        <w:rPr>
          <w:rFonts w:asciiTheme="majorBidi" w:hAnsiTheme="majorBidi" w:cstheme="majorBidi"/>
          <w:szCs w:val="24"/>
          <w:lang w:val="en-GB"/>
        </w:rPr>
        <w:t>IEC, ISO and</w:t>
      </w:r>
      <w:r w:rsidR="008D184E" w:rsidRPr="00A94875">
        <w:rPr>
          <w:rFonts w:asciiTheme="majorBidi" w:hAnsiTheme="majorBidi" w:cstheme="majorBidi"/>
          <w:szCs w:val="24"/>
          <w:lang w:val="en-GB"/>
        </w:rPr>
        <w:t xml:space="preserve"> ITU </w:t>
      </w:r>
      <w:r w:rsidRPr="00A94875">
        <w:rPr>
          <w:rFonts w:asciiTheme="majorBidi" w:hAnsiTheme="majorBidi" w:cstheme="majorBidi"/>
          <w:szCs w:val="24"/>
          <w:lang w:val="en-GB"/>
        </w:rPr>
        <w:t>organize World Standards Cooperation (WSC) Academic events, which aim at discussing the role of academia in the standards-development process.</w:t>
      </w:r>
    </w:p>
    <w:p w14:paraId="7D19734C" w14:textId="7514394F" w:rsidR="006944F8" w:rsidRPr="00A94875" w:rsidRDefault="006944F8" w:rsidP="006944F8">
      <w:pPr>
        <w:tabs>
          <w:tab w:val="num" w:pos="720"/>
        </w:tabs>
        <w:rPr>
          <w:rFonts w:asciiTheme="majorBidi" w:hAnsiTheme="majorBidi" w:cstheme="majorBidi"/>
          <w:szCs w:val="24"/>
          <w:lang w:val="en-GB"/>
        </w:rPr>
      </w:pPr>
      <w:r w:rsidRPr="00A94875">
        <w:rPr>
          <w:rFonts w:asciiTheme="majorBidi" w:hAnsiTheme="majorBidi" w:cstheme="majorBidi"/>
          <w:szCs w:val="24"/>
          <w:lang w:val="en-GB"/>
        </w:rPr>
        <w:t xml:space="preserve">WSC Academic Day events took place in China (2011), Indonesia (2012), France (2013), Canada (2014), Korea (2015), Germany (2016), and </w:t>
      </w:r>
      <w:r w:rsidR="008D184E" w:rsidRPr="00A94875">
        <w:rPr>
          <w:rFonts w:asciiTheme="majorBidi" w:hAnsiTheme="majorBidi" w:cstheme="majorBidi"/>
          <w:szCs w:val="24"/>
          <w:lang w:val="en-GB"/>
        </w:rPr>
        <w:t xml:space="preserve">the </w:t>
      </w:r>
      <w:r w:rsidRPr="00A94875">
        <w:rPr>
          <w:rFonts w:asciiTheme="majorBidi" w:hAnsiTheme="majorBidi" w:cstheme="majorBidi"/>
          <w:szCs w:val="24"/>
          <w:lang w:val="en-GB"/>
        </w:rPr>
        <w:t>United States (2017)</w:t>
      </w:r>
      <w:r w:rsidR="008D184E" w:rsidRPr="00A94875">
        <w:rPr>
          <w:rFonts w:asciiTheme="majorBidi" w:hAnsiTheme="majorBidi" w:cstheme="majorBidi"/>
          <w:szCs w:val="24"/>
          <w:lang w:val="en-GB"/>
        </w:rPr>
        <w:t xml:space="preserve">. These events </w:t>
      </w:r>
      <w:proofErr w:type="gramStart"/>
      <w:r w:rsidR="008D184E" w:rsidRPr="00A94875">
        <w:rPr>
          <w:rFonts w:asciiTheme="majorBidi" w:hAnsiTheme="majorBidi" w:cstheme="majorBidi"/>
          <w:szCs w:val="24"/>
          <w:lang w:val="en-GB"/>
        </w:rPr>
        <w:t>are held</w:t>
      </w:r>
      <w:proofErr w:type="gramEnd"/>
      <w:r w:rsidRPr="00A94875">
        <w:rPr>
          <w:rFonts w:asciiTheme="majorBidi" w:hAnsiTheme="majorBidi" w:cstheme="majorBidi"/>
          <w:szCs w:val="24"/>
          <w:lang w:val="en-GB"/>
        </w:rPr>
        <w:t xml:space="preserve"> in conjunction with the annual International Cooperation for Education about Standardization (ICES) conferences.</w:t>
      </w:r>
    </w:p>
    <w:p w14:paraId="54691F0C" w14:textId="42C52DBB" w:rsidR="006944F8" w:rsidRPr="00A94875" w:rsidRDefault="006944F8" w:rsidP="0033393D">
      <w:pPr>
        <w:jc w:val="both"/>
        <w:rPr>
          <w:rFonts w:eastAsia="Arial"/>
          <w:spacing w:val="-1"/>
          <w:highlight w:val="yellow"/>
          <w:lang w:val="en-GB"/>
        </w:rPr>
      </w:pPr>
      <w:r w:rsidRPr="00A94875">
        <w:rPr>
          <w:rFonts w:asciiTheme="majorBidi" w:eastAsia="Arial" w:hAnsiTheme="majorBidi" w:cstheme="majorBidi"/>
          <w:spacing w:val="-1"/>
          <w:szCs w:val="24"/>
          <w:lang w:val="en-GB"/>
        </w:rPr>
        <w:t>The ICES conference and WSC Academic Day 2018 took place</w:t>
      </w:r>
      <w:r w:rsidRPr="00A94875">
        <w:rPr>
          <w:rFonts w:asciiTheme="majorBidi" w:hAnsiTheme="majorBidi" w:cstheme="majorBidi"/>
          <w:szCs w:val="24"/>
          <w:lang w:val="en-GB"/>
        </w:rPr>
        <w:t xml:space="preserve"> Yogyakarta</w:t>
      </w:r>
      <w:r w:rsidR="008D184E" w:rsidRPr="00A94875">
        <w:rPr>
          <w:rFonts w:asciiTheme="majorBidi" w:hAnsiTheme="majorBidi" w:cstheme="majorBidi"/>
          <w:szCs w:val="24"/>
          <w:lang w:val="en-GB"/>
        </w:rPr>
        <w:t xml:space="preserve">, </w:t>
      </w:r>
      <w:r w:rsidRPr="00A94875">
        <w:rPr>
          <w:rFonts w:asciiTheme="majorBidi" w:hAnsiTheme="majorBidi" w:cstheme="majorBidi"/>
          <w:szCs w:val="24"/>
          <w:lang w:val="en-GB"/>
        </w:rPr>
        <w:t>Indonesia</w:t>
      </w:r>
      <w:r w:rsidR="008D184E" w:rsidRPr="00A94875">
        <w:rPr>
          <w:rFonts w:asciiTheme="majorBidi" w:hAnsiTheme="majorBidi" w:cstheme="majorBidi"/>
          <w:szCs w:val="24"/>
          <w:lang w:val="en-GB"/>
        </w:rPr>
        <w:t xml:space="preserve">, 3-5 July 2018, </w:t>
      </w:r>
      <w:r w:rsidRPr="00A94875">
        <w:rPr>
          <w:rFonts w:asciiTheme="majorBidi" w:hAnsiTheme="majorBidi" w:cstheme="majorBidi"/>
          <w:szCs w:val="24"/>
          <w:lang w:val="en-GB"/>
        </w:rPr>
        <w:t xml:space="preserve">hosted by </w:t>
      </w:r>
      <w:proofErr w:type="spellStart"/>
      <w:r w:rsidRPr="00A94875">
        <w:rPr>
          <w:rFonts w:asciiTheme="majorBidi" w:hAnsiTheme="majorBidi" w:cstheme="majorBidi"/>
          <w:szCs w:val="24"/>
          <w:lang w:val="en-GB"/>
        </w:rPr>
        <w:t>Universitas</w:t>
      </w:r>
      <w:proofErr w:type="spellEnd"/>
      <w:r w:rsidRPr="00A94875">
        <w:rPr>
          <w:rFonts w:asciiTheme="majorBidi" w:hAnsiTheme="majorBidi" w:cstheme="majorBidi"/>
          <w:szCs w:val="24"/>
          <w:lang w:val="en-GB"/>
        </w:rPr>
        <w:t xml:space="preserve"> Islam Indonesia, the national standards body of Indonesia and </w:t>
      </w:r>
      <w:proofErr w:type="spellStart"/>
      <w:r w:rsidRPr="00A94875">
        <w:rPr>
          <w:rFonts w:asciiTheme="majorBidi" w:hAnsiTheme="majorBidi" w:cstheme="majorBidi"/>
          <w:szCs w:val="24"/>
          <w:lang w:val="en-GB"/>
        </w:rPr>
        <w:t>Diponegoro</w:t>
      </w:r>
      <w:proofErr w:type="spellEnd"/>
      <w:r w:rsidRPr="00A94875">
        <w:rPr>
          <w:rFonts w:asciiTheme="majorBidi" w:hAnsiTheme="majorBidi" w:cstheme="majorBidi"/>
          <w:szCs w:val="24"/>
          <w:lang w:val="en-GB"/>
        </w:rPr>
        <w:t xml:space="preserve"> University</w:t>
      </w:r>
      <w:r w:rsidRPr="00A94875">
        <w:rPr>
          <w:rFonts w:asciiTheme="majorBidi" w:eastAsia="Arial" w:hAnsiTheme="majorBidi" w:cstheme="majorBidi"/>
          <w:spacing w:val="-1"/>
          <w:szCs w:val="24"/>
          <w:lang w:val="en-GB"/>
        </w:rPr>
        <w:t>. The theme of the ICES conference was “</w:t>
      </w:r>
      <w:r w:rsidRPr="00A94875">
        <w:rPr>
          <w:rFonts w:asciiTheme="majorBidi" w:hAnsiTheme="majorBidi" w:cstheme="majorBidi"/>
          <w:bCs/>
          <w:szCs w:val="24"/>
          <w:lang w:val="en-GB"/>
        </w:rPr>
        <w:t>Leveraging Internet-based technologies to teach standardization</w:t>
      </w:r>
      <w:r w:rsidRPr="00A94875">
        <w:rPr>
          <w:rFonts w:asciiTheme="majorBidi" w:eastAsia="Arial" w:hAnsiTheme="majorBidi" w:cstheme="majorBidi"/>
          <w:spacing w:val="-1"/>
          <w:szCs w:val="24"/>
          <w:lang w:val="en-GB"/>
        </w:rPr>
        <w:t xml:space="preserve">”. The aim of the WSC Academic Day 2018 was to review the potential of Internet-based technologies to improve teaching, training and education about standardization. </w:t>
      </w:r>
      <w:r w:rsidR="008D184E" w:rsidRPr="00A94875">
        <w:rPr>
          <w:rFonts w:asciiTheme="majorBidi" w:eastAsia="Arial" w:hAnsiTheme="majorBidi" w:cstheme="majorBidi"/>
          <w:spacing w:val="-1"/>
          <w:szCs w:val="24"/>
          <w:lang w:val="en-GB"/>
        </w:rPr>
        <w:t>P</w:t>
      </w:r>
      <w:r w:rsidRPr="00A94875">
        <w:rPr>
          <w:rFonts w:asciiTheme="majorBidi" w:eastAsia="Arial" w:hAnsiTheme="majorBidi" w:cstheme="majorBidi"/>
          <w:spacing w:val="-1"/>
          <w:szCs w:val="24"/>
          <w:lang w:val="en-GB"/>
        </w:rPr>
        <w:t xml:space="preserve">articipants </w:t>
      </w:r>
      <w:r w:rsidRPr="00A94875">
        <w:rPr>
          <w:rFonts w:asciiTheme="majorBidi" w:eastAsia="Arial" w:hAnsiTheme="majorBidi" w:cstheme="majorBidi"/>
          <w:spacing w:val="-1"/>
          <w:szCs w:val="24"/>
          <w:lang w:val="en-GB"/>
        </w:rPr>
        <w:lastRenderedPageBreak/>
        <w:t xml:space="preserve">recommended </w:t>
      </w:r>
      <w:r w:rsidRPr="00A94875">
        <w:rPr>
          <w:rFonts w:asciiTheme="majorBidi" w:hAnsiTheme="majorBidi" w:cstheme="majorBidi"/>
          <w:szCs w:val="24"/>
          <w:lang w:val="en-GB"/>
        </w:rPr>
        <w:t xml:space="preserve">that </w:t>
      </w:r>
      <w:r w:rsidR="008D184E" w:rsidRPr="00A94875">
        <w:rPr>
          <w:rFonts w:asciiTheme="majorBidi" w:hAnsiTheme="majorBidi" w:cstheme="majorBidi"/>
          <w:szCs w:val="24"/>
          <w:lang w:val="en-GB"/>
        </w:rPr>
        <w:t xml:space="preserve">IEC, ISO and ITU consider launching a </w:t>
      </w:r>
      <w:r w:rsidRPr="00A94875">
        <w:rPr>
          <w:rFonts w:asciiTheme="majorBidi" w:hAnsiTheme="majorBidi" w:cstheme="majorBidi"/>
          <w:szCs w:val="24"/>
          <w:lang w:val="en-GB"/>
        </w:rPr>
        <w:t>joint project</w:t>
      </w:r>
      <w:r w:rsidR="008D184E" w:rsidRPr="00A94875">
        <w:rPr>
          <w:rFonts w:asciiTheme="majorBidi" w:hAnsiTheme="majorBidi" w:cstheme="majorBidi"/>
          <w:szCs w:val="24"/>
          <w:lang w:val="en-GB"/>
        </w:rPr>
        <w:t>,</w:t>
      </w:r>
      <w:r w:rsidRPr="00A94875">
        <w:rPr>
          <w:rFonts w:asciiTheme="majorBidi" w:hAnsiTheme="majorBidi" w:cstheme="majorBidi"/>
          <w:szCs w:val="24"/>
          <w:lang w:val="en-GB"/>
        </w:rPr>
        <w:t xml:space="preserve"> with appropriate external partners</w:t>
      </w:r>
      <w:r w:rsidR="008D184E" w:rsidRPr="00A94875">
        <w:rPr>
          <w:rFonts w:asciiTheme="majorBidi" w:hAnsiTheme="majorBidi" w:cstheme="majorBidi"/>
          <w:szCs w:val="24"/>
          <w:lang w:val="en-GB"/>
        </w:rPr>
        <w:t>,</w:t>
      </w:r>
      <w:r w:rsidRPr="00A94875">
        <w:rPr>
          <w:rFonts w:asciiTheme="majorBidi" w:hAnsiTheme="majorBidi" w:cstheme="majorBidi"/>
          <w:szCs w:val="24"/>
          <w:lang w:val="en-GB"/>
        </w:rPr>
        <w:t xml:space="preserve"> to develop an entry-level </w:t>
      </w:r>
      <w:r w:rsidR="008D184E" w:rsidRPr="00A94875">
        <w:rPr>
          <w:rFonts w:asciiTheme="majorBidi" w:hAnsiTheme="majorBidi" w:cstheme="majorBidi"/>
          <w:szCs w:val="24"/>
          <w:lang w:val="en-GB"/>
        </w:rPr>
        <w:t xml:space="preserve">Massive Open Online Course </w:t>
      </w:r>
      <w:r w:rsidRPr="00A94875">
        <w:rPr>
          <w:rFonts w:asciiTheme="majorBidi" w:hAnsiTheme="majorBidi" w:cstheme="majorBidi"/>
          <w:szCs w:val="24"/>
          <w:lang w:val="en-GB"/>
        </w:rPr>
        <w:t>about standardization.</w:t>
      </w:r>
    </w:p>
    <w:p w14:paraId="5FD8F3B0" w14:textId="21782E0F" w:rsidR="006944F8" w:rsidRPr="00A94875" w:rsidRDefault="002F0E38" w:rsidP="006944F8">
      <w:pPr>
        <w:pStyle w:val="Heading1"/>
        <w:rPr>
          <w:rFonts w:asciiTheme="majorBidi" w:hAnsiTheme="majorBidi" w:cstheme="majorBidi"/>
          <w:lang w:val="en-GB"/>
        </w:rPr>
      </w:pPr>
      <w:bookmarkStart w:id="154" w:name="_Toc462664274"/>
      <w:bookmarkStart w:id="155" w:name="_Toc480527863"/>
      <w:bookmarkStart w:id="156" w:name="_Toc530571882"/>
      <w:bookmarkStart w:id="157" w:name="_Toc453929120"/>
      <w:bookmarkStart w:id="158" w:name="_Toc453932991"/>
      <w:bookmarkStart w:id="159" w:name="_Toc454295897"/>
      <w:bookmarkStart w:id="160" w:name="_Toc387390042"/>
      <w:bookmarkStart w:id="161" w:name="_Toc416161372"/>
      <w:bookmarkStart w:id="162" w:name="_Toc438553998"/>
      <w:r w:rsidRPr="00A94875">
        <w:rPr>
          <w:rFonts w:asciiTheme="majorBidi" w:hAnsiTheme="majorBidi" w:cstheme="majorBidi"/>
          <w:lang w:val="en-GB"/>
        </w:rPr>
        <w:t>11</w:t>
      </w:r>
      <w:r w:rsidR="006944F8" w:rsidRPr="00A94875">
        <w:rPr>
          <w:rFonts w:asciiTheme="majorBidi" w:hAnsiTheme="majorBidi" w:cstheme="majorBidi"/>
          <w:lang w:val="en-GB"/>
        </w:rPr>
        <w:tab/>
        <w:t>Publications</w:t>
      </w:r>
      <w:bookmarkEnd w:id="154"/>
      <w:bookmarkEnd w:id="155"/>
      <w:bookmarkEnd w:id="156"/>
    </w:p>
    <w:p w14:paraId="21098919" w14:textId="7BA3AD72"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Over 9</w:t>
      </w:r>
      <w:r w:rsidR="008D184E" w:rsidRPr="00A94875">
        <w:rPr>
          <w:rFonts w:asciiTheme="majorBidi" w:hAnsiTheme="majorBidi" w:cstheme="majorBidi"/>
          <w:lang w:val="en-GB"/>
        </w:rPr>
        <w:t>,</w:t>
      </w:r>
      <w:r w:rsidRPr="00A94875">
        <w:rPr>
          <w:rFonts w:asciiTheme="majorBidi" w:hAnsiTheme="majorBidi" w:cstheme="majorBidi"/>
          <w:lang w:val="en-GB"/>
        </w:rPr>
        <w:t xml:space="preserve">500 pages of ITU-T Recommendations and Supplements </w:t>
      </w:r>
      <w:proofErr w:type="gramStart"/>
      <w:r w:rsidRPr="00A94875">
        <w:rPr>
          <w:rFonts w:asciiTheme="majorBidi" w:hAnsiTheme="majorBidi" w:cstheme="majorBidi"/>
          <w:lang w:val="en-GB"/>
        </w:rPr>
        <w:t>were published</w:t>
      </w:r>
      <w:proofErr w:type="gramEnd"/>
      <w:r w:rsidRPr="00A94875">
        <w:rPr>
          <w:rFonts w:asciiTheme="majorBidi" w:hAnsiTheme="majorBidi" w:cstheme="majorBidi"/>
          <w:lang w:val="en-GB"/>
        </w:rPr>
        <w:t xml:space="preserve"> between February and September 2018. Figure 4 illustrates the number of Recommendations (including Supplements) published per year </w:t>
      </w:r>
      <w:r w:rsidR="004C0A18">
        <w:rPr>
          <w:rFonts w:asciiTheme="majorBidi" w:hAnsiTheme="majorBidi" w:cstheme="majorBidi"/>
          <w:lang w:val="en-GB"/>
        </w:rPr>
        <w:t xml:space="preserve">since 2014; </w:t>
      </w:r>
      <w:r w:rsidR="00345610">
        <w:rPr>
          <w:rFonts w:asciiTheme="majorBidi" w:hAnsiTheme="majorBidi" w:cstheme="majorBidi"/>
          <w:lang w:val="en-GB"/>
        </w:rPr>
        <w:t xml:space="preserve">note that the 2018 figure is </w:t>
      </w:r>
      <w:r w:rsidR="004C0A18">
        <w:rPr>
          <w:rFonts w:asciiTheme="majorBidi" w:hAnsiTheme="majorBidi" w:cstheme="majorBidi"/>
          <w:lang w:val="en-GB"/>
        </w:rPr>
        <w:t>estimat</w:t>
      </w:r>
      <w:r w:rsidR="00345610">
        <w:rPr>
          <w:rFonts w:asciiTheme="majorBidi" w:hAnsiTheme="majorBidi" w:cstheme="majorBidi"/>
          <w:lang w:val="en-GB"/>
        </w:rPr>
        <w:t>ed</w:t>
      </w:r>
      <w:r w:rsidRPr="00A94875">
        <w:rPr>
          <w:rFonts w:asciiTheme="majorBidi" w:hAnsiTheme="majorBidi" w:cstheme="majorBidi"/>
          <w:lang w:val="en-GB"/>
        </w:rPr>
        <w:t>.</w:t>
      </w:r>
    </w:p>
    <w:p w14:paraId="05DD359D" w14:textId="60DCA7D8" w:rsidR="006944F8" w:rsidRPr="00A94875" w:rsidRDefault="006944F8" w:rsidP="0033393D">
      <w:pPr>
        <w:rPr>
          <w:rFonts w:asciiTheme="majorBidi" w:hAnsiTheme="majorBidi" w:cstheme="majorBidi"/>
          <w:lang w:val="en-GB"/>
        </w:rPr>
      </w:pPr>
      <w:r w:rsidRPr="00A94875">
        <w:rPr>
          <w:rFonts w:asciiTheme="majorBidi" w:hAnsiTheme="majorBidi" w:cstheme="majorBidi"/>
          <w:lang w:val="en-GB"/>
        </w:rPr>
        <w:t xml:space="preserve">All major revisions of ITU-T Recommendations are now also being published </w:t>
      </w:r>
      <w:proofErr w:type="gramStart"/>
      <w:r w:rsidRPr="00A94875">
        <w:rPr>
          <w:rFonts w:asciiTheme="majorBidi" w:hAnsiTheme="majorBidi" w:cstheme="majorBidi"/>
          <w:lang w:val="en-GB"/>
        </w:rPr>
        <w:t>for free</w:t>
      </w:r>
      <w:proofErr w:type="gramEnd"/>
      <w:r w:rsidRPr="00A94875">
        <w:rPr>
          <w:rFonts w:asciiTheme="majorBidi" w:hAnsiTheme="majorBidi" w:cstheme="majorBidi"/>
          <w:lang w:val="en-GB"/>
        </w:rPr>
        <w:t xml:space="preserve"> download in the </w:t>
      </w:r>
      <w:proofErr w:type="spellStart"/>
      <w:r w:rsidRPr="00A94875">
        <w:rPr>
          <w:rFonts w:asciiTheme="majorBidi" w:hAnsiTheme="majorBidi" w:cstheme="majorBidi"/>
          <w:lang w:val="en-GB"/>
        </w:rPr>
        <w:t>reflowable</w:t>
      </w:r>
      <w:proofErr w:type="spellEnd"/>
      <w:r w:rsidRPr="00A94875">
        <w:rPr>
          <w:rFonts w:asciiTheme="majorBidi" w:hAnsiTheme="majorBidi" w:cstheme="majorBidi"/>
          <w:lang w:val="en-GB"/>
        </w:rPr>
        <w:t xml:space="preserve"> </w:t>
      </w:r>
      <w:proofErr w:type="spellStart"/>
      <w:r w:rsidRPr="00A94875">
        <w:rPr>
          <w:rFonts w:asciiTheme="majorBidi" w:hAnsiTheme="majorBidi" w:cstheme="majorBidi"/>
          <w:lang w:val="en-GB"/>
        </w:rPr>
        <w:t>ePub</w:t>
      </w:r>
      <w:proofErr w:type="spellEnd"/>
      <w:r w:rsidRPr="00A94875">
        <w:rPr>
          <w:rFonts w:asciiTheme="majorBidi" w:hAnsiTheme="majorBidi" w:cstheme="majorBidi"/>
          <w:lang w:val="en-GB"/>
        </w:rPr>
        <w:t xml:space="preserve"> format, alongside the usual PDF format. The </w:t>
      </w:r>
      <w:proofErr w:type="spellStart"/>
      <w:r w:rsidRPr="00A94875">
        <w:rPr>
          <w:rFonts w:asciiTheme="majorBidi" w:hAnsiTheme="majorBidi" w:cstheme="majorBidi"/>
          <w:lang w:val="en-GB"/>
        </w:rPr>
        <w:t>ePub</w:t>
      </w:r>
      <w:proofErr w:type="spellEnd"/>
      <w:r w:rsidRPr="00A94875">
        <w:rPr>
          <w:rFonts w:asciiTheme="majorBidi" w:hAnsiTheme="majorBidi" w:cstheme="majorBidi"/>
          <w:lang w:val="en-GB"/>
        </w:rPr>
        <w:t xml:space="preserve"> format allows users to read the Recommendations on devices of different screen sizes, </w:t>
      </w:r>
      <w:proofErr w:type="gramStart"/>
      <w:r w:rsidRPr="00A94875">
        <w:rPr>
          <w:rFonts w:asciiTheme="majorBidi" w:hAnsiTheme="majorBidi" w:cstheme="majorBidi"/>
          <w:lang w:val="en-GB"/>
        </w:rPr>
        <w:t xml:space="preserve">and </w:t>
      </w:r>
      <w:r w:rsidR="008D184E" w:rsidRPr="00A94875">
        <w:rPr>
          <w:rFonts w:asciiTheme="majorBidi" w:hAnsiTheme="majorBidi" w:cstheme="majorBidi"/>
          <w:lang w:val="en-GB"/>
        </w:rPr>
        <w:t>also</w:t>
      </w:r>
      <w:proofErr w:type="gramEnd"/>
      <w:r w:rsidR="008D184E" w:rsidRPr="00A94875">
        <w:rPr>
          <w:rFonts w:asciiTheme="majorBidi" w:hAnsiTheme="majorBidi" w:cstheme="majorBidi"/>
          <w:lang w:val="en-GB"/>
        </w:rPr>
        <w:t xml:space="preserve"> </w:t>
      </w:r>
      <w:r w:rsidRPr="00A94875">
        <w:rPr>
          <w:rFonts w:asciiTheme="majorBidi" w:hAnsiTheme="majorBidi" w:cstheme="majorBidi"/>
          <w:lang w:val="en-GB"/>
        </w:rPr>
        <w:t xml:space="preserve">to </w:t>
      </w:r>
      <w:r w:rsidR="008D184E" w:rsidRPr="00A94875">
        <w:rPr>
          <w:rFonts w:asciiTheme="majorBidi" w:hAnsiTheme="majorBidi" w:cstheme="majorBidi"/>
          <w:lang w:val="en-GB"/>
        </w:rPr>
        <w:t xml:space="preserve">apply functions such as </w:t>
      </w:r>
      <w:r w:rsidRPr="00A94875">
        <w:rPr>
          <w:rFonts w:asciiTheme="majorBidi" w:hAnsiTheme="majorBidi" w:cstheme="majorBidi"/>
          <w:lang w:val="en-GB"/>
        </w:rPr>
        <w:t>bookmark</w:t>
      </w:r>
      <w:r w:rsidR="008D184E" w:rsidRPr="00A94875">
        <w:rPr>
          <w:rFonts w:asciiTheme="majorBidi" w:hAnsiTheme="majorBidi" w:cstheme="majorBidi"/>
          <w:lang w:val="en-GB"/>
        </w:rPr>
        <w:t>s</w:t>
      </w:r>
      <w:r w:rsidRPr="00A94875">
        <w:rPr>
          <w:rFonts w:asciiTheme="majorBidi" w:hAnsiTheme="majorBidi" w:cstheme="majorBidi"/>
          <w:lang w:val="en-GB"/>
        </w:rPr>
        <w:t>, notes and highlight</w:t>
      </w:r>
      <w:r w:rsidR="008D184E" w:rsidRPr="00A94875">
        <w:rPr>
          <w:rFonts w:asciiTheme="majorBidi" w:hAnsiTheme="majorBidi" w:cstheme="majorBidi"/>
          <w:lang w:val="en-GB"/>
        </w:rPr>
        <w:t>s</w:t>
      </w:r>
      <w:r w:rsidRPr="00A94875">
        <w:rPr>
          <w:rFonts w:asciiTheme="majorBidi" w:hAnsiTheme="majorBidi" w:cstheme="majorBidi"/>
          <w:lang w:val="en-GB"/>
        </w:rPr>
        <w:t xml:space="preserve">. It </w:t>
      </w:r>
      <w:proofErr w:type="gramStart"/>
      <w:r w:rsidRPr="00A94875">
        <w:rPr>
          <w:rFonts w:asciiTheme="majorBidi" w:hAnsiTheme="majorBidi" w:cstheme="majorBidi"/>
          <w:lang w:val="en-GB"/>
        </w:rPr>
        <w:t>is expected</w:t>
      </w:r>
      <w:proofErr w:type="gramEnd"/>
      <w:r w:rsidRPr="00A94875">
        <w:rPr>
          <w:rFonts w:asciiTheme="majorBidi" w:hAnsiTheme="majorBidi" w:cstheme="majorBidi"/>
          <w:lang w:val="en-GB"/>
        </w:rPr>
        <w:t xml:space="preserve"> that by mid-February 2019, all major revisions approved in the current study period will be available in th</w:t>
      </w:r>
      <w:r w:rsidR="008D184E" w:rsidRPr="00A94875">
        <w:rPr>
          <w:rFonts w:asciiTheme="majorBidi" w:hAnsiTheme="majorBidi" w:cstheme="majorBidi"/>
          <w:lang w:val="en-GB"/>
        </w:rPr>
        <w:t>is</w:t>
      </w:r>
      <w:r w:rsidRPr="00A94875">
        <w:rPr>
          <w:rFonts w:asciiTheme="majorBidi" w:hAnsiTheme="majorBidi" w:cstheme="majorBidi"/>
          <w:lang w:val="en-GB"/>
        </w:rPr>
        <w:t xml:space="preserve"> new format.</w:t>
      </w:r>
    </w:p>
    <w:p w14:paraId="125E7DFD" w14:textId="23FD3B2B" w:rsidR="006944F8" w:rsidRDefault="006944F8" w:rsidP="006944F8">
      <w:pPr>
        <w:rPr>
          <w:rFonts w:asciiTheme="majorBidi" w:hAnsiTheme="majorBidi" w:cstheme="majorBidi"/>
          <w:lang w:val="en-GB"/>
        </w:rPr>
      </w:pPr>
      <w:r w:rsidRPr="00A94875">
        <w:rPr>
          <w:rFonts w:asciiTheme="majorBidi" w:hAnsiTheme="majorBidi" w:cstheme="majorBidi"/>
          <w:lang w:val="en-GB"/>
        </w:rPr>
        <w:t xml:space="preserve">The ITU product "ITU-T Recommendations and selected Handbooks" continues to </w:t>
      </w:r>
      <w:proofErr w:type="gramStart"/>
      <w:r w:rsidRPr="00A94875">
        <w:rPr>
          <w:rFonts w:asciiTheme="majorBidi" w:hAnsiTheme="majorBidi" w:cstheme="majorBidi"/>
          <w:lang w:val="en-GB"/>
        </w:rPr>
        <w:t>be distributed</w:t>
      </w:r>
      <w:proofErr w:type="gramEnd"/>
      <w:r w:rsidRPr="00A94875">
        <w:rPr>
          <w:rFonts w:asciiTheme="majorBidi" w:hAnsiTheme="majorBidi" w:cstheme="majorBidi"/>
          <w:lang w:val="en-GB"/>
        </w:rPr>
        <w:t xml:space="preserve"> on a quarterly basis as a USB key. This product represents a tool of great value to standards developers and implementers as a consolidated archive of the over 4</w:t>
      </w:r>
      <w:r w:rsidR="008D184E" w:rsidRPr="00A94875">
        <w:rPr>
          <w:rFonts w:asciiTheme="majorBidi" w:hAnsiTheme="majorBidi" w:cstheme="majorBidi"/>
          <w:lang w:val="en-GB"/>
        </w:rPr>
        <w:t>,</w:t>
      </w:r>
      <w:r w:rsidRPr="00A94875">
        <w:rPr>
          <w:rFonts w:asciiTheme="majorBidi" w:hAnsiTheme="majorBidi" w:cstheme="majorBidi"/>
          <w:lang w:val="en-GB"/>
        </w:rPr>
        <w:t xml:space="preserve">000 ITU-T standards in force. The USB key incorporates advanced search tools, including detailed search-by-content capabilities. </w:t>
      </w:r>
      <w:proofErr w:type="gramStart"/>
      <w:r w:rsidRPr="00A94875">
        <w:rPr>
          <w:rFonts w:asciiTheme="majorBidi" w:hAnsiTheme="majorBidi" w:cstheme="majorBidi"/>
          <w:lang w:val="en-GB"/>
        </w:rPr>
        <w:t>Search parameters can be defined by keywords, timeframe and Study Group</w:t>
      </w:r>
      <w:proofErr w:type="gramEnd"/>
      <w:r w:rsidRPr="00A94875">
        <w:rPr>
          <w:rFonts w:asciiTheme="majorBidi" w:hAnsiTheme="majorBidi" w:cstheme="majorBidi"/>
          <w:lang w:val="en-GB"/>
        </w:rPr>
        <w:t>, among others, with searches applicable to the title or the full text of the standard.</w:t>
      </w:r>
    </w:p>
    <w:p w14:paraId="44D397D8" w14:textId="483D048B" w:rsidR="009673A2" w:rsidRDefault="009673A2" w:rsidP="009673A2">
      <w:pPr>
        <w:jc w:val="center"/>
        <w:rPr>
          <w:rFonts w:asciiTheme="majorBidi" w:hAnsiTheme="majorBidi" w:cstheme="majorBidi"/>
          <w:lang w:val="en-GB"/>
        </w:rPr>
      </w:pPr>
      <w:r>
        <w:rPr>
          <w:noProof/>
          <w:lang w:val="en-GB"/>
        </w:rPr>
        <w:drawing>
          <wp:inline distT="0" distB="0" distL="0" distR="0" wp14:anchorId="67E417FE" wp14:editId="3C2ED3E3">
            <wp:extent cx="4603805" cy="2775281"/>
            <wp:effectExtent l="0" t="0" r="635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5"/>
              </a:graphicData>
            </a:graphic>
          </wp:inline>
        </w:drawing>
      </w:r>
    </w:p>
    <w:p w14:paraId="7003E41E" w14:textId="64B93433" w:rsidR="006944F8" w:rsidRPr="00A94875" w:rsidRDefault="006944F8">
      <w:pPr>
        <w:pStyle w:val="FigureNotitle"/>
        <w:keepLines w:val="0"/>
        <w:rPr>
          <w:rFonts w:asciiTheme="majorBidi" w:hAnsiTheme="majorBidi" w:cstheme="majorBidi"/>
          <w:highlight w:val="yellow"/>
          <w:lang w:val="en-GB"/>
        </w:rPr>
      </w:pPr>
      <w:r w:rsidRPr="00A94875">
        <w:rPr>
          <w:rFonts w:asciiTheme="majorBidi" w:hAnsiTheme="majorBidi" w:cstheme="majorBidi"/>
          <w:lang w:val="en-GB"/>
        </w:rPr>
        <w:t xml:space="preserve">Figure </w:t>
      </w:r>
      <w:proofErr w:type="gramStart"/>
      <w:r w:rsidRPr="00A94875">
        <w:rPr>
          <w:rFonts w:asciiTheme="majorBidi" w:hAnsiTheme="majorBidi" w:cstheme="majorBidi"/>
          <w:lang w:val="en-GB"/>
        </w:rPr>
        <w:t>4</w:t>
      </w:r>
      <w:proofErr w:type="gramEnd"/>
      <w:r w:rsidRPr="00A94875">
        <w:rPr>
          <w:rFonts w:asciiTheme="majorBidi" w:hAnsiTheme="majorBidi" w:cstheme="majorBidi"/>
          <w:lang w:val="en-GB"/>
        </w:rPr>
        <w:t xml:space="preserve"> – Number of Recommendations, amendments and Supplements </w:t>
      </w:r>
      <w:r w:rsidRPr="00A94875">
        <w:rPr>
          <w:rFonts w:asciiTheme="majorBidi" w:hAnsiTheme="majorBidi" w:cstheme="majorBidi"/>
          <w:lang w:val="en-GB"/>
        </w:rPr>
        <w:br/>
        <w:t>published per year since 2014</w:t>
      </w:r>
      <w:r w:rsidR="00AC4B35">
        <w:rPr>
          <w:rFonts w:asciiTheme="majorBidi" w:hAnsiTheme="majorBidi" w:cstheme="majorBidi"/>
          <w:lang w:val="en-GB"/>
        </w:rPr>
        <w:t>. (*) estimate</w:t>
      </w:r>
    </w:p>
    <w:p w14:paraId="605353D9" w14:textId="0C20033B" w:rsidR="006944F8" w:rsidRPr="00A94875" w:rsidRDefault="006944F8" w:rsidP="006944F8">
      <w:pPr>
        <w:pStyle w:val="Heading1"/>
        <w:rPr>
          <w:lang w:val="en-GB"/>
        </w:rPr>
      </w:pPr>
      <w:bookmarkStart w:id="163" w:name="_Toc462664275"/>
      <w:bookmarkStart w:id="164" w:name="_Toc480527864"/>
      <w:bookmarkStart w:id="165" w:name="_Toc530571883"/>
      <w:r w:rsidRPr="00A94875">
        <w:rPr>
          <w:rFonts w:asciiTheme="majorBidi" w:hAnsiTheme="majorBidi" w:cstheme="majorBidi"/>
          <w:lang w:val="en-GB"/>
        </w:rPr>
        <w:t>1</w:t>
      </w:r>
      <w:r w:rsidR="002F0E38" w:rsidRPr="00A94875">
        <w:rPr>
          <w:rFonts w:asciiTheme="majorBidi" w:hAnsiTheme="majorBidi" w:cstheme="majorBidi"/>
          <w:lang w:val="en-GB"/>
        </w:rPr>
        <w:t>2</w:t>
      </w:r>
      <w:r w:rsidRPr="00A94875">
        <w:rPr>
          <w:rFonts w:asciiTheme="majorBidi" w:hAnsiTheme="majorBidi" w:cstheme="majorBidi"/>
          <w:lang w:val="en-GB"/>
        </w:rPr>
        <w:tab/>
      </w:r>
      <w:bookmarkStart w:id="166" w:name="_Toc480527865"/>
      <w:bookmarkStart w:id="167" w:name="_Toc505235939"/>
      <w:bookmarkEnd w:id="157"/>
      <w:bookmarkEnd w:id="158"/>
      <w:bookmarkEnd w:id="159"/>
      <w:bookmarkEnd w:id="160"/>
      <w:bookmarkEnd w:id="161"/>
      <w:bookmarkEnd w:id="162"/>
      <w:bookmarkEnd w:id="163"/>
      <w:bookmarkEnd w:id="164"/>
      <w:r w:rsidRPr="00A94875">
        <w:rPr>
          <w:lang w:val="en-GB"/>
        </w:rPr>
        <w:t>Media and promotion</w:t>
      </w:r>
      <w:bookmarkEnd w:id="165"/>
      <w:bookmarkEnd w:id="166"/>
      <w:bookmarkEnd w:id="167"/>
    </w:p>
    <w:p w14:paraId="2B0A2FA8" w14:textId="3E8D4974" w:rsidR="004E6F00" w:rsidRPr="00A94875" w:rsidRDefault="006944F8" w:rsidP="009E5FFA">
      <w:pPr>
        <w:pStyle w:val="NormalWeb"/>
        <w:snapToGrid w:val="0"/>
        <w:spacing w:before="120" w:beforeAutospacing="0" w:after="0" w:afterAutospacing="0"/>
        <w:rPr>
          <w:rFonts w:asciiTheme="majorBidi" w:hAnsiTheme="majorBidi" w:cstheme="majorBidi"/>
          <w:color w:val="000000"/>
          <w:lang w:val="en-GB"/>
        </w:rPr>
      </w:pPr>
      <w:r w:rsidRPr="00A94875">
        <w:rPr>
          <w:rFonts w:asciiTheme="majorBidi" w:hAnsiTheme="majorBidi" w:cstheme="majorBidi"/>
          <w:color w:val="000000"/>
          <w:lang w:val="en-GB"/>
        </w:rPr>
        <w:t xml:space="preserve">TSB maintains a consistent output of original ITU-T news content, coupled with a coordinated social media strategy led by the ITU General Secretariat. </w:t>
      </w:r>
    </w:p>
    <w:p w14:paraId="657F0167" w14:textId="6F5C7BDD" w:rsidR="004E6F00" w:rsidRPr="00A94875" w:rsidRDefault="004258B1" w:rsidP="009E5FFA">
      <w:pPr>
        <w:pStyle w:val="NormalWeb"/>
        <w:snapToGrid w:val="0"/>
        <w:spacing w:before="120" w:beforeAutospacing="0" w:after="0" w:afterAutospacing="0"/>
        <w:rPr>
          <w:rFonts w:asciiTheme="majorBidi" w:hAnsiTheme="majorBidi" w:cstheme="majorBidi"/>
          <w:color w:val="000000"/>
          <w:lang w:val="en-GB"/>
        </w:rPr>
      </w:pPr>
      <w:r w:rsidRPr="00A94875">
        <w:rPr>
          <w:rFonts w:asciiTheme="majorBidi" w:hAnsiTheme="majorBidi" w:cstheme="majorBidi"/>
          <w:bCs/>
          <w:color w:val="000000"/>
          <w:lang w:val="en-GB"/>
        </w:rPr>
        <w:t xml:space="preserve">TSB produces the most communications of any sector and these communications </w:t>
      </w:r>
      <w:r w:rsidRPr="00A94875">
        <w:rPr>
          <w:rFonts w:asciiTheme="majorBidi" w:hAnsiTheme="majorBidi" w:cstheme="majorBidi"/>
          <w:color w:val="000000"/>
          <w:lang w:val="en-GB"/>
        </w:rPr>
        <w:t>feature among the most popular ITU content each year.</w:t>
      </w:r>
      <w:r w:rsidR="004E6F00" w:rsidRPr="00A94875">
        <w:rPr>
          <w:rFonts w:asciiTheme="majorBidi" w:hAnsiTheme="majorBidi" w:cstheme="majorBidi"/>
          <w:color w:val="000000"/>
          <w:lang w:val="en-GB"/>
        </w:rPr>
        <w:t xml:space="preserve"> </w:t>
      </w:r>
      <w:r w:rsidR="006944F8" w:rsidRPr="00A94875">
        <w:rPr>
          <w:rFonts w:asciiTheme="majorBidi" w:hAnsiTheme="majorBidi" w:cstheme="majorBidi"/>
          <w:color w:val="000000"/>
          <w:lang w:val="en-GB"/>
        </w:rPr>
        <w:t xml:space="preserve">ITU-T news is now published on the new </w:t>
      </w:r>
      <w:hyperlink r:id="rId96" w:history="1">
        <w:r w:rsidR="006944F8" w:rsidRPr="00A94875">
          <w:rPr>
            <w:rStyle w:val="Hyperlink"/>
            <w:rFonts w:asciiTheme="majorBidi" w:hAnsiTheme="majorBidi" w:cstheme="majorBidi"/>
            <w:lang w:val="en-GB"/>
          </w:rPr>
          <w:t>ITU News platform</w:t>
        </w:r>
      </w:hyperlink>
      <w:r w:rsidR="001D7B96" w:rsidRPr="00A94875">
        <w:rPr>
          <w:rFonts w:asciiTheme="majorBidi" w:hAnsiTheme="majorBidi" w:cstheme="majorBidi"/>
          <w:color w:val="000000"/>
          <w:lang w:val="en-GB"/>
        </w:rPr>
        <w:t xml:space="preserve">, a </w:t>
      </w:r>
      <w:r w:rsidRPr="00A94875">
        <w:rPr>
          <w:rFonts w:asciiTheme="majorBidi" w:hAnsiTheme="majorBidi" w:cstheme="majorBidi"/>
          <w:color w:val="000000"/>
          <w:lang w:val="en-GB"/>
        </w:rPr>
        <w:t xml:space="preserve">mobile-optimized platform </w:t>
      </w:r>
      <w:proofErr w:type="gramStart"/>
      <w:r w:rsidR="001D7B96" w:rsidRPr="00A94875">
        <w:rPr>
          <w:rFonts w:asciiTheme="majorBidi" w:hAnsiTheme="majorBidi" w:cstheme="majorBidi"/>
          <w:color w:val="000000"/>
          <w:lang w:val="en-GB"/>
        </w:rPr>
        <w:t>which</w:t>
      </w:r>
      <w:proofErr w:type="gramEnd"/>
      <w:r w:rsidR="001D7B96" w:rsidRPr="00A94875">
        <w:rPr>
          <w:rFonts w:asciiTheme="majorBidi" w:hAnsiTheme="majorBidi" w:cstheme="majorBidi"/>
          <w:color w:val="000000"/>
          <w:lang w:val="en-GB"/>
        </w:rPr>
        <w:t xml:space="preserve"> </w:t>
      </w:r>
      <w:r w:rsidRPr="00A94875">
        <w:rPr>
          <w:rFonts w:asciiTheme="majorBidi" w:hAnsiTheme="majorBidi" w:cstheme="majorBidi"/>
          <w:color w:val="000000"/>
          <w:lang w:val="en-GB"/>
        </w:rPr>
        <w:t xml:space="preserve">supports the incorporation of multimedia and improves search-engine results and sharing. A new </w:t>
      </w:r>
      <w:hyperlink r:id="rId97" w:history="1">
        <w:r w:rsidRPr="00A94875">
          <w:rPr>
            <w:rStyle w:val="Hyperlink"/>
            <w:rFonts w:asciiTheme="majorBidi" w:hAnsiTheme="majorBidi" w:cstheme="majorBidi"/>
            <w:lang w:val="en-GB"/>
          </w:rPr>
          <w:t>‘Standards’ category of ITU News</w:t>
        </w:r>
      </w:hyperlink>
      <w:r w:rsidRPr="00A94875">
        <w:rPr>
          <w:rFonts w:asciiTheme="majorBidi" w:hAnsiTheme="majorBidi" w:cstheme="majorBidi"/>
          <w:color w:val="000000"/>
          <w:lang w:val="en-GB"/>
        </w:rPr>
        <w:t xml:space="preserve"> focuses on the work of ITU-R and ITU-T. </w:t>
      </w:r>
    </w:p>
    <w:p w14:paraId="77C49CE5" w14:textId="532FF1A5" w:rsidR="006944F8" w:rsidRPr="00A94875" w:rsidRDefault="004E6F00" w:rsidP="009E5FFA">
      <w:pPr>
        <w:rPr>
          <w:lang w:val="en-GB"/>
        </w:rPr>
      </w:pPr>
      <w:r w:rsidRPr="00A94875">
        <w:rPr>
          <w:lang w:val="en-GB"/>
        </w:rPr>
        <w:t xml:space="preserve">TSB communications </w:t>
      </w:r>
      <w:proofErr w:type="gramStart"/>
      <w:r w:rsidRPr="00A94875">
        <w:rPr>
          <w:lang w:val="en-GB"/>
        </w:rPr>
        <w:t>are systematically distributed</w:t>
      </w:r>
      <w:proofErr w:type="gramEnd"/>
      <w:r w:rsidRPr="00A94875">
        <w:rPr>
          <w:lang w:val="en-GB"/>
        </w:rPr>
        <w:t xml:space="preserve"> using a variety of social media channels including Twitter, Facebook, LinkedIn, Weibo and YouTube. </w:t>
      </w:r>
      <w:proofErr w:type="spellStart"/>
      <w:r w:rsidRPr="00A94875">
        <w:rPr>
          <w:lang w:val="en-GB"/>
        </w:rPr>
        <w:t>SlideShare</w:t>
      </w:r>
      <w:proofErr w:type="spellEnd"/>
      <w:r w:rsidRPr="00A94875">
        <w:rPr>
          <w:lang w:val="en-GB"/>
        </w:rPr>
        <w:t xml:space="preserve"> and related promotion in </w:t>
      </w:r>
      <w:r w:rsidRPr="00A94875">
        <w:rPr>
          <w:lang w:val="en-GB"/>
        </w:rPr>
        <w:lastRenderedPageBreak/>
        <w:t xml:space="preserve">relevant LinkedIn professional communities has proven effective in highlighting expert-oriented content developed by ITU-T standardization experts. </w:t>
      </w:r>
    </w:p>
    <w:p w14:paraId="4CC40111" w14:textId="77777777" w:rsidR="006944F8" w:rsidRPr="00A94875" w:rsidRDefault="006944F8" w:rsidP="006944F8">
      <w:pPr>
        <w:pStyle w:val="NormalWeb"/>
        <w:snapToGrid w:val="0"/>
        <w:spacing w:before="120" w:beforeAutospacing="0" w:after="0" w:afterAutospacing="0"/>
        <w:rPr>
          <w:rFonts w:asciiTheme="majorBidi" w:hAnsiTheme="majorBidi" w:cstheme="majorBidi"/>
          <w:color w:val="000000"/>
          <w:lang w:val="en-GB"/>
        </w:rPr>
      </w:pPr>
      <w:r w:rsidRPr="00A94875">
        <w:rPr>
          <w:rFonts w:asciiTheme="majorBidi" w:hAnsiTheme="majorBidi" w:cstheme="majorBidi"/>
          <w:color w:val="000000"/>
          <w:lang w:val="en-GB"/>
        </w:rPr>
        <w:t>High-priority ITU-T news topics include:</w:t>
      </w:r>
    </w:p>
    <w:p w14:paraId="1669B707" w14:textId="11A459C7" w:rsidR="006944F8" w:rsidRPr="00A94875" w:rsidRDefault="006944F8" w:rsidP="009261B2">
      <w:pPr>
        <w:pStyle w:val="ListParagraph"/>
        <w:numPr>
          <w:ilvl w:val="0"/>
          <w:numId w:val="59"/>
        </w:numPr>
        <w:spacing w:before="120"/>
        <w:contextualSpacing w:val="0"/>
        <w:rPr>
          <w:rFonts w:asciiTheme="majorBidi" w:hAnsiTheme="majorBidi" w:cstheme="majorBidi"/>
          <w:sz w:val="24"/>
          <w:szCs w:val="24"/>
          <w:lang w:val="en-GB"/>
        </w:rPr>
      </w:pPr>
      <w:r w:rsidRPr="00A94875">
        <w:rPr>
          <w:rFonts w:asciiTheme="majorBidi" w:hAnsiTheme="majorBidi" w:cstheme="majorBidi"/>
          <w:sz w:val="24"/>
          <w:szCs w:val="24"/>
          <w:lang w:val="en-GB"/>
        </w:rPr>
        <w:t>Transport and access</w:t>
      </w:r>
      <w:r w:rsidR="001D7B96" w:rsidRPr="00A94875">
        <w:rPr>
          <w:rFonts w:asciiTheme="majorBidi" w:hAnsiTheme="majorBidi" w:cstheme="majorBidi"/>
          <w:sz w:val="24"/>
          <w:szCs w:val="24"/>
          <w:lang w:val="en-GB"/>
        </w:rPr>
        <w:t>,</w:t>
      </w:r>
      <w:r w:rsidRPr="00A94875">
        <w:rPr>
          <w:rFonts w:asciiTheme="majorBidi" w:hAnsiTheme="majorBidi" w:cstheme="majorBidi"/>
          <w:sz w:val="24"/>
          <w:szCs w:val="24"/>
          <w:lang w:val="en-GB"/>
        </w:rPr>
        <w:t xml:space="preserve"> video coding</w:t>
      </w:r>
      <w:r w:rsidR="001D7B96" w:rsidRPr="00A94875">
        <w:rPr>
          <w:rFonts w:asciiTheme="majorBidi" w:hAnsiTheme="majorBidi" w:cstheme="majorBidi"/>
          <w:sz w:val="24"/>
          <w:szCs w:val="24"/>
          <w:lang w:val="en-GB"/>
        </w:rPr>
        <w:t xml:space="preserve">, </w:t>
      </w:r>
      <w:r w:rsidRPr="00A94875">
        <w:rPr>
          <w:rFonts w:asciiTheme="majorBidi" w:hAnsiTheme="majorBidi" w:cstheme="majorBidi"/>
          <w:sz w:val="24"/>
          <w:szCs w:val="24"/>
          <w:lang w:val="en-GB"/>
        </w:rPr>
        <w:t xml:space="preserve">and performance, </w:t>
      </w:r>
      <w:proofErr w:type="spellStart"/>
      <w:r w:rsidRPr="00A94875">
        <w:rPr>
          <w:rFonts w:asciiTheme="majorBidi" w:hAnsiTheme="majorBidi" w:cstheme="majorBidi"/>
          <w:sz w:val="24"/>
          <w:szCs w:val="24"/>
          <w:lang w:val="en-GB"/>
        </w:rPr>
        <w:t>QoS</w:t>
      </w:r>
      <w:proofErr w:type="spellEnd"/>
      <w:r w:rsidRPr="00A94875">
        <w:rPr>
          <w:rFonts w:asciiTheme="majorBidi" w:hAnsiTheme="majorBidi" w:cstheme="majorBidi"/>
          <w:sz w:val="24"/>
          <w:szCs w:val="24"/>
          <w:lang w:val="en-GB"/>
        </w:rPr>
        <w:t xml:space="preserve"> and </w:t>
      </w:r>
      <w:proofErr w:type="spellStart"/>
      <w:r w:rsidRPr="00A94875">
        <w:rPr>
          <w:rFonts w:asciiTheme="majorBidi" w:hAnsiTheme="majorBidi" w:cstheme="majorBidi"/>
          <w:sz w:val="24"/>
          <w:szCs w:val="24"/>
          <w:lang w:val="en-GB"/>
        </w:rPr>
        <w:t>QoE</w:t>
      </w:r>
      <w:proofErr w:type="spellEnd"/>
      <w:r w:rsidRPr="00A94875">
        <w:rPr>
          <w:rFonts w:asciiTheme="majorBidi" w:hAnsiTheme="majorBidi" w:cstheme="majorBidi"/>
          <w:sz w:val="24"/>
          <w:szCs w:val="24"/>
          <w:lang w:val="en-GB"/>
        </w:rPr>
        <w:t xml:space="preserve"> are of great interest to ITU-T’s audience. The success of related ITU-T news </w:t>
      </w:r>
      <w:proofErr w:type="gramStart"/>
      <w:r w:rsidRPr="00A94875">
        <w:rPr>
          <w:rFonts w:asciiTheme="majorBidi" w:hAnsiTheme="majorBidi" w:cstheme="majorBidi"/>
          <w:sz w:val="24"/>
          <w:szCs w:val="24"/>
          <w:lang w:val="en-GB"/>
        </w:rPr>
        <w:t>can be attributed</w:t>
      </w:r>
      <w:proofErr w:type="gramEnd"/>
      <w:r w:rsidRPr="00A94875">
        <w:rPr>
          <w:rFonts w:asciiTheme="majorBidi" w:hAnsiTheme="majorBidi" w:cstheme="majorBidi"/>
          <w:sz w:val="24"/>
          <w:szCs w:val="24"/>
          <w:lang w:val="en-GB"/>
        </w:rPr>
        <w:t xml:space="preserve"> to ITU’s leadership and credibility in these fields.</w:t>
      </w:r>
    </w:p>
    <w:p w14:paraId="709F56D1" w14:textId="77777777" w:rsidR="006944F8" w:rsidRPr="00A94875" w:rsidRDefault="006944F8" w:rsidP="009261B2">
      <w:pPr>
        <w:pStyle w:val="ListParagraph"/>
        <w:numPr>
          <w:ilvl w:val="0"/>
          <w:numId w:val="59"/>
        </w:numPr>
        <w:spacing w:before="120"/>
        <w:contextualSpacing w:val="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5G, Trust, </w:t>
      </w:r>
      <w:proofErr w:type="spellStart"/>
      <w:r w:rsidRPr="00A94875">
        <w:rPr>
          <w:rFonts w:asciiTheme="majorBidi" w:hAnsiTheme="majorBidi" w:cstheme="majorBidi"/>
          <w:sz w:val="24"/>
          <w:szCs w:val="24"/>
          <w:lang w:val="en-GB"/>
        </w:rPr>
        <w:t>IoT</w:t>
      </w:r>
      <w:proofErr w:type="spellEnd"/>
      <w:r w:rsidRPr="00A94875">
        <w:rPr>
          <w:rFonts w:asciiTheme="majorBidi" w:hAnsiTheme="majorBidi" w:cstheme="majorBidi"/>
          <w:sz w:val="24"/>
          <w:szCs w:val="24"/>
          <w:lang w:val="en-GB"/>
        </w:rPr>
        <w:t xml:space="preserve"> and Smart Cities are effective ‘headline’ topics, helping ITU-T news to highlight how ITU standards support ICT users. </w:t>
      </w:r>
    </w:p>
    <w:p w14:paraId="2BD27083" w14:textId="77777777" w:rsidR="006944F8" w:rsidRPr="00A94875" w:rsidRDefault="006944F8" w:rsidP="009261B2">
      <w:pPr>
        <w:pStyle w:val="ListParagraph"/>
        <w:numPr>
          <w:ilvl w:val="0"/>
          <w:numId w:val="59"/>
        </w:numPr>
        <w:spacing w:before="120"/>
        <w:contextualSpacing w:val="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‘Emerging trends’ such as AI, ITS, </w:t>
      </w:r>
      <w:proofErr w:type="spellStart"/>
      <w:r w:rsidRPr="00A94875">
        <w:rPr>
          <w:rFonts w:asciiTheme="majorBidi" w:hAnsiTheme="majorBidi" w:cstheme="majorBidi"/>
          <w:sz w:val="24"/>
          <w:szCs w:val="24"/>
          <w:lang w:val="en-GB"/>
        </w:rPr>
        <w:t>Blockchain</w:t>
      </w:r>
      <w:proofErr w:type="spellEnd"/>
      <w:r w:rsidRPr="00A94875">
        <w:rPr>
          <w:rFonts w:asciiTheme="majorBidi" w:hAnsiTheme="majorBidi" w:cstheme="majorBidi"/>
          <w:sz w:val="24"/>
          <w:szCs w:val="24"/>
          <w:lang w:val="en-GB"/>
        </w:rPr>
        <w:t xml:space="preserve"> and DFS </w:t>
      </w:r>
      <w:proofErr w:type="gramStart"/>
      <w:r w:rsidRPr="00A94875">
        <w:rPr>
          <w:rFonts w:asciiTheme="majorBidi" w:hAnsiTheme="majorBidi" w:cstheme="majorBidi"/>
          <w:sz w:val="24"/>
          <w:szCs w:val="24"/>
          <w:lang w:val="en-GB"/>
        </w:rPr>
        <w:t>are also</w:t>
      </w:r>
      <w:proofErr w:type="gramEnd"/>
      <w:r w:rsidRPr="00A94875">
        <w:rPr>
          <w:rFonts w:asciiTheme="majorBidi" w:hAnsiTheme="majorBidi" w:cstheme="majorBidi"/>
          <w:sz w:val="24"/>
          <w:szCs w:val="24"/>
          <w:lang w:val="en-GB"/>
        </w:rPr>
        <w:t xml:space="preserve"> proving very popular with ITU-T’s audience.</w:t>
      </w:r>
    </w:p>
    <w:p w14:paraId="28F06FA8" w14:textId="53D54297" w:rsidR="004258B1" w:rsidRPr="00A94875" w:rsidRDefault="004258B1" w:rsidP="009E5FFA">
      <w:pPr>
        <w:rPr>
          <w:lang w:val="en-GB"/>
        </w:rPr>
      </w:pPr>
      <w:r w:rsidRPr="00A94875">
        <w:rPr>
          <w:lang w:val="en-GB"/>
        </w:rPr>
        <w:t xml:space="preserve">Infographics, animations and video form part of coordinated packages of TSB communications. TSB communications incorporate ITU-T expert interviews, event wrap-up videos and videos expressly designed for social media. An </w:t>
      </w:r>
      <w:hyperlink r:id="rId98" w:history="1">
        <w:r w:rsidRPr="00A94875">
          <w:rPr>
            <w:rStyle w:val="Hyperlink"/>
            <w:lang w:val="en-GB"/>
          </w:rPr>
          <w:t xml:space="preserve">animated video </w:t>
        </w:r>
        <w:proofErr w:type="gramStart"/>
        <w:r w:rsidRPr="00A94875">
          <w:rPr>
            <w:rStyle w:val="Hyperlink"/>
            <w:lang w:val="en-GB"/>
          </w:rPr>
          <w:t>providing an introduction to</w:t>
        </w:r>
        <w:proofErr w:type="gramEnd"/>
        <w:r w:rsidRPr="00A94875">
          <w:rPr>
            <w:rStyle w:val="Hyperlink"/>
            <w:lang w:val="en-GB"/>
          </w:rPr>
          <w:t xml:space="preserve"> ITU-T’s work</w:t>
        </w:r>
      </w:hyperlink>
      <w:r w:rsidRPr="00A94875">
        <w:rPr>
          <w:lang w:val="en-GB"/>
        </w:rPr>
        <w:t xml:space="preserve"> </w:t>
      </w:r>
      <w:r w:rsidR="004E6F00" w:rsidRPr="00A94875">
        <w:rPr>
          <w:lang w:val="en-GB"/>
        </w:rPr>
        <w:t xml:space="preserve">sponsored by NTT and KT, </w:t>
      </w:r>
      <w:r w:rsidRPr="00A94875">
        <w:rPr>
          <w:lang w:val="en-GB"/>
        </w:rPr>
        <w:t>released in May 2016</w:t>
      </w:r>
      <w:r w:rsidR="004E6F00" w:rsidRPr="00A94875">
        <w:rPr>
          <w:lang w:val="en-GB"/>
        </w:rPr>
        <w:t>,</w:t>
      </w:r>
      <w:r w:rsidRPr="00A94875">
        <w:rPr>
          <w:lang w:val="en-GB"/>
        </w:rPr>
        <w:t xml:space="preserve"> </w:t>
      </w:r>
      <w:r w:rsidR="004E6F00" w:rsidRPr="00A94875">
        <w:rPr>
          <w:lang w:val="en-GB"/>
        </w:rPr>
        <w:t xml:space="preserve">continues to feature among </w:t>
      </w:r>
      <w:r w:rsidRPr="00A94875">
        <w:rPr>
          <w:lang w:val="en-GB"/>
        </w:rPr>
        <w:t>ITU’s most popular videos</w:t>
      </w:r>
      <w:r w:rsidR="004E6F00" w:rsidRPr="00A94875">
        <w:rPr>
          <w:lang w:val="en-GB"/>
        </w:rPr>
        <w:t xml:space="preserve"> each year. </w:t>
      </w:r>
    </w:p>
    <w:p w14:paraId="181F65CC" w14:textId="230288A3" w:rsidR="006944F8" w:rsidRPr="00A94875" w:rsidRDefault="004E6F00" w:rsidP="009E5FFA">
      <w:pPr>
        <w:pStyle w:val="NormalWeb"/>
        <w:snapToGrid w:val="0"/>
        <w:spacing w:before="240" w:beforeAutospacing="0" w:after="0" w:afterAutospacing="0"/>
        <w:rPr>
          <w:rFonts w:asciiTheme="majorBidi" w:hAnsiTheme="majorBidi" w:cstheme="majorBidi"/>
          <w:color w:val="000000"/>
          <w:lang w:val="en-GB"/>
        </w:rPr>
      </w:pPr>
      <w:r w:rsidRPr="00A94875">
        <w:rPr>
          <w:rFonts w:asciiTheme="majorBidi" w:hAnsiTheme="majorBidi" w:cstheme="majorBidi"/>
          <w:color w:val="000000"/>
          <w:lang w:val="en-GB"/>
        </w:rPr>
        <w:t xml:space="preserve">Examples of videos include: </w:t>
      </w:r>
    </w:p>
    <w:p w14:paraId="07910892" w14:textId="14E029D2" w:rsidR="006944F8" w:rsidRPr="00A94875" w:rsidRDefault="004E6F00" w:rsidP="009261B2">
      <w:pPr>
        <w:pStyle w:val="NormalWeb"/>
        <w:numPr>
          <w:ilvl w:val="0"/>
          <w:numId w:val="60"/>
        </w:numPr>
        <w:snapToGrid w:val="0"/>
        <w:spacing w:before="120" w:beforeAutospacing="0" w:after="0" w:afterAutospacing="0"/>
        <w:rPr>
          <w:rFonts w:asciiTheme="majorBidi" w:hAnsiTheme="majorBidi" w:cstheme="majorBidi"/>
          <w:color w:val="000000"/>
          <w:lang w:val="en-GB"/>
        </w:rPr>
      </w:pPr>
      <w:r w:rsidRPr="00A94875">
        <w:rPr>
          <w:rFonts w:asciiTheme="majorBidi" w:hAnsiTheme="majorBidi" w:cstheme="majorBidi"/>
          <w:color w:val="000000"/>
          <w:lang w:val="en-GB"/>
        </w:rPr>
        <w:t>E</w:t>
      </w:r>
      <w:r w:rsidR="006944F8" w:rsidRPr="00A94875">
        <w:rPr>
          <w:rFonts w:asciiTheme="majorBidi" w:hAnsiTheme="majorBidi" w:cstheme="majorBidi"/>
          <w:color w:val="000000"/>
          <w:lang w:val="en-GB"/>
        </w:rPr>
        <w:t>vent wrap-up videos</w:t>
      </w:r>
      <w:r w:rsidRPr="00A94875">
        <w:rPr>
          <w:rFonts w:asciiTheme="majorBidi" w:hAnsiTheme="majorBidi" w:cstheme="majorBidi"/>
          <w:color w:val="000000"/>
          <w:lang w:val="en-GB"/>
        </w:rPr>
        <w:t xml:space="preserve">, e.g. </w:t>
      </w:r>
      <w:hyperlink r:id="rId99" w:history="1">
        <w:r w:rsidR="006944F8" w:rsidRPr="00A94875">
          <w:rPr>
            <w:rStyle w:val="Hyperlink"/>
            <w:rFonts w:asciiTheme="majorBidi" w:hAnsiTheme="majorBidi" w:cstheme="majorBidi"/>
            <w:lang w:val="en-GB"/>
          </w:rPr>
          <w:t>network aspects of IMT-2020</w:t>
        </w:r>
      </w:hyperlink>
      <w:r w:rsidR="006944F8" w:rsidRPr="00A94875">
        <w:rPr>
          <w:rFonts w:asciiTheme="majorBidi" w:hAnsiTheme="majorBidi" w:cstheme="majorBidi"/>
          <w:color w:val="000000"/>
          <w:lang w:val="en-GB"/>
        </w:rPr>
        <w:t xml:space="preserve">; </w:t>
      </w:r>
      <w:hyperlink r:id="rId100" w:history="1">
        <w:r w:rsidR="006944F8" w:rsidRPr="00A94875">
          <w:rPr>
            <w:rStyle w:val="Hyperlink"/>
            <w:rFonts w:asciiTheme="majorBidi" w:hAnsiTheme="majorBidi" w:cstheme="majorBidi"/>
            <w:lang w:val="en-GB"/>
          </w:rPr>
          <w:t>Digital Financial Services</w:t>
        </w:r>
      </w:hyperlink>
      <w:proofErr w:type="gramStart"/>
      <w:r w:rsidR="006944F8" w:rsidRPr="00A94875">
        <w:rPr>
          <w:rFonts w:asciiTheme="majorBidi" w:hAnsiTheme="majorBidi" w:cstheme="majorBidi"/>
          <w:color w:val="000000"/>
          <w:lang w:val="en-GB"/>
        </w:rPr>
        <w:t>;</w:t>
      </w:r>
      <w:proofErr w:type="gramEnd"/>
      <w:r w:rsidR="006944F8" w:rsidRPr="00A94875">
        <w:rPr>
          <w:rFonts w:asciiTheme="majorBidi" w:hAnsiTheme="majorBidi" w:cstheme="majorBidi"/>
          <w:color w:val="000000"/>
          <w:lang w:val="en-GB"/>
        </w:rPr>
        <w:t xml:space="preserve"> </w:t>
      </w:r>
      <w:hyperlink r:id="rId101" w:history="1">
        <w:r w:rsidR="006944F8" w:rsidRPr="00A94875">
          <w:rPr>
            <w:rStyle w:val="Hyperlink"/>
            <w:rFonts w:asciiTheme="majorBidi" w:hAnsiTheme="majorBidi" w:cstheme="majorBidi"/>
            <w:lang w:val="en-GB"/>
          </w:rPr>
          <w:t>Future Networked Car</w:t>
        </w:r>
      </w:hyperlink>
      <w:r w:rsidR="006944F8" w:rsidRPr="00A94875">
        <w:rPr>
          <w:rFonts w:asciiTheme="majorBidi" w:hAnsiTheme="majorBidi" w:cstheme="majorBidi"/>
          <w:color w:val="000000"/>
          <w:lang w:val="en-GB"/>
        </w:rPr>
        <w:t>.</w:t>
      </w:r>
    </w:p>
    <w:p w14:paraId="62028B20" w14:textId="5A753C71" w:rsidR="006944F8" w:rsidRPr="00A94875" w:rsidRDefault="006944F8" w:rsidP="009261B2">
      <w:pPr>
        <w:pStyle w:val="NormalWeb"/>
        <w:numPr>
          <w:ilvl w:val="0"/>
          <w:numId w:val="60"/>
        </w:numPr>
        <w:snapToGrid w:val="0"/>
        <w:spacing w:before="120" w:beforeAutospacing="0" w:after="0" w:afterAutospacing="0"/>
        <w:rPr>
          <w:rFonts w:asciiTheme="majorBidi" w:hAnsiTheme="majorBidi" w:cstheme="majorBidi"/>
          <w:color w:val="000000"/>
          <w:lang w:val="en-GB"/>
        </w:rPr>
      </w:pPr>
      <w:r w:rsidRPr="00A94875">
        <w:rPr>
          <w:rFonts w:asciiTheme="majorBidi" w:hAnsiTheme="majorBidi" w:cstheme="majorBidi"/>
          <w:color w:val="000000"/>
          <w:lang w:val="en-GB"/>
        </w:rPr>
        <w:t>Videos expressly designed for social media</w:t>
      </w:r>
      <w:r w:rsidR="004E6F00" w:rsidRPr="00A94875">
        <w:rPr>
          <w:rFonts w:asciiTheme="majorBidi" w:hAnsiTheme="majorBidi" w:cstheme="majorBidi"/>
          <w:color w:val="000000"/>
          <w:lang w:val="en-GB"/>
        </w:rPr>
        <w:t xml:space="preserve">, </w:t>
      </w:r>
      <w:proofErr w:type="spellStart"/>
      <w:r w:rsidR="004E6F00" w:rsidRPr="00A94875">
        <w:rPr>
          <w:rFonts w:asciiTheme="majorBidi" w:hAnsiTheme="majorBidi" w:cstheme="majorBidi"/>
          <w:color w:val="000000"/>
          <w:lang w:val="en-GB"/>
        </w:rPr>
        <w:t>e.g</w:t>
      </w:r>
      <w:proofErr w:type="spellEnd"/>
      <w:r w:rsidR="004E6F00" w:rsidRPr="00A94875">
        <w:rPr>
          <w:rFonts w:asciiTheme="majorBidi" w:hAnsiTheme="majorBidi" w:cstheme="majorBidi"/>
          <w:color w:val="000000"/>
          <w:lang w:val="en-GB"/>
        </w:rPr>
        <w:t xml:space="preserve"> </w:t>
      </w:r>
      <w:hyperlink r:id="rId102" w:history="1">
        <w:r w:rsidRPr="00A94875">
          <w:rPr>
            <w:rStyle w:val="Hyperlink"/>
            <w:rFonts w:asciiTheme="majorBidi" w:hAnsiTheme="majorBidi" w:cstheme="majorBidi"/>
            <w:lang w:val="en-GB"/>
          </w:rPr>
          <w:t>Artificial Intelligence</w:t>
        </w:r>
      </w:hyperlink>
      <w:r w:rsidR="004E6F00" w:rsidRPr="00A94875">
        <w:rPr>
          <w:rFonts w:asciiTheme="majorBidi" w:hAnsiTheme="majorBidi" w:cstheme="majorBidi"/>
          <w:color w:val="000000"/>
          <w:lang w:val="en-GB"/>
        </w:rPr>
        <w:t>;</w:t>
      </w:r>
      <w:r w:rsidRPr="00A94875">
        <w:rPr>
          <w:rFonts w:asciiTheme="majorBidi" w:hAnsiTheme="majorBidi" w:cstheme="majorBidi"/>
          <w:color w:val="000000"/>
          <w:lang w:val="en-GB"/>
        </w:rPr>
        <w:t xml:space="preserve"> </w:t>
      </w:r>
      <w:hyperlink r:id="rId103" w:history="1">
        <w:r w:rsidRPr="00A94875">
          <w:rPr>
            <w:rStyle w:val="Hyperlink"/>
            <w:rFonts w:asciiTheme="majorBidi" w:hAnsiTheme="majorBidi" w:cstheme="majorBidi"/>
            <w:lang w:val="en-GB"/>
          </w:rPr>
          <w:t>Intelligent Transport Systems</w:t>
        </w:r>
      </w:hyperlink>
      <w:proofErr w:type="gramStart"/>
      <w:r w:rsidR="004E6F00" w:rsidRPr="00A94875">
        <w:rPr>
          <w:rFonts w:asciiTheme="majorBidi" w:hAnsiTheme="majorBidi" w:cstheme="majorBidi"/>
          <w:color w:val="000000"/>
          <w:lang w:val="en-GB"/>
        </w:rPr>
        <w:t>;</w:t>
      </w:r>
      <w:proofErr w:type="gramEnd"/>
      <w:r w:rsidR="004E6F00" w:rsidRPr="00A94875">
        <w:rPr>
          <w:rFonts w:asciiTheme="majorBidi" w:hAnsiTheme="majorBidi" w:cstheme="majorBidi"/>
          <w:color w:val="000000"/>
          <w:lang w:val="en-GB"/>
        </w:rPr>
        <w:t xml:space="preserve"> </w:t>
      </w:r>
      <w:hyperlink r:id="rId104" w:history="1">
        <w:proofErr w:type="spellStart"/>
        <w:r w:rsidR="004E6F00" w:rsidRPr="00A94875">
          <w:rPr>
            <w:rStyle w:val="Hyperlink"/>
            <w:rFonts w:asciiTheme="majorBidi" w:hAnsiTheme="majorBidi" w:cstheme="majorBidi"/>
            <w:lang w:val="en-GB"/>
          </w:rPr>
          <w:t>QoS</w:t>
        </w:r>
        <w:proofErr w:type="spellEnd"/>
        <w:r w:rsidR="004E6F00" w:rsidRPr="00A94875">
          <w:rPr>
            <w:rStyle w:val="Hyperlink"/>
            <w:rFonts w:asciiTheme="majorBidi" w:hAnsiTheme="majorBidi" w:cstheme="majorBidi"/>
            <w:lang w:val="en-GB"/>
          </w:rPr>
          <w:t xml:space="preserve"> at major events</w:t>
        </w:r>
      </w:hyperlink>
      <w:r w:rsidR="004E6F00" w:rsidRPr="00A94875">
        <w:rPr>
          <w:rFonts w:asciiTheme="majorBidi" w:hAnsiTheme="majorBidi" w:cstheme="majorBidi"/>
          <w:color w:val="000000"/>
          <w:lang w:val="en-GB"/>
        </w:rPr>
        <w:t xml:space="preserve">. </w:t>
      </w:r>
    </w:p>
    <w:p w14:paraId="19D46D32" w14:textId="4A957988" w:rsidR="006944F8" w:rsidRPr="00A94875" w:rsidRDefault="006944F8" w:rsidP="009261B2">
      <w:pPr>
        <w:pStyle w:val="NormalWeb"/>
        <w:numPr>
          <w:ilvl w:val="0"/>
          <w:numId w:val="60"/>
        </w:numPr>
        <w:snapToGrid w:val="0"/>
        <w:spacing w:before="120" w:beforeAutospacing="0" w:after="0" w:afterAutospacing="0"/>
        <w:rPr>
          <w:rFonts w:asciiTheme="majorBidi" w:hAnsiTheme="majorBidi" w:cstheme="majorBidi"/>
          <w:color w:val="000000"/>
          <w:lang w:val="en-GB"/>
        </w:rPr>
      </w:pPr>
      <w:r w:rsidRPr="00A94875">
        <w:rPr>
          <w:rFonts w:asciiTheme="majorBidi" w:hAnsiTheme="majorBidi" w:cstheme="majorBidi"/>
          <w:color w:val="000000"/>
          <w:lang w:val="en-GB"/>
        </w:rPr>
        <w:t>Video interviews</w:t>
      </w:r>
      <w:r w:rsidR="004E6F00" w:rsidRPr="00A94875">
        <w:rPr>
          <w:rFonts w:asciiTheme="majorBidi" w:hAnsiTheme="majorBidi" w:cstheme="majorBidi"/>
          <w:color w:val="000000"/>
          <w:lang w:val="en-GB"/>
        </w:rPr>
        <w:t xml:space="preserve">, e.g. </w:t>
      </w:r>
      <w:r w:rsidRPr="00A94875">
        <w:rPr>
          <w:rFonts w:asciiTheme="majorBidi" w:hAnsiTheme="majorBidi" w:cstheme="majorBidi"/>
          <w:color w:val="000000"/>
          <w:lang w:val="en-GB"/>
        </w:rPr>
        <w:t>Chairmen of ITU-T Study Groups</w:t>
      </w:r>
      <w:r w:rsidR="004E6F00" w:rsidRPr="00A94875">
        <w:rPr>
          <w:rFonts w:asciiTheme="majorBidi" w:hAnsiTheme="majorBidi" w:cstheme="majorBidi"/>
          <w:color w:val="000000"/>
          <w:lang w:val="en-GB"/>
        </w:rPr>
        <w:t xml:space="preserve"> on</w:t>
      </w:r>
      <w:r w:rsidRPr="00A94875">
        <w:rPr>
          <w:rFonts w:asciiTheme="majorBidi" w:hAnsiTheme="majorBidi" w:cstheme="majorBidi"/>
          <w:color w:val="000000"/>
          <w:lang w:val="en-GB"/>
        </w:rPr>
        <w:t xml:space="preserve"> </w:t>
      </w:r>
      <w:hyperlink r:id="rId105" w:history="1">
        <w:r w:rsidRPr="00A94875">
          <w:rPr>
            <w:rStyle w:val="Hyperlink"/>
            <w:rFonts w:asciiTheme="majorBidi" w:hAnsiTheme="majorBidi" w:cstheme="majorBidi"/>
            <w:lang w:val="en-GB"/>
          </w:rPr>
          <w:t>'SG at a Glance' webpages</w:t>
        </w:r>
      </w:hyperlink>
      <w:r w:rsidRPr="00A94875">
        <w:rPr>
          <w:rFonts w:asciiTheme="majorBidi" w:hAnsiTheme="majorBidi" w:cstheme="majorBidi"/>
          <w:color w:val="000000"/>
          <w:lang w:val="en-GB"/>
        </w:rPr>
        <w:t>.</w:t>
      </w:r>
    </w:p>
    <w:p w14:paraId="63791F6A" w14:textId="1D241CD9" w:rsidR="006944F8" w:rsidRPr="00A94875" w:rsidRDefault="002F0E38" w:rsidP="006944F8">
      <w:pPr>
        <w:pStyle w:val="Heading1"/>
        <w:spacing w:before="240"/>
        <w:rPr>
          <w:rFonts w:asciiTheme="majorBidi" w:hAnsiTheme="majorBidi" w:cstheme="majorBidi"/>
          <w:lang w:val="en-GB"/>
        </w:rPr>
      </w:pPr>
      <w:bookmarkStart w:id="168" w:name="_Toc416161374"/>
      <w:bookmarkStart w:id="169" w:name="_Toc438553999"/>
      <w:bookmarkStart w:id="170" w:name="_Toc453929121"/>
      <w:bookmarkStart w:id="171" w:name="_Toc453932992"/>
      <w:bookmarkStart w:id="172" w:name="_Toc454295898"/>
      <w:bookmarkStart w:id="173" w:name="_Toc462664276"/>
      <w:bookmarkStart w:id="174" w:name="_Toc480527868"/>
      <w:bookmarkStart w:id="175" w:name="_Toc530571884"/>
      <w:r w:rsidRPr="00A94875">
        <w:rPr>
          <w:rFonts w:asciiTheme="majorBidi" w:hAnsiTheme="majorBidi" w:cstheme="majorBidi"/>
          <w:lang w:val="en-GB"/>
        </w:rPr>
        <w:t>13</w:t>
      </w:r>
      <w:r w:rsidR="006944F8" w:rsidRPr="00A94875">
        <w:rPr>
          <w:rFonts w:asciiTheme="majorBidi" w:hAnsiTheme="majorBidi" w:cstheme="majorBidi"/>
          <w:lang w:val="en-GB"/>
        </w:rPr>
        <w:tab/>
        <w:t>Services and tools</w:t>
      </w:r>
      <w:bookmarkEnd w:id="168"/>
      <w:bookmarkEnd w:id="169"/>
      <w:bookmarkEnd w:id="170"/>
      <w:bookmarkEnd w:id="171"/>
      <w:bookmarkEnd w:id="172"/>
      <w:bookmarkEnd w:id="173"/>
      <w:bookmarkEnd w:id="174"/>
      <w:bookmarkEnd w:id="175"/>
    </w:p>
    <w:p w14:paraId="38B721F7" w14:textId="5D178E06" w:rsidR="006944F8" w:rsidRPr="00A94875" w:rsidRDefault="006944F8" w:rsidP="0033393D">
      <w:pPr>
        <w:rPr>
          <w:rFonts w:asciiTheme="majorBidi" w:hAnsiTheme="majorBidi" w:cstheme="majorBidi"/>
          <w:lang w:val="en-GB"/>
        </w:rPr>
      </w:pPr>
      <w:r w:rsidRPr="00A94875">
        <w:rPr>
          <w:rFonts w:asciiTheme="majorBidi" w:hAnsiTheme="majorBidi" w:cstheme="majorBidi"/>
          <w:lang w:val="en-GB"/>
        </w:rPr>
        <w:t>Electronic working methods offer crucial support to members engaged in ITU</w:t>
      </w:r>
      <w:r w:rsidR="008D184E" w:rsidRPr="00A94875">
        <w:rPr>
          <w:rFonts w:asciiTheme="majorBidi" w:hAnsiTheme="majorBidi" w:cstheme="majorBidi"/>
          <w:lang w:val="en-GB"/>
        </w:rPr>
        <w:t>-T</w:t>
      </w:r>
      <w:r w:rsidRPr="00A94875">
        <w:rPr>
          <w:rFonts w:asciiTheme="majorBidi" w:hAnsiTheme="majorBidi" w:cstheme="majorBidi"/>
          <w:lang w:val="en-GB"/>
        </w:rPr>
        <w:t xml:space="preserve"> standardization work. </w:t>
      </w:r>
      <w:r w:rsidR="008D184E" w:rsidRPr="00A94875">
        <w:rPr>
          <w:rFonts w:asciiTheme="majorBidi" w:hAnsiTheme="majorBidi" w:cstheme="majorBidi"/>
          <w:lang w:val="en-GB"/>
        </w:rPr>
        <w:t xml:space="preserve">TSB </w:t>
      </w:r>
      <w:r w:rsidRPr="00A94875">
        <w:rPr>
          <w:rFonts w:asciiTheme="majorBidi" w:hAnsiTheme="majorBidi" w:cstheme="majorBidi"/>
          <w:lang w:val="en-GB"/>
        </w:rPr>
        <w:t>continues to develop new applications and services to maintain and expand ITU</w:t>
      </w:r>
      <w:r w:rsidR="008D184E" w:rsidRPr="00A94875">
        <w:rPr>
          <w:rFonts w:asciiTheme="majorBidi" w:hAnsiTheme="majorBidi" w:cstheme="majorBidi"/>
          <w:lang w:val="en-GB"/>
        </w:rPr>
        <w:t>-T</w:t>
      </w:r>
      <w:r w:rsidRPr="00A94875">
        <w:rPr>
          <w:rFonts w:asciiTheme="majorBidi" w:hAnsiTheme="majorBidi" w:cstheme="majorBidi"/>
          <w:lang w:val="en-GB"/>
        </w:rPr>
        <w:t>'s advanced electronic working environment.</w:t>
      </w:r>
    </w:p>
    <w:p w14:paraId="649ECF41" w14:textId="6BB069F3" w:rsidR="006944F8" w:rsidRPr="00A94875" w:rsidRDefault="002F0E38" w:rsidP="006944F8">
      <w:pPr>
        <w:pStyle w:val="Heading2"/>
        <w:rPr>
          <w:rFonts w:asciiTheme="majorBidi" w:hAnsiTheme="majorBidi" w:cstheme="majorBidi"/>
          <w:lang w:val="en-GB"/>
        </w:rPr>
      </w:pPr>
      <w:bookmarkStart w:id="176" w:name="_Toc312148142"/>
      <w:bookmarkStart w:id="177" w:name="_Toc462664277"/>
      <w:bookmarkStart w:id="178" w:name="_Toc480527869"/>
      <w:bookmarkStart w:id="179" w:name="_Toc530571885"/>
      <w:r w:rsidRPr="00A94875">
        <w:rPr>
          <w:rFonts w:asciiTheme="majorBidi" w:hAnsiTheme="majorBidi" w:cstheme="majorBidi"/>
          <w:lang w:val="en-GB"/>
        </w:rPr>
        <w:t>13</w:t>
      </w:r>
      <w:r w:rsidR="006944F8" w:rsidRPr="00A94875">
        <w:rPr>
          <w:rFonts w:asciiTheme="majorBidi" w:hAnsiTheme="majorBidi" w:cstheme="majorBidi"/>
          <w:lang w:val="en-GB"/>
        </w:rPr>
        <w:t>.1</w:t>
      </w:r>
      <w:r w:rsidR="006944F8" w:rsidRPr="00A94875">
        <w:rPr>
          <w:rFonts w:asciiTheme="majorBidi" w:hAnsiTheme="majorBidi" w:cstheme="majorBidi"/>
          <w:lang w:val="en-GB"/>
        </w:rPr>
        <w:tab/>
        <w:t>ITU-T Databases</w:t>
      </w:r>
      <w:bookmarkEnd w:id="176"/>
      <w:bookmarkEnd w:id="177"/>
      <w:bookmarkEnd w:id="178"/>
      <w:bookmarkEnd w:id="179"/>
    </w:p>
    <w:p w14:paraId="3B81D83D" w14:textId="46111F5E" w:rsidR="006944F8" w:rsidRPr="00A94875" w:rsidRDefault="006944F8" w:rsidP="0033393D">
      <w:pPr>
        <w:rPr>
          <w:rFonts w:asciiTheme="majorBidi" w:hAnsiTheme="majorBidi" w:cstheme="majorBidi"/>
          <w:lang w:val="en-GB"/>
        </w:rPr>
      </w:pPr>
      <w:r w:rsidRPr="00A94875">
        <w:rPr>
          <w:rFonts w:asciiTheme="majorBidi" w:hAnsiTheme="majorBidi" w:cstheme="majorBidi"/>
          <w:lang w:val="en-GB"/>
        </w:rPr>
        <w:t>To serve ITU-T delegates and secretariat staff, the following databases are available online:</w:t>
      </w:r>
    </w:p>
    <w:p w14:paraId="7F517E03" w14:textId="77777777" w:rsidR="006944F8" w:rsidRPr="00A94875" w:rsidRDefault="00770A8C" w:rsidP="009261B2">
      <w:pPr>
        <w:numPr>
          <w:ilvl w:val="0"/>
          <w:numId w:val="16"/>
        </w:numPr>
        <w:tabs>
          <w:tab w:val="clear" w:pos="794"/>
          <w:tab w:val="clear" w:pos="1191"/>
          <w:tab w:val="clear" w:pos="1588"/>
          <w:tab w:val="clear" w:pos="1985"/>
        </w:tabs>
        <w:spacing w:before="0"/>
        <w:rPr>
          <w:rStyle w:val="Hyperlink"/>
          <w:rFonts w:asciiTheme="majorBidi" w:hAnsiTheme="majorBidi" w:cstheme="majorBidi"/>
          <w:color w:val="auto"/>
          <w:u w:val="none"/>
          <w:lang w:val="en-GB"/>
        </w:rPr>
      </w:pPr>
      <w:hyperlink r:id="rId106" w:history="1">
        <w:r w:rsidR="006944F8" w:rsidRPr="00A94875">
          <w:rPr>
            <w:rStyle w:val="Hyperlink"/>
            <w:rFonts w:asciiTheme="majorBidi" w:eastAsia="SimSun" w:hAnsiTheme="majorBidi" w:cstheme="majorBidi"/>
            <w:lang w:val="en-GB"/>
          </w:rPr>
          <w:t>ITU-T Work Programme</w:t>
        </w:r>
      </w:hyperlink>
    </w:p>
    <w:p w14:paraId="745C41D5" w14:textId="77777777" w:rsidR="006944F8" w:rsidRPr="00A94875" w:rsidRDefault="00770A8C" w:rsidP="009261B2">
      <w:pPr>
        <w:numPr>
          <w:ilvl w:val="0"/>
          <w:numId w:val="16"/>
        </w:numPr>
        <w:tabs>
          <w:tab w:val="clear" w:pos="794"/>
          <w:tab w:val="clear" w:pos="1191"/>
          <w:tab w:val="clear" w:pos="1588"/>
          <w:tab w:val="clear" w:pos="1985"/>
        </w:tabs>
        <w:spacing w:before="0"/>
        <w:rPr>
          <w:rFonts w:asciiTheme="majorBidi" w:hAnsiTheme="majorBidi" w:cstheme="majorBidi"/>
          <w:lang w:val="en-GB"/>
        </w:rPr>
      </w:pPr>
      <w:hyperlink r:id="rId107" w:history="1">
        <w:r w:rsidR="006944F8" w:rsidRPr="00A94875">
          <w:rPr>
            <w:rStyle w:val="Hyperlink"/>
            <w:rFonts w:asciiTheme="majorBidi" w:eastAsia="SimSun" w:hAnsiTheme="majorBidi" w:cstheme="majorBidi"/>
            <w:lang w:val="en-GB"/>
          </w:rPr>
          <w:t>ITU-T A.4, A.5 and A.6 recognized organizations</w:t>
        </w:r>
      </w:hyperlink>
    </w:p>
    <w:p w14:paraId="12567541" w14:textId="77777777" w:rsidR="006944F8" w:rsidRPr="00A94875" w:rsidRDefault="00770A8C" w:rsidP="009261B2">
      <w:pPr>
        <w:numPr>
          <w:ilvl w:val="0"/>
          <w:numId w:val="16"/>
        </w:numPr>
        <w:tabs>
          <w:tab w:val="clear" w:pos="794"/>
          <w:tab w:val="clear" w:pos="1191"/>
          <w:tab w:val="clear" w:pos="1588"/>
          <w:tab w:val="clear" w:pos="1985"/>
        </w:tabs>
        <w:spacing w:before="0"/>
        <w:rPr>
          <w:rStyle w:val="Hyperlink"/>
          <w:rFonts w:asciiTheme="majorBidi" w:hAnsiTheme="majorBidi" w:cstheme="majorBidi"/>
          <w:color w:val="auto"/>
          <w:u w:val="none"/>
          <w:lang w:val="en-GB"/>
        </w:rPr>
      </w:pPr>
      <w:hyperlink r:id="rId108" w:history="1">
        <w:r w:rsidR="006944F8" w:rsidRPr="00A94875">
          <w:rPr>
            <w:rStyle w:val="Hyperlink"/>
            <w:rFonts w:asciiTheme="majorBidi" w:hAnsiTheme="majorBidi" w:cstheme="majorBidi"/>
            <w:lang w:val="en-GB"/>
          </w:rPr>
          <w:t>ITU-T AAP</w:t>
        </w:r>
      </w:hyperlink>
      <w:r w:rsidR="006944F8" w:rsidRPr="00A94875">
        <w:rPr>
          <w:rStyle w:val="Hyperlink"/>
          <w:rFonts w:asciiTheme="majorBidi" w:hAnsiTheme="majorBidi" w:cstheme="majorBidi"/>
          <w:color w:val="auto"/>
          <w:u w:val="none"/>
          <w:lang w:val="en-GB"/>
        </w:rPr>
        <w:t xml:space="preserve"> &amp; </w:t>
      </w:r>
      <w:hyperlink r:id="rId109" w:history="1">
        <w:r w:rsidR="006944F8" w:rsidRPr="00A94875">
          <w:rPr>
            <w:rStyle w:val="Hyperlink"/>
            <w:rFonts w:asciiTheme="majorBidi" w:hAnsiTheme="majorBidi" w:cstheme="majorBidi"/>
            <w:lang w:val="en-GB"/>
          </w:rPr>
          <w:t>TAP</w:t>
        </w:r>
      </w:hyperlink>
    </w:p>
    <w:p w14:paraId="19DCEF3F" w14:textId="77777777" w:rsidR="006944F8" w:rsidRPr="00A94875" w:rsidRDefault="00770A8C" w:rsidP="009261B2">
      <w:pPr>
        <w:numPr>
          <w:ilvl w:val="0"/>
          <w:numId w:val="16"/>
        </w:numPr>
        <w:tabs>
          <w:tab w:val="clear" w:pos="794"/>
          <w:tab w:val="clear" w:pos="1191"/>
          <w:tab w:val="clear" w:pos="1588"/>
          <w:tab w:val="clear" w:pos="1985"/>
        </w:tabs>
        <w:spacing w:before="0"/>
        <w:rPr>
          <w:rFonts w:asciiTheme="majorBidi" w:hAnsiTheme="majorBidi" w:cstheme="majorBidi"/>
          <w:lang w:val="en-GB"/>
        </w:rPr>
      </w:pPr>
      <w:hyperlink r:id="rId110" w:history="1">
        <w:r w:rsidR="006944F8" w:rsidRPr="00A94875">
          <w:rPr>
            <w:rStyle w:val="Hyperlink"/>
            <w:rFonts w:asciiTheme="majorBidi" w:eastAsia="SimSun" w:hAnsiTheme="majorBidi" w:cstheme="majorBidi"/>
            <w:lang w:val="en-GB"/>
          </w:rPr>
          <w:t>ITU-T Recommendations</w:t>
        </w:r>
      </w:hyperlink>
    </w:p>
    <w:p w14:paraId="4BD2F2F1" w14:textId="77777777" w:rsidR="006944F8" w:rsidRPr="00A94875" w:rsidRDefault="00770A8C" w:rsidP="009261B2">
      <w:pPr>
        <w:numPr>
          <w:ilvl w:val="0"/>
          <w:numId w:val="16"/>
        </w:numPr>
        <w:tabs>
          <w:tab w:val="clear" w:pos="794"/>
          <w:tab w:val="clear" w:pos="1191"/>
          <w:tab w:val="clear" w:pos="1588"/>
          <w:tab w:val="clear" w:pos="1985"/>
        </w:tabs>
        <w:spacing w:before="0"/>
        <w:rPr>
          <w:rFonts w:asciiTheme="majorBidi" w:hAnsiTheme="majorBidi" w:cstheme="majorBidi"/>
          <w:lang w:val="en-GB"/>
        </w:rPr>
      </w:pPr>
      <w:hyperlink r:id="rId111" w:history="1">
        <w:r w:rsidR="006944F8" w:rsidRPr="00A94875">
          <w:rPr>
            <w:rStyle w:val="Hyperlink"/>
            <w:rFonts w:asciiTheme="majorBidi" w:eastAsia="SimSun" w:hAnsiTheme="majorBidi" w:cstheme="majorBidi"/>
            <w:lang w:val="en-GB"/>
          </w:rPr>
          <w:t>ITU-T Liaison Statements</w:t>
        </w:r>
      </w:hyperlink>
    </w:p>
    <w:p w14:paraId="76BEE416" w14:textId="77777777" w:rsidR="006944F8" w:rsidRPr="00A94875" w:rsidRDefault="00770A8C" w:rsidP="009261B2">
      <w:pPr>
        <w:numPr>
          <w:ilvl w:val="0"/>
          <w:numId w:val="16"/>
        </w:numPr>
        <w:tabs>
          <w:tab w:val="clear" w:pos="794"/>
          <w:tab w:val="clear" w:pos="1191"/>
          <w:tab w:val="clear" w:pos="1588"/>
          <w:tab w:val="clear" w:pos="1985"/>
        </w:tabs>
        <w:spacing w:before="0"/>
        <w:rPr>
          <w:rFonts w:asciiTheme="majorBidi" w:hAnsiTheme="majorBidi" w:cstheme="majorBidi"/>
          <w:lang w:val="en-GB"/>
        </w:rPr>
      </w:pPr>
      <w:hyperlink r:id="rId112" w:history="1">
        <w:r w:rsidR="006944F8" w:rsidRPr="00A94875">
          <w:rPr>
            <w:rStyle w:val="Hyperlink"/>
            <w:rFonts w:asciiTheme="majorBidi" w:eastAsia="SimSun" w:hAnsiTheme="majorBidi" w:cstheme="majorBidi"/>
            <w:lang w:val="en-GB"/>
          </w:rPr>
          <w:t>ITU-T Patents and Software Copyrights</w:t>
        </w:r>
      </w:hyperlink>
    </w:p>
    <w:p w14:paraId="14410659" w14:textId="77777777" w:rsidR="006944F8" w:rsidRPr="00A94875" w:rsidRDefault="00770A8C" w:rsidP="009261B2">
      <w:pPr>
        <w:numPr>
          <w:ilvl w:val="0"/>
          <w:numId w:val="16"/>
        </w:numPr>
        <w:tabs>
          <w:tab w:val="clear" w:pos="794"/>
          <w:tab w:val="clear" w:pos="1191"/>
          <w:tab w:val="clear" w:pos="1588"/>
          <w:tab w:val="clear" w:pos="1985"/>
        </w:tabs>
        <w:spacing w:before="0"/>
        <w:rPr>
          <w:rFonts w:asciiTheme="majorBidi" w:hAnsiTheme="majorBidi" w:cstheme="majorBidi"/>
          <w:lang w:val="en-GB"/>
        </w:rPr>
      </w:pPr>
      <w:hyperlink r:id="rId113" w:history="1">
        <w:r w:rsidR="006944F8" w:rsidRPr="00A94875">
          <w:rPr>
            <w:rStyle w:val="Hyperlink"/>
            <w:rFonts w:asciiTheme="majorBidi" w:eastAsia="SimSun" w:hAnsiTheme="majorBidi" w:cstheme="majorBidi"/>
            <w:lang w:val="en-GB"/>
          </w:rPr>
          <w:t>ITU Product Conformity Database</w:t>
        </w:r>
      </w:hyperlink>
    </w:p>
    <w:p w14:paraId="1D9D3C9B" w14:textId="77777777" w:rsidR="006944F8" w:rsidRPr="00A94875" w:rsidRDefault="00770A8C" w:rsidP="009261B2">
      <w:pPr>
        <w:numPr>
          <w:ilvl w:val="0"/>
          <w:numId w:val="16"/>
        </w:numPr>
        <w:tabs>
          <w:tab w:val="clear" w:pos="794"/>
          <w:tab w:val="clear" w:pos="1191"/>
          <w:tab w:val="clear" w:pos="1588"/>
          <w:tab w:val="clear" w:pos="1985"/>
        </w:tabs>
        <w:spacing w:before="0"/>
        <w:rPr>
          <w:rFonts w:asciiTheme="majorBidi" w:hAnsiTheme="majorBidi" w:cstheme="majorBidi"/>
          <w:lang w:val="en-GB"/>
        </w:rPr>
      </w:pPr>
      <w:hyperlink r:id="rId114" w:history="1">
        <w:r w:rsidR="006944F8" w:rsidRPr="00A94875">
          <w:rPr>
            <w:rStyle w:val="Hyperlink"/>
            <w:rFonts w:asciiTheme="majorBidi" w:eastAsia="SimSun" w:hAnsiTheme="majorBidi" w:cstheme="majorBidi"/>
            <w:lang w:val="en-GB"/>
          </w:rPr>
          <w:t>ITU-T Formal descriptions and Object identifiers</w:t>
        </w:r>
      </w:hyperlink>
    </w:p>
    <w:p w14:paraId="342AC998" w14:textId="77777777" w:rsidR="006944F8" w:rsidRPr="00A94875" w:rsidRDefault="00770A8C" w:rsidP="009261B2">
      <w:pPr>
        <w:numPr>
          <w:ilvl w:val="0"/>
          <w:numId w:val="16"/>
        </w:numPr>
        <w:tabs>
          <w:tab w:val="clear" w:pos="794"/>
          <w:tab w:val="clear" w:pos="1191"/>
          <w:tab w:val="clear" w:pos="1588"/>
          <w:tab w:val="clear" w:pos="1985"/>
        </w:tabs>
        <w:spacing w:before="0"/>
        <w:rPr>
          <w:rFonts w:asciiTheme="majorBidi" w:hAnsiTheme="majorBidi" w:cstheme="majorBidi"/>
          <w:lang w:val="en-GB"/>
        </w:rPr>
      </w:pPr>
      <w:hyperlink r:id="rId115" w:history="1">
        <w:r w:rsidR="006944F8" w:rsidRPr="00A94875">
          <w:rPr>
            <w:rStyle w:val="Hyperlink"/>
            <w:rFonts w:asciiTheme="majorBidi" w:eastAsia="SimSun" w:hAnsiTheme="majorBidi" w:cstheme="majorBidi"/>
            <w:lang w:val="en-GB"/>
          </w:rPr>
          <w:t>ITU-T Test Signals</w:t>
        </w:r>
      </w:hyperlink>
    </w:p>
    <w:p w14:paraId="6884AA67" w14:textId="77777777" w:rsidR="006944F8" w:rsidRPr="00A94875" w:rsidRDefault="00770A8C" w:rsidP="009261B2">
      <w:pPr>
        <w:numPr>
          <w:ilvl w:val="0"/>
          <w:numId w:val="16"/>
        </w:numPr>
        <w:tabs>
          <w:tab w:val="clear" w:pos="794"/>
          <w:tab w:val="clear" w:pos="1191"/>
          <w:tab w:val="clear" w:pos="1588"/>
          <w:tab w:val="clear" w:pos="1985"/>
        </w:tabs>
        <w:spacing w:before="0"/>
        <w:rPr>
          <w:rFonts w:asciiTheme="majorBidi" w:hAnsiTheme="majorBidi" w:cstheme="majorBidi"/>
          <w:lang w:val="en-GB"/>
        </w:rPr>
      </w:pPr>
      <w:hyperlink r:id="rId116" w:history="1">
        <w:r w:rsidR="006944F8" w:rsidRPr="00A94875">
          <w:rPr>
            <w:rStyle w:val="Hyperlink"/>
            <w:rFonts w:asciiTheme="majorBidi" w:eastAsia="SimSun" w:hAnsiTheme="majorBidi" w:cstheme="majorBidi"/>
            <w:lang w:val="en-GB"/>
          </w:rPr>
          <w:t>ITU-T Terms &amp; Definitions</w:t>
        </w:r>
      </w:hyperlink>
    </w:p>
    <w:p w14:paraId="448A179F" w14:textId="4ECACF0A" w:rsidR="006944F8" w:rsidRPr="00A94875" w:rsidRDefault="00770A8C" w:rsidP="009261B2">
      <w:pPr>
        <w:numPr>
          <w:ilvl w:val="0"/>
          <w:numId w:val="16"/>
        </w:numPr>
        <w:tabs>
          <w:tab w:val="clear" w:pos="794"/>
          <w:tab w:val="clear" w:pos="1191"/>
          <w:tab w:val="clear" w:pos="1588"/>
          <w:tab w:val="clear" w:pos="1985"/>
        </w:tabs>
        <w:spacing w:before="0"/>
        <w:rPr>
          <w:rFonts w:asciiTheme="majorBidi" w:hAnsiTheme="majorBidi" w:cstheme="majorBidi"/>
          <w:lang w:val="en-GB"/>
        </w:rPr>
      </w:pPr>
      <w:hyperlink r:id="rId117" w:history="1">
        <w:r w:rsidR="006944F8" w:rsidRPr="00A94875">
          <w:rPr>
            <w:rStyle w:val="Hyperlink"/>
            <w:rFonts w:asciiTheme="majorBidi" w:eastAsia="SimSun" w:hAnsiTheme="majorBidi" w:cstheme="majorBidi"/>
            <w:lang w:val="en-GB"/>
          </w:rPr>
          <w:t>International Numbering Resources</w:t>
        </w:r>
      </w:hyperlink>
      <w:r w:rsidR="00DD288D" w:rsidRPr="00A94875">
        <w:rPr>
          <w:lang w:val="en-GB"/>
        </w:rPr>
        <w:t xml:space="preserve"> (See section 13</w:t>
      </w:r>
      <w:r w:rsidR="006944F8" w:rsidRPr="00A94875">
        <w:rPr>
          <w:lang w:val="en-GB"/>
        </w:rPr>
        <w:t>.6 for more details).</w:t>
      </w:r>
    </w:p>
    <w:p w14:paraId="00B8FF50" w14:textId="19ED3C35" w:rsidR="006944F8" w:rsidRPr="00A94875" w:rsidRDefault="002F0E38" w:rsidP="006944F8">
      <w:pPr>
        <w:pStyle w:val="Heading2"/>
        <w:rPr>
          <w:lang w:val="en-GB"/>
        </w:rPr>
      </w:pPr>
      <w:bookmarkStart w:id="180" w:name="_Toc530571886"/>
      <w:r w:rsidRPr="00A94875">
        <w:rPr>
          <w:lang w:val="en-GB"/>
        </w:rPr>
        <w:t>13</w:t>
      </w:r>
      <w:r w:rsidR="006944F8" w:rsidRPr="00A94875">
        <w:rPr>
          <w:lang w:val="en-GB"/>
        </w:rPr>
        <w:t>.2</w:t>
      </w:r>
      <w:r w:rsidR="006944F8" w:rsidRPr="00A94875">
        <w:rPr>
          <w:lang w:val="en-GB"/>
        </w:rPr>
        <w:tab/>
        <w:t xml:space="preserve">ITU-T </w:t>
      </w:r>
      <w:proofErr w:type="spellStart"/>
      <w:r w:rsidR="006944F8" w:rsidRPr="00A94875">
        <w:rPr>
          <w:lang w:val="en-GB"/>
        </w:rPr>
        <w:t>MyWorkspace</w:t>
      </w:r>
      <w:bookmarkEnd w:id="180"/>
      <w:proofErr w:type="spellEnd"/>
    </w:p>
    <w:p w14:paraId="54275DA7" w14:textId="670E3A90" w:rsidR="006944F8" w:rsidRPr="00A94875" w:rsidRDefault="001D7B96" w:rsidP="009E5FFA">
      <w:pPr>
        <w:rPr>
          <w:sz w:val="22"/>
          <w:lang w:val="en-GB"/>
        </w:rPr>
      </w:pPr>
      <w:r w:rsidRPr="00A94875">
        <w:rPr>
          <w:lang w:val="en-GB"/>
        </w:rPr>
        <w:t xml:space="preserve">Version 2 of </w:t>
      </w:r>
      <w:hyperlink r:id="rId118" w:history="1">
        <w:proofErr w:type="spellStart"/>
        <w:r w:rsidR="006944F8" w:rsidRPr="00A94875">
          <w:rPr>
            <w:rStyle w:val="Hyperlink"/>
            <w:rFonts w:eastAsiaTheme="majorEastAsia"/>
            <w:lang w:val="en-GB"/>
          </w:rPr>
          <w:t>MyWorkspace</w:t>
        </w:r>
        <w:proofErr w:type="spellEnd"/>
      </w:hyperlink>
      <w:r w:rsidR="006944F8" w:rsidRPr="00A94875">
        <w:rPr>
          <w:lang w:val="en-GB"/>
        </w:rPr>
        <w:t xml:space="preserve"> </w:t>
      </w:r>
      <w:proofErr w:type="gramStart"/>
      <w:r w:rsidRPr="00A94875">
        <w:rPr>
          <w:lang w:val="en-GB"/>
        </w:rPr>
        <w:t>has been released</w:t>
      </w:r>
      <w:proofErr w:type="gramEnd"/>
      <w:r w:rsidRPr="00A94875">
        <w:rPr>
          <w:lang w:val="en-GB"/>
        </w:rPr>
        <w:t xml:space="preserve">. </w:t>
      </w:r>
      <w:proofErr w:type="spellStart"/>
      <w:r w:rsidRPr="00A94875">
        <w:rPr>
          <w:lang w:val="en-GB"/>
        </w:rPr>
        <w:t>MyWorkspace</w:t>
      </w:r>
      <w:proofErr w:type="spellEnd"/>
      <w:r w:rsidRPr="00A94875">
        <w:rPr>
          <w:lang w:val="en-GB"/>
        </w:rPr>
        <w:t xml:space="preserve"> is a </w:t>
      </w:r>
      <w:r w:rsidR="006944F8" w:rsidRPr="00A94875">
        <w:rPr>
          <w:lang w:val="en-GB"/>
        </w:rPr>
        <w:t>personalize</w:t>
      </w:r>
      <w:r w:rsidR="007F5C4A" w:rsidRPr="00A94875">
        <w:rPr>
          <w:lang w:val="en-GB"/>
        </w:rPr>
        <w:t>d webpage restricted to users w</w:t>
      </w:r>
      <w:r w:rsidR="006944F8" w:rsidRPr="00A94875">
        <w:rPr>
          <w:lang w:val="en-GB"/>
        </w:rPr>
        <w:t>ith an active ITU account</w:t>
      </w:r>
      <w:r w:rsidR="008D184E" w:rsidRPr="00A94875">
        <w:rPr>
          <w:lang w:val="en-GB"/>
        </w:rPr>
        <w:t>.</w:t>
      </w:r>
      <w:r w:rsidR="006944F8" w:rsidRPr="00A94875">
        <w:rPr>
          <w:lang w:val="en-GB"/>
        </w:rPr>
        <w:t xml:space="preserve"> </w:t>
      </w:r>
      <w:proofErr w:type="spellStart"/>
      <w:r w:rsidR="008D184E" w:rsidRPr="00A94875">
        <w:rPr>
          <w:lang w:val="en-GB"/>
        </w:rPr>
        <w:t>MyWorkspace</w:t>
      </w:r>
      <w:proofErr w:type="spellEnd"/>
      <w:r w:rsidR="008D184E" w:rsidRPr="00A94875">
        <w:rPr>
          <w:lang w:val="en-GB"/>
        </w:rPr>
        <w:t xml:space="preserve"> </w:t>
      </w:r>
      <w:r w:rsidR="006944F8" w:rsidRPr="00A94875">
        <w:rPr>
          <w:lang w:val="en-GB"/>
        </w:rPr>
        <w:t>provides easy access to the information and services most valued by ITU-T delegates, including:</w:t>
      </w:r>
    </w:p>
    <w:p w14:paraId="0540B55A" w14:textId="77777777" w:rsidR="006944F8" w:rsidRPr="00A94875" w:rsidRDefault="00770A8C" w:rsidP="009261B2">
      <w:pPr>
        <w:pStyle w:val="enumlev1"/>
        <w:numPr>
          <w:ilvl w:val="0"/>
          <w:numId w:val="17"/>
        </w:numPr>
        <w:spacing w:before="0"/>
        <w:ind w:left="1361" w:hanging="794"/>
        <w:rPr>
          <w:lang w:val="en-GB"/>
        </w:rPr>
      </w:pPr>
      <w:hyperlink r:id="rId119" w:history="1">
        <w:r w:rsidR="006944F8" w:rsidRPr="00A94875">
          <w:rPr>
            <w:rStyle w:val="Hyperlink"/>
            <w:lang w:val="en-GB"/>
          </w:rPr>
          <w:t>ITU-T community</w:t>
        </w:r>
      </w:hyperlink>
      <w:r w:rsidR="006944F8" w:rsidRPr="00A94875">
        <w:rPr>
          <w:lang w:val="en-GB"/>
        </w:rPr>
        <w:t xml:space="preserve"> and </w:t>
      </w:r>
      <w:hyperlink r:id="rId120" w:history="1">
        <w:r w:rsidR="006944F8" w:rsidRPr="00A94875">
          <w:rPr>
            <w:rStyle w:val="Hyperlink"/>
            <w:lang w:val="en-GB"/>
          </w:rPr>
          <w:t>Chat service</w:t>
        </w:r>
      </w:hyperlink>
      <w:r w:rsidR="006944F8" w:rsidRPr="00A94875">
        <w:rPr>
          <w:lang w:val="en-GB"/>
        </w:rPr>
        <w:t>;</w:t>
      </w:r>
    </w:p>
    <w:p w14:paraId="1E79E8EE" w14:textId="77777777" w:rsidR="006944F8" w:rsidRPr="00A94875" w:rsidRDefault="00770A8C" w:rsidP="009261B2">
      <w:pPr>
        <w:pStyle w:val="enumlev1"/>
        <w:numPr>
          <w:ilvl w:val="0"/>
          <w:numId w:val="17"/>
        </w:numPr>
        <w:spacing w:before="0"/>
        <w:ind w:left="1361" w:hanging="794"/>
        <w:rPr>
          <w:lang w:val="en-GB"/>
        </w:rPr>
      </w:pPr>
      <w:hyperlink r:id="rId121" w:history="1">
        <w:r w:rsidR="006944F8" w:rsidRPr="00A94875">
          <w:rPr>
            <w:rStyle w:val="Hyperlink"/>
            <w:lang w:val="en-GB"/>
          </w:rPr>
          <w:t>Meeting documents</w:t>
        </w:r>
      </w:hyperlink>
      <w:r w:rsidR="006944F8" w:rsidRPr="00A94875">
        <w:rPr>
          <w:lang w:val="en-GB"/>
        </w:rPr>
        <w:t xml:space="preserve"> with a section to retrieve </w:t>
      </w:r>
      <w:hyperlink r:id="rId122" w:history="1">
        <w:r w:rsidR="006944F8" w:rsidRPr="00A94875">
          <w:rPr>
            <w:rStyle w:val="Hyperlink"/>
            <w:lang w:val="en-GB"/>
          </w:rPr>
          <w:t>bookmarked documents</w:t>
        </w:r>
      </w:hyperlink>
      <w:r w:rsidR="006944F8" w:rsidRPr="00A94875">
        <w:rPr>
          <w:lang w:val="en-GB"/>
        </w:rPr>
        <w:t>;</w:t>
      </w:r>
    </w:p>
    <w:p w14:paraId="45E9C4E2" w14:textId="77777777" w:rsidR="006944F8" w:rsidRPr="00A94875" w:rsidRDefault="00770A8C" w:rsidP="009261B2">
      <w:pPr>
        <w:pStyle w:val="enumlev1"/>
        <w:numPr>
          <w:ilvl w:val="0"/>
          <w:numId w:val="17"/>
        </w:numPr>
        <w:spacing w:before="0"/>
        <w:ind w:left="1361" w:hanging="794"/>
        <w:rPr>
          <w:lang w:val="en-GB"/>
        </w:rPr>
      </w:pPr>
      <w:hyperlink r:id="rId123" w:history="1">
        <w:r w:rsidR="006944F8" w:rsidRPr="00A94875">
          <w:rPr>
            <w:rStyle w:val="Hyperlink"/>
            <w:lang w:val="en-GB"/>
          </w:rPr>
          <w:t>Mailing list subscriptions</w:t>
        </w:r>
      </w:hyperlink>
      <w:r w:rsidR="006944F8" w:rsidRPr="00A94875">
        <w:rPr>
          <w:lang w:val="en-GB"/>
        </w:rPr>
        <w:t>;</w:t>
      </w:r>
    </w:p>
    <w:p w14:paraId="3432E473" w14:textId="77777777" w:rsidR="006944F8" w:rsidRPr="00A94875" w:rsidRDefault="00770A8C" w:rsidP="009261B2">
      <w:pPr>
        <w:pStyle w:val="enumlev1"/>
        <w:numPr>
          <w:ilvl w:val="0"/>
          <w:numId w:val="17"/>
        </w:numPr>
        <w:spacing w:before="0"/>
        <w:ind w:left="1361" w:hanging="794"/>
        <w:rPr>
          <w:lang w:val="en-GB"/>
        </w:rPr>
      </w:pPr>
      <w:hyperlink r:id="rId124" w:history="1">
        <w:r w:rsidR="006944F8" w:rsidRPr="00A94875">
          <w:rPr>
            <w:rStyle w:val="Hyperlink"/>
            <w:lang w:val="en-GB"/>
          </w:rPr>
          <w:t>Calendar of current and future events</w:t>
        </w:r>
      </w:hyperlink>
      <w:r w:rsidR="006944F8" w:rsidRPr="00A94875">
        <w:rPr>
          <w:lang w:val="en-GB"/>
        </w:rPr>
        <w:t>;</w:t>
      </w:r>
    </w:p>
    <w:p w14:paraId="1F72DB28" w14:textId="77777777" w:rsidR="006944F8" w:rsidRPr="00A94875" w:rsidRDefault="006944F8" w:rsidP="009261B2">
      <w:pPr>
        <w:pStyle w:val="enumlev1"/>
        <w:numPr>
          <w:ilvl w:val="0"/>
          <w:numId w:val="17"/>
        </w:numPr>
        <w:spacing w:before="0"/>
        <w:ind w:left="1361" w:hanging="794"/>
        <w:rPr>
          <w:lang w:val="en-GB"/>
        </w:rPr>
      </w:pPr>
      <w:r w:rsidRPr="00A94875">
        <w:rPr>
          <w:lang w:val="en-GB"/>
        </w:rPr>
        <w:t>Personalized profile and preferences</w:t>
      </w:r>
      <w:proofErr w:type="gramStart"/>
      <w:r w:rsidRPr="00A94875">
        <w:rPr>
          <w:lang w:val="en-GB"/>
        </w:rPr>
        <w:t>;</w:t>
      </w:r>
      <w:proofErr w:type="gramEnd"/>
      <w:r w:rsidRPr="00A94875">
        <w:rPr>
          <w:lang w:val="en-GB"/>
        </w:rPr>
        <w:t xml:space="preserve"> and more.</w:t>
      </w:r>
    </w:p>
    <w:p w14:paraId="1D53CB08" w14:textId="52406992" w:rsidR="006944F8" w:rsidRPr="00A94875" w:rsidRDefault="002F0E38" w:rsidP="009E5FFA">
      <w:pPr>
        <w:pStyle w:val="Heading2"/>
        <w:rPr>
          <w:lang w:val="en-GB"/>
        </w:rPr>
      </w:pPr>
      <w:bookmarkStart w:id="181" w:name="_Toc530571887"/>
      <w:r w:rsidRPr="00A94875">
        <w:rPr>
          <w:lang w:val="en-GB"/>
        </w:rPr>
        <w:t>13</w:t>
      </w:r>
      <w:r w:rsidR="006944F8" w:rsidRPr="00A94875">
        <w:rPr>
          <w:lang w:val="en-GB"/>
        </w:rPr>
        <w:t>.3</w:t>
      </w:r>
      <w:r w:rsidR="006944F8" w:rsidRPr="00A94875">
        <w:rPr>
          <w:lang w:val="en-GB"/>
        </w:rPr>
        <w:tab/>
        <w:t>ITU</w:t>
      </w:r>
      <w:r w:rsidR="004258B1" w:rsidRPr="00A94875">
        <w:rPr>
          <w:lang w:val="en-GB"/>
        </w:rPr>
        <w:t xml:space="preserve"> </w:t>
      </w:r>
      <w:r w:rsidR="001D7B96" w:rsidRPr="00A94875">
        <w:rPr>
          <w:lang w:val="en-GB"/>
        </w:rPr>
        <w:t>s</w:t>
      </w:r>
      <w:r w:rsidR="006944F8" w:rsidRPr="00A94875">
        <w:rPr>
          <w:lang w:val="en-GB"/>
        </w:rPr>
        <w:t>earch</w:t>
      </w:r>
      <w:r w:rsidR="001D7B96" w:rsidRPr="00A94875">
        <w:rPr>
          <w:lang w:val="en-GB"/>
        </w:rPr>
        <w:t xml:space="preserve"> engine</w:t>
      </w:r>
      <w:bookmarkEnd w:id="181"/>
    </w:p>
    <w:p w14:paraId="5CA13C79" w14:textId="29A158B6" w:rsidR="006944F8" w:rsidRPr="00A94875" w:rsidRDefault="006944F8" w:rsidP="009E5FFA">
      <w:pPr>
        <w:rPr>
          <w:rFonts w:asciiTheme="majorBidi" w:hAnsiTheme="majorBidi" w:cstheme="majorBidi"/>
          <w:lang w:val="en-GB"/>
        </w:rPr>
      </w:pPr>
      <w:r w:rsidRPr="00A94875">
        <w:rPr>
          <w:rFonts w:asciiTheme="majorBidi" w:hAnsiTheme="majorBidi" w:cstheme="majorBidi"/>
          <w:lang w:val="en-GB"/>
        </w:rPr>
        <w:t xml:space="preserve">To ease access to ITU resources, TSB </w:t>
      </w:r>
      <w:r w:rsidR="00194F77" w:rsidRPr="00A94875">
        <w:rPr>
          <w:rFonts w:asciiTheme="majorBidi" w:hAnsiTheme="majorBidi" w:cstheme="majorBidi"/>
          <w:lang w:val="en-GB"/>
        </w:rPr>
        <w:t xml:space="preserve">has </w:t>
      </w:r>
      <w:r w:rsidRPr="00A94875">
        <w:rPr>
          <w:rFonts w:asciiTheme="majorBidi" w:hAnsiTheme="majorBidi" w:cstheme="majorBidi"/>
          <w:lang w:val="en-GB"/>
        </w:rPr>
        <w:t xml:space="preserve">developed a </w:t>
      </w:r>
      <w:hyperlink r:id="rId125" w:history="1">
        <w:r w:rsidRPr="00A94875">
          <w:rPr>
            <w:rStyle w:val="Hyperlink"/>
            <w:rFonts w:asciiTheme="majorBidi" w:hAnsiTheme="majorBidi" w:cstheme="majorBidi"/>
            <w:lang w:val="en-GB"/>
          </w:rPr>
          <w:t>search engine</w:t>
        </w:r>
      </w:hyperlink>
      <w:proofErr w:type="gramStart"/>
      <w:r w:rsidRPr="00A94875">
        <w:rPr>
          <w:rFonts w:asciiTheme="majorBidi" w:hAnsiTheme="majorBidi" w:cstheme="majorBidi"/>
          <w:lang w:val="en-GB"/>
        </w:rPr>
        <w:t xml:space="preserve"> which</w:t>
      </w:r>
      <w:proofErr w:type="gramEnd"/>
      <w:r w:rsidRPr="00A94875">
        <w:rPr>
          <w:rFonts w:asciiTheme="majorBidi" w:hAnsiTheme="majorBidi" w:cstheme="majorBidi"/>
          <w:lang w:val="en-GB"/>
        </w:rPr>
        <w:t xml:space="preserve"> has been constantly enriched with the full collections of ITU documents, publications and web pages. </w:t>
      </w:r>
    </w:p>
    <w:p w14:paraId="3099D356" w14:textId="13998425" w:rsidR="006944F8" w:rsidRPr="00A94875" w:rsidRDefault="002F0E38" w:rsidP="006944F8">
      <w:pPr>
        <w:pStyle w:val="Heading2"/>
        <w:rPr>
          <w:rFonts w:asciiTheme="majorBidi" w:hAnsiTheme="majorBidi" w:cstheme="majorBidi"/>
          <w:lang w:val="en-GB"/>
        </w:rPr>
      </w:pPr>
      <w:bookmarkStart w:id="182" w:name="_Toc530571888"/>
      <w:r w:rsidRPr="00A94875">
        <w:rPr>
          <w:rFonts w:asciiTheme="majorBidi" w:hAnsiTheme="majorBidi" w:cstheme="majorBidi"/>
          <w:lang w:val="en-GB"/>
        </w:rPr>
        <w:t>13</w:t>
      </w:r>
      <w:r w:rsidR="006944F8" w:rsidRPr="00A94875">
        <w:rPr>
          <w:rFonts w:asciiTheme="majorBidi" w:hAnsiTheme="majorBidi" w:cstheme="majorBidi"/>
          <w:lang w:val="en-GB"/>
        </w:rPr>
        <w:t>.4</w:t>
      </w:r>
      <w:r w:rsidR="006944F8" w:rsidRPr="00A94875">
        <w:rPr>
          <w:rFonts w:asciiTheme="majorBidi" w:hAnsiTheme="majorBidi" w:cstheme="majorBidi"/>
          <w:lang w:val="en-GB"/>
        </w:rPr>
        <w:tab/>
      </w:r>
      <w:r w:rsidR="006944F8" w:rsidRPr="00A94875">
        <w:rPr>
          <w:lang w:val="en-GB"/>
        </w:rPr>
        <w:t>ITU-T services &amp; tools announcements</w:t>
      </w:r>
      <w:bookmarkEnd w:id="182"/>
    </w:p>
    <w:p w14:paraId="184D5ADE" w14:textId="1D630091" w:rsidR="006944F8" w:rsidRPr="00A94875" w:rsidRDefault="00194F77" w:rsidP="0033393D">
      <w:pPr>
        <w:rPr>
          <w:rFonts w:asciiTheme="majorBidi" w:hAnsiTheme="majorBidi" w:cstheme="majorBidi"/>
          <w:b/>
          <w:lang w:val="en-GB"/>
        </w:rPr>
      </w:pPr>
      <w:r w:rsidRPr="00A94875">
        <w:rPr>
          <w:rFonts w:asciiTheme="majorBidi" w:hAnsiTheme="majorBidi" w:cstheme="majorBidi"/>
          <w:lang w:val="en-GB"/>
        </w:rPr>
        <w:t xml:space="preserve">A service announcements platform, </w:t>
      </w:r>
      <w:hyperlink r:id="rId126" w:history="1">
        <w:r w:rsidRPr="00A94875">
          <w:rPr>
            <w:rStyle w:val="Hyperlink"/>
            <w:rFonts w:asciiTheme="majorBidi" w:hAnsiTheme="majorBidi" w:cstheme="majorBidi"/>
            <w:lang w:val="en-GB"/>
          </w:rPr>
          <w:t>http://tsbtech.itu.int/</w:t>
        </w:r>
      </w:hyperlink>
      <w:r w:rsidRPr="00A94875">
        <w:rPr>
          <w:rFonts w:asciiTheme="majorBidi" w:hAnsiTheme="majorBidi" w:cstheme="majorBidi"/>
          <w:lang w:val="en-GB"/>
        </w:rPr>
        <w:t xml:space="preserve">, keeps </w:t>
      </w:r>
      <w:r w:rsidR="006944F8" w:rsidRPr="00A94875">
        <w:rPr>
          <w:rFonts w:asciiTheme="majorBidi" w:hAnsiTheme="majorBidi" w:cstheme="majorBidi"/>
          <w:lang w:val="en-GB"/>
        </w:rPr>
        <w:t>the ITU-T community</w:t>
      </w:r>
      <w:r w:rsidRPr="00A94875">
        <w:rPr>
          <w:rFonts w:asciiTheme="majorBidi" w:hAnsiTheme="majorBidi" w:cstheme="majorBidi"/>
          <w:lang w:val="en-GB"/>
        </w:rPr>
        <w:t xml:space="preserve"> up to date </w:t>
      </w:r>
      <w:r w:rsidR="006944F8" w:rsidRPr="00A94875">
        <w:rPr>
          <w:rFonts w:asciiTheme="majorBidi" w:hAnsiTheme="majorBidi" w:cstheme="majorBidi"/>
          <w:lang w:val="en-GB"/>
        </w:rPr>
        <w:t>with the latest services and tool enhancements</w:t>
      </w:r>
      <w:r w:rsidRPr="00A94875">
        <w:rPr>
          <w:rFonts w:asciiTheme="majorBidi" w:hAnsiTheme="majorBidi" w:cstheme="majorBidi"/>
          <w:lang w:val="en-GB"/>
        </w:rPr>
        <w:t>.</w:t>
      </w:r>
    </w:p>
    <w:p w14:paraId="6AA3BB35" w14:textId="7A19817B" w:rsidR="006944F8" w:rsidRPr="00A94875" w:rsidRDefault="002F0E38" w:rsidP="006944F8">
      <w:pPr>
        <w:pStyle w:val="Heading2"/>
        <w:rPr>
          <w:rFonts w:asciiTheme="majorBidi" w:hAnsiTheme="majorBidi" w:cstheme="majorBidi"/>
          <w:lang w:val="en-GB"/>
        </w:rPr>
      </w:pPr>
      <w:bookmarkStart w:id="183" w:name="_Toc480527871"/>
      <w:bookmarkStart w:id="184" w:name="_Toc530571889"/>
      <w:r w:rsidRPr="00A94875">
        <w:rPr>
          <w:rFonts w:asciiTheme="majorBidi" w:hAnsiTheme="majorBidi" w:cstheme="majorBidi"/>
          <w:lang w:val="en-GB"/>
        </w:rPr>
        <w:t>13</w:t>
      </w:r>
      <w:r w:rsidR="006944F8" w:rsidRPr="00A94875">
        <w:rPr>
          <w:rFonts w:asciiTheme="majorBidi" w:hAnsiTheme="majorBidi" w:cstheme="majorBidi"/>
          <w:lang w:val="en-GB"/>
        </w:rPr>
        <w:t>.5</w:t>
      </w:r>
      <w:r w:rsidR="006944F8" w:rsidRPr="00A94875">
        <w:rPr>
          <w:rFonts w:asciiTheme="majorBidi" w:hAnsiTheme="majorBidi" w:cstheme="majorBidi"/>
          <w:lang w:val="en-GB"/>
        </w:rPr>
        <w:tab/>
        <w:t>Document Management System for Rapporteur Groups</w:t>
      </w:r>
      <w:bookmarkEnd w:id="183"/>
      <w:bookmarkEnd w:id="184"/>
    </w:p>
    <w:p w14:paraId="2651C1D0" w14:textId="2DDF2327" w:rsidR="006944F8" w:rsidRPr="00A94875" w:rsidRDefault="006944F8" w:rsidP="0033393D">
      <w:pPr>
        <w:rPr>
          <w:rFonts w:asciiTheme="majorBidi" w:hAnsiTheme="majorBidi" w:cstheme="majorBidi"/>
          <w:szCs w:val="24"/>
          <w:lang w:val="en-GB"/>
        </w:rPr>
      </w:pPr>
      <w:r w:rsidRPr="00A94875">
        <w:rPr>
          <w:szCs w:val="24"/>
          <w:lang w:val="en-GB"/>
        </w:rPr>
        <w:t>The MS SharePoint</w:t>
      </w:r>
      <w:r w:rsidR="00194F77" w:rsidRPr="00A94875">
        <w:rPr>
          <w:szCs w:val="24"/>
          <w:lang w:val="en-GB"/>
        </w:rPr>
        <w:t>-</w:t>
      </w:r>
      <w:r w:rsidRPr="00A94875">
        <w:rPr>
          <w:szCs w:val="24"/>
          <w:lang w:val="en-GB"/>
        </w:rPr>
        <w:t>based Document Management System for ITU-T Rapporteur Group Meetings (RGM</w:t>
      </w:r>
      <w:r w:rsidR="00194F77" w:rsidRPr="00A94875">
        <w:rPr>
          <w:szCs w:val="24"/>
          <w:lang w:val="en-GB"/>
        </w:rPr>
        <w:t>s</w:t>
      </w:r>
      <w:r w:rsidRPr="00A94875">
        <w:rPr>
          <w:szCs w:val="24"/>
          <w:lang w:val="en-GB"/>
        </w:rPr>
        <w:t xml:space="preserve">) </w:t>
      </w:r>
      <w:r w:rsidR="00B018B9" w:rsidRPr="00A94875">
        <w:rPr>
          <w:szCs w:val="24"/>
          <w:lang w:val="en-GB"/>
        </w:rPr>
        <w:t>has been</w:t>
      </w:r>
      <w:r w:rsidRPr="00A94875">
        <w:rPr>
          <w:szCs w:val="24"/>
          <w:lang w:val="en-GB"/>
        </w:rPr>
        <w:t xml:space="preserve"> used</w:t>
      </w:r>
      <w:r w:rsidRPr="00A94875">
        <w:rPr>
          <w:rFonts w:asciiTheme="majorBidi" w:hAnsiTheme="majorBidi" w:cstheme="majorBidi"/>
          <w:lang w:val="en-GB"/>
        </w:rPr>
        <w:t xml:space="preserve"> </w:t>
      </w:r>
      <w:r w:rsidRPr="00A94875">
        <w:rPr>
          <w:szCs w:val="24"/>
          <w:lang w:val="en-GB"/>
        </w:rPr>
        <w:t xml:space="preserve">extensively by </w:t>
      </w:r>
      <w:r w:rsidR="00194F77" w:rsidRPr="00A94875">
        <w:rPr>
          <w:szCs w:val="24"/>
          <w:lang w:val="en-GB"/>
        </w:rPr>
        <w:t xml:space="preserve">the </w:t>
      </w:r>
      <w:r w:rsidRPr="00A94875">
        <w:rPr>
          <w:szCs w:val="24"/>
          <w:lang w:val="en-GB"/>
        </w:rPr>
        <w:t>majority of ITU-T Study Groups</w:t>
      </w:r>
      <w:r w:rsidR="00194F77" w:rsidRPr="00A94875">
        <w:rPr>
          <w:szCs w:val="24"/>
          <w:lang w:val="en-GB"/>
        </w:rPr>
        <w:t>,</w:t>
      </w:r>
      <w:r w:rsidRPr="00A94875">
        <w:rPr>
          <w:szCs w:val="24"/>
          <w:lang w:val="en-GB"/>
        </w:rPr>
        <w:t xml:space="preserve"> notably Study Groups 2, 3, 9, 11, 13, 15, 16 and TSAG. </w:t>
      </w:r>
      <w:r w:rsidR="00194F77" w:rsidRPr="00A94875">
        <w:rPr>
          <w:szCs w:val="24"/>
          <w:lang w:val="en-GB"/>
        </w:rPr>
        <w:t>Feedback from Rapporteurs drives the continuous improvement of t</w:t>
      </w:r>
      <w:r w:rsidRPr="00A94875">
        <w:rPr>
          <w:szCs w:val="24"/>
          <w:lang w:val="en-GB"/>
        </w:rPr>
        <w:t>he RGM system</w:t>
      </w:r>
      <w:proofErr w:type="gramStart"/>
      <w:r w:rsidR="00194F77" w:rsidRPr="00A94875">
        <w:rPr>
          <w:szCs w:val="24"/>
          <w:lang w:val="en-GB"/>
        </w:rPr>
        <w:t>.</w:t>
      </w:r>
      <w:r w:rsidRPr="00A94875">
        <w:rPr>
          <w:szCs w:val="24"/>
          <w:lang w:val="en-GB"/>
        </w:rPr>
        <w:t>.</w:t>
      </w:r>
      <w:proofErr w:type="gramEnd"/>
    </w:p>
    <w:p w14:paraId="29850F12" w14:textId="3AA75837" w:rsidR="006944F8" w:rsidRPr="00A94875" w:rsidRDefault="00194F77" w:rsidP="009E5FFA">
      <w:pPr>
        <w:rPr>
          <w:szCs w:val="24"/>
          <w:lang w:val="en-GB"/>
        </w:rPr>
      </w:pPr>
      <w:r w:rsidRPr="00A94875">
        <w:rPr>
          <w:szCs w:val="24"/>
          <w:lang w:val="en-GB"/>
        </w:rPr>
        <w:t>C</w:t>
      </w:r>
      <w:r w:rsidR="006944F8" w:rsidRPr="00A94875">
        <w:rPr>
          <w:szCs w:val="24"/>
          <w:lang w:val="en-GB"/>
        </w:rPr>
        <w:t xml:space="preserve">urrent and past RGM meetings </w:t>
      </w:r>
      <w:proofErr w:type="gramStart"/>
      <w:r w:rsidRPr="00A94875">
        <w:rPr>
          <w:szCs w:val="24"/>
          <w:lang w:val="en-GB"/>
        </w:rPr>
        <w:t xml:space="preserve">can </w:t>
      </w:r>
      <w:r w:rsidR="006944F8" w:rsidRPr="00A94875">
        <w:rPr>
          <w:szCs w:val="24"/>
          <w:lang w:val="en-GB"/>
        </w:rPr>
        <w:t>be accessed</w:t>
      </w:r>
      <w:proofErr w:type="gramEnd"/>
      <w:r w:rsidRPr="00A94875">
        <w:rPr>
          <w:szCs w:val="24"/>
          <w:lang w:val="en-GB"/>
        </w:rPr>
        <w:t xml:space="preserve"> at</w:t>
      </w:r>
      <w:r w:rsidR="006944F8" w:rsidRPr="00A94875">
        <w:rPr>
          <w:szCs w:val="24"/>
          <w:lang w:val="en-GB"/>
        </w:rPr>
        <w:t xml:space="preserve"> </w:t>
      </w:r>
      <w:hyperlink r:id="rId127" w:history="1">
        <w:r w:rsidR="006944F8" w:rsidRPr="00A94875">
          <w:rPr>
            <w:rStyle w:val="Hyperlink"/>
            <w:szCs w:val="24"/>
            <w:lang w:val="en-GB"/>
          </w:rPr>
          <w:t>http://itu.int/go/itu-t/rgm</w:t>
        </w:r>
      </w:hyperlink>
    </w:p>
    <w:p w14:paraId="709FFC74" w14:textId="0B537E1B" w:rsidR="006944F8" w:rsidRPr="00A94875" w:rsidRDefault="006944F8" w:rsidP="009E5FFA">
      <w:pPr>
        <w:rPr>
          <w:szCs w:val="24"/>
          <w:lang w:val="en-GB"/>
        </w:rPr>
      </w:pPr>
      <w:r w:rsidRPr="00A94875">
        <w:rPr>
          <w:szCs w:val="24"/>
          <w:lang w:val="en-GB"/>
        </w:rPr>
        <w:t xml:space="preserve">A comprehensive support and FAQs page offering RGM tips and best practices is available </w:t>
      </w:r>
      <w:r w:rsidR="00194F77" w:rsidRPr="00A94875">
        <w:rPr>
          <w:szCs w:val="24"/>
          <w:lang w:val="en-GB"/>
        </w:rPr>
        <w:t>at</w:t>
      </w:r>
      <w:r w:rsidRPr="00A94875">
        <w:rPr>
          <w:szCs w:val="24"/>
          <w:lang w:val="en-GB"/>
        </w:rPr>
        <w:t xml:space="preserve"> </w:t>
      </w:r>
      <w:hyperlink r:id="rId128" w:history="1">
        <w:r w:rsidRPr="00A94875">
          <w:rPr>
            <w:rStyle w:val="Hyperlink"/>
            <w:szCs w:val="24"/>
            <w:lang w:val="en-GB"/>
          </w:rPr>
          <w:t>http://itu.int/go/itu-t/rgm-support</w:t>
        </w:r>
      </w:hyperlink>
    </w:p>
    <w:p w14:paraId="44A4E2F4" w14:textId="0C5A63DC" w:rsidR="006944F8" w:rsidRPr="00A94875" w:rsidRDefault="006944F8" w:rsidP="009E5FFA">
      <w:pPr>
        <w:rPr>
          <w:szCs w:val="24"/>
          <w:lang w:val="en-GB"/>
        </w:rPr>
      </w:pPr>
      <w:r w:rsidRPr="00A94875">
        <w:rPr>
          <w:szCs w:val="24"/>
          <w:lang w:val="en-GB"/>
        </w:rPr>
        <w:t>A detailed online user guide for the RGM System</w:t>
      </w:r>
      <w:r w:rsidR="00194F77" w:rsidRPr="00A94875">
        <w:rPr>
          <w:szCs w:val="24"/>
          <w:lang w:val="en-GB"/>
        </w:rPr>
        <w:t xml:space="preserve">, including video tutorials, </w:t>
      </w:r>
      <w:r w:rsidRPr="00A94875">
        <w:rPr>
          <w:szCs w:val="24"/>
          <w:lang w:val="en-GB"/>
        </w:rPr>
        <w:t xml:space="preserve">is available at </w:t>
      </w:r>
      <w:hyperlink r:id="rId129" w:history="1">
        <w:r w:rsidRPr="00A94875">
          <w:rPr>
            <w:rStyle w:val="Hyperlink"/>
            <w:szCs w:val="24"/>
            <w:lang w:val="en-GB"/>
          </w:rPr>
          <w:t>http://itu.int/go/itu-t/rgm-guide</w:t>
        </w:r>
      </w:hyperlink>
    </w:p>
    <w:p w14:paraId="04A38B61" w14:textId="528D4A48" w:rsidR="006944F8" w:rsidRPr="00A94875" w:rsidRDefault="006944F8" w:rsidP="009E5FFA">
      <w:pPr>
        <w:rPr>
          <w:lang w:val="en-GB"/>
        </w:rPr>
      </w:pPr>
      <w:r w:rsidRPr="00A94875">
        <w:rPr>
          <w:rFonts w:asciiTheme="majorBidi" w:hAnsiTheme="majorBidi" w:cstheme="majorBidi"/>
          <w:szCs w:val="24"/>
          <w:lang w:val="en-GB"/>
        </w:rPr>
        <w:t xml:space="preserve">The RGM system </w:t>
      </w:r>
      <w:r w:rsidRPr="00A94875">
        <w:rPr>
          <w:szCs w:val="24"/>
          <w:lang w:val="en-GB"/>
        </w:rPr>
        <w:t xml:space="preserve">is </w:t>
      </w:r>
      <w:r w:rsidR="00194F77" w:rsidRPr="00A94875">
        <w:rPr>
          <w:szCs w:val="24"/>
          <w:lang w:val="en-GB"/>
        </w:rPr>
        <w:t xml:space="preserve">one </w:t>
      </w:r>
      <w:r w:rsidRPr="00A94875">
        <w:rPr>
          <w:rFonts w:asciiTheme="majorBidi" w:hAnsiTheme="majorBidi" w:cstheme="majorBidi"/>
          <w:szCs w:val="24"/>
          <w:lang w:val="en-GB"/>
        </w:rPr>
        <w:t>of several services available in the ITU-T SharePoint collaboration sites</w:t>
      </w:r>
      <w:r w:rsidR="00194F77" w:rsidRPr="00A94875">
        <w:rPr>
          <w:rFonts w:asciiTheme="majorBidi" w:hAnsiTheme="majorBidi" w:cstheme="majorBidi"/>
          <w:szCs w:val="24"/>
          <w:lang w:val="en-GB"/>
        </w:rPr>
        <w:t>. These sites</w:t>
      </w:r>
      <w:r w:rsidRPr="00A94875">
        <w:rPr>
          <w:rFonts w:asciiTheme="majorBidi" w:hAnsiTheme="majorBidi" w:cstheme="majorBidi"/>
          <w:szCs w:val="24"/>
          <w:lang w:val="en-GB"/>
        </w:rPr>
        <w:t xml:space="preserve"> </w:t>
      </w:r>
      <w:r w:rsidR="00194F77" w:rsidRPr="00A94875">
        <w:rPr>
          <w:rFonts w:asciiTheme="majorBidi" w:hAnsiTheme="majorBidi" w:cstheme="majorBidi"/>
          <w:szCs w:val="24"/>
          <w:lang w:val="en-GB"/>
        </w:rPr>
        <w:t xml:space="preserve">are </w:t>
      </w:r>
      <w:r w:rsidRPr="00A94875">
        <w:rPr>
          <w:rFonts w:asciiTheme="majorBidi" w:hAnsiTheme="majorBidi" w:cstheme="majorBidi"/>
          <w:szCs w:val="24"/>
          <w:lang w:val="en-GB"/>
        </w:rPr>
        <w:t xml:space="preserve">restricted to ITU-T Members and </w:t>
      </w:r>
      <w:proofErr w:type="gramStart"/>
      <w:r w:rsidR="00194F77" w:rsidRPr="00A94875">
        <w:rPr>
          <w:rFonts w:asciiTheme="majorBidi" w:hAnsiTheme="majorBidi" w:cstheme="majorBidi"/>
          <w:szCs w:val="24"/>
          <w:lang w:val="en-GB"/>
        </w:rPr>
        <w:t xml:space="preserve">can </w:t>
      </w:r>
      <w:r w:rsidRPr="00A94875">
        <w:rPr>
          <w:rFonts w:asciiTheme="majorBidi" w:hAnsiTheme="majorBidi" w:cstheme="majorBidi"/>
          <w:szCs w:val="24"/>
          <w:lang w:val="en-GB"/>
        </w:rPr>
        <w:t>be accessed</w:t>
      </w:r>
      <w:proofErr w:type="gramEnd"/>
      <w:r w:rsidRPr="00A94875">
        <w:rPr>
          <w:rFonts w:asciiTheme="majorBidi" w:hAnsiTheme="majorBidi" w:cstheme="majorBidi"/>
          <w:szCs w:val="24"/>
          <w:lang w:val="en-GB"/>
        </w:rPr>
        <w:t xml:space="preserve"> using an ITU User (TIES) account.</w:t>
      </w:r>
    </w:p>
    <w:p w14:paraId="1126A876" w14:textId="1167A013" w:rsidR="006944F8" w:rsidRPr="00A94875" w:rsidRDefault="002F0E38" w:rsidP="006944F8">
      <w:pPr>
        <w:pStyle w:val="Heading2"/>
        <w:rPr>
          <w:rFonts w:asciiTheme="majorBidi" w:hAnsiTheme="majorBidi" w:cstheme="majorBidi"/>
          <w:lang w:val="en-GB"/>
        </w:rPr>
      </w:pPr>
      <w:bookmarkStart w:id="185" w:name="_Toc480527873"/>
      <w:bookmarkStart w:id="186" w:name="_Toc530571890"/>
      <w:r w:rsidRPr="00A94875">
        <w:rPr>
          <w:rFonts w:asciiTheme="majorBidi" w:hAnsiTheme="majorBidi" w:cstheme="majorBidi"/>
          <w:lang w:val="en-GB"/>
        </w:rPr>
        <w:t>13</w:t>
      </w:r>
      <w:r w:rsidR="006944F8" w:rsidRPr="00A94875">
        <w:rPr>
          <w:rFonts w:asciiTheme="majorBidi" w:hAnsiTheme="majorBidi" w:cstheme="majorBidi"/>
          <w:lang w:val="en-GB"/>
        </w:rPr>
        <w:t>.6</w:t>
      </w:r>
      <w:r w:rsidR="006944F8" w:rsidRPr="00A94875">
        <w:rPr>
          <w:rFonts w:asciiTheme="majorBidi" w:hAnsiTheme="majorBidi" w:cstheme="majorBidi"/>
          <w:lang w:val="en-GB"/>
        </w:rPr>
        <w:tab/>
        <w:t>International Numbering Resources (INRs)</w:t>
      </w:r>
      <w:bookmarkEnd w:id="185"/>
      <w:bookmarkEnd w:id="186"/>
    </w:p>
    <w:p w14:paraId="13196E64"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ITU assigns about two-dozen types of International Numbering Resources (INRs), either directly or indirectly.</w:t>
      </w:r>
    </w:p>
    <w:p w14:paraId="51ACBCA8" w14:textId="19B425DE" w:rsidR="006944F8" w:rsidRPr="00A94875" w:rsidRDefault="006944F8" w:rsidP="009E5FFA">
      <w:pPr>
        <w:rPr>
          <w:rFonts w:asciiTheme="majorBidi" w:hAnsiTheme="majorBidi" w:cstheme="majorBidi"/>
          <w:lang w:val="en-GB"/>
        </w:rPr>
      </w:pPr>
      <w:r w:rsidRPr="00A94875">
        <w:rPr>
          <w:rFonts w:asciiTheme="majorBidi" w:hAnsiTheme="majorBidi" w:cstheme="majorBidi"/>
          <w:lang w:val="en-GB"/>
        </w:rPr>
        <w:t>Notifications of national numbering/identification plan update</w:t>
      </w:r>
      <w:r w:rsidR="00194F77" w:rsidRPr="00A94875">
        <w:rPr>
          <w:rFonts w:asciiTheme="majorBidi" w:hAnsiTheme="majorBidi" w:cstheme="majorBidi"/>
          <w:lang w:val="en-GB"/>
        </w:rPr>
        <w:t>s</w:t>
      </w:r>
      <w:r w:rsidRPr="00A94875">
        <w:rPr>
          <w:rFonts w:asciiTheme="majorBidi" w:hAnsiTheme="majorBidi" w:cstheme="majorBidi"/>
          <w:lang w:val="en-GB"/>
        </w:rPr>
        <w:t xml:space="preserve"> and assignment</w:t>
      </w:r>
      <w:r w:rsidR="00194F77" w:rsidRPr="00A94875">
        <w:rPr>
          <w:rFonts w:asciiTheme="majorBidi" w:hAnsiTheme="majorBidi" w:cstheme="majorBidi"/>
          <w:lang w:val="en-GB"/>
        </w:rPr>
        <w:t>s</w:t>
      </w:r>
      <w:r w:rsidRPr="00A94875">
        <w:rPr>
          <w:rFonts w:asciiTheme="majorBidi" w:hAnsiTheme="majorBidi" w:cstheme="majorBidi"/>
          <w:lang w:val="en-GB"/>
        </w:rPr>
        <w:t xml:space="preserve"> or reclamation</w:t>
      </w:r>
      <w:r w:rsidR="00194F77" w:rsidRPr="00A94875">
        <w:rPr>
          <w:rFonts w:asciiTheme="majorBidi" w:hAnsiTheme="majorBidi" w:cstheme="majorBidi"/>
          <w:lang w:val="en-GB"/>
        </w:rPr>
        <w:t>s</w:t>
      </w:r>
      <w:r w:rsidRPr="00A94875">
        <w:rPr>
          <w:rFonts w:asciiTheme="majorBidi" w:hAnsiTheme="majorBidi" w:cstheme="majorBidi"/>
          <w:lang w:val="en-GB"/>
        </w:rPr>
        <w:t xml:space="preserve"> of national numbering/identification resources </w:t>
      </w:r>
      <w:proofErr w:type="gramStart"/>
      <w:r w:rsidR="00194F77" w:rsidRPr="00A94875">
        <w:rPr>
          <w:rFonts w:asciiTheme="majorBidi" w:hAnsiTheme="majorBidi" w:cstheme="majorBidi"/>
          <w:lang w:val="en-GB"/>
        </w:rPr>
        <w:t xml:space="preserve">are </w:t>
      </w:r>
      <w:r w:rsidRPr="00A94875">
        <w:rPr>
          <w:rFonts w:asciiTheme="majorBidi" w:hAnsiTheme="majorBidi" w:cstheme="majorBidi"/>
          <w:lang w:val="en-GB"/>
        </w:rPr>
        <w:t xml:space="preserve">received and published in the </w:t>
      </w:r>
      <w:hyperlink r:id="rId130" w:history="1">
        <w:r w:rsidRPr="00A94875">
          <w:rPr>
            <w:rFonts w:asciiTheme="majorBidi" w:hAnsiTheme="majorBidi" w:cstheme="majorBidi"/>
            <w:color w:val="0000FF"/>
            <w:u w:val="single" w:color="0000FF"/>
            <w:lang w:val="en-GB"/>
          </w:rPr>
          <w:t>ITU Operational Bulletin</w:t>
        </w:r>
        <w:proofErr w:type="gramEnd"/>
      </w:hyperlink>
      <w:r w:rsidRPr="00A94875">
        <w:rPr>
          <w:rFonts w:asciiTheme="majorBidi" w:hAnsiTheme="majorBidi" w:cstheme="majorBidi"/>
          <w:lang w:val="en-GB"/>
        </w:rPr>
        <w:t xml:space="preserve">. The ITU Operational Bulletin </w:t>
      </w:r>
      <w:proofErr w:type="gramStart"/>
      <w:r w:rsidRPr="00A94875">
        <w:rPr>
          <w:rFonts w:asciiTheme="majorBidi" w:hAnsiTheme="majorBidi" w:cstheme="majorBidi"/>
          <w:lang w:val="en-GB"/>
        </w:rPr>
        <w:t>is published</w:t>
      </w:r>
      <w:proofErr w:type="gramEnd"/>
      <w:r w:rsidRPr="00A94875">
        <w:rPr>
          <w:rFonts w:asciiTheme="majorBidi" w:hAnsiTheme="majorBidi" w:cstheme="majorBidi"/>
          <w:lang w:val="en-GB"/>
        </w:rPr>
        <w:t xml:space="preserve"> in the six official languages </w:t>
      </w:r>
      <w:r w:rsidR="00194F77" w:rsidRPr="00A94875">
        <w:rPr>
          <w:rFonts w:asciiTheme="majorBidi" w:hAnsiTheme="majorBidi" w:cstheme="majorBidi"/>
          <w:lang w:val="en-GB"/>
        </w:rPr>
        <w:t xml:space="preserve">of the Union </w:t>
      </w:r>
      <w:r w:rsidRPr="00A94875">
        <w:rPr>
          <w:rFonts w:asciiTheme="majorBidi" w:hAnsiTheme="majorBidi" w:cstheme="majorBidi"/>
          <w:lang w:val="en-GB"/>
        </w:rPr>
        <w:t xml:space="preserve">twice a month. Some 20 annexes </w:t>
      </w:r>
      <w:proofErr w:type="gramStart"/>
      <w:r w:rsidR="005C3985" w:rsidRPr="00A94875">
        <w:rPr>
          <w:rFonts w:asciiTheme="majorBidi" w:hAnsiTheme="majorBidi" w:cstheme="majorBidi"/>
          <w:lang w:val="en-GB"/>
        </w:rPr>
        <w:t>are maintained</w:t>
      </w:r>
      <w:proofErr w:type="gramEnd"/>
      <w:r w:rsidR="005C3985" w:rsidRPr="00A94875">
        <w:rPr>
          <w:rFonts w:asciiTheme="majorBidi" w:hAnsiTheme="majorBidi" w:cstheme="majorBidi"/>
          <w:lang w:val="en-GB"/>
        </w:rPr>
        <w:t xml:space="preserve"> </w:t>
      </w:r>
      <w:r w:rsidRPr="00A94875">
        <w:rPr>
          <w:rFonts w:asciiTheme="majorBidi" w:hAnsiTheme="majorBidi" w:cstheme="majorBidi"/>
          <w:lang w:val="en-GB"/>
        </w:rPr>
        <w:t>on numbers and codes allocated in accordance with the following recommendations:</w:t>
      </w:r>
    </w:p>
    <w:p w14:paraId="6ACE5A10" w14:textId="77777777" w:rsidR="006944F8" w:rsidRPr="00A94875" w:rsidRDefault="006944F8" w:rsidP="009261B2">
      <w:pPr>
        <w:numPr>
          <w:ilvl w:val="0"/>
          <w:numId w:val="18"/>
        </w:numPr>
        <w:tabs>
          <w:tab w:val="clear" w:pos="794"/>
          <w:tab w:val="clear" w:pos="1191"/>
          <w:tab w:val="clear" w:pos="1588"/>
          <w:tab w:val="clear" w:pos="1985"/>
          <w:tab w:val="left" w:pos="1134"/>
          <w:tab w:val="left" w:pos="1871"/>
          <w:tab w:val="left" w:pos="2268"/>
        </w:tabs>
        <w:spacing w:before="0"/>
        <w:rPr>
          <w:rFonts w:asciiTheme="majorBidi" w:eastAsiaTheme="minorEastAsia" w:hAnsiTheme="majorBidi" w:cstheme="majorBidi"/>
          <w:lang w:val="en-GB"/>
        </w:rPr>
      </w:pPr>
      <w:r w:rsidRPr="00A94875">
        <w:rPr>
          <w:rFonts w:asciiTheme="majorBidi" w:eastAsiaTheme="minorEastAsia" w:hAnsiTheme="majorBidi" w:cstheme="majorBidi"/>
          <w:lang w:val="en-GB"/>
        </w:rPr>
        <w:t>ITU-T E.164 "The international public telecommunication numbering plan"</w:t>
      </w:r>
    </w:p>
    <w:p w14:paraId="0961FA46" w14:textId="77777777" w:rsidR="006944F8" w:rsidRPr="00A94875" w:rsidRDefault="006944F8" w:rsidP="009261B2">
      <w:pPr>
        <w:numPr>
          <w:ilvl w:val="0"/>
          <w:numId w:val="18"/>
        </w:numPr>
        <w:tabs>
          <w:tab w:val="clear" w:pos="794"/>
          <w:tab w:val="clear" w:pos="1191"/>
          <w:tab w:val="clear" w:pos="1588"/>
          <w:tab w:val="clear" w:pos="1985"/>
          <w:tab w:val="left" w:pos="1134"/>
          <w:tab w:val="left" w:pos="1871"/>
          <w:tab w:val="left" w:pos="2268"/>
        </w:tabs>
        <w:spacing w:before="0"/>
        <w:rPr>
          <w:rFonts w:asciiTheme="majorBidi" w:eastAsiaTheme="minorEastAsia" w:hAnsiTheme="majorBidi" w:cstheme="majorBidi"/>
          <w:lang w:val="en-GB"/>
        </w:rPr>
      </w:pPr>
      <w:r w:rsidRPr="00A94875">
        <w:rPr>
          <w:rFonts w:asciiTheme="majorBidi" w:eastAsiaTheme="minorEastAsia" w:hAnsiTheme="majorBidi" w:cstheme="majorBidi"/>
          <w:lang w:val="en-GB"/>
        </w:rPr>
        <w:t>ITU-T E.118 "The international telecommunication charge card"</w:t>
      </w:r>
    </w:p>
    <w:p w14:paraId="0ECAF69F" w14:textId="77777777" w:rsidR="006944F8" w:rsidRPr="00A94875" w:rsidRDefault="006944F8" w:rsidP="009261B2">
      <w:pPr>
        <w:numPr>
          <w:ilvl w:val="0"/>
          <w:numId w:val="18"/>
        </w:numPr>
        <w:tabs>
          <w:tab w:val="clear" w:pos="794"/>
          <w:tab w:val="clear" w:pos="1191"/>
          <w:tab w:val="clear" w:pos="1588"/>
          <w:tab w:val="clear" w:pos="1985"/>
          <w:tab w:val="left" w:pos="1134"/>
          <w:tab w:val="left" w:pos="1871"/>
          <w:tab w:val="left" w:pos="2268"/>
        </w:tabs>
        <w:spacing w:before="0"/>
        <w:rPr>
          <w:rFonts w:asciiTheme="majorBidi" w:eastAsiaTheme="minorEastAsia" w:hAnsiTheme="majorBidi" w:cstheme="majorBidi"/>
          <w:lang w:val="en-GB"/>
        </w:rPr>
      </w:pPr>
      <w:r w:rsidRPr="00A94875">
        <w:rPr>
          <w:rFonts w:asciiTheme="majorBidi" w:eastAsiaTheme="minorEastAsia" w:hAnsiTheme="majorBidi" w:cstheme="majorBidi"/>
          <w:lang w:val="en-GB"/>
        </w:rPr>
        <w:t>ITU-T E.212 "The international identification plan for public networks and subscriptions"</w:t>
      </w:r>
    </w:p>
    <w:p w14:paraId="1B63E52A" w14:textId="77777777" w:rsidR="006944F8" w:rsidRPr="00A94875" w:rsidRDefault="006944F8" w:rsidP="009261B2">
      <w:pPr>
        <w:numPr>
          <w:ilvl w:val="0"/>
          <w:numId w:val="18"/>
        </w:numPr>
        <w:tabs>
          <w:tab w:val="clear" w:pos="794"/>
          <w:tab w:val="clear" w:pos="1191"/>
          <w:tab w:val="clear" w:pos="1588"/>
          <w:tab w:val="clear" w:pos="1985"/>
          <w:tab w:val="left" w:pos="1134"/>
          <w:tab w:val="left" w:pos="1871"/>
          <w:tab w:val="left" w:pos="2268"/>
        </w:tabs>
        <w:spacing w:before="0"/>
        <w:rPr>
          <w:rFonts w:asciiTheme="majorBidi" w:eastAsiaTheme="minorEastAsia" w:hAnsiTheme="majorBidi" w:cstheme="majorBidi"/>
          <w:lang w:val="en-GB"/>
        </w:rPr>
      </w:pPr>
      <w:r w:rsidRPr="00A94875">
        <w:rPr>
          <w:rFonts w:asciiTheme="majorBidi" w:eastAsiaTheme="minorEastAsia" w:hAnsiTheme="majorBidi" w:cstheme="majorBidi"/>
          <w:lang w:val="en-GB"/>
        </w:rPr>
        <w:t>ITU-T E.218 "Management of the allocation of terrestrial trunk radio Mobile Country Codes"</w:t>
      </w:r>
    </w:p>
    <w:p w14:paraId="625B46F6" w14:textId="77777777" w:rsidR="006944F8" w:rsidRPr="00A94875" w:rsidRDefault="006944F8" w:rsidP="009261B2">
      <w:pPr>
        <w:numPr>
          <w:ilvl w:val="0"/>
          <w:numId w:val="18"/>
        </w:numPr>
        <w:tabs>
          <w:tab w:val="clear" w:pos="794"/>
          <w:tab w:val="clear" w:pos="1191"/>
          <w:tab w:val="clear" w:pos="1588"/>
          <w:tab w:val="clear" w:pos="1985"/>
          <w:tab w:val="left" w:pos="1134"/>
          <w:tab w:val="left" w:pos="1871"/>
          <w:tab w:val="left" w:pos="2268"/>
        </w:tabs>
        <w:spacing w:before="0"/>
        <w:rPr>
          <w:rFonts w:asciiTheme="majorBidi" w:eastAsiaTheme="minorEastAsia" w:hAnsiTheme="majorBidi" w:cstheme="majorBidi"/>
          <w:lang w:val="en-GB"/>
        </w:rPr>
      </w:pPr>
      <w:r w:rsidRPr="00A94875">
        <w:rPr>
          <w:rFonts w:asciiTheme="majorBidi" w:eastAsiaTheme="minorEastAsia" w:hAnsiTheme="majorBidi" w:cstheme="majorBidi"/>
          <w:lang w:val="en-GB"/>
        </w:rPr>
        <w:t>ITU-T Q.708 "Assignment procedures for international signalling point codes".</w:t>
      </w:r>
    </w:p>
    <w:p w14:paraId="62BE28E0" w14:textId="77777777" w:rsidR="006944F8" w:rsidRPr="00A94875" w:rsidRDefault="00770A8C" w:rsidP="006944F8">
      <w:pPr>
        <w:rPr>
          <w:rFonts w:asciiTheme="majorBidi" w:hAnsiTheme="majorBidi" w:cstheme="majorBidi"/>
          <w:lang w:val="en-GB"/>
        </w:rPr>
      </w:pPr>
      <w:hyperlink r:id="rId131" w:tooltip="Guidelines for ITU-T action on reported misuse of E.164 number resources" w:history="1">
        <w:r w:rsidR="006944F8" w:rsidRPr="00A94875">
          <w:rPr>
            <w:rStyle w:val="Hyperlink"/>
            <w:rFonts w:asciiTheme="majorBidi" w:hAnsiTheme="majorBidi" w:cstheme="majorBidi"/>
            <w:lang w:val="en-GB"/>
          </w:rPr>
          <w:t>Recommendation ITU-T E.156 “Guidelines for ITU-T action on reported misuse of E.164 number resources”</w:t>
        </w:r>
      </w:hyperlink>
      <w:r w:rsidR="006944F8" w:rsidRPr="00A94875">
        <w:rPr>
          <w:rFonts w:asciiTheme="majorBidi" w:hAnsiTheme="majorBidi" w:cstheme="majorBidi"/>
          <w:lang w:val="en-GB"/>
        </w:rPr>
        <w:t xml:space="preserve"> is under revision to include new cases of misuse and to investigate </w:t>
      </w:r>
      <w:proofErr w:type="gramStart"/>
      <w:r w:rsidR="006944F8" w:rsidRPr="00A94875">
        <w:rPr>
          <w:rFonts w:asciiTheme="majorBidi" w:hAnsiTheme="majorBidi" w:cstheme="majorBidi"/>
          <w:lang w:val="en-GB"/>
        </w:rPr>
        <w:t>more efficient means of combating misuse</w:t>
      </w:r>
      <w:proofErr w:type="gramEnd"/>
      <w:r w:rsidR="006944F8" w:rsidRPr="00A94875">
        <w:rPr>
          <w:rFonts w:asciiTheme="majorBidi" w:hAnsiTheme="majorBidi" w:cstheme="majorBidi"/>
          <w:lang w:val="en-GB"/>
        </w:rPr>
        <w:t>.</w:t>
      </w:r>
    </w:p>
    <w:p w14:paraId="34330D97" w14:textId="2F1D6E4C" w:rsidR="006944F8" w:rsidRPr="00A94875" w:rsidRDefault="006944F8" w:rsidP="0033393D">
      <w:pPr>
        <w:snapToGrid w:val="0"/>
        <w:spacing w:after="120"/>
        <w:rPr>
          <w:rFonts w:asciiTheme="majorBidi" w:hAnsiTheme="majorBidi" w:cstheme="majorBidi"/>
          <w:color w:val="000000"/>
          <w:lang w:val="en-GB"/>
        </w:rPr>
      </w:pPr>
      <w:r w:rsidRPr="00A94875">
        <w:rPr>
          <w:rFonts w:asciiTheme="majorBidi" w:eastAsia="SimSun" w:hAnsiTheme="majorBidi" w:cstheme="majorBidi"/>
          <w:color w:val="000000"/>
          <w:lang w:val="en-GB"/>
        </w:rPr>
        <w:t xml:space="preserve">Council 2017 </w:t>
      </w:r>
      <w:r w:rsidRPr="00A94875">
        <w:rPr>
          <w:rFonts w:asciiTheme="majorBidi" w:hAnsiTheme="majorBidi" w:cstheme="majorBidi"/>
          <w:color w:val="000000"/>
          <w:lang w:val="en-GB"/>
        </w:rPr>
        <w:t>approved the new fee structure for UIFN (Universal International Freephone Number) and IIN (Issuer Identifier Number) by approving new Decision 600 (</w:t>
      </w:r>
      <w:hyperlink r:id="rId132" w:history="1">
        <w:r w:rsidRPr="00A94875">
          <w:rPr>
            <w:rStyle w:val="Hyperlink"/>
            <w:rFonts w:asciiTheme="majorBidi" w:hAnsiTheme="majorBidi" w:cstheme="majorBidi"/>
            <w:lang w:val="en-GB"/>
          </w:rPr>
          <w:t>C17/133</w:t>
        </w:r>
      </w:hyperlink>
      <w:r w:rsidRPr="00A94875">
        <w:rPr>
          <w:rFonts w:asciiTheme="majorBidi" w:hAnsiTheme="majorBidi" w:cstheme="majorBidi"/>
          <w:color w:val="000000"/>
          <w:lang w:val="en-GB"/>
        </w:rPr>
        <w:t>) and 601 (</w:t>
      </w:r>
      <w:hyperlink r:id="rId133" w:history="1">
        <w:r w:rsidRPr="00A94875">
          <w:rPr>
            <w:rStyle w:val="Hyperlink"/>
            <w:rFonts w:asciiTheme="majorBidi" w:hAnsiTheme="majorBidi" w:cstheme="majorBidi"/>
            <w:lang w:val="en-GB"/>
          </w:rPr>
          <w:t>C17/134</w:t>
        </w:r>
      </w:hyperlink>
      <w:r w:rsidRPr="00A94875">
        <w:rPr>
          <w:rFonts w:asciiTheme="majorBidi" w:hAnsiTheme="majorBidi" w:cstheme="majorBidi"/>
          <w:color w:val="000000"/>
          <w:lang w:val="en-GB"/>
        </w:rPr>
        <w:t xml:space="preserve">). The improved systems went live on 16 January 2018 following the new fee structure approved in </w:t>
      </w:r>
      <w:r w:rsidRPr="00A94875">
        <w:rPr>
          <w:rFonts w:asciiTheme="majorBidi" w:hAnsiTheme="majorBidi" w:cstheme="majorBidi"/>
          <w:color w:val="000000"/>
          <w:lang w:val="en-GB"/>
        </w:rPr>
        <w:lastRenderedPageBreak/>
        <w:t>Council Decision 600</w:t>
      </w:r>
      <w:r w:rsidRPr="00A94875">
        <w:rPr>
          <w:rFonts w:asciiTheme="majorBidi" w:eastAsia="SimSun" w:hAnsiTheme="majorBidi" w:cstheme="majorBidi"/>
          <w:color w:val="000000"/>
          <w:lang w:val="en-GB"/>
        </w:rPr>
        <w:t xml:space="preserve">. It was found that the following </w:t>
      </w:r>
      <w:proofErr w:type="spellStart"/>
      <w:r w:rsidRPr="00A94875">
        <w:rPr>
          <w:rFonts w:asciiTheme="majorBidi" w:eastAsia="SimSun" w:hAnsiTheme="majorBidi" w:cstheme="majorBidi"/>
          <w:color w:val="000000"/>
          <w:lang w:val="en-GB"/>
        </w:rPr>
        <w:t>RoAs</w:t>
      </w:r>
      <w:proofErr w:type="spellEnd"/>
      <w:r w:rsidRPr="00A94875">
        <w:rPr>
          <w:rFonts w:asciiTheme="majorBidi" w:eastAsia="SimSun" w:hAnsiTheme="majorBidi" w:cstheme="majorBidi"/>
          <w:color w:val="000000"/>
          <w:lang w:val="en-GB"/>
        </w:rPr>
        <w:t xml:space="preserve"> are still not reachable</w:t>
      </w:r>
      <w:r w:rsidR="00194F77" w:rsidRPr="00A94875">
        <w:rPr>
          <w:rFonts w:asciiTheme="majorBidi" w:eastAsia="SimSun" w:hAnsiTheme="majorBidi" w:cstheme="majorBidi"/>
          <w:color w:val="000000"/>
          <w:lang w:val="en-GB"/>
        </w:rPr>
        <w:t xml:space="preserve">, accounting for </w:t>
      </w:r>
      <w:proofErr w:type="gramStart"/>
      <w:r w:rsidR="00194F77" w:rsidRPr="00A94875">
        <w:rPr>
          <w:rFonts w:asciiTheme="majorBidi" w:eastAsia="SimSun" w:hAnsiTheme="majorBidi" w:cstheme="majorBidi"/>
          <w:color w:val="000000"/>
          <w:lang w:val="en-GB"/>
        </w:rPr>
        <w:t xml:space="preserve">a </w:t>
      </w:r>
      <w:r w:rsidRPr="00A94875">
        <w:rPr>
          <w:rFonts w:asciiTheme="majorBidi" w:eastAsia="SimSun" w:hAnsiTheme="majorBidi" w:cstheme="majorBidi"/>
          <w:color w:val="000000"/>
          <w:lang w:val="en-GB"/>
        </w:rPr>
        <w:t>total of 93</w:t>
      </w:r>
      <w:proofErr w:type="gramEnd"/>
      <w:r w:rsidRPr="00A94875">
        <w:rPr>
          <w:rFonts w:asciiTheme="majorBidi" w:eastAsia="SimSun" w:hAnsiTheme="majorBidi" w:cstheme="majorBidi"/>
          <w:color w:val="000000"/>
          <w:lang w:val="en-GB"/>
        </w:rPr>
        <w:t xml:space="preserve"> UIFNs</w:t>
      </w:r>
      <w:r w:rsidRPr="00A94875">
        <w:rPr>
          <w:rFonts w:asciiTheme="majorBidi" w:hAnsiTheme="majorBidi" w:cstheme="majorBidi"/>
          <w:color w:val="000000"/>
          <w:lang w:val="en-GB"/>
        </w:rPr>
        <w:t>:</w:t>
      </w:r>
    </w:p>
    <w:p w14:paraId="259D2922" w14:textId="77777777" w:rsidR="006944F8" w:rsidRPr="00155D7A" w:rsidRDefault="006944F8" w:rsidP="009261B2">
      <w:pPr>
        <w:pStyle w:val="ListParagraph"/>
        <w:numPr>
          <w:ilvl w:val="0"/>
          <w:numId w:val="51"/>
        </w:numPr>
        <w:snapToGrid w:val="0"/>
        <w:spacing w:before="120"/>
        <w:rPr>
          <w:rFonts w:asciiTheme="majorBidi" w:hAnsiTheme="majorBidi" w:cstheme="majorBidi"/>
          <w:sz w:val="24"/>
          <w:szCs w:val="24"/>
          <w:lang w:val="es-ES"/>
        </w:rPr>
      </w:pPr>
      <w:r w:rsidRPr="00155D7A">
        <w:rPr>
          <w:rFonts w:asciiTheme="majorBidi" w:hAnsiTheme="majorBidi" w:cstheme="majorBidi"/>
          <w:sz w:val="24"/>
          <w:szCs w:val="24"/>
          <w:lang w:val="es-ES"/>
        </w:rPr>
        <w:t xml:space="preserve">AES - AES </w:t>
      </w:r>
      <w:proofErr w:type="spellStart"/>
      <w:r w:rsidRPr="00155D7A">
        <w:rPr>
          <w:rFonts w:asciiTheme="majorBidi" w:hAnsiTheme="majorBidi" w:cstheme="majorBidi"/>
          <w:sz w:val="24"/>
          <w:szCs w:val="24"/>
          <w:lang w:val="es-ES"/>
        </w:rPr>
        <w:t>Comunicaciónes</w:t>
      </w:r>
      <w:proofErr w:type="spellEnd"/>
      <w:r w:rsidRPr="00155D7A">
        <w:rPr>
          <w:rFonts w:asciiTheme="majorBidi" w:hAnsiTheme="majorBidi" w:cstheme="majorBidi"/>
          <w:sz w:val="24"/>
          <w:szCs w:val="24"/>
          <w:lang w:val="es-ES"/>
        </w:rPr>
        <w:t xml:space="preserve"> Bolivia S.A. (1 UIFN)</w:t>
      </w:r>
    </w:p>
    <w:p w14:paraId="193FB793" w14:textId="77777777" w:rsidR="006944F8" w:rsidRPr="00A94875" w:rsidRDefault="006944F8" w:rsidP="009261B2">
      <w:pPr>
        <w:pStyle w:val="ListParagraph"/>
        <w:numPr>
          <w:ilvl w:val="0"/>
          <w:numId w:val="51"/>
        </w:numPr>
        <w:snapToGrid w:val="0"/>
        <w:spacing w:before="12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AXICOM - </w:t>
      </w:r>
      <w:proofErr w:type="spellStart"/>
      <w:r w:rsidRPr="00A94875">
        <w:rPr>
          <w:rFonts w:asciiTheme="majorBidi" w:hAnsiTheme="majorBidi" w:cstheme="majorBidi"/>
          <w:sz w:val="24"/>
          <w:szCs w:val="24"/>
          <w:lang w:val="en-GB"/>
        </w:rPr>
        <w:t>Axicom</w:t>
      </w:r>
      <w:proofErr w:type="spellEnd"/>
      <w:r w:rsidRPr="00A94875">
        <w:rPr>
          <w:rFonts w:asciiTheme="majorBidi" w:hAnsiTheme="majorBidi" w:cstheme="majorBidi"/>
          <w:sz w:val="24"/>
          <w:szCs w:val="24"/>
          <w:lang w:val="en-GB"/>
        </w:rPr>
        <w:t xml:space="preserve"> Communications Group Inc., USA (2 UIFN)</w:t>
      </w:r>
    </w:p>
    <w:p w14:paraId="3C723B0C" w14:textId="77777777" w:rsidR="006944F8" w:rsidRPr="00A94875" w:rsidRDefault="006944F8" w:rsidP="009261B2">
      <w:pPr>
        <w:pStyle w:val="ListParagraph"/>
        <w:numPr>
          <w:ilvl w:val="0"/>
          <w:numId w:val="51"/>
        </w:numPr>
        <w:snapToGrid w:val="0"/>
        <w:spacing w:before="120"/>
        <w:rPr>
          <w:rFonts w:asciiTheme="majorBidi" w:hAnsiTheme="majorBidi" w:cstheme="majorBidi"/>
          <w:sz w:val="24"/>
          <w:szCs w:val="24"/>
          <w:lang w:val="en-GB"/>
        </w:rPr>
      </w:pPr>
      <w:r w:rsidRPr="00A94875">
        <w:rPr>
          <w:rFonts w:asciiTheme="majorBidi" w:hAnsiTheme="majorBidi" w:cstheme="majorBidi"/>
          <w:sz w:val="24"/>
          <w:szCs w:val="24"/>
          <w:lang w:val="en-GB"/>
        </w:rPr>
        <w:t>BSCL - BellSouth Chile (2 UIFN)</w:t>
      </w:r>
    </w:p>
    <w:p w14:paraId="0550217E" w14:textId="77777777" w:rsidR="006944F8" w:rsidRPr="00A94875" w:rsidRDefault="006944F8" w:rsidP="009261B2">
      <w:pPr>
        <w:pStyle w:val="ListParagraph"/>
        <w:numPr>
          <w:ilvl w:val="0"/>
          <w:numId w:val="51"/>
        </w:numPr>
        <w:snapToGrid w:val="0"/>
        <w:spacing w:before="120"/>
        <w:rPr>
          <w:rFonts w:asciiTheme="majorBidi" w:hAnsiTheme="majorBidi" w:cstheme="majorBidi"/>
          <w:sz w:val="24"/>
          <w:szCs w:val="24"/>
          <w:lang w:val="en-GB"/>
        </w:rPr>
      </w:pPr>
      <w:r w:rsidRPr="00A94875">
        <w:rPr>
          <w:rFonts w:asciiTheme="majorBidi" w:hAnsiTheme="majorBidi" w:cstheme="majorBidi"/>
          <w:sz w:val="24"/>
          <w:szCs w:val="24"/>
          <w:lang w:val="en-GB"/>
        </w:rPr>
        <w:t>BDEVTP - Cable and Wireless plc, Bermuda (3 UIFN)</w:t>
      </w:r>
    </w:p>
    <w:p w14:paraId="6E2181FD" w14:textId="77777777" w:rsidR="006944F8" w:rsidRPr="00155D7A" w:rsidRDefault="006944F8" w:rsidP="009261B2">
      <w:pPr>
        <w:pStyle w:val="ListParagraph"/>
        <w:numPr>
          <w:ilvl w:val="0"/>
          <w:numId w:val="51"/>
        </w:numPr>
        <w:snapToGrid w:val="0"/>
        <w:spacing w:before="120"/>
        <w:rPr>
          <w:rFonts w:asciiTheme="majorBidi" w:hAnsiTheme="majorBidi" w:cstheme="majorBidi"/>
          <w:sz w:val="24"/>
          <w:szCs w:val="24"/>
          <w:lang w:val="es-ES"/>
        </w:rPr>
      </w:pPr>
      <w:r w:rsidRPr="00155D7A">
        <w:rPr>
          <w:rFonts w:asciiTheme="majorBidi" w:hAnsiTheme="majorBidi" w:cstheme="majorBidi"/>
          <w:sz w:val="24"/>
          <w:szCs w:val="24"/>
          <w:lang w:val="es-ES"/>
        </w:rPr>
        <w:t xml:space="preserve">CTE - </w:t>
      </w:r>
      <w:proofErr w:type="spellStart"/>
      <w:r w:rsidRPr="00155D7A">
        <w:rPr>
          <w:rFonts w:asciiTheme="majorBidi" w:hAnsiTheme="majorBidi" w:cstheme="majorBidi"/>
          <w:sz w:val="24"/>
          <w:szCs w:val="24"/>
          <w:lang w:val="es-ES"/>
        </w:rPr>
        <w:t>Compañia</w:t>
      </w:r>
      <w:proofErr w:type="spellEnd"/>
      <w:r w:rsidRPr="00155D7A">
        <w:rPr>
          <w:rFonts w:asciiTheme="majorBidi" w:hAnsiTheme="majorBidi" w:cstheme="majorBidi"/>
          <w:sz w:val="24"/>
          <w:szCs w:val="24"/>
          <w:lang w:val="es-ES"/>
        </w:rPr>
        <w:t xml:space="preserve"> de Telecomunicaciones de El Salvador, S.A. de C.V. (1 UIFN)</w:t>
      </w:r>
    </w:p>
    <w:p w14:paraId="1684AEFD" w14:textId="77777777" w:rsidR="006944F8" w:rsidRPr="00A94875" w:rsidRDefault="006944F8" w:rsidP="009261B2">
      <w:pPr>
        <w:pStyle w:val="ListParagraph"/>
        <w:numPr>
          <w:ilvl w:val="0"/>
          <w:numId w:val="51"/>
        </w:numPr>
        <w:snapToGrid w:val="0"/>
        <w:spacing w:before="12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NEXTRA - GTS </w:t>
      </w:r>
      <w:proofErr w:type="spellStart"/>
      <w:r w:rsidRPr="00A94875">
        <w:rPr>
          <w:rFonts w:asciiTheme="majorBidi" w:hAnsiTheme="majorBidi" w:cstheme="majorBidi"/>
          <w:sz w:val="24"/>
          <w:szCs w:val="24"/>
          <w:lang w:val="en-GB"/>
        </w:rPr>
        <w:t>Nextra</w:t>
      </w:r>
      <w:proofErr w:type="spellEnd"/>
      <w:r w:rsidRPr="00A94875">
        <w:rPr>
          <w:rFonts w:asciiTheme="majorBidi" w:hAnsiTheme="majorBidi" w:cstheme="majorBidi"/>
          <w:sz w:val="24"/>
          <w:szCs w:val="24"/>
          <w:lang w:val="en-GB"/>
        </w:rPr>
        <w:t xml:space="preserve">, </w:t>
      </w:r>
      <w:proofErr w:type="spellStart"/>
      <w:r w:rsidRPr="00A94875">
        <w:rPr>
          <w:rFonts w:asciiTheme="majorBidi" w:hAnsiTheme="majorBidi" w:cstheme="majorBidi"/>
          <w:sz w:val="24"/>
          <w:szCs w:val="24"/>
          <w:lang w:val="en-GB"/>
        </w:rPr>
        <w:t>a.s</w:t>
      </w:r>
      <w:proofErr w:type="spellEnd"/>
      <w:r w:rsidRPr="00A94875">
        <w:rPr>
          <w:rFonts w:asciiTheme="majorBidi" w:hAnsiTheme="majorBidi" w:cstheme="majorBidi"/>
          <w:sz w:val="24"/>
          <w:szCs w:val="24"/>
          <w:lang w:val="en-GB"/>
        </w:rPr>
        <w:t>., Slovakia (4 UIFN)</w:t>
      </w:r>
    </w:p>
    <w:p w14:paraId="7B39DEEC" w14:textId="77777777" w:rsidR="006944F8" w:rsidRPr="00A94875" w:rsidRDefault="006944F8" w:rsidP="009261B2">
      <w:pPr>
        <w:pStyle w:val="ListParagraph"/>
        <w:numPr>
          <w:ilvl w:val="0"/>
          <w:numId w:val="51"/>
        </w:numPr>
        <w:snapToGrid w:val="0"/>
        <w:spacing w:before="12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HANSE - </w:t>
      </w:r>
      <w:proofErr w:type="spellStart"/>
      <w:r w:rsidRPr="00A94875">
        <w:rPr>
          <w:rFonts w:asciiTheme="majorBidi" w:hAnsiTheme="majorBidi" w:cstheme="majorBidi"/>
          <w:sz w:val="24"/>
          <w:szCs w:val="24"/>
          <w:lang w:val="en-GB"/>
        </w:rPr>
        <w:t>HanseNet</w:t>
      </w:r>
      <w:proofErr w:type="spellEnd"/>
      <w:r w:rsidRPr="00A94875">
        <w:rPr>
          <w:rFonts w:asciiTheme="majorBidi" w:hAnsiTheme="majorBidi" w:cstheme="majorBidi"/>
          <w:sz w:val="24"/>
          <w:szCs w:val="24"/>
          <w:lang w:val="en-GB"/>
        </w:rPr>
        <w:t xml:space="preserve"> </w:t>
      </w:r>
      <w:proofErr w:type="spellStart"/>
      <w:r w:rsidRPr="00A94875">
        <w:rPr>
          <w:rFonts w:asciiTheme="majorBidi" w:hAnsiTheme="majorBidi" w:cstheme="majorBidi"/>
          <w:sz w:val="24"/>
          <w:szCs w:val="24"/>
          <w:lang w:val="en-GB"/>
        </w:rPr>
        <w:t>Telekommunikation</w:t>
      </w:r>
      <w:proofErr w:type="spellEnd"/>
      <w:r w:rsidRPr="00A94875">
        <w:rPr>
          <w:rFonts w:asciiTheme="majorBidi" w:hAnsiTheme="majorBidi" w:cstheme="majorBidi"/>
          <w:sz w:val="24"/>
          <w:szCs w:val="24"/>
          <w:lang w:val="en-GB"/>
        </w:rPr>
        <w:t xml:space="preserve"> GmbH, Germany (1 UIFN)</w:t>
      </w:r>
    </w:p>
    <w:p w14:paraId="7629FAB8" w14:textId="77777777" w:rsidR="006944F8" w:rsidRPr="00A94875" w:rsidRDefault="006944F8" w:rsidP="009261B2">
      <w:pPr>
        <w:pStyle w:val="ListParagraph"/>
        <w:numPr>
          <w:ilvl w:val="0"/>
          <w:numId w:val="51"/>
        </w:numPr>
        <w:snapToGrid w:val="0"/>
        <w:spacing w:before="12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ABS - </w:t>
      </w:r>
      <w:proofErr w:type="spellStart"/>
      <w:r w:rsidRPr="00A94875">
        <w:rPr>
          <w:rFonts w:asciiTheme="majorBidi" w:hAnsiTheme="majorBidi" w:cstheme="majorBidi"/>
          <w:sz w:val="24"/>
          <w:szCs w:val="24"/>
          <w:lang w:val="en-GB"/>
        </w:rPr>
        <w:t>Inclarity</w:t>
      </w:r>
      <w:proofErr w:type="spellEnd"/>
      <w:r w:rsidRPr="00A94875">
        <w:rPr>
          <w:rFonts w:asciiTheme="majorBidi" w:hAnsiTheme="majorBidi" w:cstheme="majorBidi"/>
          <w:sz w:val="24"/>
          <w:szCs w:val="24"/>
          <w:lang w:val="en-GB"/>
        </w:rPr>
        <w:t xml:space="preserve"> PLC, UK (9 UIFN)</w:t>
      </w:r>
    </w:p>
    <w:p w14:paraId="43844FC4" w14:textId="77777777" w:rsidR="006944F8" w:rsidRPr="00155D7A" w:rsidRDefault="006944F8" w:rsidP="009261B2">
      <w:pPr>
        <w:pStyle w:val="ListParagraph"/>
        <w:numPr>
          <w:ilvl w:val="0"/>
          <w:numId w:val="51"/>
        </w:numPr>
        <w:snapToGrid w:val="0"/>
        <w:spacing w:before="120"/>
        <w:rPr>
          <w:rFonts w:asciiTheme="majorBidi" w:hAnsiTheme="majorBidi" w:cstheme="majorBidi"/>
          <w:sz w:val="24"/>
          <w:szCs w:val="24"/>
          <w:lang w:val="es-ES"/>
        </w:rPr>
      </w:pPr>
      <w:r w:rsidRPr="00155D7A">
        <w:rPr>
          <w:rFonts w:asciiTheme="majorBidi" w:hAnsiTheme="majorBidi" w:cstheme="majorBidi"/>
          <w:sz w:val="24"/>
          <w:szCs w:val="24"/>
          <w:lang w:val="es-ES"/>
        </w:rPr>
        <w:t xml:space="preserve">STRADA - </w:t>
      </w:r>
      <w:proofErr w:type="spellStart"/>
      <w:r w:rsidRPr="00155D7A">
        <w:rPr>
          <w:rFonts w:asciiTheme="majorBidi" w:hAnsiTheme="majorBidi" w:cstheme="majorBidi"/>
          <w:sz w:val="24"/>
          <w:szCs w:val="24"/>
          <w:lang w:val="es-ES"/>
        </w:rPr>
        <w:t>Infostrada</w:t>
      </w:r>
      <w:proofErr w:type="spellEnd"/>
      <w:r w:rsidRPr="00155D7A">
        <w:rPr>
          <w:rFonts w:asciiTheme="majorBidi" w:hAnsiTheme="majorBidi" w:cstheme="majorBidi"/>
          <w:sz w:val="24"/>
          <w:szCs w:val="24"/>
          <w:lang w:val="es-ES"/>
        </w:rPr>
        <w:t xml:space="preserve"> </w:t>
      </w:r>
      <w:proofErr w:type="spellStart"/>
      <w:r w:rsidRPr="00155D7A">
        <w:rPr>
          <w:rFonts w:asciiTheme="majorBidi" w:hAnsiTheme="majorBidi" w:cstheme="majorBidi"/>
          <w:sz w:val="24"/>
          <w:szCs w:val="24"/>
          <w:lang w:val="es-ES"/>
        </w:rPr>
        <w:t>S.p.A</w:t>
      </w:r>
      <w:proofErr w:type="spellEnd"/>
      <w:r w:rsidRPr="00155D7A">
        <w:rPr>
          <w:rFonts w:asciiTheme="majorBidi" w:hAnsiTheme="majorBidi" w:cstheme="majorBidi"/>
          <w:sz w:val="24"/>
          <w:szCs w:val="24"/>
          <w:lang w:val="es-ES"/>
        </w:rPr>
        <w:t xml:space="preserve">., </w:t>
      </w:r>
      <w:proofErr w:type="spellStart"/>
      <w:r w:rsidRPr="00155D7A">
        <w:rPr>
          <w:rFonts w:asciiTheme="majorBidi" w:hAnsiTheme="majorBidi" w:cstheme="majorBidi"/>
          <w:sz w:val="24"/>
          <w:szCs w:val="24"/>
          <w:lang w:val="es-ES"/>
        </w:rPr>
        <w:t>Italy</w:t>
      </w:r>
      <w:proofErr w:type="spellEnd"/>
      <w:r w:rsidRPr="00155D7A">
        <w:rPr>
          <w:rFonts w:asciiTheme="majorBidi" w:hAnsiTheme="majorBidi" w:cstheme="majorBidi"/>
          <w:sz w:val="24"/>
          <w:szCs w:val="24"/>
          <w:lang w:val="es-ES"/>
        </w:rPr>
        <w:t xml:space="preserve"> (2 UIFN)</w:t>
      </w:r>
    </w:p>
    <w:p w14:paraId="45F4F3D6" w14:textId="77777777" w:rsidR="006944F8" w:rsidRPr="00A94875" w:rsidRDefault="006944F8" w:rsidP="009261B2">
      <w:pPr>
        <w:pStyle w:val="ListParagraph"/>
        <w:numPr>
          <w:ilvl w:val="0"/>
          <w:numId w:val="51"/>
        </w:numPr>
        <w:snapToGrid w:val="0"/>
        <w:spacing w:before="12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IRT - </w:t>
      </w:r>
      <w:proofErr w:type="spellStart"/>
      <w:r w:rsidRPr="00A94875">
        <w:rPr>
          <w:rFonts w:asciiTheme="majorBidi" w:hAnsiTheme="majorBidi" w:cstheme="majorBidi"/>
          <w:sz w:val="24"/>
          <w:szCs w:val="24"/>
          <w:lang w:val="en-GB"/>
        </w:rPr>
        <w:t>Interoute</w:t>
      </w:r>
      <w:proofErr w:type="spellEnd"/>
      <w:r w:rsidRPr="00A94875">
        <w:rPr>
          <w:rFonts w:asciiTheme="majorBidi" w:hAnsiTheme="majorBidi" w:cstheme="majorBidi"/>
          <w:sz w:val="24"/>
          <w:szCs w:val="24"/>
          <w:lang w:val="en-GB"/>
        </w:rPr>
        <w:t xml:space="preserve"> Belgium NV, Belgium (1 UIFN)</w:t>
      </w:r>
    </w:p>
    <w:p w14:paraId="613B2637" w14:textId="77777777" w:rsidR="006944F8" w:rsidRPr="00A94875" w:rsidRDefault="006944F8" w:rsidP="009261B2">
      <w:pPr>
        <w:pStyle w:val="ListParagraph"/>
        <w:numPr>
          <w:ilvl w:val="0"/>
          <w:numId w:val="51"/>
        </w:numPr>
        <w:snapToGrid w:val="0"/>
        <w:spacing w:before="120"/>
        <w:rPr>
          <w:rFonts w:asciiTheme="majorBidi" w:hAnsiTheme="majorBidi" w:cstheme="majorBidi"/>
          <w:sz w:val="24"/>
          <w:szCs w:val="24"/>
          <w:lang w:val="en-GB"/>
        </w:rPr>
      </w:pPr>
      <w:r w:rsidRPr="00A94875">
        <w:rPr>
          <w:rFonts w:asciiTheme="majorBidi" w:hAnsiTheme="majorBidi" w:cstheme="majorBidi"/>
          <w:sz w:val="24"/>
          <w:szCs w:val="24"/>
          <w:lang w:val="en-GB"/>
        </w:rPr>
        <w:t>ITAUT - IT-Austria GmbH, Austria (3 UIFN)</w:t>
      </w:r>
    </w:p>
    <w:p w14:paraId="35360524" w14:textId="77777777" w:rsidR="006944F8" w:rsidRPr="00A94875" w:rsidRDefault="006944F8" w:rsidP="009261B2">
      <w:pPr>
        <w:pStyle w:val="ListParagraph"/>
        <w:numPr>
          <w:ilvl w:val="0"/>
          <w:numId w:val="51"/>
        </w:numPr>
        <w:snapToGrid w:val="0"/>
        <w:spacing w:before="12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NETZ - </w:t>
      </w:r>
      <w:proofErr w:type="spellStart"/>
      <w:r w:rsidRPr="00A94875">
        <w:rPr>
          <w:rFonts w:asciiTheme="majorBidi" w:hAnsiTheme="majorBidi" w:cstheme="majorBidi"/>
          <w:sz w:val="24"/>
          <w:szCs w:val="24"/>
          <w:lang w:val="en-GB"/>
        </w:rPr>
        <w:t>Netzquadrat</w:t>
      </w:r>
      <w:proofErr w:type="spellEnd"/>
      <w:r w:rsidRPr="00A94875">
        <w:rPr>
          <w:rFonts w:asciiTheme="majorBidi" w:hAnsiTheme="majorBidi" w:cstheme="majorBidi"/>
          <w:sz w:val="24"/>
          <w:szCs w:val="24"/>
          <w:lang w:val="en-GB"/>
        </w:rPr>
        <w:t xml:space="preserve"> GmbH, Germany (2 UIFN)</w:t>
      </w:r>
    </w:p>
    <w:p w14:paraId="747004E6" w14:textId="77777777" w:rsidR="006944F8" w:rsidRPr="00A94875" w:rsidRDefault="006944F8" w:rsidP="009261B2">
      <w:pPr>
        <w:pStyle w:val="ListParagraph"/>
        <w:numPr>
          <w:ilvl w:val="0"/>
          <w:numId w:val="51"/>
        </w:numPr>
        <w:snapToGrid w:val="0"/>
        <w:spacing w:before="120"/>
        <w:rPr>
          <w:rFonts w:asciiTheme="majorBidi" w:hAnsiTheme="majorBidi" w:cstheme="majorBidi"/>
          <w:sz w:val="24"/>
          <w:szCs w:val="24"/>
          <w:lang w:val="en-GB"/>
        </w:rPr>
      </w:pPr>
      <w:r w:rsidRPr="00A94875">
        <w:rPr>
          <w:rFonts w:asciiTheme="majorBidi" w:hAnsiTheme="majorBidi" w:cstheme="majorBidi"/>
          <w:sz w:val="24"/>
          <w:szCs w:val="24"/>
          <w:lang w:val="en-GB"/>
        </w:rPr>
        <w:t>RSLUK - RSL Communications Ltd, UK (50 UIFN)</w:t>
      </w:r>
    </w:p>
    <w:p w14:paraId="0878EF0F" w14:textId="77777777" w:rsidR="006944F8" w:rsidRPr="00A94875" w:rsidRDefault="006944F8" w:rsidP="009261B2">
      <w:pPr>
        <w:pStyle w:val="ListParagraph"/>
        <w:numPr>
          <w:ilvl w:val="0"/>
          <w:numId w:val="51"/>
        </w:numPr>
        <w:snapToGrid w:val="0"/>
        <w:spacing w:before="12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CTS - </w:t>
      </w:r>
      <w:proofErr w:type="spellStart"/>
      <w:r w:rsidRPr="00A94875">
        <w:rPr>
          <w:rFonts w:asciiTheme="majorBidi" w:hAnsiTheme="majorBidi" w:cstheme="majorBidi"/>
          <w:sz w:val="24"/>
          <w:szCs w:val="24"/>
          <w:lang w:val="en-GB"/>
        </w:rPr>
        <w:t>WorldXchange</w:t>
      </w:r>
      <w:proofErr w:type="spellEnd"/>
      <w:r w:rsidRPr="00A94875">
        <w:rPr>
          <w:rFonts w:asciiTheme="majorBidi" w:hAnsiTheme="majorBidi" w:cstheme="majorBidi"/>
          <w:sz w:val="24"/>
          <w:szCs w:val="24"/>
          <w:lang w:val="en-GB"/>
        </w:rPr>
        <w:t xml:space="preserve"> Communications, USA (10 UIFN)</w:t>
      </w:r>
    </w:p>
    <w:p w14:paraId="2277BD89" w14:textId="77777777" w:rsidR="006944F8" w:rsidRPr="00A94875" w:rsidRDefault="006944F8" w:rsidP="009261B2">
      <w:pPr>
        <w:pStyle w:val="ListParagraph"/>
        <w:numPr>
          <w:ilvl w:val="0"/>
          <w:numId w:val="51"/>
        </w:numPr>
        <w:snapToGrid w:val="0"/>
        <w:spacing w:before="12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DTMS – </w:t>
      </w:r>
      <w:proofErr w:type="spellStart"/>
      <w:r w:rsidRPr="00A94875">
        <w:rPr>
          <w:rFonts w:asciiTheme="majorBidi" w:hAnsiTheme="majorBidi" w:cstheme="majorBidi"/>
          <w:sz w:val="24"/>
          <w:szCs w:val="24"/>
          <w:lang w:val="en-GB"/>
        </w:rPr>
        <w:t>dtms</w:t>
      </w:r>
      <w:proofErr w:type="spellEnd"/>
      <w:r w:rsidRPr="00A94875">
        <w:rPr>
          <w:rFonts w:asciiTheme="majorBidi" w:hAnsiTheme="majorBidi" w:cstheme="majorBidi"/>
          <w:sz w:val="24"/>
          <w:szCs w:val="24"/>
          <w:lang w:val="en-GB"/>
        </w:rPr>
        <w:t xml:space="preserve"> </w:t>
      </w:r>
      <w:proofErr w:type="spellStart"/>
      <w:r w:rsidRPr="00A94875">
        <w:rPr>
          <w:rFonts w:asciiTheme="majorBidi" w:hAnsiTheme="majorBidi" w:cstheme="majorBidi"/>
          <w:sz w:val="24"/>
          <w:szCs w:val="24"/>
          <w:lang w:val="en-GB"/>
        </w:rPr>
        <w:t>gmbh</w:t>
      </w:r>
      <w:proofErr w:type="spellEnd"/>
      <w:r w:rsidRPr="00A94875">
        <w:rPr>
          <w:rFonts w:asciiTheme="majorBidi" w:hAnsiTheme="majorBidi" w:cstheme="majorBidi"/>
          <w:sz w:val="24"/>
          <w:szCs w:val="24"/>
          <w:lang w:val="en-GB"/>
        </w:rPr>
        <w:t>, Germany (1 UIFN)</w:t>
      </w:r>
    </w:p>
    <w:p w14:paraId="66AEF541" w14:textId="5D66D1AC" w:rsidR="006944F8" w:rsidRPr="00A94875" w:rsidRDefault="0033393D" w:rsidP="0033393D">
      <w:pPr>
        <w:spacing w:after="120"/>
        <w:rPr>
          <w:rFonts w:asciiTheme="majorBidi" w:hAnsiTheme="majorBidi" w:cstheme="majorBidi"/>
          <w:szCs w:val="24"/>
          <w:lang w:val="en-GB"/>
        </w:rPr>
      </w:pPr>
      <w:r w:rsidRPr="00A94875">
        <w:rPr>
          <w:rFonts w:asciiTheme="majorBidi" w:hAnsiTheme="majorBidi" w:cstheme="majorBidi"/>
          <w:szCs w:val="24"/>
          <w:lang w:val="en-GB"/>
        </w:rPr>
        <w:t>Of the</w:t>
      </w:r>
      <w:r w:rsidR="006944F8" w:rsidRPr="00A94875">
        <w:rPr>
          <w:rFonts w:asciiTheme="majorBidi" w:hAnsiTheme="majorBidi" w:cstheme="majorBidi"/>
          <w:szCs w:val="24"/>
          <w:lang w:val="en-GB"/>
        </w:rPr>
        <w:t xml:space="preserve"> 813 </w:t>
      </w:r>
      <w:r w:rsidRPr="00A94875">
        <w:rPr>
          <w:rFonts w:asciiTheme="majorBidi" w:hAnsiTheme="majorBidi" w:cstheme="majorBidi"/>
          <w:szCs w:val="24"/>
          <w:lang w:val="en-GB"/>
        </w:rPr>
        <w:t xml:space="preserve">registered </w:t>
      </w:r>
      <w:r w:rsidR="006944F8" w:rsidRPr="00A94875">
        <w:rPr>
          <w:rFonts w:asciiTheme="majorBidi" w:hAnsiTheme="majorBidi" w:cstheme="majorBidi"/>
          <w:szCs w:val="24"/>
          <w:lang w:val="en-GB"/>
        </w:rPr>
        <w:t xml:space="preserve">IINs, 20 </w:t>
      </w:r>
      <w:proofErr w:type="gramStart"/>
      <w:r w:rsidRPr="00A94875">
        <w:rPr>
          <w:rFonts w:asciiTheme="majorBidi" w:hAnsiTheme="majorBidi" w:cstheme="majorBidi"/>
          <w:szCs w:val="24"/>
          <w:lang w:val="en-GB"/>
        </w:rPr>
        <w:t xml:space="preserve">were </w:t>
      </w:r>
      <w:r w:rsidR="006944F8" w:rsidRPr="00A94875">
        <w:rPr>
          <w:rFonts w:asciiTheme="majorBidi" w:hAnsiTheme="majorBidi" w:cstheme="majorBidi"/>
          <w:szCs w:val="24"/>
          <w:lang w:val="en-GB"/>
        </w:rPr>
        <w:t>registered</w:t>
      </w:r>
      <w:proofErr w:type="gramEnd"/>
      <w:r w:rsidRPr="00A94875">
        <w:rPr>
          <w:rFonts w:asciiTheme="majorBidi" w:hAnsiTheme="majorBidi" w:cstheme="majorBidi"/>
          <w:szCs w:val="24"/>
          <w:lang w:val="en-GB"/>
        </w:rPr>
        <w:t xml:space="preserve"> in the reporting period</w:t>
      </w:r>
      <w:r w:rsidR="006944F8" w:rsidRPr="00A94875">
        <w:rPr>
          <w:rFonts w:asciiTheme="majorBidi" w:hAnsiTheme="majorBidi" w:cstheme="majorBidi"/>
          <w:szCs w:val="24"/>
          <w:lang w:val="en-GB"/>
        </w:rPr>
        <w:t xml:space="preserve">; 168 IINs </w:t>
      </w:r>
      <w:proofErr w:type="spellStart"/>
      <w:r w:rsidRPr="00A94875">
        <w:rPr>
          <w:rFonts w:asciiTheme="majorBidi" w:hAnsiTheme="majorBidi" w:cstheme="majorBidi"/>
          <w:szCs w:val="24"/>
          <w:lang w:val="en-GB"/>
        </w:rPr>
        <w:t>were</w:t>
      </w:r>
      <w:r w:rsidR="006944F8" w:rsidRPr="00A94875">
        <w:rPr>
          <w:rFonts w:asciiTheme="majorBidi" w:hAnsiTheme="majorBidi" w:cstheme="majorBidi"/>
          <w:szCs w:val="24"/>
          <w:lang w:val="en-GB"/>
        </w:rPr>
        <w:t>updated</w:t>
      </w:r>
      <w:proofErr w:type="spellEnd"/>
      <w:r w:rsidR="006944F8" w:rsidRPr="00A94875">
        <w:rPr>
          <w:rFonts w:asciiTheme="majorBidi" w:hAnsiTheme="majorBidi" w:cstheme="majorBidi"/>
          <w:szCs w:val="24"/>
          <w:lang w:val="en-GB"/>
        </w:rPr>
        <w:t xml:space="preserve">; </w:t>
      </w:r>
      <w:r w:rsidRPr="00A94875">
        <w:rPr>
          <w:rFonts w:asciiTheme="majorBidi" w:hAnsiTheme="majorBidi" w:cstheme="majorBidi"/>
          <w:szCs w:val="24"/>
          <w:lang w:val="en-GB"/>
        </w:rPr>
        <w:t xml:space="preserve">and </w:t>
      </w:r>
      <w:r w:rsidR="006944F8" w:rsidRPr="00A94875">
        <w:rPr>
          <w:rFonts w:asciiTheme="majorBidi" w:hAnsiTheme="majorBidi" w:cstheme="majorBidi"/>
          <w:szCs w:val="24"/>
          <w:lang w:val="en-GB"/>
        </w:rPr>
        <w:t xml:space="preserve">25 IINs </w:t>
      </w:r>
      <w:r w:rsidRPr="00A94875">
        <w:rPr>
          <w:rFonts w:asciiTheme="majorBidi" w:hAnsiTheme="majorBidi" w:cstheme="majorBidi"/>
          <w:szCs w:val="24"/>
          <w:lang w:val="en-GB"/>
        </w:rPr>
        <w:t xml:space="preserve">were </w:t>
      </w:r>
      <w:r w:rsidR="006944F8" w:rsidRPr="00A94875">
        <w:rPr>
          <w:rFonts w:asciiTheme="majorBidi" w:hAnsiTheme="majorBidi" w:cstheme="majorBidi"/>
          <w:szCs w:val="24"/>
          <w:lang w:val="en-GB"/>
        </w:rPr>
        <w:t xml:space="preserve">withdrawn. These updates </w:t>
      </w:r>
      <w:proofErr w:type="gramStart"/>
      <w:r w:rsidR="006944F8" w:rsidRPr="00A94875">
        <w:rPr>
          <w:rFonts w:asciiTheme="majorBidi" w:hAnsiTheme="majorBidi" w:cstheme="majorBidi"/>
          <w:szCs w:val="24"/>
          <w:lang w:val="en-GB"/>
        </w:rPr>
        <w:t>have all been published</w:t>
      </w:r>
      <w:proofErr w:type="gramEnd"/>
      <w:r w:rsidR="006944F8" w:rsidRPr="00A94875">
        <w:rPr>
          <w:rFonts w:asciiTheme="majorBidi" w:hAnsiTheme="majorBidi" w:cstheme="majorBidi"/>
          <w:szCs w:val="24"/>
          <w:lang w:val="en-GB"/>
        </w:rPr>
        <w:t xml:space="preserve"> in ITU Operational Bulletin. </w:t>
      </w:r>
      <w:proofErr w:type="gramStart"/>
      <w:r w:rsidR="006944F8" w:rsidRPr="00A94875">
        <w:rPr>
          <w:rFonts w:asciiTheme="majorBidi" w:hAnsiTheme="majorBidi" w:cstheme="majorBidi"/>
          <w:szCs w:val="24"/>
          <w:lang w:val="en-GB"/>
        </w:rPr>
        <w:t>341</w:t>
      </w:r>
      <w:proofErr w:type="gramEnd"/>
      <w:r w:rsidR="006944F8" w:rsidRPr="00A94875">
        <w:rPr>
          <w:rFonts w:asciiTheme="majorBidi" w:hAnsiTheme="majorBidi" w:cstheme="majorBidi"/>
          <w:szCs w:val="24"/>
          <w:lang w:val="en-GB"/>
        </w:rPr>
        <w:t xml:space="preserve"> IINs are now undergoing review.</w:t>
      </w:r>
    </w:p>
    <w:p w14:paraId="61039933" w14:textId="649A3046" w:rsidR="006944F8" w:rsidRPr="00A94875" w:rsidRDefault="006944F8" w:rsidP="006944F8">
      <w:pPr>
        <w:pStyle w:val="NormalWeb"/>
        <w:spacing w:before="120" w:beforeAutospacing="0" w:after="120" w:afterAutospacing="0"/>
        <w:rPr>
          <w:rFonts w:ascii="Times New Roman" w:eastAsia="SimSun" w:hAnsi="Times New Roman"/>
          <w:lang w:val="en-GB"/>
        </w:rPr>
      </w:pPr>
      <w:proofErr w:type="gramStart"/>
      <w:r w:rsidRPr="00A94875">
        <w:rPr>
          <w:rFonts w:ascii="Times New Roman" w:eastAsia="SimSun" w:hAnsi="Times New Roman"/>
          <w:lang w:val="en-GB"/>
        </w:rPr>
        <w:t xml:space="preserve">The </w:t>
      </w:r>
      <w:r w:rsidR="0033393D" w:rsidRPr="00A94875">
        <w:rPr>
          <w:rFonts w:ascii="Times New Roman" w:eastAsia="SimSun" w:hAnsi="Times New Roman"/>
          <w:lang w:val="en-GB"/>
        </w:rPr>
        <w:t>r</w:t>
      </w:r>
      <w:r w:rsidRPr="00A94875">
        <w:rPr>
          <w:rFonts w:ascii="Times New Roman" w:eastAsia="SimSun" w:hAnsi="Times New Roman"/>
          <w:lang w:val="en-GB"/>
        </w:rPr>
        <w:t xml:space="preserve">ecommendation below was approved by </w:t>
      </w:r>
      <w:r w:rsidR="0033393D" w:rsidRPr="00A94875">
        <w:rPr>
          <w:rFonts w:ascii="Times New Roman" w:eastAsia="SimSun" w:hAnsi="Times New Roman"/>
          <w:lang w:val="en-GB"/>
        </w:rPr>
        <w:t xml:space="preserve">ITU </w:t>
      </w:r>
      <w:r w:rsidRPr="00A94875">
        <w:rPr>
          <w:rFonts w:ascii="Times New Roman" w:eastAsia="SimSun" w:hAnsi="Times New Roman"/>
          <w:lang w:val="en-GB"/>
        </w:rPr>
        <w:t>Council</w:t>
      </w:r>
      <w:proofErr w:type="gramEnd"/>
      <w:r w:rsidRPr="00A94875">
        <w:rPr>
          <w:rFonts w:ascii="Times New Roman" w:eastAsia="SimSun" w:hAnsi="Times New Roman"/>
          <w:lang w:val="en-GB"/>
        </w:rPr>
        <w:t xml:space="preserve"> at its 2018 session (Annex A to the document </w:t>
      </w:r>
      <w:hyperlink r:id="rId134" w:history="1">
        <w:r w:rsidRPr="00A94875">
          <w:rPr>
            <w:rStyle w:val="Hyperlink"/>
            <w:rFonts w:ascii="Times New Roman" w:eastAsia="SimSun" w:hAnsi="Times New Roman"/>
            <w:lang w:val="en-GB"/>
          </w:rPr>
          <w:t>C18/121</w:t>
        </w:r>
      </w:hyperlink>
      <w:r w:rsidRPr="00A94875">
        <w:rPr>
          <w:rFonts w:ascii="Times New Roman" w:eastAsia="SimSun" w:hAnsi="Times New Roman"/>
          <w:lang w:val="en-GB"/>
        </w:rPr>
        <w:t xml:space="preserve">). </w:t>
      </w:r>
      <w:r w:rsidRPr="00A94875">
        <w:rPr>
          <w:rFonts w:asciiTheme="majorBidi" w:eastAsia="SimSun" w:hAnsiTheme="majorBidi" w:cstheme="majorBidi"/>
          <w:lang w:val="en-GB"/>
        </w:rPr>
        <w:t>“</w:t>
      </w:r>
      <w:r w:rsidRPr="00A94875">
        <w:rPr>
          <w:rFonts w:ascii="Times New Roman" w:eastAsia="SimSun" w:hAnsi="Times New Roman"/>
          <w:lang w:val="en-GB"/>
        </w:rPr>
        <w:t xml:space="preserve">The Committee recommends that the Council take note of the first proposal in Document </w:t>
      </w:r>
      <w:hyperlink r:id="rId135" w:history="1">
        <w:r w:rsidRPr="00A94875">
          <w:rPr>
            <w:rStyle w:val="Hyperlink"/>
            <w:rFonts w:ascii="Times New Roman" w:eastAsia="SimSun" w:hAnsi="Times New Roman"/>
            <w:lang w:val="en-GB"/>
          </w:rPr>
          <w:t>C18/100</w:t>
        </w:r>
      </w:hyperlink>
      <w:r w:rsidRPr="00A94875">
        <w:rPr>
          <w:rFonts w:ascii="Times New Roman" w:eastAsia="SimSun" w:hAnsi="Times New Roman"/>
          <w:lang w:val="en-GB"/>
        </w:rPr>
        <w:t>:</w:t>
      </w:r>
    </w:p>
    <w:p w14:paraId="62192A84" w14:textId="77777777" w:rsidR="006944F8" w:rsidRPr="00A94875" w:rsidRDefault="006944F8" w:rsidP="006944F8">
      <w:pPr>
        <w:keepNext/>
        <w:keepLines/>
        <w:ind w:left="590" w:hanging="567"/>
        <w:rPr>
          <w:rFonts w:asciiTheme="majorBidi" w:eastAsia="SimSun" w:hAnsiTheme="majorBidi" w:cstheme="majorBidi"/>
          <w:i/>
          <w:iCs/>
          <w:lang w:val="en-GB"/>
        </w:rPr>
      </w:pPr>
      <w:r w:rsidRPr="00A94875">
        <w:rPr>
          <w:rFonts w:asciiTheme="majorBidi" w:eastAsia="SimSun" w:hAnsiTheme="majorBidi" w:cstheme="majorBidi"/>
          <w:i/>
          <w:iCs/>
          <w:lang w:val="en-GB"/>
        </w:rPr>
        <w:tab/>
        <w:t xml:space="preserve">National Administrations/regulators </w:t>
      </w:r>
      <w:proofErr w:type="gramStart"/>
      <w:r w:rsidRPr="00A94875">
        <w:rPr>
          <w:rFonts w:asciiTheme="majorBidi" w:eastAsia="SimSun" w:hAnsiTheme="majorBidi" w:cstheme="majorBidi"/>
          <w:i/>
          <w:iCs/>
          <w:lang w:val="en-GB"/>
        </w:rPr>
        <w:t>are invited</w:t>
      </w:r>
      <w:proofErr w:type="gramEnd"/>
      <w:r w:rsidRPr="00A94875">
        <w:rPr>
          <w:rFonts w:asciiTheme="majorBidi" w:eastAsia="SimSun" w:hAnsiTheme="majorBidi" w:cstheme="majorBidi"/>
          <w:i/>
          <w:iCs/>
          <w:lang w:val="en-GB"/>
        </w:rPr>
        <w:t xml:space="preserve"> to provide a focal point for providing or investigating up-to-date contacts for UIFN service providers (</w:t>
      </w:r>
      <w:proofErr w:type="spellStart"/>
      <w:r w:rsidRPr="00A94875">
        <w:rPr>
          <w:rFonts w:asciiTheme="majorBidi" w:eastAsia="SimSun" w:hAnsiTheme="majorBidi" w:cstheme="majorBidi"/>
          <w:i/>
          <w:iCs/>
          <w:lang w:val="en-GB"/>
        </w:rPr>
        <w:t>RoAs</w:t>
      </w:r>
      <w:proofErr w:type="spellEnd"/>
      <w:r w:rsidRPr="00A94875">
        <w:rPr>
          <w:rFonts w:asciiTheme="majorBidi" w:eastAsia="SimSun" w:hAnsiTheme="majorBidi" w:cstheme="majorBidi"/>
          <w:i/>
          <w:iCs/>
          <w:lang w:val="en-GB"/>
        </w:rPr>
        <w:t>) and the assignees of IINs.</w:t>
      </w:r>
    </w:p>
    <w:p w14:paraId="7A8106DB" w14:textId="77777777" w:rsidR="006944F8" w:rsidRPr="00A94875" w:rsidRDefault="006944F8" w:rsidP="006944F8">
      <w:pPr>
        <w:keepNext/>
        <w:keepLines/>
        <w:tabs>
          <w:tab w:val="left" w:pos="842"/>
        </w:tabs>
        <w:rPr>
          <w:rFonts w:asciiTheme="majorBidi" w:eastAsia="SimSun" w:hAnsiTheme="majorBidi" w:cstheme="majorBidi"/>
          <w:lang w:val="en-GB"/>
        </w:rPr>
      </w:pPr>
      <w:r w:rsidRPr="00A94875">
        <w:rPr>
          <w:rFonts w:asciiTheme="majorBidi" w:eastAsia="SimSun" w:hAnsiTheme="majorBidi" w:cstheme="majorBidi"/>
          <w:lang w:val="en-GB"/>
        </w:rPr>
        <w:t>The Committee recommends that the Council approve the revised second proposal in Document C18/100:</w:t>
      </w:r>
    </w:p>
    <w:p w14:paraId="42F0F7E5" w14:textId="77777777" w:rsidR="006944F8" w:rsidRPr="00A94875" w:rsidRDefault="006944F8" w:rsidP="006944F8">
      <w:pPr>
        <w:keepNext/>
        <w:keepLines/>
        <w:ind w:left="590" w:hanging="567"/>
        <w:rPr>
          <w:rFonts w:asciiTheme="majorBidi" w:eastAsia="SimSun" w:hAnsiTheme="majorBidi" w:cstheme="majorBidi"/>
          <w:lang w:val="en-GB"/>
        </w:rPr>
      </w:pPr>
      <w:r w:rsidRPr="00A94875">
        <w:rPr>
          <w:rFonts w:asciiTheme="majorBidi" w:eastAsia="SimSun" w:hAnsiTheme="majorBidi" w:cstheme="majorBidi"/>
          <w:i/>
          <w:iCs/>
          <w:lang w:val="en-GB"/>
        </w:rPr>
        <w:tab/>
        <w:t xml:space="preserve">For Entities for which national Administrations/regulators have lost contact and for which no contacts </w:t>
      </w:r>
      <w:proofErr w:type="gramStart"/>
      <w:r w:rsidRPr="00A94875">
        <w:rPr>
          <w:rFonts w:asciiTheme="majorBidi" w:eastAsia="SimSun" w:hAnsiTheme="majorBidi" w:cstheme="majorBidi"/>
          <w:i/>
          <w:iCs/>
          <w:lang w:val="en-GB"/>
        </w:rPr>
        <w:t>could be found</w:t>
      </w:r>
      <w:proofErr w:type="gramEnd"/>
      <w:r w:rsidRPr="00A94875">
        <w:rPr>
          <w:rFonts w:asciiTheme="majorBidi" w:eastAsia="SimSun" w:hAnsiTheme="majorBidi" w:cstheme="majorBidi"/>
          <w:i/>
          <w:iCs/>
          <w:lang w:val="en-GB"/>
        </w:rPr>
        <w:t xml:space="preserve"> by the end of Council 2019, all records relevant to these entities will be removed from the ITU database based on confirmations/notifications from national Administrations/regulators.</w:t>
      </w:r>
    </w:p>
    <w:p w14:paraId="3162DB3E" w14:textId="77777777" w:rsidR="006944F8" w:rsidRPr="00A94875" w:rsidRDefault="006944F8" w:rsidP="006944F8">
      <w:pPr>
        <w:snapToGrid w:val="0"/>
        <w:rPr>
          <w:rFonts w:asciiTheme="majorBidi" w:eastAsia="SimSun" w:hAnsiTheme="majorBidi" w:cstheme="majorBidi"/>
          <w:lang w:val="en-GB"/>
        </w:rPr>
      </w:pPr>
      <w:r w:rsidRPr="00A94875">
        <w:rPr>
          <w:rFonts w:asciiTheme="majorBidi" w:eastAsia="SimSun" w:hAnsiTheme="majorBidi" w:cstheme="majorBidi"/>
          <w:lang w:val="en-GB"/>
        </w:rPr>
        <w:t>The Committee recommends that the Council instruct the secretariat, as an interim step, to undertake consultations with national administrations in order to submit a report on the status of those consultations to CWG-FHR.”</w:t>
      </w:r>
    </w:p>
    <w:p w14:paraId="3881A534" w14:textId="0A3AE013" w:rsidR="006944F8" w:rsidRPr="00A94875" w:rsidRDefault="006944F8" w:rsidP="0033393D">
      <w:pPr>
        <w:spacing w:after="120"/>
        <w:rPr>
          <w:rFonts w:asciiTheme="majorBidi" w:hAnsiTheme="majorBidi" w:cstheme="majorBidi"/>
          <w:szCs w:val="24"/>
          <w:lang w:val="en-GB"/>
        </w:rPr>
      </w:pPr>
      <w:r w:rsidRPr="00A94875">
        <w:rPr>
          <w:rFonts w:asciiTheme="majorBidi" w:hAnsiTheme="majorBidi" w:cstheme="majorBidi"/>
          <w:szCs w:val="24"/>
          <w:lang w:val="en-GB"/>
        </w:rPr>
        <w:t xml:space="preserve">TSB has been investigating the contacts of the unreachable UIFN Service Providers and IIN assignees and over </w:t>
      </w:r>
      <w:r w:rsidR="0033393D" w:rsidRPr="00A94875">
        <w:rPr>
          <w:rFonts w:asciiTheme="majorBidi" w:hAnsiTheme="majorBidi" w:cstheme="majorBidi"/>
          <w:szCs w:val="24"/>
          <w:lang w:val="en-GB"/>
        </w:rPr>
        <w:t xml:space="preserve">100 </w:t>
      </w:r>
      <w:r w:rsidRPr="00A94875">
        <w:rPr>
          <w:rFonts w:asciiTheme="majorBidi" w:hAnsiTheme="majorBidi" w:cstheme="majorBidi"/>
          <w:szCs w:val="24"/>
          <w:lang w:val="en-GB"/>
        </w:rPr>
        <w:t>national Admin</w:t>
      </w:r>
      <w:r w:rsidR="00927739" w:rsidRPr="00A94875">
        <w:rPr>
          <w:rFonts w:asciiTheme="majorBidi" w:hAnsiTheme="majorBidi" w:cstheme="majorBidi"/>
          <w:szCs w:val="24"/>
          <w:lang w:val="en-GB"/>
        </w:rPr>
        <w:t>i</w:t>
      </w:r>
      <w:r w:rsidRPr="00A94875">
        <w:rPr>
          <w:rFonts w:asciiTheme="majorBidi" w:hAnsiTheme="majorBidi" w:cstheme="majorBidi"/>
          <w:szCs w:val="24"/>
          <w:lang w:val="en-GB"/>
        </w:rPr>
        <w:t xml:space="preserve">strations/regulators </w:t>
      </w:r>
      <w:proofErr w:type="gramStart"/>
      <w:r w:rsidRPr="00A94875">
        <w:rPr>
          <w:rFonts w:asciiTheme="majorBidi" w:hAnsiTheme="majorBidi" w:cstheme="majorBidi"/>
          <w:szCs w:val="24"/>
          <w:lang w:val="en-GB"/>
        </w:rPr>
        <w:t>have been contacted</w:t>
      </w:r>
      <w:proofErr w:type="gramEnd"/>
      <w:r w:rsidRPr="00A94875">
        <w:rPr>
          <w:rFonts w:asciiTheme="majorBidi" w:hAnsiTheme="majorBidi" w:cstheme="majorBidi"/>
          <w:szCs w:val="24"/>
          <w:lang w:val="en-GB"/>
        </w:rPr>
        <w:t>.</w:t>
      </w:r>
    </w:p>
    <w:p w14:paraId="60AB80E6" w14:textId="5D9EDCDC" w:rsidR="006944F8" w:rsidRPr="00A94875" w:rsidRDefault="006944F8" w:rsidP="0033393D">
      <w:pPr>
        <w:snapToGrid w:val="0"/>
        <w:spacing w:after="120"/>
        <w:rPr>
          <w:rFonts w:asciiTheme="majorBidi" w:eastAsia="SimSun" w:hAnsiTheme="majorBidi" w:cstheme="majorBidi"/>
          <w:color w:val="000000"/>
          <w:szCs w:val="24"/>
          <w:lang w:val="en-GB"/>
        </w:rPr>
      </w:pPr>
      <w:r w:rsidRPr="00A94875">
        <w:rPr>
          <w:rFonts w:asciiTheme="majorBidi" w:hAnsiTheme="majorBidi" w:cstheme="majorBidi"/>
          <w:szCs w:val="24"/>
          <w:lang w:val="en-GB"/>
        </w:rPr>
        <w:t xml:space="preserve">Revisions were proposed to Recommendation ITU-T E.169.1 “Application of Recommendation E.164 numbering plan for universal international </w:t>
      </w:r>
      <w:proofErr w:type="spellStart"/>
      <w:r w:rsidRPr="00A94875">
        <w:rPr>
          <w:rFonts w:asciiTheme="majorBidi" w:hAnsiTheme="majorBidi" w:cstheme="majorBidi"/>
          <w:szCs w:val="24"/>
          <w:lang w:val="en-GB"/>
        </w:rPr>
        <w:t>freephone</w:t>
      </w:r>
      <w:proofErr w:type="spellEnd"/>
      <w:r w:rsidRPr="00A94875">
        <w:rPr>
          <w:rFonts w:asciiTheme="majorBidi" w:hAnsiTheme="majorBidi" w:cstheme="majorBidi"/>
          <w:szCs w:val="24"/>
          <w:lang w:val="en-GB"/>
        </w:rPr>
        <w:t xml:space="preserve"> numbers for international </w:t>
      </w:r>
      <w:proofErr w:type="spellStart"/>
      <w:r w:rsidRPr="00A94875">
        <w:rPr>
          <w:rFonts w:asciiTheme="majorBidi" w:hAnsiTheme="majorBidi" w:cstheme="majorBidi"/>
          <w:szCs w:val="24"/>
          <w:lang w:val="en-GB"/>
        </w:rPr>
        <w:t>freephone</w:t>
      </w:r>
      <w:proofErr w:type="spellEnd"/>
      <w:r w:rsidRPr="00A94875">
        <w:rPr>
          <w:rFonts w:asciiTheme="majorBidi" w:hAnsiTheme="majorBidi" w:cstheme="majorBidi"/>
          <w:szCs w:val="24"/>
          <w:lang w:val="en-GB"/>
        </w:rPr>
        <w:t xml:space="preserve"> service” and ITU-T E.118 “The international telecommunication charge card” to reflect Council Decision 600 and 601. The draft revised ITU-T E.169.1 and Amendment1 to E.118 </w:t>
      </w:r>
      <w:r w:rsidR="0033393D" w:rsidRPr="00A94875">
        <w:rPr>
          <w:rFonts w:asciiTheme="majorBidi" w:hAnsiTheme="majorBidi" w:cstheme="majorBidi"/>
          <w:szCs w:val="24"/>
          <w:lang w:val="en-GB"/>
        </w:rPr>
        <w:t xml:space="preserve">achieved ITU members’ first-stage approval (‘determination’) in </w:t>
      </w:r>
      <w:r w:rsidRPr="00A94875">
        <w:rPr>
          <w:rFonts w:asciiTheme="majorBidi" w:hAnsiTheme="majorBidi" w:cstheme="majorBidi"/>
          <w:szCs w:val="24"/>
          <w:lang w:val="en-GB"/>
        </w:rPr>
        <w:t>July 2018.</w:t>
      </w:r>
    </w:p>
    <w:p w14:paraId="2E7CDC8F" w14:textId="7D55D80B" w:rsidR="006944F8" w:rsidRPr="00A94875" w:rsidRDefault="006944F8" w:rsidP="00541269">
      <w:pPr>
        <w:rPr>
          <w:rFonts w:asciiTheme="majorBidi" w:hAnsiTheme="majorBidi" w:cstheme="majorBidi"/>
          <w:lang w:val="en-GB"/>
        </w:rPr>
      </w:pPr>
      <w:proofErr w:type="gramStart"/>
      <w:r w:rsidRPr="00A94875">
        <w:rPr>
          <w:rFonts w:asciiTheme="majorBidi" w:eastAsia="SimSun" w:hAnsiTheme="majorBidi" w:cstheme="majorBidi"/>
          <w:color w:val="000000"/>
          <w:lang w:val="en-GB"/>
        </w:rPr>
        <w:t>WTSA</w:t>
      </w:r>
      <w:r w:rsidR="0033393D" w:rsidRPr="00A94875">
        <w:rPr>
          <w:rFonts w:asciiTheme="majorBidi" w:eastAsia="SimSun" w:hAnsiTheme="majorBidi" w:cstheme="majorBidi"/>
          <w:color w:val="000000"/>
          <w:lang w:val="en-GB"/>
        </w:rPr>
        <w:t xml:space="preserve"> </w:t>
      </w:r>
      <w:r w:rsidRPr="00A94875">
        <w:rPr>
          <w:rFonts w:asciiTheme="majorBidi" w:eastAsia="SimSun" w:hAnsiTheme="majorBidi" w:cstheme="majorBidi"/>
          <w:color w:val="000000"/>
          <w:lang w:val="en-GB"/>
        </w:rPr>
        <w:t>Resolution 91 on “Enhancing access to an electronic repository of information on numbering plans published by the ITU Telecommunication Standardization Sector”</w:t>
      </w:r>
      <w:r w:rsidR="0033393D" w:rsidRPr="00A94875">
        <w:rPr>
          <w:rFonts w:asciiTheme="majorBidi" w:eastAsia="SimSun" w:hAnsiTheme="majorBidi" w:cstheme="majorBidi"/>
          <w:color w:val="000000"/>
          <w:lang w:val="en-GB"/>
        </w:rPr>
        <w:t xml:space="preserve">, </w:t>
      </w:r>
      <w:r w:rsidRPr="00A94875">
        <w:rPr>
          <w:rFonts w:asciiTheme="majorBidi" w:eastAsia="SimSun" w:hAnsiTheme="majorBidi" w:cstheme="majorBidi"/>
          <w:color w:val="000000"/>
          <w:lang w:val="en-GB"/>
        </w:rPr>
        <w:t xml:space="preserve"> </w:t>
      </w:r>
      <w:r w:rsidR="0033393D" w:rsidRPr="00A94875">
        <w:rPr>
          <w:rFonts w:asciiTheme="majorBidi" w:eastAsia="SimSun" w:hAnsiTheme="majorBidi" w:cstheme="majorBidi"/>
          <w:color w:val="000000"/>
          <w:lang w:val="en-GB"/>
        </w:rPr>
        <w:t xml:space="preserve">a new Resolution </w:t>
      </w:r>
      <w:r w:rsidRPr="00A94875">
        <w:rPr>
          <w:rFonts w:asciiTheme="majorBidi" w:eastAsia="SimSun" w:hAnsiTheme="majorBidi" w:cstheme="majorBidi"/>
          <w:color w:val="000000"/>
          <w:lang w:val="en-GB"/>
        </w:rPr>
        <w:t>approved by WTSA-16</w:t>
      </w:r>
      <w:r w:rsidR="0033393D" w:rsidRPr="00A94875">
        <w:rPr>
          <w:rFonts w:asciiTheme="majorBidi" w:eastAsia="SimSun" w:hAnsiTheme="majorBidi" w:cstheme="majorBidi"/>
          <w:color w:val="000000"/>
          <w:lang w:val="en-GB"/>
        </w:rPr>
        <w:t xml:space="preserve">, </w:t>
      </w:r>
      <w:r w:rsidRPr="00A94875">
        <w:rPr>
          <w:rFonts w:asciiTheme="majorBidi" w:eastAsia="SimSun" w:hAnsiTheme="majorBidi" w:cstheme="majorBidi"/>
          <w:color w:val="000000"/>
          <w:lang w:val="en-GB"/>
        </w:rPr>
        <w:t xml:space="preserve">instructs ITU-T </w:t>
      </w:r>
      <w:r w:rsidR="00013F5C" w:rsidRPr="00A94875">
        <w:rPr>
          <w:rFonts w:asciiTheme="majorBidi" w:eastAsia="SimSun" w:hAnsiTheme="majorBidi" w:cstheme="majorBidi"/>
          <w:color w:val="000000"/>
          <w:lang w:val="en-GB"/>
        </w:rPr>
        <w:t xml:space="preserve">Study Group 2 </w:t>
      </w:r>
      <w:r w:rsidRPr="00A94875">
        <w:rPr>
          <w:rFonts w:asciiTheme="majorBidi" w:eastAsia="SimSun" w:hAnsiTheme="majorBidi" w:cstheme="majorBidi"/>
          <w:color w:val="000000"/>
          <w:lang w:val="en-GB"/>
        </w:rPr>
        <w:t xml:space="preserve">to study this matter on the basis of contributions received </w:t>
      </w:r>
      <w:r w:rsidR="0033393D" w:rsidRPr="00A94875">
        <w:rPr>
          <w:rFonts w:asciiTheme="majorBidi" w:eastAsia="SimSun" w:hAnsiTheme="majorBidi" w:cstheme="majorBidi"/>
          <w:color w:val="000000"/>
          <w:lang w:val="en-GB"/>
        </w:rPr>
        <w:t xml:space="preserve">from ITU members </w:t>
      </w:r>
      <w:r w:rsidRPr="00A94875">
        <w:rPr>
          <w:rFonts w:asciiTheme="majorBidi" w:eastAsia="SimSun" w:hAnsiTheme="majorBidi" w:cstheme="majorBidi"/>
          <w:color w:val="000000"/>
          <w:lang w:val="en-GB"/>
        </w:rPr>
        <w:t xml:space="preserve">and information from TSB and to organize the necessary work to determine the requirements for electronic access to a repository of numbering resources reserved, assigned or allocated to each operator/service provider (to the </w:t>
      </w:r>
      <w:proofErr w:type="spellStart"/>
      <w:r w:rsidRPr="00A94875">
        <w:rPr>
          <w:rFonts w:asciiTheme="majorBidi" w:eastAsia="SimSun" w:hAnsiTheme="majorBidi" w:cstheme="majorBidi"/>
          <w:color w:val="000000"/>
          <w:lang w:val="en-GB"/>
        </w:rPr>
        <w:t>extent</w:t>
      </w:r>
      <w:r w:rsidR="00013F5C" w:rsidRPr="00A94875">
        <w:rPr>
          <w:rFonts w:asciiTheme="majorBidi" w:eastAsia="SimSun" w:hAnsiTheme="majorBidi" w:cstheme="majorBidi"/>
          <w:color w:val="000000"/>
          <w:lang w:val="en-GB"/>
        </w:rPr>
        <w:t>possible</w:t>
      </w:r>
      <w:proofErr w:type="spellEnd"/>
      <w:r w:rsidRPr="00A94875">
        <w:rPr>
          <w:rFonts w:asciiTheme="majorBidi" w:eastAsia="SimSun" w:hAnsiTheme="majorBidi" w:cstheme="majorBidi"/>
          <w:color w:val="000000"/>
          <w:lang w:val="en-GB"/>
        </w:rPr>
        <w:t xml:space="preserve">) </w:t>
      </w:r>
      <w:r w:rsidRPr="00A94875">
        <w:rPr>
          <w:rFonts w:asciiTheme="majorBidi" w:eastAsia="SimSun" w:hAnsiTheme="majorBidi" w:cstheme="majorBidi"/>
          <w:color w:val="000000"/>
          <w:lang w:val="en-GB"/>
        </w:rPr>
        <w:lastRenderedPageBreak/>
        <w:t>within every country, including presentation of E.164 national numbering plans on the basis of Recommendation ITU-T E.129, and international numbering resources assigned by the Director of TSB.</w:t>
      </w:r>
      <w:proofErr w:type="gramEnd"/>
      <w:r w:rsidRPr="00A94875">
        <w:rPr>
          <w:rFonts w:asciiTheme="majorBidi" w:eastAsia="SimSun" w:hAnsiTheme="majorBidi" w:cstheme="majorBidi"/>
          <w:color w:val="000000"/>
          <w:lang w:val="en-GB"/>
        </w:rPr>
        <w:t xml:space="preserve"> On the request of ITU-T </w:t>
      </w:r>
      <w:r w:rsidR="00013F5C" w:rsidRPr="00A94875">
        <w:rPr>
          <w:rFonts w:asciiTheme="majorBidi" w:eastAsia="SimSun" w:hAnsiTheme="majorBidi" w:cstheme="majorBidi"/>
          <w:color w:val="000000"/>
          <w:lang w:val="en-GB"/>
        </w:rPr>
        <w:t>Study Group 2</w:t>
      </w:r>
      <w:r w:rsidRPr="00A94875">
        <w:rPr>
          <w:rFonts w:asciiTheme="majorBidi" w:eastAsia="SimSun" w:hAnsiTheme="majorBidi" w:cstheme="majorBidi"/>
          <w:color w:val="000000"/>
          <w:lang w:val="en-GB"/>
        </w:rPr>
        <w:t xml:space="preserve">, TSB has provided and presented the information on </w:t>
      </w:r>
      <w:r w:rsidR="00013F5C" w:rsidRPr="00A94875">
        <w:rPr>
          <w:rFonts w:asciiTheme="majorBidi" w:eastAsia="SimSun" w:hAnsiTheme="majorBidi" w:cstheme="majorBidi"/>
          <w:color w:val="000000"/>
          <w:lang w:val="en-GB"/>
        </w:rPr>
        <w:t xml:space="preserve">the </w:t>
      </w:r>
      <w:r w:rsidRPr="00A94875">
        <w:rPr>
          <w:rFonts w:asciiTheme="majorBidi" w:eastAsia="SimSun" w:hAnsiTheme="majorBidi" w:cstheme="majorBidi"/>
          <w:color w:val="000000"/>
          <w:lang w:val="en-GB"/>
        </w:rPr>
        <w:t>implementation of WTSA</w:t>
      </w:r>
      <w:r w:rsidR="00013F5C" w:rsidRPr="00A94875">
        <w:rPr>
          <w:rFonts w:asciiTheme="majorBidi" w:eastAsia="SimSun" w:hAnsiTheme="majorBidi" w:cstheme="majorBidi"/>
          <w:color w:val="000000"/>
          <w:lang w:val="en-GB"/>
        </w:rPr>
        <w:t xml:space="preserve"> </w:t>
      </w:r>
      <w:r w:rsidRPr="00A94875">
        <w:rPr>
          <w:rFonts w:asciiTheme="majorBidi" w:eastAsia="SimSun" w:hAnsiTheme="majorBidi" w:cstheme="majorBidi"/>
          <w:color w:val="000000"/>
          <w:lang w:val="en-GB"/>
        </w:rPr>
        <w:t>Resolution 91 to the meeting</w:t>
      </w:r>
      <w:r w:rsidR="00013F5C" w:rsidRPr="00A94875">
        <w:rPr>
          <w:rFonts w:asciiTheme="majorBidi" w:eastAsia="SimSun" w:hAnsiTheme="majorBidi" w:cstheme="majorBidi"/>
          <w:color w:val="000000"/>
          <w:lang w:val="en-GB"/>
        </w:rPr>
        <w:t>s</w:t>
      </w:r>
      <w:r w:rsidRPr="00A94875">
        <w:rPr>
          <w:rFonts w:asciiTheme="majorBidi" w:eastAsia="SimSun" w:hAnsiTheme="majorBidi" w:cstheme="majorBidi"/>
          <w:color w:val="000000"/>
          <w:lang w:val="en-GB"/>
        </w:rPr>
        <w:t xml:space="preserve"> of</w:t>
      </w:r>
      <w:r w:rsidR="00013F5C" w:rsidRPr="00A94875">
        <w:rPr>
          <w:rFonts w:asciiTheme="majorBidi" w:eastAsia="SimSun" w:hAnsiTheme="majorBidi" w:cstheme="majorBidi"/>
          <w:color w:val="000000"/>
          <w:lang w:val="en-GB"/>
        </w:rPr>
        <w:t xml:space="preserve"> ITU-T Study Group 2 held </w:t>
      </w:r>
      <w:r w:rsidRPr="00A94875">
        <w:rPr>
          <w:rFonts w:asciiTheme="majorBidi" w:eastAsia="SimSun" w:hAnsiTheme="majorBidi" w:cstheme="majorBidi"/>
          <w:color w:val="000000"/>
          <w:lang w:val="en-GB"/>
        </w:rPr>
        <w:t>29 March - 7 April 2017 (</w:t>
      </w:r>
      <w:hyperlink r:id="rId136" w:history="1">
        <w:r w:rsidRPr="00A94875">
          <w:rPr>
            <w:rStyle w:val="Hyperlink"/>
            <w:rFonts w:asciiTheme="majorBidi" w:eastAsia="SimSun" w:hAnsiTheme="majorBidi" w:cstheme="majorBidi"/>
            <w:lang w:val="en-GB"/>
          </w:rPr>
          <w:t>SG2-TD143</w:t>
        </w:r>
      </w:hyperlink>
      <w:r w:rsidRPr="00A94875">
        <w:rPr>
          <w:rFonts w:asciiTheme="majorBidi" w:eastAsia="SimSun" w:hAnsiTheme="majorBidi" w:cstheme="majorBidi"/>
          <w:color w:val="000000"/>
          <w:lang w:val="en-GB"/>
        </w:rPr>
        <w:t xml:space="preserve">), </w:t>
      </w:r>
      <w:r w:rsidRPr="00A94875">
        <w:rPr>
          <w:szCs w:val="24"/>
          <w:lang w:val="en-GB"/>
        </w:rPr>
        <w:t>27 November - 1 December 2017 (</w:t>
      </w:r>
      <w:hyperlink r:id="rId137" w:history="1">
        <w:r w:rsidRPr="00A94875">
          <w:rPr>
            <w:rStyle w:val="Hyperlink"/>
            <w:szCs w:val="24"/>
            <w:lang w:val="en-GB"/>
          </w:rPr>
          <w:t>SG2-TD233-R1</w:t>
        </w:r>
      </w:hyperlink>
      <w:r w:rsidRPr="00A94875">
        <w:rPr>
          <w:szCs w:val="24"/>
          <w:lang w:val="en-GB"/>
        </w:rPr>
        <w:t>) and 4</w:t>
      </w:r>
      <w:r w:rsidR="00013F5C" w:rsidRPr="00A94875">
        <w:rPr>
          <w:szCs w:val="24"/>
          <w:lang w:val="en-GB"/>
        </w:rPr>
        <w:t>-</w:t>
      </w:r>
      <w:r w:rsidRPr="00A94875">
        <w:rPr>
          <w:szCs w:val="24"/>
          <w:lang w:val="en-GB"/>
        </w:rPr>
        <w:t>13 July 2018 (SG2-TD419). A prototype of the new</w:t>
      </w:r>
      <w:r w:rsidRPr="00A94875">
        <w:rPr>
          <w:lang w:val="en-GB"/>
        </w:rPr>
        <w:t xml:space="preserve"> repository</w:t>
      </w:r>
      <w:r w:rsidR="00013F5C" w:rsidRPr="00A94875">
        <w:rPr>
          <w:lang w:val="en-GB"/>
        </w:rPr>
        <w:t xml:space="preserve"> of national numbering plans</w:t>
      </w:r>
      <w:r w:rsidRPr="00A94875">
        <w:rPr>
          <w:lang w:val="en-GB"/>
        </w:rPr>
        <w:t xml:space="preserve"> is available </w:t>
      </w:r>
      <w:proofErr w:type="gramStart"/>
      <w:r w:rsidRPr="00A94875">
        <w:rPr>
          <w:lang w:val="en-GB"/>
        </w:rPr>
        <w:t>at:</w:t>
      </w:r>
      <w:proofErr w:type="gramEnd"/>
      <w:r w:rsidRPr="00A94875">
        <w:rPr>
          <w:lang w:val="en-GB"/>
        </w:rPr>
        <w:t xml:space="preserve"> </w:t>
      </w:r>
      <w:hyperlink r:id="rId138" w:history="1">
        <w:r w:rsidRPr="00A94875">
          <w:rPr>
            <w:rStyle w:val="Hyperlink"/>
            <w:lang w:val="en-GB"/>
          </w:rPr>
          <w:t>https://www.itu.int/net4/itu-t/nnp</w:t>
        </w:r>
      </w:hyperlink>
      <w:r w:rsidRPr="00A94875">
        <w:rPr>
          <w:lang w:val="en-GB"/>
        </w:rPr>
        <w:t xml:space="preserve">. </w:t>
      </w:r>
      <w:r w:rsidRPr="00A94875">
        <w:rPr>
          <w:rFonts w:asciiTheme="majorBidi" w:eastAsia="SimSun" w:hAnsiTheme="majorBidi" w:cstheme="majorBidi"/>
          <w:color w:val="000000"/>
          <w:lang w:val="en-GB"/>
        </w:rPr>
        <w:t xml:space="preserve">Pursuant to the relevant ITU-T Recommendations, Member States are invited to </w:t>
      </w:r>
      <w:r w:rsidR="00013F5C" w:rsidRPr="00A94875">
        <w:rPr>
          <w:rFonts w:asciiTheme="majorBidi" w:hAnsiTheme="majorBidi" w:cstheme="majorBidi"/>
          <w:lang w:val="en-GB"/>
        </w:rPr>
        <w:t>provide</w:t>
      </w:r>
      <w:r w:rsidRPr="00A94875">
        <w:rPr>
          <w:rFonts w:asciiTheme="majorBidi" w:hAnsiTheme="majorBidi" w:cstheme="majorBidi"/>
          <w:lang w:val="en-GB"/>
        </w:rPr>
        <w:t xml:space="preserve"> information on the presentation of their national numbering plans and amendments thereto in a timely manner, </w:t>
      </w:r>
      <w:proofErr w:type="gramStart"/>
      <w:r w:rsidRPr="00A94875">
        <w:rPr>
          <w:rFonts w:asciiTheme="majorBidi" w:hAnsiTheme="majorBidi" w:cstheme="majorBidi"/>
          <w:lang w:val="en-GB"/>
        </w:rPr>
        <w:t>so as to</w:t>
      </w:r>
      <w:proofErr w:type="gramEnd"/>
      <w:r w:rsidRPr="00A94875">
        <w:rPr>
          <w:rFonts w:asciiTheme="majorBidi" w:hAnsiTheme="majorBidi" w:cstheme="majorBidi"/>
          <w:lang w:val="en-GB"/>
        </w:rPr>
        <w:t xml:space="preserve"> ensure that the electronic repository remains up to date.</w:t>
      </w:r>
    </w:p>
    <w:p w14:paraId="07262E19" w14:textId="0E2B4DCB" w:rsidR="006944F8" w:rsidRPr="00A94875" w:rsidRDefault="002F0E38" w:rsidP="00541269">
      <w:pPr>
        <w:pStyle w:val="Heading2"/>
        <w:rPr>
          <w:rFonts w:asciiTheme="majorBidi" w:hAnsiTheme="majorBidi" w:cstheme="majorBidi"/>
          <w:lang w:val="en-GB"/>
        </w:rPr>
      </w:pPr>
      <w:bookmarkStart w:id="187" w:name="_Toc462664279"/>
      <w:bookmarkStart w:id="188" w:name="_Toc480527874"/>
      <w:bookmarkStart w:id="189" w:name="_Toc530571891"/>
      <w:r w:rsidRPr="00A94875">
        <w:rPr>
          <w:rFonts w:asciiTheme="majorBidi" w:hAnsiTheme="majorBidi" w:cstheme="majorBidi"/>
          <w:lang w:val="en-GB"/>
        </w:rPr>
        <w:t>13</w:t>
      </w:r>
      <w:r w:rsidR="006944F8" w:rsidRPr="00A94875">
        <w:rPr>
          <w:rFonts w:asciiTheme="majorBidi" w:hAnsiTheme="majorBidi" w:cstheme="majorBidi"/>
          <w:lang w:val="en-GB"/>
        </w:rPr>
        <w:t>.7</w:t>
      </w:r>
      <w:r w:rsidR="006944F8" w:rsidRPr="00A94875">
        <w:rPr>
          <w:rFonts w:asciiTheme="majorBidi" w:hAnsiTheme="majorBidi" w:cstheme="majorBidi"/>
          <w:lang w:val="en-GB"/>
        </w:rPr>
        <w:tab/>
        <w:t>ITU-T SharePoint collaboration sites</w:t>
      </w:r>
      <w:bookmarkEnd w:id="187"/>
      <w:bookmarkEnd w:id="188"/>
      <w:bookmarkEnd w:id="189"/>
    </w:p>
    <w:p w14:paraId="5EC327E2" w14:textId="2100EDE9" w:rsidR="006944F8" w:rsidRPr="00A94875" w:rsidRDefault="006944F8" w:rsidP="00541269">
      <w:pPr>
        <w:overflowPunct/>
        <w:autoSpaceDE/>
        <w:autoSpaceDN/>
        <w:adjustRightInd/>
        <w:textAlignment w:val="auto"/>
        <w:rPr>
          <w:lang w:val="en-GB"/>
        </w:rPr>
      </w:pPr>
      <w:r w:rsidRPr="00A94875">
        <w:rPr>
          <w:lang w:val="en-GB"/>
        </w:rPr>
        <w:t xml:space="preserve">The ITU-T SharePoint </w:t>
      </w:r>
      <w:r w:rsidR="00541269" w:rsidRPr="00A94875">
        <w:rPr>
          <w:lang w:val="en-GB"/>
        </w:rPr>
        <w:t>c</w:t>
      </w:r>
      <w:r w:rsidRPr="00A94875">
        <w:rPr>
          <w:lang w:val="en-GB"/>
        </w:rPr>
        <w:t xml:space="preserve">ollaboration sites </w:t>
      </w:r>
      <w:r w:rsidR="00541269" w:rsidRPr="00A94875">
        <w:rPr>
          <w:lang w:val="en-GB"/>
        </w:rPr>
        <w:t xml:space="preserve">enable </w:t>
      </w:r>
      <w:r w:rsidRPr="00A94875">
        <w:rPr>
          <w:lang w:val="en-GB"/>
        </w:rPr>
        <w:t xml:space="preserve">participants </w:t>
      </w:r>
      <w:r w:rsidR="00541269" w:rsidRPr="00A94875">
        <w:rPr>
          <w:lang w:val="en-GB"/>
        </w:rPr>
        <w:t xml:space="preserve">in ITU-T working groups </w:t>
      </w:r>
      <w:r w:rsidRPr="00A94875">
        <w:rPr>
          <w:lang w:val="en-GB"/>
        </w:rPr>
        <w:t xml:space="preserve">to conduct online discussions, work on projects, </w:t>
      </w:r>
      <w:r w:rsidR="00541269" w:rsidRPr="00A94875">
        <w:rPr>
          <w:lang w:val="en-GB"/>
        </w:rPr>
        <w:t>schedule</w:t>
      </w:r>
      <w:r w:rsidRPr="00A94875">
        <w:rPr>
          <w:lang w:val="en-GB"/>
        </w:rPr>
        <w:t xml:space="preserve"> </w:t>
      </w:r>
      <w:proofErr w:type="gramStart"/>
      <w:r w:rsidRPr="00A94875">
        <w:rPr>
          <w:lang w:val="en-GB"/>
        </w:rPr>
        <w:t>meeting</w:t>
      </w:r>
      <w:r w:rsidR="00541269" w:rsidRPr="00A94875">
        <w:rPr>
          <w:lang w:val="en-GB"/>
        </w:rPr>
        <w:t xml:space="preserve">s and </w:t>
      </w:r>
      <w:r w:rsidRPr="00A94875">
        <w:rPr>
          <w:lang w:val="en-GB"/>
        </w:rPr>
        <w:t>manage</w:t>
      </w:r>
      <w:proofErr w:type="gramEnd"/>
      <w:r w:rsidRPr="00A94875">
        <w:rPr>
          <w:lang w:val="en-GB"/>
        </w:rPr>
        <w:t xml:space="preserve"> and store documents in a secure shared environment.</w:t>
      </w:r>
    </w:p>
    <w:p w14:paraId="7FDDE8C8" w14:textId="70EA208D" w:rsidR="006944F8" w:rsidRPr="00A94875" w:rsidRDefault="006944F8" w:rsidP="006944F8">
      <w:pPr>
        <w:overflowPunct/>
        <w:autoSpaceDE/>
        <w:autoSpaceDN/>
        <w:adjustRightInd/>
        <w:textAlignment w:val="auto"/>
        <w:rPr>
          <w:rStyle w:val="Hyperlink"/>
          <w:rFonts w:asciiTheme="majorBidi" w:hAnsiTheme="majorBidi" w:cstheme="majorBidi"/>
          <w:szCs w:val="24"/>
          <w:lang w:val="en-GB"/>
        </w:rPr>
      </w:pPr>
      <w:r w:rsidRPr="00A94875">
        <w:rPr>
          <w:rFonts w:asciiTheme="majorBidi" w:hAnsiTheme="majorBidi" w:cstheme="majorBidi"/>
          <w:szCs w:val="24"/>
          <w:lang w:val="en-GB"/>
        </w:rPr>
        <w:t xml:space="preserve">The </w:t>
      </w:r>
      <w:r w:rsidR="00541269" w:rsidRPr="00A94875">
        <w:rPr>
          <w:rFonts w:asciiTheme="majorBidi" w:hAnsiTheme="majorBidi" w:cstheme="majorBidi"/>
          <w:szCs w:val="24"/>
          <w:lang w:val="en-GB"/>
        </w:rPr>
        <w:t xml:space="preserve">home of </w:t>
      </w:r>
      <w:r w:rsidRPr="00A94875">
        <w:rPr>
          <w:rFonts w:asciiTheme="majorBidi" w:hAnsiTheme="majorBidi" w:cstheme="majorBidi"/>
          <w:szCs w:val="24"/>
          <w:lang w:val="en-GB"/>
        </w:rPr>
        <w:t>ITU-T SharePoint collaboration site</w:t>
      </w:r>
      <w:r w:rsidR="00541269" w:rsidRPr="00A94875">
        <w:rPr>
          <w:rFonts w:asciiTheme="majorBidi" w:hAnsiTheme="majorBidi" w:cstheme="majorBidi"/>
          <w:szCs w:val="24"/>
          <w:lang w:val="en-GB"/>
        </w:rPr>
        <w:t>s can</w:t>
      </w:r>
      <w:r w:rsidRPr="00A94875">
        <w:rPr>
          <w:rFonts w:asciiTheme="majorBidi" w:hAnsiTheme="majorBidi" w:cstheme="majorBidi"/>
          <w:szCs w:val="24"/>
          <w:lang w:val="en-GB"/>
        </w:rPr>
        <w:t xml:space="preserve"> be accessed </w:t>
      </w:r>
      <w:proofErr w:type="gramStart"/>
      <w:r w:rsidR="00541269" w:rsidRPr="00A94875">
        <w:rPr>
          <w:rFonts w:asciiTheme="majorBidi" w:hAnsiTheme="majorBidi" w:cstheme="majorBidi"/>
          <w:szCs w:val="24"/>
          <w:lang w:val="en-GB"/>
        </w:rPr>
        <w:t>at</w:t>
      </w:r>
      <w:r w:rsidRPr="00A94875">
        <w:rPr>
          <w:rFonts w:asciiTheme="majorBidi" w:hAnsiTheme="majorBidi" w:cstheme="majorBidi"/>
          <w:szCs w:val="24"/>
          <w:lang w:val="en-GB"/>
        </w:rPr>
        <w:t>:</w:t>
      </w:r>
      <w:proofErr w:type="gramEnd"/>
      <w:r w:rsidRPr="00A94875">
        <w:rPr>
          <w:rFonts w:asciiTheme="majorBidi" w:hAnsiTheme="majorBidi" w:cstheme="majorBidi"/>
          <w:szCs w:val="24"/>
          <w:lang w:val="en-GB"/>
        </w:rPr>
        <w:t xml:space="preserve"> </w:t>
      </w:r>
      <w:hyperlink r:id="rId139" w:history="1">
        <w:r w:rsidRPr="00A94875">
          <w:rPr>
            <w:rStyle w:val="Hyperlink"/>
            <w:rFonts w:asciiTheme="majorBidi" w:hAnsiTheme="majorBidi" w:cstheme="majorBidi"/>
            <w:szCs w:val="24"/>
            <w:lang w:val="en-GB"/>
          </w:rPr>
          <w:t>https://extranet.itu.int/sites/ITU-T/</w:t>
        </w:r>
      </w:hyperlink>
      <w:r w:rsidRPr="00A94875">
        <w:rPr>
          <w:rStyle w:val="Hyperlink"/>
          <w:rFonts w:asciiTheme="majorBidi" w:hAnsiTheme="majorBidi" w:cstheme="majorBidi"/>
          <w:szCs w:val="24"/>
          <w:lang w:val="en-GB"/>
        </w:rPr>
        <w:t>.</w:t>
      </w:r>
    </w:p>
    <w:p w14:paraId="7F383F22" w14:textId="79BF4A3A" w:rsidR="006944F8" w:rsidRPr="00A94875" w:rsidRDefault="00541269" w:rsidP="00541269">
      <w:pPr>
        <w:pStyle w:val="NormalWeb"/>
        <w:spacing w:before="120" w:beforeAutospacing="0" w:after="120" w:afterAutospacing="0"/>
        <w:rPr>
          <w:rFonts w:asciiTheme="majorBidi" w:hAnsiTheme="majorBidi" w:cstheme="majorBidi"/>
          <w:lang w:val="en-GB"/>
        </w:rPr>
      </w:pPr>
      <w:r w:rsidRPr="00A94875">
        <w:rPr>
          <w:rFonts w:asciiTheme="majorBidi" w:hAnsiTheme="majorBidi" w:cstheme="majorBidi"/>
          <w:lang w:val="en-GB"/>
        </w:rPr>
        <w:t xml:space="preserve">A selection of </w:t>
      </w:r>
      <w:r w:rsidR="006944F8" w:rsidRPr="00A94875">
        <w:rPr>
          <w:rFonts w:asciiTheme="majorBidi" w:hAnsiTheme="majorBidi" w:cstheme="majorBidi"/>
          <w:lang w:val="en-GB"/>
        </w:rPr>
        <w:t xml:space="preserve">notable </w:t>
      </w:r>
      <w:r w:rsidRPr="00A94875">
        <w:rPr>
          <w:rFonts w:asciiTheme="majorBidi" w:hAnsiTheme="majorBidi" w:cstheme="majorBidi"/>
          <w:lang w:val="en-GB"/>
        </w:rPr>
        <w:t>c</w:t>
      </w:r>
      <w:r w:rsidR="006944F8" w:rsidRPr="00A94875">
        <w:rPr>
          <w:rFonts w:asciiTheme="majorBidi" w:hAnsiTheme="majorBidi" w:cstheme="majorBidi"/>
          <w:lang w:val="en-GB"/>
        </w:rPr>
        <w:t>ollaboration sites</w:t>
      </w:r>
      <w:r w:rsidRPr="00A94875">
        <w:rPr>
          <w:rFonts w:asciiTheme="majorBidi" w:hAnsiTheme="majorBidi" w:cstheme="majorBidi"/>
          <w:lang w:val="en-GB"/>
        </w:rPr>
        <w:t xml:space="preserve"> </w:t>
      </w:r>
      <w:proofErr w:type="gramStart"/>
      <w:r w:rsidRPr="00A94875">
        <w:rPr>
          <w:rFonts w:asciiTheme="majorBidi" w:hAnsiTheme="majorBidi" w:cstheme="majorBidi"/>
          <w:lang w:val="en-GB"/>
        </w:rPr>
        <w:t>is found</w:t>
      </w:r>
      <w:proofErr w:type="gramEnd"/>
      <w:r w:rsidRPr="00A94875">
        <w:rPr>
          <w:rFonts w:asciiTheme="majorBidi" w:hAnsiTheme="majorBidi" w:cstheme="majorBidi"/>
          <w:lang w:val="en-GB"/>
        </w:rPr>
        <w:t xml:space="preserve"> below</w:t>
      </w:r>
      <w:r w:rsidR="006944F8" w:rsidRPr="00A94875">
        <w:rPr>
          <w:rFonts w:asciiTheme="majorBidi" w:hAnsiTheme="majorBidi" w:cstheme="majorBidi"/>
          <w:lang w:val="en-GB"/>
        </w:rPr>
        <w:t>:</w:t>
      </w:r>
    </w:p>
    <w:p w14:paraId="2BDAEC92" w14:textId="77777777" w:rsidR="006944F8" w:rsidRPr="00A94875" w:rsidRDefault="006944F8" w:rsidP="009261B2">
      <w:pPr>
        <w:pStyle w:val="NormalWeb"/>
        <w:numPr>
          <w:ilvl w:val="0"/>
          <w:numId w:val="19"/>
        </w:numPr>
        <w:spacing w:before="120" w:beforeAutospacing="0"/>
        <w:rPr>
          <w:rFonts w:asciiTheme="majorBidi" w:hAnsiTheme="majorBidi" w:cstheme="majorBidi"/>
          <w:lang w:val="en-GB"/>
        </w:rPr>
      </w:pPr>
      <w:r w:rsidRPr="00A94875">
        <w:rPr>
          <w:rFonts w:asciiTheme="majorBidi" w:hAnsiTheme="majorBidi" w:cstheme="majorBidi"/>
          <w:lang w:val="en-GB"/>
        </w:rPr>
        <w:t>ITU-T Study Groups (Study Period 2017-2020) (</w:t>
      </w:r>
      <w:hyperlink r:id="rId140" w:history="1">
        <w:r w:rsidRPr="00A94875">
          <w:rPr>
            <w:rStyle w:val="Hyperlink"/>
            <w:rFonts w:asciiTheme="majorBidi" w:hAnsiTheme="majorBidi" w:cstheme="majorBidi"/>
            <w:lang w:val="en-GB"/>
          </w:rPr>
          <w:t>https://extranet.itu.int/sites/itu-t/studygroups/2017-2020</w:t>
        </w:r>
      </w:hyperlink>
      <w:r w:rsidRPr="00A94875">
        <w:rPr>
          <w:rFonts w:asciiTheme="majorBidi" w:hAnsiTheme="majorBidi" w:cstheme="majorBidi"/>
          <w:lang w:val="en-GB"/>
        </w:rPr>
        <w:t>)</w:t>
      </w:r>
    </w:p>
    <w:p w14:paraId="08B26234" w14:textId="77777777" w:rsidR="006944F8" w:rsidRPr="00A94875" w:rsidRDefault="006944F8" w:rsidP="009261B2">
      <w:pPr>
        <w:pStyle w:val="NormalWeb"/>
        <w:numPr>
          <w:ilvl w:val="0"/>
          <w:numId w:val="19"/>
        </w:numPr>
        <w:rPr>
          <w:rFonts w:asciiTheme="majorBidi" w:hAnsiTheme="majorBidi" w:cstheme="majorBidi"/>
          <w:lang w:val="en-GB"/>
        </w:rPr>
      </w:pPr>
      <w:r w:rsidRPr="00A94875">
        <w:rPr>
          <w:rFonts w:asciiTheme="majorBidi" w:hAnsiTheme="majorBidi" w:cstheme="majorBidi"/>
          <w:lang w:val="en-GB"/>
        </w:rPr>
        <w:t>United for Smart Sustainable Cities (U4SSC) (</w:t>
      </w:r>
      <w:hyperlink r:id="rId141" w:history="1">
        <w:r w:rsidRPr="00A94875">
          <w:rPr>
            <w:rStyle w:val="Hyperlink"/>
            <w:rFonts w:asciiTheme="majorBidi" w:hAnsiTheme="majorBidi" w:cstheme="majorBidi"/>
            <w:lang w:val="en-GB"/>
          </w:rPr>
          <w:t>https://extranet.itu.int/sites/itu-t/initiatives/U4SSC/</w:t>
        </w:r>
      </w:hyperlink>
      <w:r w:rsidRPr="00A94875">
        <w:rPr>
          <w:rFonts w:asciiTheme="majorBidi" w:hAnsiTheme="majorBidi" w:cstheme="majorBidi"/>
          <w:lang w:val="en-GB"/>
        </w:rPr>
        <w:t>)</w:t>
      </w:r>
    </w:p>
    <w:p w14:paraId="3E6E0B1B" w14:textId="77777777" w:rsidR="006944F8" w:rsidRPr="00A94875" w:rsidRDefault="006944F8" w:rsidP="009261B2">
      <w:pPr>
        <w:pStyle w:val="NormalWeb"/>
        <w:numPr>
          <w:ilvl w:val="0"/>
          <w:numId w:val="19"/>
        </w:numPr>
        <w:rPr>
          <w:rFonts w:asciiTheme="majorBidi" w:hAnsiTheme="majorBidi" w:cstheme="majorBidi"/>
          <w:lang w:val="en-GB"/>
        </w:rPr>
      </w:pPr>
      <w:r w:rsidRPr="00A94875">
        <w:rPr>
          <w:rFonts w:asciiTheme="majorBidi" w:hAnsiTheme="majorBidi" w:cstheme="majorBidi"/>
          <w:lang w:val="en-GB"/>
        </w:rPr>
        <w:t>Security, Infrastructure and Trust Working Group (SIT WG) (</w:t>
      </w:r>
      <w:hyperlink r:id="rId142" w:history="1">
        <w:r w:rsidRPr="00A94875">
          <w:rPr>
            <w:rStyle w:val="Hyperlink"/>
            <w:rFonts w:asciiTheme="majorBidi" w:hAnsiTheme="majorBidi" w:cstheme="majorBidi"/>
            <w:lang w:val="en-GB"/>
          </w:rPr>
          <w:t>https://extranet.itu.int/sites/itu-t/initiatives/sitwg/</w:t>
        </w:r>
      </w:hyperlink>
      <w:r w:rsidRPr="00A94875">
        <w:rPr>
          <w:rFonts w:asciiTheme="majorBidi" w:hAnsiTheme="majorBidi" w:cstheme="majorBidi"/>
          <w:lang w:val="en-GB"/>
        </w:rPr>
        <w:t>)</w:t>
      </w:r>
    </w:p>
    <w:p w14:paraId="1EACD6B7" w14:textId="77777777" w:rsidR="006944F8" w:rsidRPr="00A94875" w:rsidRDefault="006944F8" w:rsidP="009261B2">
      <w:pPr>
        <w:pStyle w:val="NormalWeb"/>
        <w:numPr>
          <w:ilvl w:val="0"/>
          <w:numId w:val="19"/>
        </w:numPr>
        <w:rPr>
          <w:rFonts w:asciiTheme="majorBidi" w:hAnsiTheme="majorBidi" w:cstheme="majorBidi"/>
          <w:lang w:val="en-GB"/>
        </w:rPr>
      </w:pPr>
      <w:r w:rsidRPr="00A94875">
        <w:rPr>
          <w:rFonts w:asciiTheme="majorBidi" w:hAnsiTheme="majorBidi" w:cstheme="majorBidi"/>
          <w:lang w:val="en-GB"/>
        </w:rPr>
        <w:t xml:space="preserve">FG DPM - ITU-T Focus Group on Data Processing and Management to support </w:t>
      </w:r>
      <w:proofErr w:type="spellStart"/>
      <w:r w:rsidRPr="00A94875">
        <w:rPr>
          <w:rFonts w:asciiTheme="majorBidi" w:hAnsiTheme="majorBidi" w:cstheme="majorBidi"/>
          <w:lang w:val="en-GB"/>
        </w:rPr>
        <w:t>IoT</w:t>
      </w:r>
      <w:proofErr w:type="spellEnd"/>
      <w:r w:rsidRPr="00A94875">
        <w:rPr>
          <w:rFonts w:asciiTheme="majorBidi" w:hAnsiTheme="majorBidi" w:cstheme="majorBidi"/>
          <w:lang w:val="en-GB"/>
        </w:rPr>
        <w:t xml:space="preserve"> and Smart Cities &amp; Communities (</w:t>
      </w:r>
      <w:hyperlink r:id="rId143" w:history="1">
        <w:r w:rsidRPr="00A94875">
          <w:rPr>
            <w:rStyle w:val="Hyperlink"/>
            <w:rFonts w:asciiTheme="majorBidi" w:hAnsiTheme="majorBidi" w:cstheme="majorBidi"/>
            <w:lang w:val="en-GB"/>
          </w:rPr>
          <w:t>https://extranet.itu.int/sites/itu-t/focusgroups/dpm/</w:t>
        </w:r>
      </w:hyperlink>
      <w:r w:rsidRPr="00A94875">
        <w:rPr>
          <w:rFonts w:asciiTheme="majorBidi" w:hAnsiTheme="majorBidi" w:cstheme="majorBidi"/>
          <w:lang w:val="en-GB"/>
        </w:rPr>
        <w:t>)</w:t>
      </w:r>
    </w:p>
    <w:p w14:paraId="67B5DE07" w14:textId="77777777" w:rsidR="006944F8" w:rsidRPr="00A94875" w:rsidRDefault="006944F8" w:rsidP="009261B2">
      <w:pPr>
        <w:pStyle w:val="NormalWeb"/>
        <w:numPr>
          <w:ilvl w:val="0"/>
          <w:numId w:val="19"/>
        </w:numPr>
        <w:rPr>
          <w:rFonts w:asciiTheme="majorBidi" w:hAnsiTheme="majorBidi" w:cstheme="majorBidi"/>
          <w:lang w:val="en-GB"/>
        </w:rPr>
      </w:pPr>
      <w:r w:rsidRPr="00A94875">
        <w:rPr>
          <w:rFonts w:asciiTheme="majorBidi" w:hAnsiTheme="majorBidi" w:cstheme="majorBidi"/>
          <w:lang w:val="en-GB"/>
        </w:rPr>
        <w:t>FG DFC - ITU-T Focus Group on Digital Currency including digital fiat currency</w:t>
      </w:r>
      <w:r w:rsidRPr="00A94875">
        <w:rPr>
          <w:rFonts w:asciiTheme="majorBidi" w:eastAsia="MS Gothic" w:hAnsiTheme="majorBidi" w:cstheme="majorBidi"/>
          <w:lang w:val="en-GB"/>
        </w:rPr>
        <w:t xml:space="preserve"> (</w:t>
      </w:r>
      <w:hyperlink r:id="rId144" w:history="1">
        <w:r w:rsidRPr="00A94875">
          <w:rPr>
            <w:rStyle w:val="Hyperlink"/>
            <w:rFonts w:asciiTheme="majorBidi" w:eastAsia="MS Gothic" w:hAnsiTheme="majorBidi" w:cstheme="majorBidi"/>
            <w:lang w:val="en-GB"/>
          </w:rPr>
          <w:t>https://extranet.itu.int/sites/itu-t/focusgroups/dfc/</w:t>
        </w:r>
      </w:hyperlink>
      <w:r w:rsidRPr="00A94875">
        <w:rPr>
          <w:rFonts w:asciiTheme="majorBidi" w:eastAsia="MS Gothic" w:hAnsiTheme="majorBidi" w:cstheme="majorBidi"/>
          <w:lang w:val="en-GB"/>
        </w:rPr>
        <w:t>)</w:t>
      </w:r>
    </w:p>
    <w:p w14:paraId="4713B18C" w14:textId="77777777" w:rsidR="006944F8" w:rsidRPr="00A94875" w:rsidRDefault="006944F8" w:rsidP="009261B2">
      <w:pPr>
        <w:pStyle w:val="NormalWeb"/>
        <w:numPr>
          <w:ilvl w:val="0"/>
          <w:numId w:val="19"/>
        </w:numPr>
        <w:rPr>
          <w:rFonts w:asciiTheme="majorBidi" w:hAnsiTheme="majorBidi" w:cstheme="majorBidi"/>
          <w:lang w:val="en-GB"/>
        </w:rPr>
      </w:pPr>
      <w:r w:rsidRPr="00A94875">
        <w:rPr>
          <w:rFonts w:asciiTheme="majorBidi" w:hAnsiTheme="majorBidi" w:cstheme="majorBidi"/>
          <w:lang w:val="en-GB"/>
        </w:rPr>
        <w:t>FG DLT - ITU-T Focus Group on Application of Distributed Ledger Technology (</w:t>
      </w:r>
      <w:hyperlink r:id="rId145" w:history="1">
        <w:r w:rsidRPr="00A94875">
          <w:rPr>
            <w:rStyle w:val="Hyperlink"/>
            <w:rFonts w:asciiTheme="majorBidi" w:hAnsiTheme="majorBidi" w:cstheme="majorBidi"/>
            <w:lang w:val="en-GB"/>
          </w:rPr>
          <w:t>https://extranet.itu.int/sites/itu-t/focusgroups/fgdlt/</w:t>
        </w:r>
      </w:hyperlink>
      <w:r w:rsidRPr="00A94875">
        <w:rPr>
          <w:rFonts w:asciiTheme="majorBidi" w:hAnsiTheme="majorBidi" w:cstheme="majorBidi"/>
          <w:lang w:val="en-GB"/>
        </w:rPr>
        <w:t>)</w:t>
      </w:r>
    </w:p>
    <w:p w14:paraId="598F1D20" w14:textId="77777777" w:rsidR="006944F8" w:rsidRPr="00A94875" w:rsidRDefault="006944F8" w:rsidP="009261B2">
      <w:pPr>
        <w:pStyle w:val="NormalWeb"/>
        <w:numPr>
          <w:ilvl w:val="0"/>
          <w:numId w:val="19"/>
        </w:numPr>
        <w:rPr>
          <w:rFonts w:asciiTheme="majorBidi" w:hAnsiTheme="majorBidi" w:cstheme="majorBidi"/>
          <w:lang w:val="en-GB"/>
        </w:rPr>
      </w:pPr>
      <w:r w:rsidRPr="00A94875">
        <w:rPr>
          <w:rFonts w:asciiTheme="majorBidi" w:hAnsiTheme="majorBidi" w:cstheme="majorBidi"/>
          <w:lang w:val="en-GB"/>
        </w:rPr>
        <w:t>FG ML5G - ITU-T Focus Group on Machine Learning for Future Networks including 5G (</w:t>
      </w:r>
      <w:hyperlink r:id="rId146" w:history="1">
        <w:r w:rsidRPr="00A94875">
          <w:rPr>
            <w:rStyle w:val="Hyperlink"/>
            <w:rFonts w:asciiTheme="majorBidi" w:hAnsiTheme="majorBidi" w:cstheme="majorBidi"/>
            <w:lang w:val="en-GB"/>
          </w:rPr>
          <w:t>https://extranet.itu.int/sites/itu-t/focusgroups/ML5G/</w:t>
        </w:r>
      </w:hyperlink>
      <w:r w:rsidRPr="00A94875">
        <w:rPr>
          <w:rFonts w:asciiTheme="majorBidi" w:hAnsiTheme="majorBidi" w:cstheme="majorBidi"/>
          <w:lang w:val="en-GB"/>
        </w:rPr>
        <w:t>)</w:t>
      </w:r>
    </w:p>
    <w:p w14:paraId="625D4996" w14:textId="77777777" w:rsidR="006944F8" w:rsidRPr="00A94875" w:rsidRDefault="006944F8" w:rsidP="009261B2">
      <w:pPr>
        <w:pStyle w:val="NormalWeb"/>
        <w:numPr>
          <w:ilvl w:val="0"/>
          <w:numId w:val="19"/>
        </w:numPr>
        <w:rPr>
          <w:rFonts w:asciiTheme="majorBidi" w:hAnsiTheme="majorBidi" w:cstheme="majorBidi"/>
          <w:lang w:val="en-GB"/>
        </w:rPr>
      </w:pPr>
      <w:r w:rsidRPr="00A94875">
        <w:rPr>
          <w:rFonts w:asciiTheme="majorBidi" w:hAnsiTheme="majorBidi" w:cstheme="majorBidi"/>
          <w:lang w:val="en-GB"/>
        </w:rPr>
        <w:t>FG NET-2030 – ITU-T Focus Group on Technologies for Network 2030 (</w:t>
      </w:r>
      <w:hyperlink r:id="rId147" w:history="1">
        <w:r w:rsidRPr="00A94875">
          <w:rPr>
            <w:rStyle w:val="Hyperlink"/>
            <w:rFonts w:asciiTheme="majorBidi" w:hAnsiTheme="majorBidi" w:cstheme="majorBidi"/>
            <w:lang w:val="en-GB"/>
          </w:rPr>
          <w:t>https://extranet.itu.int/sites/itu-t/focusgroups/net-2030/</w:t>
        </w:r>
      </w:hyperlink>
      <w:r w:rsidRPr="00A94875">
        <w:rPr>
          <w:rFonts w:asciiTheme="majorBidi" w:hAnsiTheme="majorBidi" w:cstheme="majorBidi"/>
          <w:lang w:val="en-GB"/>
        </w:rPr>
        <w:t>)</w:t>
      </w:r>
    </w:p>
    <w:p w14:paraId="2FDCEE16" w14:textId="77777777" w:rsidR="006944F8" w:rsidRPr="00A94875" w:rsidRDefault="006944F8" w:rsidP="009261B2">
      <w:pPr>
        <w:pStyle w:val="NormalWeb"/>
        <w:numPr>
          <w:ilvl w:val="0"/>
          <w:numId w:val="19"/>
        </w:numPr>
        <w:rPr>
          <w:rFonts w:asciiTheme="majorBidi" w:hAnsiTheme="majorBidi" w:cstheme="majorBidi"/>
          <w:lang w:val="en-GB"/>
        </w:rPr>
      </w:pPr>
      <w:r w:rsidRPr="00A94875">
        <w:rPr>
          <w:rFonts w:asciiTheme="majorBidi" w:hAnsiTheme="majorBidi" w:cstheme="majorBidi"/>
          <w:lang w:val="en-GB"/>
        </w:rPr>
        <w:t>FG-AI4H - ITU-T Focus Group on Artificial Intelligence for Health (</w:t>
      </w:r>
      <w:hyperlink r:id="rId148" w:history="1">
        <w:r w:rsidRPr="00A94875">
          <w:rPr>
            <w:rStyle w:val="Hyperlink"/>
            <w:rFonts w:asciiTheme="majorBidi" w:hAnsiTheme="majorBidi" w:cstheme="majorBidi"/>
            <w:lang w:val="en-GB"/>
          </w:rPr>
          <w:t>https://extranet.itu.int/sites/itu-t/focusgroups/ai4h/</w:t>
        </w:r>
      </w:hyperlink>
      <w:r w:rsidRPr="00A94875">
        <w:rPr>
          <w:rFonts w:asciiTheme="majorBidi" w:hAnsiTheme="majorBidi" w:cstheme="majorBidi"/>
          <w:lang w:val="en-GB"/>
        </w:rPr>
        <w:t>)</w:t>
      </w:r>
    </w:p>
    <w:p w14:paraId="49A69FBA" w14:textId="77777777" w:rsidR="006944F8" w:rsidRPr="00A94875" w:rsidRDefault="006944F8" w:rsidP="009261B2">
      <w:pPr>
        <w:pStyle w:val="NormalWeb"/>
        <w:numPr>
          <w:ilvl w:val="0"/>
          <w:numId w:val="19"/>
        </w:numPr>
        <w:rPr>
          <w:rFonts w:asciiTheme="majorBidi" w:hAnsiTheme="majorBidi" w:cstheme="majorBidi"/>
          <w:lang w:val="en-GB"/>
        </w:rPr>
      </w:pPr>
      <w:r w:rsidRPr="00A94875">
        <w:rPr>
          <w:rFonts w:asciiTheme="majorBidi" w:hAnsiTheme="majorBidi" w:cstheme="majorBidi"/>
          <w:lang w:val="en-GB"/>
        </w:rPr>
        <w:t>FG-VM - ITU-T Focus Group on Vehicular Multimedia</w:t>
      </w:r>
      <w:r w:rsidRPr="00A94875">
        <w:rPr>
          <w:rFonts w:asciiTheme="majorBidi" w:hAnsiTheme="majorBidi" w:cstheme="majorBidi"/>
          <w:lang w:val="en-GB"/>
        </w:rPr>
        <w:br/>
        <w:t>(</w:t>
      </w:r>
      <w:hyperlink r:id="rId149" w:history="1">
        <w:r w:rsidRPr="00A94875">
          <w:rPr>
            <w:rStyle w:val="Hyperlink"/>
            <w:rFonts w:asciiTheme="majorBidi" w:hAnsiTheme="majorBidi" w:cstheme="majorBidi"/>
            <w:lang w:val="en-GB"/>
          </w:rPr>
          <w:t>https://extranet.itu.int/sites/itu-t/focusgroups/vm/</w:t>
        </w:r>
      </w:hyperlink>
      <w:r w:rsidRPr="00A94875">
        <w:rPr>
          <w:rFonts w:asciiTheme="majorBidi" w:hAnsiTheme="majorBidi" w:cstheme="majorBidi"/>
          <w:lang w:val="en-GB"/>
        </w:rPr>
        <w:t>)</w:t>
      </w:r>
    </w:p>
    <w:p w14:paraId="184A8554" w14:textId="3DC1C60B" w:rsidR="006944F8" w:rsidRPr="00A94875" w:rsidRDefault="006944F8" w:rsidP="00541269">
      <w:pPr>
        <w:overflowPunct/>
        <w:autoSpaceDE/>
        <w:autoSpaceDN/>
        <w:adjustRightInd/>
        <w:textAlignment w:val="auto"/>
        <w:rPr>
          <w:rFonts w:asciiTheme="majorBidi" w:hAnsiTheme="majorBidi" w:cstheme="majorBidi"/>
          <w:szCs w:val="24"/>
          <w:lang w:val="en-GB"/>
        </w:rPr>
      </w:pPr>
      <w:r w:rsidRPr="00A94875">
        <w:rPr>
          <w:rFonts w:asciiTheme="majorBidi" w:hAnsiTheme="majorBidi" w:cstheme="majorBidi"/>
          <w:szCs w:val="24"/>
          <w:lang w:val="en-GB"/>
        </w:rPr>
        <w:t>A support site contain</w:t>
      </w:r>
      <w:r w:rsidR="00541269" w:rsidRPr="00A94875">
        <w:rPr>
          <w:rFonts w:asciiTheme="majorBidi" w:hAnsiTheme="majorBidi" w:cstheme="majorBidi"/>
          <w:szCs w:val="24"/>
          <w:lang w:val="en-GB"/>
        </w:rPr>
        <w:t>ing</w:t>
      </w:r>
      <w:r w:rsidRPr="00A94875">
        <w:rPr>
          <w:rFonts w:asciiTheme="majorBidi" w:hAnsiTheme="majorBidi" w:cstheme="majorBidi"/>
          <w:szCs w:val="24"/>
          <w:lang w:val="en-GB"/>
        </w:rPr>
        <w:t xml:space="preserve"> a knowledge base of FAQs and user guides on the various SharePoint services is available </w:t>
      </w:r>
      <w:proofErr w:type="gramStart"/>
      <w:r w:rsidRPr="00A94875">
        <w:rPr>
          <w:rFonts w:asciiTheme="majorBidi" w:hAnsiTheme="majorBidi" w:cstheme="majorBidi"/>
          <w:szCs w:val="24"/>
          <w:lang w:val="en-GB"/>
        </w:rPr>
        <w:t>at:</w:t>
      </w:r>
      <w:proofErr w:type="gramEnd"/>
      <w:r w:rsidRPr="00A94875">
        <w:rPr>
          <w:rFonts w:asciiTheme="majorBidi" w:hAnsiTheme="majorBidi" w:cstheme="majorBidi"/>
          <w:szCs w:val="24"/>
          <w:lang w:val="en-GB"/>
        </w:rPr>
        <w:t xml:space="preserve"> </w:t>
      </w:r>
      <w:hyperlink r:id="rId150" w:history="1">
        <w:r w:rsidRPr="00A94875">
          <w:rPr>
            <w:rStyle w:val="Hyperlink"/>
            <w:rFonts w:asciiTheme="majorBidi" w:hAnsiTheme="majorBidi" w:cstheme="majorBidi"/>
            <w:szCs w:val="24"/>
            <w:lang w:val="en-GB"/>
          </w:rPr>
          <w:t>https://extranet.itu.int/ITU-T/support/</w:t>
        </w:r>
      </w:hyperlink>
      <w:r w:rsidRPr="00A94875">
        <w:rPr>
          <w:rFonts w:asciiTheme="majorBidi" w:hAnsiTheme="majorBidi" w:cstheme="majorBidi"/>
          <w:szCs w:val="24"/>
          <w:lang w:val="en-GB"/>
        </w:rPr>
        <w:t>.</w:t>
      </w:r>
    </w:p>
    <w:p w14:paraId="7DE9AA6C" w14:textId="6EC43C80" w:rsidR="006944F8" w:rsidRPr="00A94875" w:rsidRDefault="006944F8" w:rsidP="00541269">
      <w:pPr>
        <w:overflowPunct/>
        <w:autoSpaceDE/>
        <w:autoSpaceDN/>
        <w:adjustRightInd/>
        <w:textAlignment w:val="auto"/>
        <w:rPr>
          <w:rFonts w:asciiTheme="majorBidi" w:hAnsiTheme="majorBidi" w:cstheme="majorBidi"/>
          <w:szCs w:val="24"/>
          <w:lang w:val="en-GB"/>
        </w:rPr>
      </w:pPr>
      <w:r w:rsidRPr="00A94875">
        <w:rPr>
          <w:rFonts w:asciiTheme="majorBidi" w:hAnsiTheme="majorBidi" w:cstheme="majorBidi"/>
          <w:szCs w:val="24"/>
          <w:lang w:val="en-GB"/>
        </w:rPr>
        <w:t xml:space="preserve">Most of the collaboration sites are restricted to ITU-T </w:t>
      </w:r>
      <w:r w:rsidR="00541269" w:rsidRPr="00A94875">
        <w:rPr>
          <w:rFonts w:asciiTheme="majorBidi" w:hAnsiTheme="majorBidi" w:cstheme="majorBidi"/>
          <w:szCs w:val="24"/>
          <w:lang w:val="en-GB"/>
        </w:rPr>
        <w:t>m</w:t>
      </w:r>
      <w:r w:rsidRPr="00A94875">
        <w:rPr>
          <w:rFonts w:asciiTheme="majorBidi" w:hAnsiTheme="majorBidi" w:cstheme="majorBidi"/>
          <w:szCs w:val="24"/>
          <w:lang w:val="en-GB"/>
        </w:rPr>
        <w:t>embers</w:t>
      </w:r>
      <w:r w:rsidR="00541269" w:rsidRPr="00A94875">
        <w:rPr>
          <w:rFonts w:asciiTheme="majorBidi" w:hAnsiTheme="majorBidi" w:cstheme="majorBidi"/>
          <w:szCs w:val="24"/>
          <w:lang w:val="en-GB"/>
        </w:rPr>
        <w:t xml:space="preserve">, </w:t>
      </w:r>
      <w:r w:rsidRPr="00A94875">
        <w:rPr>
          <w:rFonts w:asciiTheme="majorBidi" w:hAnsiTheme="majorBidi" w:cstheme="majorBidi"/>
          <w:szCs w:val="24"/>
          <w:lang w:val="en-GB"/>
        </w:rPr>
        <w:t>accessed using an ITU User (TIES) account.</w:t>
      </w:r>
      <w:r w:rsidR="00541269" w:rsidRPr="00A94875">
        <w:rPr>
          <w:rFonts w:asciiTheme="majorBidi" w:hAnsiTheme="majorBidi" w:cstheme="majorBidi"/>
          <w:szCs w:val="24"/>
          <w:lang w:val="en-GB"/>
        </w:rPr>
        <w:t xml:space="preserve"> Certain</w:t>
      </w:r>
      <w:r w:rsidRPr="00A94875">
        <w:rPr>
          <w:rFonts w:asciiTheme="majorBidi" w:hAnsiTheme="majorBidi" w:cstheme="majorBidi"/>
          <w:szCs w:val="24"/>
          <w:lang w:val="en-GB"/>
        </w:rPr>
        <w:t xml:space="preserve"> collaboration sites are open to non-members</w:t>
      </w:r>
      <w:r w:rsidR="00541269" w:rsidRPr="00A94875">
        <w:rPr>
          <w:rFonts w:asciiTheme="majorBidi" w:hAnsiTheme="majorBidi" w:cstheme="majorBidi"/>
          <w:szCs w:val="24"/>
          <w:lang w:val="en-GB"/>
        </w:rPr>
        <w:t>,</w:t>
      </w:r>
      <w:r w:rsidRPr="00A94875">
        <w:rPr>
          <w:rFonts w:asciiTheme="majorBidi" w:hAnsiTheme="majorBidi" w:cstheme="majorBidi"/>
          <w:szCs w:val="24"/>
          <w:lang w:val="en-GB"/>
        </w:rPr>
        <w:t xml:space="preserve"> </w:t>
      </w:r>
      <w:r w:rsidR="00541269" w:rsidRPr="00A94875">
        <w:rPr>
          <w:rFonts w:asciiTheme="majorBidi" w:hAnsiTheme="majorBidi" w:cstheme="majorBidi"/>
          <w:szCs w:val="24"/>
          <w:lang w:val="en-GB"/>
        </w:rPr>
        <w:t xml:space="preserve">accessed </w:t>
      </w:r>
      <w:r w:rsidRPr="00A94875">
        <w:rPr>
          <w:rFonts w:asciiTheme="majorBidi" w:hAnsiTheme="majorBidi" w:cstheme="majorBidi"/>
          <w:szCs w:val="24"/>
          <w:lang w:val="en-GB"/>
        </w:rPr>
        <w:t>using non-member ITU User accounts.</w:t>
      </w:r>
    </w:p>
    <w:p w14:paraId="083BF94F" w14:textId="7951F382" w:rsidR="006944F8" w:rsidRPr="00A94875" w:rsidRDefault="002F0E38" w:rsidP="006944F8">
      <w:pPr>
        <w:pStyle w:val="Heading2"/>
        <w:rPr>
          <w:rFonts w:asciiTheme="majorBidi" w:hAnsiTheme="majorBidi" w:cstheme="majorBidi"/>
          <w:lang w:val="en-GB"/>
        </w:rPr>
      </w:pPr>
      <w:bookmarkStart w:id="190" w:name="_Toc462664281"/>
      <w:bookmarkStart w:id="191" w:name="_Toc480527876"/>
      <w:bookmarkStart w:id="192" w:name="_Toc530571892"/>
      <w:r w:rsidRPr="00A94875">
        <w:rPr>
          <w:rFonts w:asciiTheme="majorBidi" w:hAnsiTheme="majorBidi" w:cstheme="majorBidi"/>
          <w:lang w:val="en-GB"/>
        </w:rPr>
        <w:t>13</w:t>
      </w:r>
      <w:r w:rsidR="006944F8" w:rsidRPr="00A94875">
        <w:rPr>
          <w:rFonts w:asciiTheme="majorBidi" w:hAnsiTheme="majorBidi" w:cstheme="majorBidi"/>
          <w:lang w:val="en-GB"/>
        </w:rPr>
        <w:t>.8</w:t>
      </w:r>
      <w:r w:rsidR="006944F8" w:rsidRPr="00A94875">
        <w:rPr>
          <w:rFonts w:asciiTheme="majorBidi" w:hAnsiTheme="majorBidi" w:cstheme="majorBidi"/>
          <w:lang w:val="en-GB"/>
        </w:rPr>
        <w:tab/>
        <w:t>Meeting Documents Sync Application</w:t>
      </w:r>
      <w:bookmarkEnd w:id="190"/>
      <w:bookmarkEnd w:id="191"/>
      <w:bookmarkEnd w:id="192"/>
    </w:p>
    <w:p w14:paraId="7FD7F9C7" w14:textId="3DCA0157" w:rsidR="006944F8" w:rsidRPr="00A94875" w:rsidRDefault="006944F8" w:rsidP="00541269">
      <w:pPr>
        <w:rPr>
          <w:rFonts w:asciiTheme="majorBidi" w:hAnsiTheme="majorBidi" w:cstheme="majorBidi"/>
          <w:color w:val="000000"/>
          <w:szCs w:val="24"/>
          <w:lang w:val="en-GB"/>
        </w:rPr>
      </w:pPr>
      <w:bookmarkStart w:id="193" w:name="_Toc462664282"/>
      <w:r w:rsidRPr="00A94875">
        <w:rPr>
          <w:rFonts w:asciiTheme="majorBidi" w:hAnsiTheme="majorBidi" w:cstheme="majorBidi"/>
          <w:lang w:val="en-GB"/>
        </w:rPr>
        <w:t xml:space="preserve">This application </w:t>
      </w:r>
      <w:r w:rsidR="00541269" w:rsidRPr="00A94875">
        <w:rPr>
          <w:rFonts w:asciiTheme="majorBidi" w:hAnsiTheme="majorBidi" w:cstheme="majorBidi"/>
          <w:lang w:val="en-GB"/>
        </w:rPr>
        <w:t xml:space="preserve">enables </w:t>
      </w:r>
      <w:r w:rsidRPr="00A94875">
        <w:rPr>
          <w:rFonts w:asciiTheme="majorBidi" w:hAnsiTheme="majorBidi" w:cstheme="majorBidi"/>
          <w:lang w:val="en-GB"/>
        </w:rPr>
        <w:t xml:space="preserve">meeting participants to synchronize documents of </w:t>
      </w:r>
      <w:r w:rsidR="00541269" w:rsidRPr="00A94875">
        <w:rPr>
          <w:rFonts w:asciiTheme="majorBidi" w:hAnsiTheme="majorBidi" w:cstheme="majorBidi"/>
          <w:lang w:val="en-GB"/>
        </w:rPr>
        <w:t xml:space="preserve">ongoing </w:t>
      </w:r>
      <w:r w:rsidRPr="00A94875">
        <w:rPr>
          <w:rFonts w:asciiTheme="majorBidi" w:hAnsiTheme="majorBidi" w:cstheme="majorBidi"/>
          <w:lang w:val="en-GB"/>
        </w:rPr>
        <w:t xml:space="preserve">ITU-T Study Group </w:t>
      </w:r>
      <w:r w:rsidR="00541269" w:rsidRPr="00A94875">
        <w:rPr>
          <w:rFonts w:asciiTheme="majorBidi" w:hAnsiTheme="majorBidi" w:cstheme="majorBidi"/>
          <w:lang w:val="en-GB"/>
        </w:rPr>
        <w:t xml:space="preserve">meetings </w:t>
      </w:r>
      <w:r w:rsidRPr="00A94875">
        <w:rPr>
          <w:rFonts w:asciiTheme="majorBidi" w:hAnsiTheme="majorBidi" w:cstheme="majorBidi"/>
          <w:lang w:val="en-GB"/>
        </w:rPr>
        <w:t xml:space="preserve">from the ITU server to their local drive. </w:t>
      </w:r>
      <w:r w:rsidRPr="00A94875">
        <w:rPr>
          <w:rFonts w:asciiTheme="majorBidi" w:hAnsiTheme="majorBidi" w:cstheme="majorBidi"/>
          <w:color w:val="000000"/>
          <w:szCs w:val="24"/>
          <w:lang w:val="en-GB"/>
        </w:rPr>
        <w:t xml:space="preserve">The application </w:t>
      </w:r>
      <w:proofErr w:type="gramStart"/>
      <w:r w:rsidRPr="00A94875">
        <w:rPr>
          <w:rFonts w:asciiTheme="majorBidi" w:hAnsiTheme="majorBidi" w:cstheme="majorBidi"/>
          <w:color w:val="000000"/>
          <w:szCs w:val="24"/>
          <w:lang w:val="en-GB"/>
        </w:rPr>
        <w:t>is constantly enhanced and updated following feedback and suggestions from users</w:t>
      </w:r>
      <w:proofErr w:type="gramEnd"/>
      <w:r w:rsidRPr="00A94875">
        <w:rPr>
          <w:rFonts w:asciiTheme="majorBidi" w:hAnsiTheme="majorBidi" w:cstheme="majorBidi"/>
          <w:color w:val="000000"/>
          <w:szCs w:val="24"/>
          <w:lang w:val="en-GB"/>
        </w:rPr>
        <w:t xml:space="preserve">. An improved Windows version and a new </w:t>
      </w:r>
      <w:r w:rsidRPr="00A94875">
        <w:rPr>
          <w:rFonts w:asciiTheme="majorBidi" w:hAnsiTheme="majorBidi" w:cstheme="majorBidi"/>
          <w:color w:val="000000"/>
          <w:szCs w:val="24"/>
          <w:lang w:val="en-GB"/>
        </w:rPr>
        <w:lastRenderedPageBreak/>
        <w:t>Mac version of the sync application for Rapporteur Group Meeting (RGM) documents are also now available.</w:t>
      </w:r>
    </w:p>
    <w:p w14:paraId="1B963C55" w14:textId="09A248EA" w:rsidR="006944F8" w:rsidRPr="00A94875" w:rsidRDefault="002F0E38" w:rsidP="006944F8">
      <w:pPr>
        <w:pStyle w:val="Heading2"/>
        <w:rPr>
          <w:rFonts w:asciiTheme="majorBidi" w:hAnsiTheme="majorBidi" w:cstheme="majorBidi"/>
          <w:lang w:val="en-GB"/>
        </w:rPr>
      </w:pPr>
      <w:bookmarkStart w:id="194" w:name="_Toc530571893"/>
      <w:r w:rsidRPr="00A94875">
        <w:rPr>
          <w:rFonts w:asciiTheme="majorBidi" w:hAnsiTheme="majorBidi" w:cstheme="majorBidi"/>
          <w:lang w:val="en-GB"/>
        </w:rPr>
        <w:t>13</w:t>
      </w:r>
      <w:r w:rsidR="006944F8" w:rsidRPr="00A94875">
        <w:rPr>
          <w:rFonts w:asciiTheme="majorBidi" w:hAnsiTheme="majorBidi" w:cstheme="majorBidi"/>
          <w:lang w:val="en-GB"/>
        </w:rPr>
        <w:t>.9</w:t>
      </w:r>
      <w:r w:rsidR="006944F8" w:rsidRPr="00A94875">
        <w:rPr>
          <w:rFonts w:asciiTheme="majorBidi" w:hAnsiTheme="majorBidi" w:cstheme="majorBidi"/>
          <w:lang w:val="en-GB"/>
        </w:rPr>
        <w:tab/>
        <w:t>Electronic meetings</w:t>
      </w:r>
      <w:bookmarkEnd w:id="193"/>
      <w:bookmarkEnd w:id="194"/>
    </w:p>
    <w:p w14:paraId="6D95583A" w14:textId="5732D59A" w:rsidR="006944F8" w:rsidRPr="00A94875" w:rsidRDefault="006944F8" w:rsidP="00541269">
      <w:pPr>
        <w:rPr>
          <w:rFonts w:asciiTheme="majorBidi" w:hAnsiTheme="majorBidi" w:cstheme="majorBidi"/>
          <w:lang w:val="en-GB"/>
        </w:rPr>
      </w:pPr>
      <w:r w:rsidRPr="00A94875">
        <w:rPr>
          <w:rFonts w:asciiTheme="majorBidi" w:hAnsiTheme="majorBidi" w:cstheme="majorBidi"/>
          <w:lang w:val="en-GB"/>
        </w:rPr>
        <w:t xml:space="preserve">TSB continues to improve electronic meeting facilities </w:t>
      </w:r>
      <w:r w:rsidR="00541269" w:rsidRPr="00A94875">
        <w:rPr>
          <w:rFonts w:asciiTheme="majorBidi" w:hAnsiTheme="majorBidi" w:cstheme="majorBidi"/>
          <w:lang w:val="en-GB"/>
        </w:rPr>
        <w:t>offered to ITU-T</w:t>
      </w:r>
      <w:r w:rsidRPr="00A94875">
        <w:rPr>
          <w:rFonts w:asciiTheme="majorBidi" w:hAnsiTheme="majorBidi" w:cstheme="majorBidi"/>
          <w:lang w:val="en-GB"/>
        </w:rPr>
        <w:t xml:space="preserve"> members. TSB now provides GoToMeeting and Adobe Connect as remote participation tools for e-meetings. TSB uses Adobe Connect as the official remote participation tool to complement physical meetings that </w:t>
      </w:r>
      <w:proofErr w:type="gramStart"/>
      <w:r w:rsidRPr="00A94875">
        <w:rPr>
          <w:rFonts w:asciiTheme="majorBidi" w:hAnsiTheme="majorBidi" w:cstheme="majorBidi"/>
          <w:lang w:val="en-GB"/>
        </w:rPr>
        <w:t>are held</w:t>
      </w:r>
      <w:proofErr w:type="gramEnd"/>
      <w:r w:rsidRPr="00A94875">
        <w:rPr>
          <w:rFonts w:asciiTheme="majorBidi" w:hAnsiTheme="majorBidi" w:cstheme="majorBidi"/>
          <w:lang w:val="en-GB"/>
        </w:rPr>
        <w:t xml:space="preserve"> </w:t>
      </w:r>
      <w:r w:rsidR="00541269" w:rsidRPr="00A94875">
        <w:rPr>
          <w:rFonts w:asciiTheme="majorBidi" w:hAnsiTheme="majorBidi" w:cstheme="majorBidi"/>
          <w:lang w:val="en-GB"/>
        </w:rPr>
        <w:t>at</w:t>
      </w:r>
      <w:r w:rsidRPr="00A94875">
        <w:rPr>
          <w:rFonts w:asciiTheme="majorBidi" w:hAnsiTheme="majorBidi" w:cstheme="majorBidi"/>
          <w:lang w:val="en-GB"/>
        </w:rPr>
        <w:t xml:space="preserve"> ITU H</w:t>
      </w:r>
      <w:r w:rsidR="00541269" w:rsidRPr="00A94875">
        <w:rPr>
          <w:rFonts w:asciiTheme="majorBidi" w:hAnsiTheme="majorBidi" w:cstheme="majorBidi"/>
          <w:lang w:val="en-GB"/>
        </w:rPr>
        <w:t xml:space="preserve">eadquarters </w:t>
      </w:r>
      <w:r w:rsidRPr="00A94875">
        <w:rPr>
          <w:rFonts w:asciiTheme="majorBidi" w:hAnsiTheme="majorBidi" w:cstheme="majorBidi"/>
          <w:lang w:val="en-GB"/>
        </w:rPr>
        <w:t xml:space="preserve">in Geneva. GoToMeeting is used for physical, fully online (virtual) and any on-demand ad-hoc meetings. Statistics on e-meetings for the last three years </w:t>
      </w:r>
      <w:proofErr w:type="gramStart"/>
      <w:r w:rsidRPr="00A94875">
        <w:rPr>
          <w:rFonts w:asciiTheme="majorBidi" w:hAnsiTheme="majorBidi" w:cstheme="majorBidi"/>
          <w:lang w:val="en-GB"/>
        </w:rPr>
        <w:t>are indicated</w:t>
      </w:r>
      <w:proofErr w:type="gramEnd"/>
      <w:r w:rsidRPr="00A94875">
        <w:rPr>
          <w:rFonts w:asciiTheme="majorBidi" w:hAnsiTheme="majorBidi" w:cstheme="majorBidi"/>
          <w:lang w:val="en-GB"/>
        </w:rPr>
        <w:t xml:space="preserve"> below.</w:t>
      </w:r>
    </w:p>
    <w:p w14:paraId="156690A0" w14:textId="77777777" w:rsidR="006944F8" w:rsidRPr="00A94875" w:rsidRDefault="006944F8" w:rsidP="006944F8">
      <w:pPr>
        <w:jc w:val="center"/>
        <w:rPr>
          <w:rFonts w:asciiTheme="majorBidi" w:hAnsiTheme="majorBidi" w:cstheme="majorBidi"/>
          <w:b/>
          <w:bCs/>
          <w:highlight w:val="yellow"/>
          <w:lang w:val="en-GB"/>
        </w:rPr>
      </w:pPr>
      <w:r w:rsidRPr="00A94875">
        <w:rPr>
          <w:noProof/>
          <w:lang w:val="en-GB"/>
        </w:rPr>
        <w:drawing>
          <wp:anchor distT="0" distB="0" distL="114300" distR="114300" simplePos="0" relativeHeight="251660288" behindDoc="0" locked="0" layoutInCell="1" allowOverlap="1" wp14:anchorId="33C1149A" wp14:editId="1140176A">
            <wp:simplePos x="0" y="0"/>
            <wp:positionH relativeFrom="column">
              <wp:posOffset>704858</wp:posOffset>
            </wp:positionH>
            <wp:positionV relativeFrom="paragraph">
              <wp:posOffset>0</wp:posOffset>
            </wp:positionV>
            <wp:extent cx="4667003" cy="2191632"/>
            <wp:effectExtent l="0" t="0" r="635" b="18415"/>
            <wp:wrapTopAndBottom/>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1"/>
              </a:graphicData>
            </a:graphic>
          </wp:anchor>
        </w:drawing>
      </w:r>
      <w:r w:rsidRPr="00A94875">
        <w:rPr>
          <w:rFonts w:asciiTheme="majorBidi" w:hAnsiTheme="majorBidi" w:cstheme="majorBidi"/>
          <w:b/>
          <w:bCs/>
          <w:lang w:val="en-GB"/>
        </w:rPr>
        <w:t xml:space="preserve">Figure </w:t>
      </w:r>
      <w:proofErr w:type="gramStart"/>
      <w:r w:rsidRPr="00A94875">
        <w:rPr>
          <w:rFonts w:asciiTheme="majorBidi" w:hAnsiTheme="majorBidi" w:cstheme="majorBidi"/>
          <w:b/>
          <w:bCs/>
          <w:lang w:val="en-GB"/>
        </w:rPr>
        <w:t>5</w:t>
      </w:r>
      <w:proofErr w:type="gramEnd"/>
      <w:r w:rsidRPr="00A94875">
        <w:rPr>
          <w:rFonts w:asciiTheme="majorBidi" w:hAnsiTheme="majorBidi" w:cstheme="majorBidi"/>
          <w:b/>
          <w:bCs/>
          <w:lang w:val="en-GB"/>
        </w:rPr>
        <w:t xml:space="preserve"> – Remote participation and e-meetings</w:t>
      </w:r>
    </w:p>
    <w:p w14:paraId="1AC6FECD" w14:textId="5439469E" w:rsidR="006944F8" w:rsidRPr="00A94875" w:rsidRDefault="002F0E38" w:rsidP="006944F8">
      <w:pPr>
        <w:pStyle w:val="Heading2"/>
        <w:rPr>
          <w:rFonts w:asciiTheme="majorBidi" w:hAnsiTheme="majorBidi" w:cstheme="majorBidi"/>
          <w:lang w:val="en-GB"/>
        </w:rPr>
      </w:pPr>
      <w:bookmarkStart w:id="195" w:name="_Toc389154483"/>
      <w:bookmarkStart w:id="196" w:name="_Toc462664285"/>
      <w:bookmarkStart w:id="197" w:name="_Toc480527879"/>
      <w:bookmarkStart w:id="198" w:name="_Toc530571894"/>
      <w:r w:rsidRPr="00A94875">
        <w:rPr>
          <w:rFonts w:asciiTheme="majorBidi" w:hAnsiTheme="majorBidi" w:cstheme="majorBidi"/>
          <w:lang w:val="en-GB"/>
        </w:rPr>
        <w:t>13</w:t>
      </w:r>
      <w:r w:rsidR="006944F8" w:rsidRPr="00A94875">
        <w:rPr>
          <w:rFonts w:asciiTheme="majorBidi" w:hAnsiTheme="majorBidi" w:cstheme="majorBidi"/>
          <w:lang w:val="en-GB"/>
        </w:rPr>
        <w:t>.10</w:t>
      </w:r>
      <w:r w:rsidR="006944F8" w:rsidRPr="00A94875">
        <w:rPr>
          <w:rFonts w:asciiTheme="majorBidi" w:hAnsiTheme="majorBidi" w:cstheme="majorBidi"/>
          <w:lang w:val="en-GB"/>
        </w:rPr>
        <w:tab/>
        <w:t xml:space="preserve">Use in the ITU-T of the </w:t>
      </w:r>
      <w:r w:rsidR="00541269" w:rsidRPr="00A94875">
        <w:rPr>
          <w:rFonts w:asciiTheme="majorBidi" w:hAnsiTheme="majorBidi" w:cstheme="majorBidi"/>
          <w:lang w:val="en-GB"/>
        </w:rPr>
        <w:t xml:space="preserve">official </w:t>
      </w:r>
      <w:r w:rsidR="006944F8" w:rsidRPr="00A94875">
        <w:rPr>
          <w:rFonts w:asciiTheme="majorBidi" w:hAnsiTheme="majorBidi" w:cstheme="majorBidi"/>
          <w:lang w:val="en-GB"/>
        </w:rPr>
        <w:t>languages of the Union on an equal footing</w:t>
      </w:r>
      <w:bookmarkEnd w:id="195"/>
      <w:bookmarkEnd w:id="196"/>
      <w:bookmarkEnd w:id="197"/>
      <w:bookmarkEnd w:id="198"/>
    </w:p>
    <w:p w14:paraId="5F29CC8C" w14:textId="3B4701F8" w:rsidR="006944F8" w:rsidRPr="00A94875" w:rsidRDefault="006944F8" w:rsidP="00541269">
      <w:pPr>
        <w:rPr>
          <w:rFonts w:asciiTheme="majorBidi" w:hAnsiTheme="majorBidi" w:cstheme="majorBidi"/>
          <w:lang w:val="en-GB"/>
        </w:rPr>
      </w:pPr>
      <w:r w:rsidRPr="00A94875">
        <w:rPr>
          <w:rFonts w:asciiTheme="majorBidi" w:hAnsiTheme="majorBidi" w:cstheme="majorBidi"/>
          <w:lang w:val="en-GB"/>
        </w:rPr>
        <w:t xml:space="preserve">The Standardization Committee for Vocabulary (SCV), composed </w:t>
      </w:r>
      <w:r w:rsidR="00541269" w:rsidRPr="00A94875">
        <w:rPr>
          <w:rFonts w:asciiTheme="majorBidi" w:hAnsiTheme="majorBidi" w:cstheme="majorBidi"/>
          <w:lang w:val="en-GB"/>
        </w:rPr>
        <w:t>of</w:t>
      </w:r>
      <w:r w:rsidRPr="00A94875">
        <w:rPr>
          <w:rFonts w:asciiTheme="majorBidi" w:hAnsiTheme="majorBidi" w:cstheme="majorBidi"/>
          <w:lang w:val="en-GB"/>
        </w:rPr>
        <w:t xml:space="preserve"> ITU-T </w:t>
      </w:r>
      <w:proofErr w:type="gramStart"/>
      <w:r w:rsidR="00541269" w:rsidRPr="00A94875">
        <w:rPr>
          <w:rFonts w:asciiTheme="majorBidi" w:hAnsiTheme="majorBidi" w:cstheme="majorBidi"/>
          <w:lang w:val="en-GB"/>
        </w:rPr>
        <w:t>members</w:t>
      </w:r>
      <w:proofErr w:type="gramEnd"/>
      <w:r w:rsidR="00541269" w:rsidRPr="00A94875">
        <w:rPr>
          <w:rFonts w:asciiTheme="majorBidi" w:hAnsiTheme="majorBidi" w:cstheme="majorBidi"/>
          <w:lang w:val="en-GB"/>
        </w:rPr>
        <w:t xml:space="preserve"> </w:t>
      </w:r>
      <w:r w:rsidRPr="00A94875">
        <w:rPr>
          <w:rFonts w:asciiTheme="majorBidi" w:hAnsiTheme="majorBidi" w:cstheme="majorBidi"/>
          <w:lang w:val="en-GB"/>
        </w:rPr>
        <w:t>expert in all the official languages, serves as focal point to ITU-T Study Groups in terminology-related matters</w:t>
      </w:r>
      <w:r w:rsidR="00541269" w:rsidRPr="00A94875">
        <w:rPr>
          <w:rFonts w:asciiTheme="majorBidi" w:hAnsiTheme="majorBidi" w:cstheme="majorBidi"/>
          <w:lang w:val="en-GB"/>
        </w:rPr>
        <w:t xml:space="preserve">. SCV guides the adoption of </w:t>
      </w:r>
      <w:r w:rsidRPr="00A94875">
        <w:rPr>
          <w:rFonts w:asciiTheme="majorBidi" w:hAnsiTheme="majorBidi" w:cstheme="majorBidi"/>
          <w:lang w:val="en-GB"/>
        </w:rPr>
        <w:t>terms and definitions in ITU-T Recommendations in accordance with WTSA Resolution 67.</w:t>
      </w:r>
    </w:p>
    <w:p w14:paraId="6198FB09" w14:textId="6CB481B7" w:rsidR="006944F8" w:rsidRPr="00A94875" w:rsidRDefault="00770A8C" w:rsidP="00541269">
      <w:pPr>
        <w:rPr>
          <w:rFonts w:asciiTheme="majorBidi" w:hAnsiTheme="majorBidi" w:cstheme="majorBidi"/>
          <w:lang w:val="en-GB"/>
        </w:rPr>
      </w:pPr>
      <w:hyperlink r:id="rId152" w:history="1">
        <w:r w:rsidR="006944F8" w:rsidRPr="00A94875">
          <w:rPr>
            <w:rStyle w:val="Hyperlink"/>
            <w:rFonts w:eastAsiaTheme="majorEastAsia"/>
            <w:szCs w:val="24"/>
            <w:lang w:val="en-GB"/>
          </w:rPr>
          <w:t>Council Resolution 1386</w:t>
        </w:r>
      </w:hyperlink>
      <w:r w:rsidR="006944F8" w:rsidRPr="00A94875">
        <w:rPr>
          <w:szCs w:val="24"/>
          <w:lang w:val="en-GB"/>
        </w:rPr>
        <w:t xml:space="preserve"> of 26 May 2017 created the ITU Coordination Committee for Terminology (CCT), </w:t>
      </w:r>
      <w:r w:rsidR="00541269" w:rsidRPr="00A94875">
        <w:rPr>
          <w:szCs w:val="24"/>
          <w:lang w:val="en-GB"/>
        </w:rPr>
        <w:t xml:space="preserve">which is </w:t>
      </w:r>
      <w:r w:rsidR="006944F8" w:rsidRPr="00A94875">
        <w:rPr>
          <w:szCs w:val="24"/>
          <w:lang w:val="en-GB"/>
        </w:rPr>
        <w:t xml:space="preserve">composed </w:t>
      </w:r>
      <w:r w:rsidR="00541269" w:rsidRPr="00A94875">
        <w:rPr>
          <w:szCs w:val="24"/>
          <w:lang w:val="en-GB"/>
        </w:rPr>
        <w:t xml:space="preserve">of </w:t>
      </w:r>
      <w:r w:rsidR="006944F8" w:rsidRPr="00A94875">
        <w:rPr>
          <w:szCs w:val="24"/>
          <w:lang w:val="en-GB"/>
        </w:rPr>
        <w:t>SCV, the ITU-R Coo</w:t>
      </w:r>
      <w:r w:rsidR="00981FB1" w:rsidRPr="00A94875">
        <w:rPr>
          <w:szCs w:val="24"/>
          <w:lang w:val="en-GB"/>
        </w:rPr>
        <w:t>r</w:t>
      </w:r>
      <w:r w:rsidR="006944F8" w:rsidRPr="00A94875">
        <w:rPr>
          <w:szCs w:val="24"/>
          <w:lang w:val="en-GB"/>
        </w:rPr>
        <w:t xml:space="preserve">dination Committee for Vocabulary (CCV) and </w:t>
      </w:r>
      <w:proofErr w:type="gramStart"/>
      <w:r w:rsidR="006944F8" w:rsidRPr="00A94875">
        <w:rPr>
          <w:szCs w:val="24"/>
          <w:lang w:val="en-GB"/>
        </w:rPr>
        <w:t>two</w:t>
      </w:r>
      <w:proofErr w:type="gramEnd"/>
      <w:r w:rsidR="006944F8" w:rsidRPr="00A94875">
        <w:rPr>
          <w:szCs w:val="24"/>
          <w:lang w:val="en-GB"/>
        </w:rPr>
        <w:t xml:space="preserve"> representatives of ITU-D. SCV has thus met twice in 2018 under the umbrella of CCT</w:t>
      </w:r>
      <w:r w:rsidR="00541269" w:rsidRPr="00A94875">
        <w:rPr>
          <w:szCs w:val="24"/>
          <w:lang w:val="en-GB"/>
        </w:rPr>
        <w:t xml:space="preserve"> in the interest of ensuring</w:t>
      </w:r>
      <w:r w:rsidR="003F36F7" w:rsidRPr="00A94875">
        <w:rPr>
          <w:szCs w:val="24"/>
          <w:lang w:val="en-GB"/>
        </w:rPr>
        <w:t xml:space="preserve"> </w:t>
      </w:r>
      <w:r w:rsidR="00541269" w:rsidRPr="00A94875">
        <w:rPr>
          <w:szCs w:val="24"/>
          <w:lang w:val="en-GB"/>
        </w:rPr>
        <w:t xml:space="preserve">the </w:t>
      </w:r>
      <w:r w:rsidR="006944F8" w:rsidRPr="00A94875">
        <w:rPr>
          <w:szCs w:val="24"/>
          <w:lang w:val="en-GB"/>
        </w:rPr>
        <w:t>harmonization of terminology across the Union.</w:t>
      </w:r>
    </w:p>
    <w:p w14:paraId="44E382DA" w14:textId="528A2AB4"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TSB continues to collect all new terms and definitions proposed by ITU-T Study Groups, enter</w:t>
      </w:r>
      <w:r w:rsidR="00541269" w:rsidRPr="00A94875">
        <w:rPr>
          <w:rFonts w:asciiTheme="majorBidi" w:hAnsiTheme="majorBidi" w:cstheme="majorBidi"/>
          <w:lang w:val="en-GB"/>
        </w:rPr>
        <w:t>ing</w:t>
      </w:r>
      <w:r w:rsidRPr="00A94875">
        <w:rPr>
          <w:rFonts w:asciiTheme="majorBidi" w:hAnsiTheme="majorBidi" w:cstheme="majorBidi"/>
          <w:lang w:val="en-GB"/>
        </w:rPr>
        <w:t xml:space="preserve"> them in</w:t>
      </w:r>
      <w:r w:rsidR="00541269" w:rsidRPr="00A94875">
        <w:rPr>
          <w:rFonts w:asciiTheme="majorBidi" w:hAnsiTheme="majorBidi" w:cstheme="majorBidi"/>
          <w:lang w:val="en-GB"/>
        </w:rPr>
        <w:t>to</w:t>
      </w:r>
      <w:r w:rsidRPr="00A94875">
        <w:rPr>
          <w:rFonts w:asciiTheme="majorBidi" w:hAnsiTheme="majorBidi" w:cstheme="majorBidi"/>
          <w:lang w:val="en-GB"/>
        </w:rPr>
        <w:t xml:space="preserve"> the online ITU Terms and Definitions database.</w:t>
      </w:r>
    </w:p>
    <w:p w14:paraId="671FC554" w14:textId="68798DBB" w:rsidR="006944F8" w:rsidRPr="00A94875" w:rsidRDefault="006944F8" w:rsidP="009E5FFA">
      <w:pPr>
        <w:rPr>
          <w:rFonts w:asciiTheme="majorBidi" w:hAnsiTheme="majorBidi" w:cstheme="majorBidi"/>
          <w:lang w:val="en-GB"/>
        </w:rPr>
      </w:pPr>
      <w:r w:rsidRPr="00A94875">
        <w:rPr>
          <w:rFonts w:asciiTheme="majorBidi" w:hAnsiTheme="majorBidi" w:cstheme="majorBidi"/>
          <w:lang w:val="en-GB"/>
        </w:rPr>
        <w:t xml:space="preserve">As requested by WTSA Resolution 67, TSB continues to translate all Recommendations approved under the </w:t>
      </w:r>
      <w:r w:rsidR="00541269" w:rsidRPr="00A94875">
        <w:rPr>
          <w:rFonts w:asciiTheme="majorBidi" w:hAnsiTheme="majorBidi" w:cstheme="majorBidi"/>
          <w:lang w:val="en-GB"/>
        </w:rPr>
        <w:t>T</w:t>
      </w:r>
      <w:r w:rsidRPr="00A94875">
        <w:rPr>
          <w:rFonts w:asciiTheme="majorBidi" w:hAnsiTheme="majorBidi" w:cstheme="majorBidi"/>
          <w:lang w:val="en-GB"/>
        </w:rPr>
        <w:t xml:space="preserve">raditional </w:t>
      </w:r>
      <w:r w:rsidR="00541269" w:rsidRPr="00A94875">
        <w:rPr>
          <w:rFonts w:asciiTheme="majorBidi" w:hAnsiTheme="majorBidi" w:cstheme="majorBidi"/>
          <w:lang w:val="en-GB"/>
        </w:rPr>
        <w:t>A</w:t>
      </w:r>
      <w:r w:rsidRPr="00A94875">
        <w:rPr>
          <w:rFonts w:asciiTheme="majorBidi" w:hAnsiTheme="majorBidi" w:cstheme="majorBidi"/>
          <w:lang w:val="en-GB"/>
        </w:rPr>
        <w:t xml:space="preserve">pproval </w:t>
      </w:r>
      <w:r w:rsidR="00541269" w:rsidRPr="00A94875">
        <w:rPr>
          <w:rFonts w:asciiTheme="majorBidi" w:hAnsiTheme="majorBidi" w:cstheme="majorBidi"/>
          <w:lang w:val="en-GB"/>
        </w:rPr>
        <w:t>P</w:t>
      </w:r>
      <w:r w:rsidRPr="00A94875">
        <w:rPr>
          <w:rFonts w:asciiTheme="majorBidi" w:hAnsiTheme="majorBidi" w:cstheme="majorBidi"/>
          <w:lang w:val="en-GB"/>
        </w:rPr>
        <w:t>rocess (TAP) as well as all TSAG reports.</w:t>
      </w:r>
    </w:p>
    <w:p w14:paraId="48E20314" w14:textId="55A996F2" w:rsidR="006944F8" w:rsidRPr="00A94875" w:rsidRDefault="006944F8" w:rsidP="00541269">
      <w:pPr>
        <w:rPr>
          <w:rFonts w:asciiTheme="majorBidi" w:hAnsiTheme="majorBidi" w:cstheme="majorBidi"/>
          <w:highlight w:val="yellow"/>
          <w:lang w:val="en-GB"/>
        </w:rPr>
      </w:pPr>
      <w:r w:rsidRPr="00A94875">
        <w:rPr>
          <w:rFonts w:asciiTheme="majorBidi" w:hAnsiTheme="majorBidi" w:cstheme="majorBidi"/>
          <w:lang w:val="en-GB"/>
        </w:rPr>
        <w:t>TSB also translated, in the reporting period, 10 AAP Recommendations, in accordance with requests received from ITU-T Study Groups and linguistic groups.</w:t>
      </w:r>
    </w:p>
    <w:p w14:paraId="219CEEC2" w14:textId="6610A6C4" w:rsidR="006944F8" w:rsidRPr="00A94875" w:rsidRDefault="002F0E38" w:rsidP="006944F8">
      <w:pPr>
        <w:pStyle w:val="Heading2"/>
        <w:rPr>
          <w:rFonts w:asciiTheme="majorBidi" w:hAnsiTheme="majorBidi" w:cstheme="majorBidi"/>
          <w:lang w:val="en-GB"/>
        </w:rPr>
      </w:pPr>
      <w:bookmarkStart w:id="199" w:name="_Toc530571895"/>
      <w:r w:rsidRPr="00A94875">
        <w:rPr>
          <w:rFonts w:asciiTheme="majorBidi" w:hAnsiTheme="majorBidi" w:cstheme="majorBidi"/>
          <w:lang w:val="en-GB"/>
        </w:rPr>
        <w:t>13</w:t>
      </w:r>
      <w:r w:rsidR="006944F8" w:rsidRPr="00A94875">
        <w:rPr>
          <w:rFonts w:asciiTheme="majorBidi" w:hAnsiTheme="majorBidi" w:cstheme="majorBidi"/>
          <w:lang w:val="en-GB"/>
        </w:rPr>
        <w:t>.11</w:t>
      </w:r>
      <w:r w:rsidR="006944F8" w:rsidRPr="00A94875">
        <w:rPr>
          <w:rFonts w:asciiTheme="majorBidi" w:hAnsiTheme="majorBidi" w:cstheme="majorBidi"/>
          <w:lang w:val="en-GB"/>
        </w:rPr>
        <w:tab/>
        <w:t>Workshops and symposia</w:t>
      </w:r>
      <w:bookmarkEnd w:id="199"/>
    </w:p>
    <w:p w14:paraId="1C804FD0" w14:textId="50F37FD3" w:rsidR="006944F8" w:rsidRPr="00A94875" w:rsidRDefault="006944F8" w:rsidP="000952E6">
      <w:pPr>
        <w:rPr>
          <w:lang w:val="en-GB"/>
        </w:rPr>
      </w:pPr>
      <w:r w:rsidRPr="00A94875">
        <w:rPr>
          <w:lang w:val="en-GB"/>
        </w:rPr>
        <w:t>ITU</w:t>
      </w:r>
      <w:r w:rsidR="007E60A7" w:rsidRPr="00A94875">
        <w:rPr>
          <w:lang w:val="en-GB"/>
        </w:rPr>
        <w:t xml:space="preserve"> workshops and symposia</w:t>
      </w:r>
      <w:r w:rsidRPr="00A94875">
        <w:rPr>
          <w:lang w:val="en-GB"/>
        </w:rPr>
        <w:t xml:space="preserve"> </w:t>
      </w:r>
      <w:r w:rsidR="007E60A7" w:rsidRPr="00A94875">
        <w:rPr>
          <w:lang w:val="en-GB"/>
        </w:rPr>
        <w:t xml:space="preserve">discuss emerging trends in standardization, </w:t>
      </w:r>
      <w:r w:rsidRPr="00A94875">
        <w:rPr>
          <w:lang w:val="en-GB"/>
        </w:rPr>
        <w:t xml:space="preserve">increase </w:t>
      </w:r>
      <w:r w:rsidR="007E60A7" w:rsidRPr="00A94875">
        <w:rPr>
          <w:lang w:val="en-GB"/>
        </w:rPr>
        <w:t xml:space="preserve">the </w:t>
      </w:r>
      <w:r w:rsidRPr="00A94875">
        <w:rPr>
          <w:lang w:val="en-GB"/>
        </w:rPr>
        <w:t xml:space="preserve">visibility </w:t>
      </w:r>
      <w:r w:rsidR="007E60A7" w:rsidRPr="00A94875">
        <w:rPr>
          <w:lang w:val="en-GB"/>
        </w:rPr>
        <w:t xml:space="preserve">of ITU-T work, enhance ITU-T collaboration with other bodies, </w:t>
      </w:r>
      <w:r w:rsidR="000952E6" w:rsidRPr="00A94875">
        <w:rPr>
          <w:lang w:val="en-GB"/>
        </w:rPr>
        <w:t xml:space="preserve">attract and recruit new ITU-T members, </w:t>
      </w:r>
      <w:r w:rsidR="007E60A7" w:rsidRPr="00A94875">
        <w:rPr>
          <w:lang w:val="en-GB"/>
        </w:rPr>
        <w:t>and encourage peer-learning relevant to the development and implementation of international standards.</w:t>
      </w:r>
    </w:p>
    <w:p w14:paraId="61F35416" w14:textId="6F96FA29" w:rsidR="000952E6" w:rsidRPr="00A94875" w:rsidRDefault="00403A2F" w:rsidP="009E5FFA">
      <w:pPr>
        <w:rPr>
          <w:lang w:val="en-GB"/>
        </w:rPr>
      </w:pPr>
      <w:r w:rsidRPr="00A94875">
        <w:rPr>
          <w:lang w:val="en-GB"/>
        </w:rPr>
        <w:t>Below provides a snapshot of new and evolving features of ITU workshops and symposia</w:t>
      </w:r>
      <w:r w:rsidR="000952E6" w:rsidRPr="00A94875">
        <w:rPr>
          <w:lang w:val="en-GB"/>
        </w:rPr>
        <w:t>.</w:t>
      </w:r>
    </w:p>
    <w:p w14:paraId="4EEDC87A" w14:textId="618AA506" w:rsidR="000952E6" w:rsidRPr="00A94875" w:rsidRDefault="000952E6" w:rsidP="009E5FFA">
      <w:pPr>
        <w:rPr>
          <w:lang w:val="en-GB"/>
        </w:rPr>
      </w:pPr>
      <w:r w:rsidRPr="00A94875">
        <w:rPr>
          <w:b/>
          <w:bCs/>
          <w:lang w:val="en-GB"/>
        </w:rPr>
        <w:t>Executive summary</w:t>
      </w:r>
      <w:r w:rsidRPr="00A94875">
        <w:rPr>
          <w:lang w:val="en-GB"/>
        </w:rPr>
        <w:t xml:space="preserve"> – An executive summary </w:t>
      </w:r>
      <w:proofErr w:type="gramStart"/>
      <w:r w:rsidRPr="00A94875">
        <w:rPr>
          <w:lang w:val="en-GB"/>
        </w:rPr>
        <w:t>is generated</w:t>
      </w:r>
      <w:proofErr w:type="gramEnd"/>
      <w:r w:rsidRPr="00A94875">
        <w:rPr>
          <w:lang w:val="en-GB"/>
        </w:rPr>
        <w:t xml:space="preserve"> f</w:t>
      </w:r>
      <w:r w:rsidR="00EA1CF6" w:rsidRPr="00A94875">
        <w:rPr>
          <w:lang w:val="en-GB"/>
        </w:rPr>
        <w:t xml:space="preserve">or the majority of </w:t>
      </w:r>
      <w:r w:rsidR="00403A2F" w:rsidRPr="00A94875">
        <w:rPr>
          <w:lang w:val="en-GB"/>
        </w:rPr>
        <w:t xml:space="preserve">ITU </w:t>
      </w:r>
      <w:r w:rsidR="00EA1CF6" w:rsidRPr="00A94875">
        <w:rPr>
          <w:lang w:val="en-GB"/>
        </w:rPr>
        <w:t>workshops and symposia</w:t>
      </w:r>
      <w:r w:rsidR="00403A2F" w:rsidRPr="00A94875">
        <w:rPr>
          <w:lang w:val="en-GB"/>
        </w:rPr>
        <w:t xml:space="preserve"> to offer a concise summary of an event’s key points of discussion and notable outcomes</w:t>
      </w:r>
      <w:r w:rsidRPr="00A94875">
        <w:rPr>
          <w:lang w:val="en-GB"/>
        </w:rPr>
        <w:t>.</w:t>
      </w:r>
    </w:p>
    <w:p w14:paraId="1330CD29" w14:textId="5FEADDCB" w:rsidR="000952E6" w:rsidRPr="00A94875" w:rsidRDefault="000952E6" w:rsidP="009E5FFA">
      <w:pPr>
        <w:rPr>
          <w:lang w:val="en-GB"/>
        </w:rPr>
      </w:pPr>
      <w:r w:rsidRPr="00A94875">
        <w:rPr>
          <w:b/>
          <w:bCs/>
          <w:lang w:val="en-GB"/>
        </w:rPr>
        <w:lastRenderedPageBreak/>
        <w:t>Automatic audience engagement system</w:t>
      </w:r>
      <w:r w:rsidRPr="00A94875">
        <w:rPr>
          <w:lang w:val="en-GB"/>
        </w:rPr>
        <w:t xml:space="preserve"> –</w:t>
      </w:r>
      <w:r w:rsidR="00403A2F" w:rsidRPr="00A94875">
        <w:rPr>
          <w:lang w:val="en-GB"/>
        </w:rPr>
        <w:t xml:space="preserve"> </w:t>
      </w:r>
      <w:proofErr w:type="spellStart"/>
      <w:r w:rsidR="00403A2F" w:rsidRPr="00A94875">
        <w:rPr>
          <w:lang w:val="en-GB"/>
        </w:rPr>
        <w:t>PigeonHole</w:t>
      </w:r>
      <w:proofErr w:type="spellEnd"/>
      <w:r w:rsidR="00403A2F" w:rsidRPr="00A94875">
        <w:rPr>
          <w:lang w:val="en-GB"/>
        </w:rPr>
        <w:t xml:space="preserve"> is a new addition to ITU workshops and symposia. The tool increases audience engagement by capturing questions, and their degree of popularity among the audience, via participants’ PCs and mobile devices. </w:t>
      </w:r>
    </w:p>
    <w:p w14:paraId="523B5364" w14:textId="28EE2240" w:rsidR="000952E6" w:rsidRPr="00A94875" w:rsidRDefault="000952E6" w:rsidP="009E5FFA">
      <w:pPr>
        <w:rPr>
          <w:lang w:val="en-GB"/>
        </w:rPr>
      </w:pPr>
      <w:r w:rsidRPr="00A94875">
        <w:rPr>
          <w:b/>
          <w:bCs/>
          <w:lang w:val="en-GB"/>
        </w:rPr>
        <w:t>CRM Registration</w:t>
      </w:r>
      <w:r w:rsidRPr="00A94875">
        <w:rPr>
          <w:lang w:val="en-GB"/>
        </w:rPr>
        <w:t xml:space="preserve"> – A new registration system </w:t>
      </w:r>
      <w:proofErr w:type="gramStart"/>
      <w:r w:rsidRPr="00A94875">
        <w:rPr>
          <w:lang w:val="en-GB"/>
        </w:rPr>
        <w:t>has been implemented</w:t>
      </w:r>
      <w:proofErr w:type="gramEnd"/>
      <w:r w:rsidRPr="00A94875">
        <w:rPr>
          <w:lang w:val="en-GB"/>
        </w:rPr>
        <w:t xml:space="preserve"> for </w:t>
      </w:r>
      <w:r w:rsidR="00403A2F" w:rsidRPr="00A94875">
        <w:rPr>
          <w:lang w:val="en-GB"/>
        </w:rPr>
        <w:t xml:space="preserve">ITU workshops and symposia with the goal of delivering a rapid, user-friendly registration experience. </w:t>
      </w:r>
    </w:p>
    <w:p w14:paraId="48FB17B1" w14:textId="2A0ACE8C" w:rsidR="000952E6" w:rsidRPr="00A94875" w:rsidRDefault="00403A2F" w:rsidP="009E5FFA">
      <w:pPr>
        <w:rPr>
          <w:lang w:val="en-GB"/>
        </w:rPr>
      </w:pPr>
      <w:r w:rsidRPr="00A94875">
        <w:rPr>
          <w:b/>
          <w:bCs/>
          <w:lang w:val="en-GB"/>
        </w:rPr>
        <w:t>Open c</w:t>
      </w:r>
      <w:r w:rsidR="000952E6" w:rsidRPr="00A94875">
        <w:rPr>
          <w:b/>
          <w:bCs/>
          <w:lang w:val="en-GB"/>
        </w:rPr>
        <w:t>ontent</w:t>
      </w:r>
      <w:r w:rsidRPr="00A94875">
        <w:rPr>
          <w:b/>
          <w:bCs/>
          <w:lang w:val="en-GB"/>
        </w:rPr>
        <w:t xml:space="preserve"> </w:t>
      </w:r>
      <w:r w:rsidR="000952E6" w:rsidRPr="00A94875">
        <w:rPr>
          <w:lang w:val="en-GB"/>
        </w:rPr>
        <w:t xml:space="preserve">– </w:t>
      </w:r>
      <w:r w:rsidRPr="00A94875">
        <w:rPr>
          <w:lang w:val="en-GB"/>
        </w:rPr>
        <w:t xml:space="preserve">Speakers’ presentations and biographies </w:t>
      </w:r>
      <w:proofErr w:type="gramStart"/>
      <w:r w:rsidRPr="00A94875">
        <w:rPr>
          <w:lang w:val="en-GB"/>
        </w:rPr>
        <w:t>are all published</w:t>
      </w:r>
      <w:proofErr w:type="gramEnd"/>
      <w:r w:rsidRPr="00A94875">
        <w:rPr>
          <w:lang w:val="en-GB"/>
        </w:rPr>
        <w:t xml:space="preserve"> on ITU’s website to ensure open access to workshop content</w:t>
      </w:r>
      <w:r w:rsidR="000952E6" w:rsidRPr="00A94875">
        <w:rPr>
          <w:lang w:val="en-GB"/>
        </w:rPr>
        <w:t>.</w:t>
      </w:r>
    </w:p>
    <w:p w14:paraId="0B019904" w14:textId="067E8AFA" w:rsidR="000952E6" w:rsidRPr="00A94875" w:rsidRDefault="00403A2F" w:rsidP="00DD288D">
      <w:pPr>
        <w:rPr>
          <w:lang w:val="en-GB"/>
        </w:rPr>
      </w:pPr>
      <w:r w:rsidRPr="00A94875">
        <w:rPr>
          <w:b/>
          <w:bCs/>
          <w:lang w:val="en-GB"/>
        </w:rPr>
        <w:t>Remote participation and w</w:t>
      </w:r>
      <w:r w:rsidR="000952E6" w:rsidRPr="00A94875">
        <w:rPr>
          <w:b/>
          <w:bCs/>
          <w:lang w:val="en-GB"/>
        </w:rPr>
        <w:t>ebcast</w:t>
      </w:r>
      <w:r w:rsidRPr="00A94875">
        <w:rPr>
          <w:b/>
          <w:bCs/>
          <w:lang w:val="en-GB"/>
        </w:rPr>
        <w:t>s</w:t>
      </w:r>
      <w:r w:rsidR="000952E6" w:rsidRPr="00A94875">
        <w:rPr>
          <w:lang w:val="en-GB"/>
        </w:rPr>
        <w:t xml:space="preserve"> – </w:t>
      </w:r>
      <w:r w:rsidRPr="00A94875">
        <w:rPr>
          <w:lang w:val="en-GB"/>
        </w:rPr>
        <w:t>The majority of ITU workshops and symposia feature online r</w:t>
      </w:r>
      <w:r w:rsidR="000952E6" w:rsidRPr="00A94875">
        <w:rPr>
          <w:lang w:val="en-GB"/>
        </w:rPr>
        <w:t>emote participatio</w:t>
      </w:r>
      <w:r w:rsidRPr="00A94875">
        <w:rPr>
          <w:lang w:val="en-GB"/>
        </w:rPr>
        <w:t xml:space="preserve">n and webcasts. Archived recordings </w:t>
      </w:r>
      <w:proofErr w:type="gramStart"/>
      <w:r w:rsidRPr="00A94875">
        <w:rPr>
          <w:lang w:val="en-GB"/>
        </w:rPr>
        <w:t>are found</w:t>
      </w:r>
      <w:proofErr w:type="gramEnd"/>
      <w:r w:rsidRPr="00A94875">
        <w:rPr>
          <w:lang w:val="en-GB"/>
        </w:rPr>
        <w:t xml:space="preserve"> on ITU’s website to ensure open access to workshop content</w:t>
      </w:r>
      <w:r w:rsidR="000952E6" w:rsidRPr="00A94875">
        <w:rPr>
          <w:lang w:val="en-GB"/>
        </w:rPr>
        <w:t>. For more information on rem</w:t>
      </w:r>
      <w:r w:rsidR="00DD288D" w:rsidRPr="00A94875">
        <w:rPr>
          <w:lang w:val="en-GB"/>
        </w:rPr>
        <w:t>ote participation, see Section 13</w:t>
      </w:r>
      <w:r w:rsidR="000952E6" w:rsidRPr="00A94875">
        <w:rPr>
          <w:lang w:val="en-GB"/>
        </w:rPr>
        <w:t>.9.</w:t>
      </w:r>
    </w:p>
    <w:p w14:paraId="01828F0C" w14:textId="76F1B466" w:rsidR="006944F8" w:rsidRPr="00A94875" w:rsidRDefault="006944F8" w:rsidP="007E60A7">
      <w:pPr>
        <w:rPr>
          <w:lang w:val="en-GB"/>
        </w:rPr>
      </w:pPr>
      <w:r w:rsidRPr="00A94875">
        <w:rPr>
          <w:lang w:val="en-GB"/>
        </w:rPr>
        <w:t>The following ITU workshops</w:t>
      </w:r>
      <w:r w:rsidR="007E60A7" w:rsidRPr="00A94875">
        <w:rPr>
          <w:lang w:val="en-GB"/>
        </w:rPr>
        <w:t xml:space="preserve"> and </w:t>
      </w:r>
      <w:r w:rsidRPr="00A94875">
        <w:rPr>
          <w:lang w:val="en-GB"/>
        </w:rPr>
        <w:t>symposia</w:t>
      </w:r>
      <w:r w:rsidR="007E60A7" w:rsidRPr="00A94875">
        <w:rPr>
          <w:lang w:val="en-GB"/>
        </w:rPr>
        <w:t>, arranged by venue,</w:t>
      </w:r>
      <w:r w:rsidRPr="00A94875">
        <w:rPr>
          <w:lang w:val="en-GB"/>
        </w:rPr>
        <w:t xml:space="preserve"> </w:t>
      </w:r>
      <w:proofErr w:type="gramStart"/>
      <w:r w:rsidRPr="00A94875">
        <w:rPr>
          <w:lang w:val="en-GB"/>
        </w:rPr>
        <w:t>were organized</w:t>
      </w:r>
      <w:proofErr w:type="gramEnd"/>
      <w:r w:rsidRPr="00A94875">
        <w:rPr>
          <w:lang w:val="en-GB"/>
        </w:rPr>
        <w:t xml:space="preserve"> </w:t>
      </w:r>
      <w:r w:rsidR="00403A2F" w:rsidRPr="00A94875">
        <w:rPr>
          <w:lang w:val="en-GB"/>
        </w:rPr>
        <w:t xml:space="preserve">by TSB </w:t>
      </w:r>
      <w:r w:rsidRPr="00A94875">
        <w:rPr>
          <w:lang w:val="en-GB"/>
        </w:rPr>
        <w:t>since January 2018:</w:t>
      </w:r>
    </w:p>
    <w:p w14:paraId="42851A49" w14:textId="31A2B37A" w:rsidR="006944F8" w:rsidRPr="00A94875" w:rsidRDefault="006944F8" w:rsidP="006944F8">
      <w:pPr>
        <w:rPr>
          <w:szCs w:val="24"/>
          <w:lang w:val="en-GB"/>
        </w:rPr>
      </w:pPr>
      <w:r w:rsidRPr="00A94875">
        <w:rPr>
          <w:b/>
          <w:bCs/>
          <w:szCs w:val="24"/>
          <w:lang w:val="en-GB"/>
        </w:rPr>
        <w:t>Geneva, Switzerland:</w:t>
      </w:r>
    </w:p>
    <w:p w14:paraId="074E473A" w14:textId="77777777" w:rsidR="006944F8" w:rsidRPr="00A94875" w:rsidRDefault="006944F8" w:rsidP="009261B2">
      <w:pPr>
        <w:pStyle w:val="ListParagraph"/>
        <w:numPr>
          <w:ilvl w:val="0"/>
          <w:numId w:val="52"/>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Workshop on "Future of Cable TV", 25-26 January 2018.</w:t>
      </w:r>
    </w:p>
    <w:p w14:paraId="610F3457" w14:textId="77777777" w:rsidR="006944F8" w:rsidRPr="00A94875" w:rsidRDefault="006944F8" w:rsidP="009261B2">
      <w:pPr>
        <w:pStyle w:val="ListParagraph"/>
        <w:numPr>
          <w:ilvl w:val="0"/>
          <w:numId w:val="52"/>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Joint IEEE 802 and ITU-T Study Group 15 workshop “Building Tomorrow’s Networks”, 27 January 2018.</w:t>
      </w:r>
    </w:p>
    <w:p w14:paraId="1F57D742" w14:textId="77777777" w:rsidR="006944F8" w:rsidRPr="00A94875" w:rsidRDefault="006944F8" w:rsidP="009261B2">
      <w:pPr>
        <w:pStyle w:val="ListParagraph"/>
        <w:numPr>
          <w:ilvl w:val="0"/>
          <w:numId w:val="52"/>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Workshop on Machine Learning for 5G and beyond, 29 January 2018.</w:t>
      </w:r>
    </w:p>
    <w:p w14:paraId="68B269E8" w14:textId="499177D0" w:rsidR="007E60A7" w:rsidRPr="00A94875" w:rsidRDefault="007E60A7" w:rsidP="009261B2">
      <w:pPr>
        <w:pStyle w:val="ListParagraph"/>
        <w:numPr>
          <w:ilvl w:val="0"/>
          <w:numId w:val="52"/>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Symposium on the Future Networked Car, 8 March 2018.</w:t>
      </w:r>
    </w:p>
    <w:p w14:paraId="07E9B6CD" w14:textId="77777777" w:rsidR="006944F8" w:rsidRPr="00A94875" w:rsidRDefault="006944F8" w:rsidP="009261B2">
      <w:pPr>
        <w:pStyle w:val="ListParagraph"/>
        <w:numPr>
          <w:ilvl w:val="0"/>
          <w:numId w:val="52"/>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Workshop on 5G Security, 19 March 2018.</w:t>
      </w:r>
    </w:p>
    <w:p w14:paraId="2C169650" w14:textId="77777777" w:rsidR="006944F8" w:rsidRPr="00A94875" w:rsidRDefault="006944F8" w:rsidP="009261B2">
      <w:pPr>
        <w:pStyle w:val="ListParagraph"/>
        <w:numPr>
          <w:ilvl w:val="0"/>
          <w:numId w:val="52"/>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The role of International Standards and of the Basel Convention in tackling e-waste and achieving a Circular Economy, 23 March 2018.</w:t>
      </w:r>
    </w:p>
    <w:p w14:paraId="52062FEE" w14:textId="752CBE8D" w:rsidR="007E60A7" w:rsidRPr="00A94875" w:rsidRDefault="007E60A7" w:rsidP="009261B2">
      <w:pPr>
        <w:pStyle w:val="ListParagraph"/>
        <w:numPr>
          <w:ilvl w:val="0"/>
          <w:numId w:val="52"/>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AI for Good Global Summit, 15-17 May 2018.</w:t>
      </w:r>
    </w:p>
    <w:p w14:paraId="79914B9B" w14:textId="77777777" w:rsidR="006944F8" w:rsidRPr="00A94875" w:rsidRDefault="006944F8" w:rsidP="009261B2">
      <w:pPr>
        <w:pStyle w:val="ListParagraph"/>
        <w:numPr>
          <w:ilvl w:val="0"/>
          <w:numId w:val="52"/>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Third annual ITU IMT-2020/5G Workshop and Demo Day – 2018, 18 July 2018.</w:t>
      </w:r>
    </w:p>
    <w:p w14:paraId="560E83A0" w14:textId="77777777" w:rsidR="006944F8" w:rsidRPr="00A94875" w:rsidRDefault="006944F8" w:rsidP="009261B2">
      <w:pPr>
        <w:pStyle w:val="ListParagraph"/>
        <w:numPr>
          <w:ilvl w:val="0"/>
          <w:numId w:val="52"/>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Workshop on Global approaches on combating counterfeiting and stolen ICT devices, 23 July 2018.</w:t>
      </w:r>
    </w:p>
    <w:p w14:paraId="05DC76F5" w14:textId="77777777" w:rsidR="006944F8" w:rsidRPr="00A94875" w:rsidRDefault="006944F8" w:rsidP="009261B2">
      <w:pPr>
        <w:pStyle w:val="ListParagraph"/>
        <w:numPr>
          <w:ilvl w:val="0"/>
          <w:numId w:val="52"/>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Workshop on Advanced Cybersecurity Attacks and Ransomware , 28 August 2018</w:t>
      </w:r>
    </w:p>
    <w:p w14:paraId="75CC42B5" w14:textId="77777777" w:rsidR="006944F8" w:rsidRPr="00A94875" w:rsidRDefault="006944F8" w:rsidP="009261B2">
      <w:pPr>
        <w:pStyle w:val="ListParagraph"/>
        <w:numPr>
          <w:ilvl w:val="0"/>
          <w:numId w:val="52"/>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Workshop on "Artificial Intelligence for Health", 25 September 2018.</w:t>
      </w:r>
    </w:p>
    <w:p w14:paraId="38281250" w14:textId="77777777" w:rsidR="006944F8" w:rsidRPr="00A94875" w:rsidRDefault="006944F8" w:rsidP="009261B2">
      <w:pPr>
        <w:pStyle w:val="ListParagraph"/>
        <w:numPr>
          <w:ilvl w:val="0"/>
          <w:numId w:val="52"/>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Workshop on Telecommunication Service Quality Regulatory Frameworks and Experience Driven Networking, 26 November 2018.</w:t>
      </w:r>
    </w:p>
    <w:p w14:paraId="3F3A7E43" w14:textId="77777777" w:rsidR="006944F8" w:rsidRPr="00A94875" w:rsidRDefault="006944F8" w:rsidP="006944F8">
      <w:pPr>
        <w:rPr>
          <w:b/>
          <w:bCs/>
          <w:szCs w:val="24"/>
          <w:lang w:val="en-GB"/>
        </w:rPr>
      </w:pPr>
      <w:r w:rsidRPr="00A94875">
        <w:rPr>
          <w:b/>
          <w:bCs/>
          <w:szCs w:val="24"/>
          <w:lang w:val="en-GB"/>
        </w:rPr>
        <w:t>Europe:</w:t>
      </w:r>
    </w:p>
    <w:p w14:paraId="420A9A98" w14:textId="77777777" w:rsidR="006944F8" w:rsidRPr="00A94875" w:rsidRDefault="006944F8" w:rsidP="009261B2">
      <w:pPr>
        <w:pStyle w:val="ListParagraph"/>
        <w:numPr>
          <w:ilvl w:val="0"/>
          <w:numId w:val="53"/>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 xml:space="preserve">1st ITU Workshop on Data Processing and Management for </w:t>
      </w:r>
      <w:proofErr w:type="spellStart"/>
      <w:r w:rsidRPr="00A94875">
        <w:rPr>
          <w:rFonts w:ascii="Times New Roman" w:hAnsi="Times New Roman"/>
          <w:sz w:val="24"/>
          <w:szCs w:val="24"/>
          <w:lang w:val="en-GB"/>
        </w:rPr>
        <w:t>IoT</w:t>
      </w:r>
      <w:proofErr w:type="spellEnd"/>
      <w:r w:rsidRPr="00A94875">
        <w:rPr>
          <w:rFonts w:ascii="Times New Roman" w:hAnsi="Times New Roman"/>
          <w:sz w:val="24"/>
          <w:szCs w:val="24"/>
          <w:lang w:val="en-GB"/>
        </w:rPr>
        <w:t xml:space="preserve"> and Smart Cities &amp; Communities, Brussels, Belgium, 19 February 2018.</w:t>
      </w:r>
    </w:p>
    <w:p w14:paraId="2BD99349" w14:textId="77777777" w:rsidR="006944F8" w:rsidRPr="00A94875" w:rsidRDefault="006944F8" w:rsidP="009261B2">
      <w:pPr>
        <w:pStyle w:val="ListParagraph"/>
        <w:numPr>
          <w:ilvl w:val="0"/>
          <w:numId w:val="53"/>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Third meeting of the United for Smart Sustainable Cities Initiative (U4SSC), Malaga, Spain, 26 April 2018.</w:t>
      </w:r>
    </w:p>
    <w:p w14:paraId="54F417BB" w14:textId="77777777" w:rsidR="006944F8" w:rsidRPr="00A94875" w:rsidRDefault="006944F8" w:rsidP="009261B2">
      <w:pPr>
        <w:pStyle w:val="ListParagraph"/>
        <w:numPr>
          <w:ilvl w:val="0"/>
          <w:numId w:val="53"/>
        </w:numPr>
        <w:spacing w:before="60"/>
        <w:contextualSpacing w:val="0"/>
        <w:rPr>
          <w:rFonts w:ascii="Times New Roman" w:hAnsi="Times New Roman"/>
          <w:sz w:val="24"/>
          <w:szCs w:val="24"/>
          <w:lang w:val="en-GB"/>
        </w:rPr>
      </w:pPr>
      <w:proofErr w:type="spellStart"/>
      <w:r w:rsidRPr="00A94875">
        <w:rPr>
          <w:rFonts w:ascii="Times New Roman" w:hAnsi="Times New Roman"/>
          <w:sz w:val="24"/>
          <w:szCs w:val="24"/>
          <w:lang w:val="en-GB"/>
        </w:rPr>
        <w:t>IoT</w:t>
      </w:r>
      <w:proofErr w:type="spellEnd"/>
      <w:r w:rsidRPr="00A94875">
        <w:rPr>
          <w:rFonts w:ascii="Times New Roman" w:hAnsi="Times New Roman"/>
          <w:sz w:val="24"/>
          <w:szCs w:val="24"/>
          <w:lang w:val="en-GB"/>
        </w:rPr>
        <w:t xml:space="preserve"> Week 2018, Bilbao, Spain, 4-7 June 2018.</w:t>
      </w:r>
    </w:p>
    <w:p w14:paraId="333F5453" w14:textId="77777777" w:rsidR="006944F8" w:rsidRPr="00A94875" w:rsidRDefault="006944F8" w:rsidP="009261B2">
      <w:pPr>
        <w:pStyle w:val="ListParagraph"/>
        <w:numPr>
          <w:ilvl w:val="0"/>
          <w:numId w:val="53"/>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Workshop on "Multimedia applications and the future of digital society", Ljubljana, Slovenia, 9 July 2018.</w:t>
      </w:r>
    </w:p>
    <w:p w14:paraId="1F92C381" w14:textId="4876AB3E" w:rsidR="006944F8" w:rsidRPr="00A94875" w:rsidRDefault="006944F8" w:rsidP="009261B2">
      <w:pPr>
        <w:pStyle w:val="ListParagraph"/>
        <w:numPr>
          <w:ilvl w:val="0"/>
          <w:numId w:val="53"/>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Workshop on Telecommunication Service Quality, Istanbul,</w:t>
      </w:r>
      <w:r w:rsidR="00BB5C05" w:rsidRPr="00A94875">
        <w:rPr>
          <w:rFonts w:ascii="Times New Roman" w:hAnsi="Times New Roman"/>
          <w:sz w:val="24"/>
          <w:szCs w:val="24"/>
          <w:lang w:val="en-GB"/>
        </w:rPr>
        <w:t xml:space="preserve"> </w:t>
      </w:r>
      <w:r w:rsidRPr="00A94875">
        <w:rPr>
          <w:rFonts w:ascii="Times New Roman" w:hAnsi="Times New Roman"/>
          <w:sz w:val="24"/>
          <w:szCs w:val="24"/>
          <w:lang w:val="en-GB"/>
        </w:rPr>
        <w:t>Turkey, 3-4 September 2018.</w:t>
      </w:r>
    </w:p>
    <w:p w14:paraId="5C62ED0D" w14:textId="77777777" w:rsidR="006944F8" w:rsidRPr="00A94875" w:rsidRDefault="006944F8" w:rsidP="009261B2">
      <w:pPr>
        <w:pStyle w:val="ListParagraph"/>
        <w:numPr>
          <w:ilvl w:val="0"/>
          <w:numId w:val="53"/>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Forum "Towards 5G Enabled Gigabit Society", Athens, Greece, 11-12 October 2018.</w:t>
      </w:r>
    </w:p>
    <w:p w14:paraId="5A2CE69C" w14:textId="77777777" w:rsidR="006944F8" w:rsidRPr="00A94875" w:rsidRDefault="006944F8" w:rsidP="006944F8">
      <w:pPr>
        <w:rPr>
          <w:b/>
          <w:bCs/>
          <w:szCs w:val="24"/>
          <w:lang w:val="en-GB"/>
        </w:rPr>
      </w:pPr>
      <w:r w:rsidRPr="00A94875">
        <w:rPr>
          <w:b/>
          <w:bCs/>
          <w:szCs w:val="24"/>
          <w:lang w:val="en-GB"/>
        </w:rPr>
        <w:t>Africa:</w:t>
      </w:r>
    </w:p>
    <w:p w14:paraId="59F37A37" w14:textId="77777777" w:rsidR="000952E6" w:rsidRPr="00A94875" w:rsidRDefault="000952E6" w:rsidP="009261B2">
      <w:pPr>
        <w:pStyle w:val="ListParagraph"/>
        <w:numPr>
          <w:ilvl w:val="0"/>
          <w:numId w:val="54"/>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Regional Standardization Forum on Emerging Economic, Regulatory and Policy Trends in a Fast-Changing Digital World, Kigali, Rwanda, 5 February 2018</w:t>
      </w:r>
    </w:p>
    <w:p w14:paraId="0797D52D" w14:textId="6CA48371" w:rsidR="006944F8" w:rsidRPr="00A94875" w:rsidRDefault="006944F8" w:rsidP="009261B2">
      <w:pPr>
        <w:pStyle w:val="ListParagraph"/>
        <w:numPr>
          <w:ilvl w:val="0"/>
          <w:numId w:val="54"/>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lastRenderedPageBreak/>
        <w:t xml:space="preserve">ITU Workshop on Performance, </w:t>
      </w:r>
      <w:proofErr w:type="spellStart"/>
      <w:r w:rsidRPr="00A94875">
        <w:rPr>
          <w:rFonts w:ascii="Times New Roman" w:hAnsi="Times New Roman"/>
          <w:sz w:val="24"/>
          <w:szCs w:val="24"/>
          <w:lang w:val="en-GB"/>
        </w:rPr>
        <w:t>QoS</w:t>
      </w:r>
      <w:proofErr w:type="spellEnd"/>
      <w:r w:rsidRPr="00A94875">
        <w:rPr>
          <w:rFonts w:ascii="Times New Roman" w:hAnsi="Times New Roman"/>
          <w:sz w:val="24"/>
          <w:szCs w:val="24"/>
          <w:lang w:val="en-GB"/>
        </w:rPr>
        <w:t xml:space="preserve"> and </w:t>
      </w:r>
      <w:proofErr w:type="spellStart"/>
      <w:r w:rsidRPr="00A94875">
        <w:rPr>
          <w:rFonts w:ascii="Times New Roman" w:hAnsi="Times New Roman"/>
          <w:sz w:val="24"/>
          <w:szCs w:val="24"/>
          <w:lang w:val="en-GB"/>
        </w:rPr>
        <w:t>QoE</w:t>
      </w:r>
      <w:proofErr w:type="spellEnd"/>
      <w:r w:rsidRPr="00A94875">
        <w:rPr>
          <w:rFonts w:ascii="Times New Roman" w:hAnsi="Times New Roman"/>
          <w:sz w:val="24"/>
          <w:szCs w:val="24"/>
          <w:lang w:val="en-GB"/>
        </w:rPr>
        <w:t xml:space="preserve"> for Multimedia Services, Dakar, Senegal, 19-20 March 2018.</w:t>
      </w:r>
    </w:p>
    <w:p w14:paraId="66D9E567" w14:textId="77777777" w:rsidR="006944F8" w:rsidRPr="00A94875" w:rsidRDefault="006944F8" w:rsidP="009261B2">
      <w:pPr>
        <w:pStyle w:val="ListParagraph"/>
        <w:numPr>
          <w:ilvl w:val="0"/>
          <w:numId w:val="54"/>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Sixth Regional Workshop for Africa on "Standardization of future networks: What opportunities for Africa?</w:t>
      </w:r>
      <w:proofErr w:type="gramStart"/>
      <w:r w:rsidRPr="00A94875">
        <w:rPr>
          <w:rFonts w:ascii="Times New Roman" w:hAnsi="Times New Roman"/>
          <w:sz w:val="24"/>
          <w:szCs w:val="24"/>
          <w:lang w:val="en-GB"/>
        </w:rPr>
        <w:t>",</w:t>
      </w:r>
      <w:proofErr w:type="gramEnd"/>
      <w:r w:rsidRPr="00A94875">
        <w:rPr>
          <w:rFonts w:ascii="Times New Roman" w:hAnsi="Times New Roman"/>
          <w:sz w:val="24"/>
          <w:szCs w:val="24"/>
          <w:lang w:val="en-GB"/>
        </w:rPr>
        <w:t xml:space="preserve"> Abidjan, Côte d'Ivoire, 26 – 27 March 2018.</w:t>
      </w:r>
    </w:p>
    <w:p w14:paraId="50429A40" w14:textId="77777777" w:rsidR="006944F8" w:rsidRPr="00A94875" w:rsidRDefault="006944F8" w:rsidP="009261B2">
      <w:pPr>
        <w:pStyle w:val="ListParagraph"/>
        <w:numPr>
          <w:ilvl w:val="0"/>
          <w:numId w:val="54"/>
        </w:numPr>
        <w:spacing w:before="60"/>
        <w:contextualSpacing w:val="0"/>
        <w:rPr>
          <w:rFonts w:ascii="Times New Roman" w:hAnsi="Times New Roman"/>
          <w:sz w:val="24"/>
          <w:szCs w:val="24"/>
          <w:lang w:val="en-GB"/>
        </w:rPr>
      </w:pPr>
      <w:proofErr w:type="gramStart"/>
      <w:r w:rsidRPr="00A94875">
        <w:rPr>
          <w:rFonts w:ascii="Times New Roman" w:hAnsi="Times New Roman"/>
          <w:sz w:val="24"/>
          <w:szCs w:val="24"/>
          <w:lang w:val="en-GB"/>
        </w:rPr>
        <w:t>8th</w:t>
      </w:r>
      <w:proofErr w:type="gramEnd"/>
      <w:r w:rsidRPr="00A94875">
        <w:rPr>
          <w:rFonts w:ascii="Times New Roman" w:hAnsi="Times New Roman"/>
          <w:sz w:val="24"/>
          <w:szCs w:val="24"/>
          <w:lang w:val="en-GB"/>
        </w:rPr>
        <w:t xml:space="preserve"> Green Standards Week, Zanzibar, Tanzania, 9-12 April 2018.</w:t>
      </w:r>
    </w:p>
    <w:p w14:paraId="2624706E" w14:textId="77777777" w:rsidR="006944F8" w:rsidRPr="00A94875" w:rsidRDefault="006944F8" w:rsidP="009261B2">
      <w:pPr>
        <w:pStyle w:val="ListParagraph"/>
        <w:numPr>
          <w:ilvl w:val="1"/>
          <w:numId w:val="54"/>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12</w:t>
      </w:r>
      <w:r w:rsidRPr="00A94875">
        <w:rPr>
          <w:rFonts w:ascii="Times New Roman" w:hAnsi="Times New Roman"/>
          <w:sz w:val="24"/>
          <w:szCs w:val="24"/>
          <w:vertAlign w:val="superscript"/>
          <w:lang w:val="en-GB"/>
        </w:rPr>
        <w:t>th</w:t>
      </w:r>
      <w:r w:rsidRPr="00A94875">
        <w:rPr>
          <w:rFonts w:ascii="Times New Roman" w:hAnsi="Times New Roman"/>
          <w:sz w:val="24"/>
          <w:szCs w:val="24"/>
          <w:lang w:val="en-GB"/>
        </w:rPr>
        <w:t xml:space="preserve"> ITU Symposium on ICT, Environment and Climate Change</w:t>
      </w:r>
    </w:p>
    <w:p w14:paraId="5EF9E401" w14:textId="77777777" w:rsidR="006944F8" w:rsidRPr="00A94875" w:rsidRDefault="006944F8" w:rsidP="009261B2">
      <w:pPr>
        <w:pStyle w:val="ListParagraph"/>
        <w:numPr>
          <w:ilvl w:val="1"/>
          <w:numId w:val="54"/>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Forum and Training on With ICTs everywhere – How safe is EMF?</w:t>
      </w:r>
    </w:p>
    <w:p w14:paraId="33ACF579" w14:textId="77777777" w:rsidR="006944F8" w:rsidRPr="00A94875" w:rsidRDefault="006944F8" w:rsidP="009261B2">
      <w:pPr>
        <w:pStyle w:val="ListParagraph"/>
        <w:numPr>
          <w:ilvl w:val="1"/>
          <w:numId w:val="54"/>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Forum on Artificial Intelligence and Internet of Things in the development of Smart Sustainable Cities.</w:t>
      </w:r>
    </w:p>
    <w:p w14:paraId="0D51E725" w14:textId="49CC2410" w:rsidR="006944F8" w:rsidRPr="00A94875" w:rsidRDefault="000952E6" w:rsidP="009261B2">
      <w:pPr>
        <w:pStyle w:val="ListParagraph"/>
        <w:numPr>
          <w:ilvl w:val="0"/>
          <w:numId w:val="54"/>
        </w:numPr>
        <w:spacing w:before="60"/>
        <w:contextualSpacing w:val="0"/>
        <w:rPr>
          <w:rFonts w:ascii="Times New Roman" w:hAnsi="Times New Roman"/>
          <w:sz w:val="24"/>
          <w:szCs w:val="24"/>
          <w:lang w:val="en-GB"/>
        </w:rPr>
      </w:pPr>
      <w:proofErr w:type="gramStart"/>
      <w:r w:rsidRPr="00A94875">
        <w:rPr>
          <w:rFonts w:ascii="Times New Roman" w:hAnsi="Times New Roman"/>
          <w:sz w:val="24"/>
          <w:szCs w:val="24"/>
          <w:lang w:val="en-GB"/>
        </w:rPr>
        <w:t>10</w:t>
      </w:r>
      <w:r w:rsidR="006944F8" w:rsidRPr="00A94875">
        <w:rPr>
          <w:rFonts w:ascii="Times New Roman" w:hAnsi="Times New Roman"/>
          <w:sz w:val="24"/>
          <w:szCs w:val="24"/>
          <w:lang w:val="en-GB"/>
        </w:rPr>
        <w:t>th</w:t>
      </w:r>
      <w:proofErr w:type="gramEnd"/>
      <w:r w:rsidR="006944F8" w:rsidRPr="00A94875">
        <w:rPr>
          <w:rFonts w:ascii="Times New Roman" w:hAnsi="Times New Roman"/>
          <w:sz w:val="24"/>
          <w:szCs w:val="24"/>
          <w:lang w:val="en-GB"/>
        </w:rPr>
        <w:t xml:space="preserve"> TSB Director's CTO Meeting, Durban, South Africa, 9 September 2018.</w:t>
      </w:r>
    </w:p>
    <w:p w14:paraId="1A1D3529" w14:textId="3790645D" w:rsidR="006944F8" w:rsidRPr="00A94875" w:rsidRDefault="000952E6" w:rsidP="009261B2">
      <w:pPr>
        <w:pStyle w:val="ListParagraph"/>
        <w:numPr>
          <w:ilvl w:val="0"/>
          <w:numId w:val="54"/>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 xml:space="preserve">ITU Workshop on the </w:t>
      </w:r>
      <w:r w:rsidR="006944F8" w:rsidRPr="00A94875">
        <w:rPr>
          <w:rFonts w:ascii="Times New Roman" w:hAnsi="Times New Roman"/>
          <w:sz w:val="24"/>
          <w:szCs w:val="24"/>
          <w:lang w:val="en-GB"/>
        </w:rPr>
        <w:t>Rise of the MVNO</w:t>
      </w:r>
      <w:r w:rsidRPr="00A94875">
        <w:rPr>
          <w:rFonts w:ascii="Times New Roman" w:hAnsi="Times New Roman"/>
          <w:sz w:val="24"/>
          <w:szCs w:val="24"/>
          <w:lang w:val="en-GB"/>
        </w:rPr>
        <w:t xml:space="preserve">s </w:t>
      </w:r>
      <w:r w:rsidR="006944F8" w:rsidRPr="00A94875">
        <w:rPr>
          <w:rFonts w:ascii="Times New Roman" w:hAnsi="Times New Roman"/>
          <w:sz w:val="24"/>
          <w:szCs w:val="24"/>
          <w:lang w:val="en-GB"/>
        </w:rPr>
        <w:t>- Leveraging MVNOs in an "everything connected world", Durban, South Africa, 12 September 2018.</w:t>
      </w:r>
    </w:p>
    <w:p w14:paraId="6D8D1AA4" w14:textId="39670280" w:rsidR="006944F8" w:rsidRPr="00A94875" w:rsidRDefault="006944F8" w:rsidP="009261B2">
      <w:pPr>
        <w:pStyle w:val="ListParagraph"/>
        <w:numPr>
          <w:ilvl w:val="0"/>
          <w:numId w:val="54"/>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 xml:space="preserve">Smart ABC Programme 2018 </w:t>
      </w:r>
      <w:r w:rsidR="000952E6" w:rsidRPr="00A94875">
        <w:rPr>
          <w:rFonts w:ascii="Times New Roman" w:hAnsi="Times New Roman"/>
          <w:sz w:val="24"/>
          <w:szCs w:val="24"/>
          <w:lang w:val="en-GB"/>
        </w:rPr>
        <w:t>(</w:t>
      </w:r>
      <w:r w:rsidRPr="00A94875">
        <w:rPr>
          <w:rFonts w:ascii="Times New Roman" w:hAnsi="Times New Roman"/>
          <w:sz w:val="24"/>
          <w:szCs w:val="24"/>
          <w:lang w:val="en-GB"/>
        </w:rPr>
        <w:t>Artificial Intelligence, Banking and Cities</w:t>
      </w:r>
      <w:r w:rsidR="000952E6" w:rsidRPr="00A94875">
        <w:rPr>
          <w:rFonts w:ascii="Times New Roman" w:hAnsi="Times New Roman"/>
          <w:sz w:val="24"/>
          <w:szCs w:val="24"/>
          <w:lang w:val="en-GB"/>
        </w:rPr>
        <w:t>)</w:t>
      </w:r>
      <w:r w:rsidRPr="00A94875">
        <w:rPr>
          <w:rFonts w:ascii="Times New Roman" w:hAnsi="Times New Roman"/>
          <w:sz w:val="24"/>
          <w:szCs w:val="24"/>
          <w:lang w:val="en-GB"/>
        </w:rPr>
        <w:t>, Durban, South Africa,</w:t>
      </w:r>
      <w:r w:rsidR="000952E6" w:rsidRPr="00A94875">
        <w:rPr>
          <w:rFonts w:ascii="Times New Roman" w:hAnsi="Times New Roman"/>
          <w:sz w:val="24"/>
          <w:szCs w:val="24"/>
          <w:lang w:val="en-GB"/>
        </w:rPr>
        <w:t xml:space="preserve"> </w:t>
      </w:r>
      <w:r w:rsidRPr="00A94875">
        <w:rPr>
          <w:rFonts w:ascii="Times New Roman" w:hAnsi="Times New Roman"/>
          <w:sz w:val="24"/>
          <w:szCs w:val="24"/>
          <w:lang w:val="en-GB"/>
        </w:rPr>
        <w:t>10-13 September 2018.</w:t>
      </w:r>
    </w:p>
    <w:p w14:paraId="594400FC" w14:textId="6A00BAC5" w:rsidR="006944F8" w:rsidRPr="00A94875" w:rsidRDefault="006944F8" w:rsidP="006944F8">
      <w:pPr>
        <w:rPr>
          <w:b/>
          <w:bCs/>
          <w:szCs w:val="24"/>
          <w:lang w:val="en-GB"/>
        </w:rPr>
      </w:pPr>
      <w:r w:rsidRPr="00A94875">
        <w:rPr>
          <w:b/>
          <w:bCs/>
          <w:szCs w:val="24"/>
          <w:lang w:val="en-GB"/>
        </w:rPr>
        <w:t xml:space="preserve">Asia and </w:t>
      </w:r>
      <w:r w:rsidR="00403A2F" w:rsidRPr="00A94875">
        <w:rPr>
          <w:b/>
          <w:bCs/>
          <w:szCs w:val="24"/>
          <w:lang w:val="en-GB"/>
        </w:rPr>
        <w:t xml:space="preserve">the </w:t>
      </w:r>
      <w:r w:rsidRPr="00A94875">
        <w:rPr>
          <w:b/>
          <w:bCs/>
          <w:szCs w:val="24"/>
          <w:lang w:val="en-GB"/>
        </w:rPr>
        <w:t>Pacific:</w:t>
      </w:r>
    </w:p>
    <w:p w14:paraId="20E6A3AF" w14:textId="77777777" w:rsidR="006944F8" w:rsidRPr="00A94875" w:rsidRDefault="006944F8" w:rsidP="009261B2">
      <w:pPr>
        <w:pStyle w:val="ListParagraph"/>
        <w:numPr>
          <w:ilvl w:val="0"/>
          <w:numId w:val="55"/>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Workshop “Impact of AI on ICT Infrastructures”, Xian, China, 25 April 2018.</w:t>
      </w:r>
    </w:p>
    <w:p w14:paraId="4B2225C6" w14:textId="77777777" w:rsidR="006944F8" w:rsidRPr="00A94875" w:rsidRDefault="006944F8" w:rsidP="009261B2">
      <w:pPr>
        <w:pStyle w:val="ListParagraph"/>
        <w:numPr>
          <w:ilvl w:val="0"/>
          <w:numId w:val="55"/>
        </w:numPr>
        <w:spacing w:before="60"/>
        <w:contextualSpacing w:val="0"/>
        <w:rPr>
          <w:rFonts w:ascii="Times New Roman" w:hAnsi="Times New Roman"/>
          <w:sz w:val="24"/>
          <w:szCs w:val="24"/>
          <w:lang w:val="en-GB"/>
        </w:rPr>
      </w:pPr>
      <w:proofErr w:type="gramStart"/>
      <w:r w:rsidRPr="00A94875">
        <w:rPr>
          <w:rFonts w:ascii="Times New Roman" w:hAnsi="Times New Roman"/>
          <w:sz w:val="24"/>
          <w:szCs w:val="24"/>
          <w:lang w:val="en-GB"/>
        </w:rPr>
        <w:t>4th</w:t>
      </w:r>
      <w:proofErr w:type="gramEnd"/>
      <w:r w:rsidRPr="00A94875">
        <w:rPr>
          <w:rFonts w:ascii="Times New Roman" w:hAnsi="Times New Roman"/>
          <w:sz w:val="24"/>
          <w:szCs w:val="24"/>
          <w:lang w:val="en-GB"/>
        </w:rPr>
        <w:t xml:space="preserve"> Asia-Pacific Forum on Smart Sustainable Cities and e-Government 2018, </w:t>
      </w:r>
      <w:proofErr w:type="spellStart"/>
      <w:r w:rsidRPr="00A94875">
        <w:rPr>
          <w:rFonts w:ascii="Times New Roman" w:hAnsi="Times New Roman"/>
          <w:sz w:val="24"/>
          <w:szCs w:val="24"/>
          <w:lang w:val="en-GB"/>
        </w:rPr>
        <w:t>Thanh</w:t>
      </w:r>
      <w:proofErr w:type="spellEnd"/>
      <w:r w:rsidRPr="00A94875">
        <w:rPr>
          <w:rFonts w:ascii="Times New Roman" w:hAnsi="Times New Roman"/>
          <w:sz w:val="24"/>
          <w:szCs w:val="24"/>
          <w:lang w:val="en-GB"/>
        </w:rPr>
        <w:t xml:space="preserve"> </w:t>
      </w:r>
      <w:proofErr w:type="spellStart"/>
      <w:r w:rsidRPr="00A94875">
        <w:rPr>
          <w:rFonts w:ascii="Times New Roman" w:hAnsi="Times New Roman"/>
          <w:sz w:val="24"/>
          <w:szCs w:val="24"/>
          <w:lang w:val="en-GB"/>
        </w:rPr>
        <w:t>Hoa</w:t>
      </w:r>
      <w:proofErr w:type="spellEnd"/>
      <w:r w:rsidRPr="00A94875">
        <w:rPr>
          <w:rFonts w:ascii="Times New Roman" w:hAnsi="Times New Roman"/>
          <w:sz w:val="24"/>
          <w:szCs w:val="24"/>
          <w:lang w:val="en-GB"/>
        </w:rPr>
        <w:t xml:space="preserve"> City, Vietnam, 4-6 July 2018.</w:t>
      </w:r>
    </w:p>
    <w:p w14:paraId="6018821F" w14:textId="2744C936" w:rsidR="000952E6" w:rsidRPr="00A94875" w:rsidRDefault="000952E6" w:rsidP="009261B2">
      <w:pPr>
        <w:pStyle w:val="ListParagraph"/>
        <w:numPr>
          <w:ilvl w:val="0"/>
          <w:numId w:val="55"/>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Regional Standardization Forum on Emerging Economic, Regulatory and Policy Trends in a Fast-Changing Digital World, Xi'an, China, 27 August 2018</w:t>
      </w:r>
    </w:p>
    <w:p w14:paraId="780FF56B" w14:textId="77777777" w:rsidR="006944F8" w:rsidRPr="00A94875" w:rsidRDefault="006944F8" w:rsidP="009261B2">
      <w:pPr>
        <w:pStyle w:val="ListParagraph"/>
        <w:numPr>
          <w:ilvl w:val="0"/>
          <w:numId w:val="55"/>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International Forum on Intelligent Transport Systems (ITS), Nanjing, China, 6-7 September 2018</w:t>
      </w:r>
    </w:p>
    <w:p w14:paraId="1746F792" w14:textId="77777777" w:rsidR="006944F8" w:rsidRPr="00A94875" w:rsidRDefault="006944F8" w:rsidP="009261B2">
      <w:pPr>
        <w:pStyle w:val="ListParagraph"/>
        <w:numPr>
          <w:ilvl w:val="0"/>
          <w:numId w:val="55"/>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Forum on Artificial Intelligence, Internet of Things and Smart Cities, Wuxi, China, 3 December 2018.</w:t>
      </w:r>
    </w:p>
    <w:p w14:paraId="18944C85" w14:textId="77777777" w:rsidR="006944F8" w:rsidRPr="00A94875" w:rsidRDefault="006944F8" w:rsidP="006944F8">
      <w:pPr>
        <w:rPr>
          <w:szCs w:val="24"/>
          <w:lang w:val="en-GB"/>
        </w:rPr>
      </w:pPr>
      <w:r w:rsidRPr="00A94875">
        <w:rPr>
          <w:b/>
          <w:bCs/>
          <w:szCs w:val="24"/>
          <w:lang w:val="en-GB"/>
        </w:rPr>
        <w:t>Arab States</w:t>
      </w:r>
      <w:r w:rsidRPr="00A94875">
        <w:rPr>
          <w:szCs w:val="24"/>
          <w:lang w:val="en-GB"/>
        </w:rPr>
        <w:t>:</w:t>
      </w:r>
    </w:p>
    <w:p w14:paraId="0C4851CD" w14:textId="77777777" w:rsidR="006944F8" w:rsidRPr="00A94875" w:rsidRDefault="006944F8" w:rsidP="009261B2">
      <w:pPr>
        <w:pStyle w:val="ListParagraph"/>
        <w:numPr>
          <w:ilvl w:val="0"/>
          <w:numId w:val="56"/>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Second ITU-T Study Group 11 Regional Workshop for Africa on “Counterfeit ICT Devices, Conformance and Interoperability Testing Challenges in Africa”, Tunis, Tunisia, 23 April 2018.</w:t>
      </w:r>
    </w:p>
    <w:p w14:paraId="4D76E3E3" w14:textId="77777777" w:rsidR="006944F8" w:rsidRPr="00A94875" w:rsidRDefault="006944F8" w:rsidP="009261B2">
      <w:pPr>
        <w:pStyle w:val="ListParagraph"/>
        <w:numPr>
          <w:ilvl w:val="0"/>
          <w:numId w:val="56"/>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BSG Interactive Workshop on Effectiveness in Standardization, Tunis, Tunisia, 24 April 2018.</w:t>
      </w:r>
    </w:p>
    <w:p w14:paraId="65116111" w14:textId="77777777" w:rsidR="006944F8" w:rsidRPr="00A94875" w:rsidRDefault="006944F8" w:rsidP="009261B2">
      <w:pPr>
        <w:pStyle w:val="ListParagraph"/>
        <w:numPr>
          <w:ilvl w:val="0"/>
          <w:numId w:val="56"/>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Regional Workshop on Telecom Numbering Planning and Policies for Arab and Africa Region, Tunis, Tunisia, 25 April 2018.</w:t>
      </w:r>
    </w:p>
    <w:p w14:paraId="66C5AEB4" w14:textId="77777777" w:rsidR="006944F8" w:rsidRPr="00A94875" w:rsidRDefault="006944F8" w:rsidP="009261B2">
      <w:pPr>
        <w:pStyle w:val="ListParagraph"/>
        <w:numPr>
          <w:ilvl w:val="0"/>
          <w:numId w:val="56"/>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Forum on Exploring the Potential of Artificial Intelligence and Internet of Things, Cairo, Egypt, 6 May 2018.</w:t>
      </w:r>
    </w:p>
    <w:p w14:paraId="48CC0DF3" w14:textId="77777777" w:rsidR="006944F8" w:rsidRPr="00A94875" w:rsidRDefault="006944F8" w:rsidP="009261B2">
      <w:pPr>
        <w:pStyle w:val="ListParagraph"/>
        <w:numPr>
          <w:ilvl w:val="0"/>
          <w:numId w:val="56"/>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 xml:space="preserve">The Bridging the Standardization Gap Session on </w:t>
      </w:r>
      <w:proofErr w:type="spellStart"/>
      <w:r w:rsidRPr="00A94875">
        <w:rPr>
          <w:rFonts w:ascii="Times New Roman" w:hAnsi="Times New Roman"/>
          <w:sz w:val="24"/>
          <w:szCs w:val="24"/>
          <w:lang w:val="en-GB"/>
        </w:rPr>
        <w:t>IoT</w:t>
      </w:r>
      <w:proofErr w:type="spellEnd"/>
      <w:r w:rsidRPr="00A94875">
        <w:rPr>
          <w:rFonts w:ascii="Times New Roman" w:hAnsi="Times New Roman"/>
          <w:sz w:val="24"/>
          <w:szCs w:val="24"/>
          <w:lang w:val="en-GB"/>
        </w:rPr>
        <w:t xml:space="preserve"> (Training on </w:t>
      </w:r>
      <w:proofErr w:type="spellStart"/>
      <w:r w:rsidRPr="00A94875">
        <w:rPr>
          <w:rFonts w:ascii="Times New Roman" w:hAnsi="Times New Roman"/>
          <w:sz w:val="24"/>
          <w:szCs w:val="24"/>
          <w:lang w:val="en-GB"/>
        </w:rPr>
        <w:t>IoT</w:t>
      </w:r>
      <w:proofErr w:type="spellEnd"/>
      <w:r w:rsidRPr="00A94875">
        <w:rPr>
          <w:rFonts w:ascii="Times New Roman" w:hAnsi="Times New Roman"/>
          <w:sz w:val="24"/>
          <w:szCs w:val="24"/>
          <w:lang w:val="en-GB"/>
        </w:rPr>
        <w:t>), Cairo, Egypt, 6 May 2018.</w:t>
      </w:r>
    </w:p>
    <w:p w14:paraId="574005F5" w14:textId="77777777" w:rsidR="006944F8" w:rsidRPr="00A94875" w:rsidRDefault="006944F8" w:rsidP="009261B2">
      <w:pPr>
        <w:pStyle w:val="ListParagraph"/>
        <w:numPr>
          <w:ilvl w:val="0"/>
          <w:numId w:val="56"/>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 xml:space="preserve">Second ITU Workshop on Data Processing and Management for </w:t>
      </w:r>
      <w:proofErr w:type="spellStart"/>
      <w:r w:rsidRPr="00A94875">
        <w:rPr>
          <w:rFonts w:ascii="Times New Roman" w:hAnsi="Times New Roman"/>
          <w:sz w:val="24"/>
          <w:szCs w:val="24"/>
          <w:lang w:val="en-GB"/>
        </w:rPr>
        <w:t>IoT</w:t>
      </w:r>
      <w:proofErr w:type="spellEnd"/>
      <w:r w:rsidRPr="00A94875">
        <w:rPr>
          <w:rFonts w:ascii="Times New Roman" w:hAnsi="Times New Roman"/>
          <w:sz w:val="24"/>
          <w:szCs w:val="24"/>
          <w:lang w:val="en-GB"/>
        </w:rPr>
        <w:t xml:space="preserve"> and Smart Cities &amp; Communities, Tunis, Tunisia, 17 September 2018.</w:t>
      </w:r>
    </w:p>
    <w:p w14:paraId="4E316A4F" w14:textId="3FD7C39D" w:rsidR="006944F8" w:rsidRPr="00A94875" w:rsidRDefault="006944F8" w:rsidP="006944F8">
      <w:pPr>
        <w:rPr>
          <w:b/>
          <w:bCs/>
          <w:szCs w:val="24"/>
          <w:lang w:val="en-GB"/>
        </w:rPr>
      </w:pPr>
      <w:r w:rsidRPr="00A94875">
        <w:rPr>
          <w:b/>
          <w:bCs/>
          <w:szCs w:val="24"/>
          <w:lang w:val="en-GB"/>
        </w:rPr>
        <w:t>Americas:</w:t>
      </w:r>
    </w:p>
    <w:p w14:paraId="58C83E87" w14:textId="77777777" w:rsidR="006944F8" w:rsidRPr="00A94875" w:rsidRDefault="006944F8" w:rsidP="009261B2">
      <w:pPr>
        <w:pStyle w:val="ListParagraph"/>
        <w:numPr>
          <w:ilvl w:val="0"/>
          <w:numId w:val="57"/>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North-American Chief Technology Officer (CTO) Meeting, California, United States, 9 May 2018.</w:t>
      </w:r>
    </w:p>
    <w:p w14:paraId="1513951E" w14:textId="77777777" w:rsidR="006944F8" w:rsidRPr="00A94875" w:rsidRDefault="006944F8" w:rsidP="009261B2">
      <w:pPr>
        <w:pStyle w:val="ListParagraph"/>
        <w:numPr>
          <w:ilvl w:val="0"/>
          <w:numId w:val="57"/>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1st Forum on Artificial Intelligence and the Internet of Things in Smart Sustainable Cities in Latin America, Buenos Aires, Argentina, 29-30 May 2018.</w:t>
      </w:r>
    </w:p>
    <w:p w14:paraId="2B4C4BBC" w14:textId="77777777" w:rsidR="006944F8" w:rsidRPr="00A94875" w:rsidRDefault="006944F8" w:rsidP="009261B2">
      <w:pPr>
        <w:pStyle w:val="ListParagraph"/>
        <w:numPr>
          <w:ilvl w:val="0"/>
          <w:numId w:val="57"/>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 xml:space="preserve">Information Session on “Exploring the Role of Small and Medium Enterprises (SMEs) in Linking AI and </w:t>
      </w:r>
      <w:proofErr w:type="spellStart"/>
      <w:r w:rsidRPr="00A94875">
        <w:rPr>
          <w:rFonts w:ascii="Times New Roman" w:hAnsi="Times New Roman"/>
          <w:sz w:val="24"/>
          <w:szCs w:val="24"/>
          <w:lang w:val="en-GB"/>
        </w:rPr>
        <w:t>IoT</w:t>
      </w:r>
      <w:proofErr w:type="spellEnd"/>
      <w:r w:rsidRPr="00A94875">
        <w:rPr>
          <w:rFonts w:ascii="Times New Roman" w:hAnsi="Times New Roman"/>
          <w:sz w:val="24"/>
          <w:szCs w:val="24"/>
          <w:lang w:val="en-GB"/>
        </w:rPr>
        <w:t xml:space="preserve"> in Smart Cities”, Buenos Aires, Argentina, 30 May 2018.</w:t>
      </w:r>
    </w:p>
    <w:p w14:paraId="290228BD" w14:textId="77777777" w:rsidR="006944F8" w:rsidRPr="00A94875" w:rsidRDefault="006944F8" w:rsidP="009261B2">
      <w:pPr>
        <w:pStyle w:val="ListParagraph"/>
        <w:numPr>
          <w:ilvl w:val="0"/>
          <w:numId w:val="57"/>
        </w:numPr>
        <w:spacing w:before="60"/>
        <w:contextualSpacing w:val="0"/>
        <w:rPr>
          <w:rFonts w:ascii="Times New Roman" w:hAnsi="Times New Roman"/>
          <w:sz w:val="24"/>
          <w:szCs w:val="24"/>
          <w:lang w:val="en-GB"/>
        </w:rPr>
      </w:pPr>
      <w:proofErr w:type="gramStart"/>
      <w:r w:rsidRPr="00A94875">
        <w:rPr>
          <w:rFonts w:ascii="Times New Roman" w:hAnsi="Times New Roman"/>
          <w:sz w:val="24"/>
          <w:szCs w:val="24"/>
          <w:lang w:val="en-GB"/>
        </w:rPr>
        <w:lastRenderedPageBreak/>
        <w:t>2018</w:t>
      </w:r>
      <w:proofErr w:type="gramEnd"/>
      <w:r w:rsidRPr="00A94875">
        <w:rPr>
          <w:rFonts w:ascii="Times New Roman" w:hAnsi="Times New Roman"/>
          <w:sz w:val="24"/>
          <w:szCs w:val="24"/>
          <w:lang w:val="en-GB"/>
        </w:rPr>
        <w:t xml:space="preserve"> HLPF Side Event: "Shaping Smarter and More Sustainable Cities: Striving for Sustainable Development Goals", New York, United States, 12 July 2018.</w:t>
      </w:r>
    </w:p>
    <w:p w14:paraId="52E1B266" w14:textId="77777777" w:rsidR="006944F8" w:rsidRPr="00A94875" w:rsidRDefault="006944F8" w:rsidP="009261B2">
      <w:pPr>
        <w:pStyle w:val="ListParagraph"/>
        <w:numPr>
          <w:ilvl w:val="0"/>
          <w:numId w:val="57"/>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Workshop on Standardizing Digital Fiat Currency (DFC) and its Applications, New York, United States, 18-19 July 2018.</w:t>
      </w:r>
    </w:p>
    <w:p w14:paraId="3785E7CB" w14:textId="77777777" w:rsidR="006944F8" w:rsidRPr="00A94875" w:rsidRDefault="006944F8" w:rsidP="009261B2">
      <w:pPr>
        <w:pStyle w:val="ListParagraph"/>
        <w:numPr>
          <w:ilvl w:val="0"/>
          <w:numId w:val="57"/>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Workshop on "Machine Learning for 5G and beyond", San Jose, United States, 7 August 2018.</w:t>
      </w:r>
    </w:p>
    <w:p w14:paraId="271A3070" w14:textId="77777777" w:rsidR="006944F8" w:rsidRPr="00A94875" w:rsidRDefault="006944F8" w:rsidP="009261B2">
      <w:pPr>
        <w:pStyle w:val="ListParagraph"/>
        <w:numPr>
          <w:ilvl w:val="0"/>
          <w:numId w:val="57"/>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First Workshop on Network 2030, New York, United States, 2 October 2018.</w:t>
      </w:r>
    </w:p>
    <w:p w14:paraId="32C0FC6C" w14:textId="77F195B0" w:rsidR="006944F8" w:rsidRPr="00A94875" w:rsidRDefault="006944F8" w:rsidP="009261B2">
      <w:pPr>
        <w:pStyle w:val="ListParagraph"/>
        <w:numPr>
          <w:ilvl w:val="0"/>
          <w:numId w:val="57"/>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ITU/SAE Workshop on "How communications will change vehicles and transport", Detroit, United States, 8-9 October 2018.</w:t>
      </w:r>
    </w:p>
    <w:p w14:paraId="0A0887BD" w14:textId="494139AA" w:rsidR="009C2F17" w:rsidRPr="00A94875" w:rsidRDefault="009C2F17" w:rsidP="009261B2">
      <w:pPr>
        <w:pStyle w:val="ListParagraph"/>
        <w:numPr>
          <w:ilvl w:val="0"/>
          <w:numId w:val="57"/>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Workshop on the future of TV for the Americas, 26 November 2018, Bogotá, Colombia.</w:t>
      </w:r>
    </w:p>
    <w:p w14:paraId="30A09CDE" w14:textId="77777777" w:rsidR="006944F8" w:rsidRPr="00A94875" w:rsidRDefault="006944F8" w:rsidP="009261B2">
      <w:pPr>
        <w:pStyle w:val="ListParagraph"/>
        <w:numPr>
          <w:ilvl w:val="0"/>
          <w:numId w:val="57"/>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ITU Kaleidoscope conference on Machine learning for a 5G future, Santa Fe, Argentina, 26-28 November 2018.</w:t>
      </w:r>
    </w:p>
    <w:p w14:paraId="1CAEBE20" w14:textId="77777777" w:rsidR="006944F8" w:rsidRPr="00A94875" w:rsidRDefault="006944F8" w:rsidP="009261B2">
      <w:pPr>
        <w:pStyle w:val="ListParagraph"/>
        <w:numPr>
          <w:ilvl w:val="0"/>
          <w:numId w:val="57"/>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World Smart City Forum, Santa Fe, Argentina, 29 November 2018</w:t>
      </w:r>
    </w:p>
    <w:p w14:paraId="76C0A46B" w14:textId="77777777" w:rsidR="006944F8" w:rsidRPr="00A94875" w:rsidRDefault="006944F8" w:rsidP="006944F8">
      <w:pPr>
        <w:rPr>
          <w:b/>
          <w:bCs/>
          <w:szCs w:val="24"/>
          <w:lang w:val="en-GB"/>
        </w:rPr>
      </w:pPr>
      <w:r w:rsidRPr="00A94875">
        <w:rPr>
          <w:b/>
          <w:bCs/>
          <w:szCs w:val="24"/>
          <w:lang w:val="en-GB"/>
        </w:rPr>
        <w:t>CIS:</w:t>
      </w:r>
    </w:p>
    <w:p w14:paraId="5770920F" w14:textId="2AA7DA13" w:rsidR="006944F8" w:rsidRPr="00A94875" w:rsidRDefault="006944F8" w:rsidP="009261B2">
      <w:pPr>
        <w:pStyle w:val="ListParagraph"/>
        <w:numPr>
          <w:ilvl w:val="0"/>
          <w:numId w:val="58"/>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 xml:space="preserve">ITU Regional Forum on “Internet of Things, Telecommunication Networks and Big Data as basic infrastructure for Digital Economy”, </w:t>
      </w:r>
      <w:proofErr w:type="gramStart"/>
      <w:r w:rsidRPr="00A94875">
        <w:rPr>
          <w:rFonts w:ascii="Times New Roman" w:hAnsi="Times New Roman"/>
          <w:sz w:val="24"/>
          <w:szCs w:val="24"/>
          <w:lang w:val="en-GB"/>
        </w:rPr>
        <w:t>Saint-Petersburg, Russian Federation</w:t>
      </w:r>
      <w:proofErr w:type="gramEnd"/>
      <w:r w:rsidRPr="00A94875">
        <w:rPr>
          <w:rFonts w:ascii="Times New Roman" w:hAnsi="Times New Roman"/>
          <w:sz w:val="24"/>
          <w:szCs w:val="24"/>
          <w:lang w:val="en-GB"/>
        </w:rPr>
        <w:t>, 4-6 June 2018.</w:t>
      </w:r>
    </w:p>
    <w:p w14:paraId="0465DC94" w14:textId="50457885" w:rsidR="00FE0A07" w:rsidRPr="00A94875" w:rsidRDefault="00FE0A07" w:rsidP="00950992">
      <w:pPr>
        <w:pStyle w:val="ListParagraph"/>
        <w:numPr>
          <w:ilvl w:val="0"/>
          <w:numId w:val="58"/>
        </w:numPr>
        <w:spacing w:before="60"/>
        <w:contextualSpacing w:val="0"/>
        <w:rPr>
          <w:rFonts w:ascii="Times New Roman" w:hAnsi="Times New Roman"/>
          <w:sz w:val="24"/>
          <w:szCs w:val="24"/>
          <w:lang w:val="en-GB"/>
        </w:rPr>
      </w:pPr>
      <w:r w:rsidRPr="00A94875">
        <w:rPr>
          <w:rFonts w:ascii="Times New Roman" w:hAnsi="Times New Roman"/>
          <w:sz w:val="24"/>
          <w:szCs w:val="24"/>
          <w:lang w:val="en-GB"/>
        </w:rPr>
        <w:t xml:space="preserve">ITU Regional Workshop on Deployment of </w:t>
      </w:r>
      <w:proofErr w:type="spellStart"/>
      <w:r w:rsidRPr="00A94875">
        <w:rPr>
          <w:rFonts w:ascii="Times New Roman" w:hAnsi="Times New Roman"/>
          <w:sz w:val="24"/>
          <w:szCs w:val="24"/>
          <w:lang w:val="en-GB"/>
        </w:rPr>
        <w:t>VoLTE</w:t>
      </w:r>
      <w:proofErr w:type="spellEnd"/>
      <w:r w:rsidRPr="00A94875">
        <w:rPr>
          <w:rFonts w:ascii="Times New Roman" w:hAnsi="Times New Roman"/>
          <w:sz w:val="24"/>
          <w:szCs w:val="24"/>
          <w:lang w:val="en-GB"/>
        </w:rPr>
        <w:t>/</w:t>
      </w:r>
      <w:proofErr w:type="spellStart"/>
      <w:r w:rsidRPr="00A94875">
        <w:rPr>
          <w:rFonts w:ascii="Times New Roman" w:hAnsi="Times New Roman"/>
          <w:sz w:val="24"/>
          <w:szCs w:val="24"/>
          <w:lang w:val="en-GB"/>
        </w:rPr>
        <w:t>ViLTE</w:t>
      </w:r>
      <w:proofErr w:type="spellEnd"/>
      <w:r w:rsidRPr="00A94875">
        <w:rPr>
          <w:rFonts w:ascii="Times New Roman" w:hAnsi="Times New Roman"/>
          <w:sz w:val="24"/>
          <w:szCs w:val="24"/>
          <w:lang w:val="en-GB"/>
        </w:rPr>
        <w:t xml:space="preserve"> networks based on IMS: from Standardization to Implementation, Samarkand, Republic of Uzbekistan, 2-3 October 2018.</w:t>
      </w:r>
    </w:p>
    <w:p w14:paraId="3933C962" w14:textId="7B89BD50" w:rsidR="006944F8" w:rsidRPr="00A94875" w:rsidRDefault="002F0E38" w:rsidP="006944F8">
      <w:pPr>
        <w:pStyle w:val="Heading1"/>
        <w:rPr>
          <w:rFonts w:asciiTheme="majorBidi" w:hAnsiTheme="majorBidi" w:cstheme="majorBidi"/>
          <w:lang w:val="en-GB"/>
        </w:rPr>
      </w:pPr>
      <w:bookmarkStart w:id="200" w:name="_Toc480527880"/>
      <w:bookmarkStart w:id="201" w:name="_Toc530571896"/>
      <w:bookmarkStart w:id="202" w:name="_Toc438554000"/>
      <w:bookmarkStart w:id="203" w:name="_Toc453929122"/>
      <w:bookmarkStart w:id="204" w:name="_Toc453932993"/>
      <w:bookmarkStart w:id="205" w:name="_Toc454295899"/>
      <w:bookmarkStart w:id="206" w:name="_Toc462664286"/>
      <w:r w:rsidRPr="00A94875">
        <w:rPr>
          <w:rFonts w:asciiTheme="majorBidi" w:hAnsiTheme="majorBidi" w:cstheme="majorBidi"/>
          <w:lang w:val="en-GB"/>
        </w:rPr>
        <w:t>14</w:t>
      </w:r>
      <w:r w:rsidR="006944F8" w:rsidRPr="00A94875">
        <w:rPr>
          <w:rFonts w:asciiTheme="majorBidi" w:hAnsiTheme="majorBidi" w:cstheme="majorBidi"/>
          <w:lang w:val="en-GB"/>
        </w:rPr>
        <w:tab/>
        <w:t>Implementation of WTSA Resolutions</w:t>
      </w:r>
      <w:bookmarkEnd w:id="200"/>
      <w:r w:rsidR="00403A2F" w:rsidRPr="00A94875">
        <w:rPr>
          <w:rFonts w:asciiTheme="majorBidi" w:hAnsiTheme="majorBidi" w:cstheme="majorBidi"/>
          <w:lang w:val="en-GB"/>
        </w:rPr>
        <w:t xml:space="preserve"> and A-series ITU-T Recommendations</w:t>
      </w:r>
      <w:bookmarkEnd w:id="201"/>
    </w:p>
    <w:p w14:paraId="28B7B258" w14:textId="3EFA6FAF" w:rsidR="00403A2F" w:rsidRPr="00A94875" w:rsidRDefault="006944F8" w:rsidP="009E5FFA">
      <w:pPr>
        <w:rPr>
          <w:rFonts w:asciiTheme="majorBidi" w:hAnsiTheme="majorBidi" w:cstheme="majorBidi"/>
          <w:lang w:val="en-GB"/>
        </w:rPr>
      </w:pPr>
      <w:r w:rsidRPr="00A94875">
        <w:rPr>
          <w:rFonts w:asciiTheme="majorBidi" w:hAnsiTheme="majorBidi" w:cstheme="majorBidi"/>
          <w:szCs w:val="24"/>
          <w:lang w:val="en-GB"/>
        </w:rPr>
        <w:t xml:space="preserve">WTSA Resolution 22 instructs the TSB Director to </w:t>
      </w:r>
      <w:r w:rsidR="00403A2F" w:rsidRPr="00A94875">
        <w:rPr>
          <w:rFonts w:asciiTheme="majorBidi" w:hAnsiTheme="majorBidi" w:cstheme="majorBidi"/>
          <w:szCs w:val="24"/>
          <w:lang w:val="en-GB"/>
        </w:rPr>
        <w:t xml:space="preserve">report to </w:t>
      </w:r>
      <w:r w:rsidRPr="00A94875">
        <w:rPr>
          <w:rFonts w:asciiTheme="majorBidi" w:hAnsiTheme="majorBidi" w:cstheme="majorBidi"/>
          <w:szCs w:val="24"/>
          <w:lang w:val="en-GB"/>
        </w:rPr>
        <w:t xml:space="preserve">TSAG on the implementation of WTSA resolutions and actions to </w:t>
      </w:r>
      <w:proofErr w:type="gramStart"/>
      <w:r w:rsidRPr="00A94875">
        <w:rPr>
          <w:rFonts w:asciiTheme="majorBidi" w:hAnsiTheme="majorBidi" w:cstheme="majorBidi"/>
          <w:szCs w:val="24"/>
          <w:lang w:val="en-GB"/>
        </w:rPr>
        <w:t>be undertaken</w:t>
      </w:r>
      <w:proofErr w:type="gramEnd"/>
      <w:r w:rsidRPr="00A94875">
        <w:rPr>
          <w:rFonts w:asciiTheme="majorBidi" w:hAnsiTheme="majorBidi" w:cstheme="majorBidi"/>
          <w:szCs w:val="24"/>
          <w:lang w:val="en-GB"/>
        </w:rPr>
        <w:t xml:space="preserve"> pursuant to their operative paragraphs. </w:t>
      </w:r>
      <w:r w:rsidR="00403A2F" w:rsidRPr="00A94875">
        <w:rPr>
          <w:rFonts w:asciiTheme="majorBidi" w:hAnsiTheme="majorBidi" w:cstheme="majorBidi"/>
          <w:szCs w:val="24"/>
          <w:lang w:val="en-GB"/>
        </w:rPr>
        <w:t xml:space="preserve">WTSA Resolution 22 also instructs the TSB Director </w:t>
      </w:r>
      <w:r w:rsidR="00403A2F" w:rsidRPr="00A94875">
        <w:rPr>
          <w:rFonts w:asciiTheme="majorBidi" w:hAnsiTheme="majorBidi" w:cstheme="majorBidi"/>
          <w:lang w:val="en-GB"/>
        </w:rPr>
        <w:t>to report to TSAG on the implementation of the A-series ITU-T Recommendations.</w:t>
      </w:r>
    </w:p>
    <w:p w14:paraId="5C4CFAED" w14:textId="1939648C" w:rsidR="00403A2F" w:rsidRPr="00A94875" w:rsidRDefault="00403A2F" w:rsidP="009E5FFA">
      <w:pPr>
        <w:rPr>
          <w:rFonts w:asciiTheme="majorBidi" w:hAnsiTheme="majorBidi" w:cstheme="majorBidi"/>
          <w:lang w:val="en-GB"/>
        </w:rPr>
      </w:pPr>
      <w:r w:rsidRPr="00A94875">
        <w:rPr>
          <w:rFonts w:asciiTheme="majorBidi" w:hAnsiTheme="majorBidi" w:cstheme="majorBidi"/>
          <w:lang w:val="en-GB"/>
        </w:rPr>
        <w:t xml:space="preserve">WTSA Resolutions are available at </w:t>
      </w:r>
      <w:hyperlink r:id="rId153" w:history="1">
        <w:r w:rsidRPr="00A94875">
          <w:rPr>
            <w:rStyle w:val="Hyperlink"/>
            <w:rFonts w:asciiTheme="majorBidi" w:hAnsiTheme="majorBidi" w:cstheme="majorBidi"/>
            <w:lang w:val="en-GB"/>
          </w:rPr>
          <w:t>http://www.itu.int/pub/T-RES</w:t>
        </w:r>
      </w:hyperlink>
      <w:r w:rsidRPr="00A94875">
        <w:rPr>
          <w:rFonts w:asciiTheme="majorBidi" w:hAnsiTheme="majorBidi" w:cstheme="majorBidi"/>
          <w:lang w:val="en-GB"/>
        </w:rPr>
        <w:t xml:space="preserve">. </w:t>
      </w:r>
    </w:p>
    <w:p w14:paraId="12C17BA3" w14:textId="2A41A892"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The WTSA-16 Action Plan (</w:t>
      </w:r>
      <w:hyperlink r:id="rId154" w:history="1">
        <w:r w:rsidRPr="00A94875">
          <w:rPr>
            <w:rStyle w:val="Hyperlink"/>
            <w:szCs w:val="24"/>
            <w:lang w:val="en-GB"/>
          </w:rPr>
          <w:t>TSAG-TD292</w:t>
        </w:r>
      </w:hyperlink>
      <w:r w:rsidRPr="00A94875">
        <w:rPr>
          <w:rFonts w:asciiTheme="majorBidi" w:hAnsiTheme="majorBidi" w:cstheme="majorBidi"/>
          <w:szCs w:val="24"/>
          <w:lang w:val="en-GB"/>
        </w:rPr>
        <w:t xml:space="preserve">) assigns action items to the operational provisions in the Resolutions </w:t>
      </w:r>
      <w:proofErr w:type="gramStart"/>
      <w:r w:rsidRPr="00A94875">
        <w:rPr>
          <w:rFonts w:asciiTheme="majorBidi" w:hAnsiTheme="majorBidi" w:cstheme="majorBidi"/>
          <w:szCs w:val="24"/>
          <w:lang w:val="en-GB"/>
        </w:rPr>
        <w:t>and also</w:t>
      </w:r>
      <w:proofErr w:type="gramEnd"/>
      <w:r w:rsidRPr="00A94875">
        <w:rPr>
          <w:rFonts w:asciiTheme="majorBidi" w:hAnsiTheme="majorBidi" w:cstheme="majorBidi"/>
          <w:szCs w:val="24"/>
          <w:lang w:val="en-GB"/>
        </w:rPr>
        <w:t xml:space="preserve"> reports information on the progress of the implementation of those action items.</w:t>
      </w:r>
    </w:p>
    <w:p w14:paraId="48CDE570" w14:textId="7B4C3DE7" w:rsidR="00403A2F" w:rsidRPr="00A94875" w:rsidRDefault="00403A2F" w:rsidP="009E5FFA">
      <w:pPr>
        <w:rPr>
          <w:rFonts w:asciiTheme="majorBidi" w:hAnsiTheme="majorBidi" w:cstheme="majorBidi"/>
          <w:lang w:val="en-GB"/>
        </w:rPr>
      </w:pPr>
      <w:r w:rsidRPr="00A94875">
        <w:rPr>
          <w:rFonts w:asciiTheme="majorBidi" w:hAnsiTheme="majorBidi" w:cstheme="majorBidi"/>
          <w:lang w:val="en-GB"/>
        </w:rPr>
        <w:t xml:space="preserve">A-series ITU-T Recommendations are available at </w:t>
      </w:r>
      <w:hyperlink r:id="rId155" w:history="1">
        <w:r w:rsidRPr="00A94875">
          <w:rPr>
            <w:rStyle w:val="Hyperlink"/>
            <w:rFonts w:asciiTheme="majorBidi" w:hAnsiTheme="majorBidi" w:cstheme="majorBidi"/>
            <w:lang w:val="en-GB"/>
          </w:rPr>
          <w:t>http://www.itu.int/ITU-T/recommendations/index.aspx?ser=A</w:t>
        </w:r>
      </w:hyperlink>
      <w:r w:rsidRPr="00A94875">
        <w:rPr>
          <w:rFonts w:asciiTheme="majorBidi" w:hAnsiTheme="majorBidi" w:cstheme="majorBidi"/>
          <w:lang w:val="en-GB"/>
        </w:rPr>
        <w:t>.</w:t>
      </w:r>
    </w:p>
    <w:p w14:paraId="220C5A04" w14:textId="231CCD8D" w:rsidR="00403A2F" w:rsidRPr="00A94875" w:rsidRDefault="00403A2F" w:rsidP="009E5FFA">
      <w:pPr>
        <w:rPr>
          <w:rFonts w:asciiTheme="majorBidi" w:hAnsiTheme="majorBidi" w:cstheme="majorBidi"/>
          <w:lang w:val="en-GB"/>
        </w:rPr>
      </w:pPr>
      <w:r w:rsidRPr="00A94875">
        <w:rPr>
          <w:rFonts w:asciiTheme="majorBidi" w:hAnsiTheme="majorBidi" w:cstheme="majorBidi"/>
          <w:lang w:val="en-GB"/>
        </w:rPr>
        <w:t xml:space="preserve">Regarding the liaison template in Recommendation ITU-T A.1, TSB noticed that the "For Comment" field of liaison statements </w:t>
      </w:r>
      <w:proofErr w:type="gramStart"/>
      <w:r w:rsidRPr="00A94875">
        <w:rPr>
          <w:rFonts w:asciiTheme="majorBidi" w:hAnsiTheme="majorBidi" w:cstheme="majorBidi"/>
          <w:lang w:val="en-GB"/>
        </w:rPr>
        <w:t>should be discontinued</w:t>
      </w:r>
      <w:proofErr w:type="gramEnd"/>
      <w:r w:rsidRPr="00A94875">
        <w:rPr>
          <w:rFonts w:asciiTheme="majorBidi" w:hAnsiTheme="majorBidi" w:cstheme="majorBidi"/>
          <w:lang w:val="en-GB"/>
        </w:rPr>
        <w:t>, as was agreed by TSAG 2016; however, this change was not brought to WTSA-16 and A.1 is yet to be updated accordingly.</w:t>
      </w:r>
    </w:p>
    <w:p w14:paraId="523BFE0A" w14:textId="36EFB37D" w:rsidR="006944F8" w:rsidRPr="00A94875" w:rsidRDefault="002F0E38" w:rsidP="006944F8">
      <w:pPr>
        <w:pStyle w:val="Heading1"/>
        <w:rPr>
          <w:rFonts w:asciiTheme="majorBidi" w:hAnsiTheme="majorBidi" w:cstheme="majorBidi"/>
          <w:lang w:val="en-GB"/>
        </w:rPr>
      </w:pPr>
      <w:bookmarkStart w:id="207" w:name="_Toc480527881"/>
      <w:bookmarkStart w:id="208" w:name="_Toc530571897"/>
      <w:r w:rsidRPr="00A94875">
        <w:rPr>
          <w:rFonts w:asciiTheme="majorBidi" w:hAnsiTheme="majorBidi" w:cstheme="majorBidi"/>
          <w:lang w:val="en-GB"/>
        </w:rPr>
        <w:t>15</w:t>
      </w:r>
      <w:r w:rsidR="006944F8" w:rsidRPr="00A94875">
        <w:rPr>
          <w:rFonts w:asciiTheme="majorBidi" w:hAnsiTheme="majorBidi" w:cstheme="majorBidi"/>
          <w:lang w:val="en-GB"/>
        </w:rPr>
        <w:tab/>
        <w:t>ITU-T's activities in the implementation of WSIS</w:t>
      </w:r>
      <w:bookmarkEnd w:id="202"/>
      <w:bookmarkEnd w:id="203"/>
      <w:bookmarkEnd w:id="204"/>
      <w:bookmarkEnd w:id="205"/>
      <w:bookmarkEnd w:id="206"/>
      <w:r w:rsidR="006944F8" w:rsidRPr="00A94875">
        <w:rPr>
          <w:rFonts w:asciiTheme="majorBidi" w:hAnsiTheme="majorBidi" w:cstheme="majorBidi"/>
          <w:lang w:val="en-GB"/>
        </w:rPr>
        <w:t xml:space="preserve"> and the Sustainable Development Goals</w:t>
      </w:r>
      <w:bookmarkStart w:id="209" w:name="_Toc261186390"/>
      <w:bookmarkStart w:id="210" w:name="_Toc261186391"/>
      <w:bookmarkEnd w:id="207"/>
      <w:bookmarkEnd w:id="208"/>
    </w:p>
    <w:p w14:paraId="51986A1B" w14:textId="739C6E95" w:rsidR="00403A2F" w:rsidRPr="00A94875" w:rsidRDefault="00403A2F" w:rsidP="009E5FFA">
      <w:pPr>
        <w:rPr>
          <w:rFonts w:asciiTheme="majorBidi" w:hAnsiTheme="majorBidi" w:cstheme="majorBidi"/>
          <w:lang w:val="en-GB"/>
        </w:rPr>
      </w:pPr>
      <w:r w:rsidRPr="00A94875">
        <w:rPr>
          <w:rFonts w:asciiTheme="majorBidi" w:hAnsiTheme="majorBidi" w:cstheme="majorBidi"/>
          <w:lang w:val="en-GB"/>
        </w:rPr>
        <w:t>ITU-T's work contributes to the implementation of the mandates conferred on ITU by the World Summit on the Information Society (WSIS), in particular to Action Lines C2 (Information and communication infrastructure), C5 (Building confidence and security in the use of ICTs) and C7 (e-Environment).</w:t>
      </w:r>
    </w:p>
    <w:p w14:paraId="1C1FC7F7" w14:textId="77777777" w:rsidR="00403A2F" w:rsidRPr="00A94875" w:rsidRDefault="00403A2F" w:rsidP="00403A2F">
      <w:pPr>
        <w:rPr>
          <w:rFonts w:asciiTheme="majorBidi" w:hAnsiTheme="majorBidi" w:cstheme="majorBidi"/>
          <w:lang w:val="en-GB"/>
        </w:rPr>
      </w:pPr>
      <w:r w:rsidRPr="00A94875">
        <w:rPr>
          <w:rFonts w:asciiTheme="majorBidi" w:hAnsiTheme="majorBidi" w:cstheme="majorBidi"/>
          <w:lang w:val="en-GB"/>
        </w:rPr>
        <w:t>ITU-T has undertaken a mapping of its activities to the UN Sustainable Development Goals (SDGs), an action highlighting the ITU-T activities most relevant to the SDGs and proposing actions for ITU-T to expand its contribution to the pursuit of the SDGs.</w:t>
      </w:r>
    </w:p>
    <w:p w14:paraId="27D11BAF" w14:textId="650390B2" w:rsidR="00403A2F" w:rsidRPr="00A94875" w:rsidRDefault="00403A2F" w:rsidP="009E5FFA">
      <w:pPr>
        <w:rPr>
          <w:rFonts w:asciiTheme="majorBidi" w:hAnsiTheme="majorBidi" w:cstheme="majorBidi"/>
          <w:lang w:val="en-GB"/>
        </w:rPr>
      </w:pPr>
      <w:r w:rsidRPr="00A94875">
        <w:rPr>
          <w:rFonts w:asciiTheme="majorBidi" w:hAnsiTheme="majorBidi" w:cstheme="majorBidi"/>
          <w:lang w:val="en-GB"/>
        </w:rPr>
        <w:lastRenderedPageBreak/>
        <w:t xml:space="preserve">This mapping of ITU-T work to the SDGs will support the WSIS process in its promotion of efforts to leverage ICTs for sustainable development (see the </w:t>
      </w:r>
      <w:hyperlink r:id="rId156" w:history="1">
        <w:r w:rsidRPr="00A94875">
          <w:rPr>
            <w:rStyle w:val="Hyperlink"/>
            <w:rFonts w:asciiTheme="majorBidi" w:hAnsiTheme="majorBidi" w:cstheme="majorBidi"/>
            <w:lang w:val="en-GB"/>
          </w:rPr>
          <w:t>WSIS-SDG Matrix</w:t>
        </w:r>
      </w:hyperlink>
      <w:r w:rsidRPr="00A94875">
        <w:rPr>
          <w:rFonts w:asciiTheme="majorBidi" w:hAnsiTheme="majorBidi" w:cstheme="majorBidi"/>
          <w:lang w:val="en-GB"/>
        </w:rPr>
        <w:t xml:space="preserve"> linking WSIS Action Lines with the SDGs), highlighting areas where these efforts will receive support from the international standards developed by ITU-T.</w:t>
      </w:r>
    </w:p>
    <w:p w14:paraId="64B23619" w14:textId="534B44B6" w:rsidR="006944F8" w:rsidRPr="00A94875" w:rsidRDefault="006944F8" w:rsidP="009E5FFA">
      <w:pPr>
        <w:rPr>
          <w:rFonts w:asciiTheme="majorBidi" w:hAnsiTheme="majorBidi" w:cstheme="majorBidi"/>
          <w:lang w:val="en-GB"/>
        </w:rPr>
      </w:pPr>
      <w:r w:rsidRPr="00A94875">
        <w:rPr>
          <w:rFonts w:asciiTheme="majorBidi" w:hAnsiTheme="majorBidi" w:cstheme="majorBidi"/>
          <w:lang w:val="en-GB"/>
        </w:rPr>
        <w:t xml:space="preserve">This mapping </w:t>
      </w:r>
      <w:proofErr w:type="gramStart"/>
      <w:r w:rsidRPr="00A94875">
        <w:rPr>
          <w:rFonts w:asciiTheme="majorBidi" w:hAnsiTheme="majorBidi" w:cstheme="majorBidi"/>
          <w:lang w:val="en-GB"/>
        </w:rPr>
        <w:t>was presented to the February 2016 meeting of TSAG (</w:t>
      </w:r>
      <w:hyperlink r:id="rId157" w:history="1">
        <w:r w:rsidRPr="00A94875">
          <w:rPr>
            <w:rStyle w:val="Hyperlink"/>
            <w:rFonts w:asciiTheme="majorBidi" w:hAnsiTheme="majorBidi" w:cstheme="majorBidi"/>
            <w:lang w:val="en-GB"/>
          </w:rPr>
          <w:t>TSAG-TD419</w:t>
        </w:r>
      </w:hyperlink>
      <w:r w:rsidRPr="00A94875">
        <w:rPr>
          <w:rFonts w:asciiTheme="majorBidi" w:hAnsiTheme="majorBidi" w:cstheme="majorBidi"/>
          <w:lang w:val="en-GB"/>
        </w:rPr>
        <w:t>) and led to the development of a mapping tool to map ITU-wide objectives and outputs to SDG goals and targets</w:t>
      </w:r>
      <w:proofErr w:type="gramEnd"/>
      <w:r w:rsidRPr="00A94875">
        <w:rPr>
          <w:rFonts w:asciiTheme="majorBidi" w:hAnsiTheme="majorBidi" w:cstheme="majorBidi"/>
          <w:lang w:val="en-GB"/>
        </w:rPr>
        <w:t>.</w:t>
      </w:r>
    </w:p>
    <w:p w14:paraId="399C8D03" w14:textId="436BFDFE" w:rsidR="006944F8" w:rsidRPr="00A94875" w:rsidRDefault="00567B70" w:rsidP="009E5FFA">
      <w:pPr>
        <w:pStyle w:val="Heading1"/>
        <w:rPr>
          <w:rFonts w:asciiTheme="majorBidi" w:hAnsiTheme="majorBidi" w:cstheme="majorBidi"/>
          <w:lang w:val="en-GB"/>
        </w:rPr>
      </w:pPr>
      <w:bookmarkStart w:id="211" w:name="_Toc530571898"/>
      <w:r w:rsidRPr="00A94875">
        <w:rPr>
          <w:rFonts w:asciiTheme="majorBidi" w:hAnsiTheme="majorBidi" w:cstheme="majorBidi"/>
          <w:lang w:val="en-GB"/>
        </w:rPr>
        <w:t>16</w:t>
      </w:r>
      <w:r w:rsidRPr="00A94875">
        <w:rPr>
          <w:rFonts w:asciiTheme="majorBidi" w:hAnsiTheme="majorBidi" w:cstheme="majorBidi"/>
          <w:lang w:val="en-GB"/>
        </w:rPr>
        <w:tab/>
        <w:t>Implementation of trial authorized by TSAG (July 2016 meeting)</w:t>
      </w:r>
      <w:bookmarkEnd w:id="209"/>
      <w:bookmarkEnd w:id="211"/>
    </w:p>
    <w:p w14:paraId="45DA84F4" w14:textId="5005BF11" w:rsidR="006944F8" w:rsidRPr="00A94875" w:rsidRDefault="006944F8" w:rsidP="009E5FFA">
      <w:pPr>
        <w:rPr>
          <w:rFonts w:asciiTheme="majorBidi" w:hAnsiTheme="majorBidi" w:cstheme="majorBidi"/>
          <w:lang w:val="en-GB"/>
        </w:rPr>
      </w:pPr>
      <w:r w:rsidRPr="00A94875">
        <w:rPr>
          <w:rFonts w:asciiTheme="majorBidi" w:hAnsiTheme="majorBidi" w:cstheme="majorBidi"/>
          <w:lang w:val="en-GB"/>
        </w:rPr>
        <w:t>In implementing the decision of the July 2016 meeting</w:t>
      </w:r>
      <w:r w:rsidR="00403A2F" w:rsidRPr="00A94875">
        <w:rPr>
          <w:rFonts w:asciiTheme="majorBidi" w:hAnsiTheme="majorBidi" w:cstheme="majorBidi"/>
          <w:lang w:val="en-GB"/>
        </w:rPr>
        <w:t xml:space="preserve"> of TSAG</w:t>
      </w:r>
      <w:r w:rsidRPr="00A94875">
        <w:rPr>
          <w:rFonts w:asciiTheme="majorBidi" w:hAnsiTheme="majorBidi" w:cstheme="majorBidi"/>
          <w:lang w:val="en-GB"/>
        </w:rPr>
        <w:t xml:space="preserve"> (C.108/TSAG)</w:t>
      </w:r>
      <w:r w:rsidR="00403A2F" w:rsidRPr="00A94875">
        <w:rPr>
          <w:rFonts w:asciiTheme="majorBidi" w:hAnsiTheme="majorBidi" w:cstheme="majorBidi"/>
          <w:lang w:val="en-GB"/>
        </w:rPr>
        <w:t xml:space="preserve">, an ad-hoc group under ITU-T Study Group 13 created in </w:t>
      </w:r>
      <w:r w:rsidRPr="00A94875">
        <w:rPr>
          <w:rFonts w:asciiTheme="majorBidi" w:hAnsiTheme="majorBidi" w:cstheme="majorBidi"/>
          <w:lang w:val="en-GB"/>
        </w:rPr>
        <w:t xml:space="preserve">February 2017 </w:t>
      </w:r>
      <w:r w:rsidR="00403A2F" w:rsidRPr="00A94875">
        <w:rPr>
          <w:rFonts w:asciiTheme="majorBidi" w:hAnsiTheme="majorBidi" w:cstheme="majorBidi"/>
          <w:lang w:val="en-GB"/>
        </w:rPr>
        <w:t xml:space="preserve">is developing </w:t>
      </w:r>
      <w:r w:rsidRPr="00A94875">
        <w:rPr>
          <w:rFonts w:asciiTheme="majorBidi" w:hAnsiTheme="majorBidi" w:cstheme="majorBidi"/>
          <w:lang w:val="en-GB"/>
        </w:rPr>
        <w:t xml:space="preserve">guidance for drafting </w:t>
      </w:r>
      <w:r w:rsidR="00403A2F" w:rsidRPr="00A94875">
        <w:rPr>
          <w:rFonts w:asciiTheme="majorBidi" w:hAnsiTheme="majorBidi" w:cstheme="majorBidi"/>
          <w:lang w:val="en-GB"/>
        </w:rPr>
        <w:t xml:space="preserve">ITU-T </w:t>
      </w:r>
      <w:r w:rsidRPr="00A94875">
        <w:rPr>
          <w:rFonts w:asciiTheme="majorBidi" w:hAnsiTheme="majorBidi" w:cstheme="majorBidi"/>
          <w:lang w:val="en-GB"/>
        </w:rPr>
        <w:t>Recommendations</w:t>
      </w:r>
      <w:r w:rsidR="00403A2F" w:rsidRPr="00A94875">
        <w:rPr>
          <w:rFonts w:asciiTheme="majorBidi" w:hAnsiTheme="majorBidi" w:cstheme="majorBidi"/>
          <w:lang w:val="en-GB"/>
        </w:rPr>
        <w:t xml:space="preserve">. </w:t>
      </w:r>
      <w:proofErr w:type="gramStart"/>
      <w:r w:rsidR="00403A2F" w:rsidRPr="00A94875">
        <w:rPr>
          <w:rFonts w:asciiTheme="majorBidi" w:hAnsiTheme="majorBidi" w:cstheme="majorBidi"/>
          <w:lang w:val="en-GB"/>
        </w:rPr>
        <w:t>This ad-hoc group is</w:t>
      </w:r>
      <w:r w:rsidRPr="00A94875">
        <w:rPr>
          <w:rFonts w:asciiTheme="majorBidi" w:hAnsiTheme="majorBidi" w:cstheme="majorBidi"/>
          <w:lang w:val="en-GB"/>
        </w:rPr>
        <w:t xml:space="preserve"> led by Wu Tong (China Telecom) and Marco </w:t>
      </w:r>
      <w:proofErr w:type="spellStart"/>
      <w:r w:rsidRPr="00A94875">
        <w:rPr>
          <w:rFonts w:asciiTheme="majorBidi" w:hAnsiTheme="majorBidi" w:cstheme="majorBidi"/>
          <w:lang w:val="en-GB"/>
        </w:rPr>
        <w:t>Carugi</w:t>
      </w:r>
      <w:proofErr w:type="spellEnd"/>
      <w:r w:rsidRPr="00A94875">
        <w:rPr>
          <w:rFonts w:asciiTheme="majorBidi" w:hAnsiTheme="majorBidi" w:cstheme="majorBidi"/>
          <w:lang w:val="en-GB"/>
        </w:rPr>
        <w:t xml:space="preserve"> (NEC, Japan)</w:t>
      </w:r>
      <w:proofErr w:type="gramEnd"/>
      <w:r w:rsidRPr="00A94875">
        <w:rPr>
          <w:rFonts w:asciiTheme="majorBidi" w:hAnsiTheme="majorBidi" w:cstheme="majorBidi"/>
          <w:lang w:val="en-GB"/>
        </w:rPr>
        <w:t xml:space="preserve">. </w:t>
      </w:r>
    </w:p>
    <w:p w14:paraId="1020DE7E" w14:textId="60EB31AE" w:rsidR="00403A2F" w:rsidRPr="00A94875" w:rsidRDefault="00770A8C" w:rsidP="009E5FFA">
      <w:pPr>
        <w:rPr>
          <w:rFonts w:asciiTheme="majorBidi" w:hAnsiTheme="majorBidi" w:cstheme="majorBidi"/>
          <w:lang w:val="en-GB"/>
        </w:rPr>
      </w:pPr>
      <w:hyperlink r:id="rId158" w:history="1">
        <w:r w:rsidR="00403A2F" w:rsidRPr="00A94875">
          <w:rPr>
            <w:rStyle w:val="Hyperlink"/>
            <w:rFonts w:asciiTheme="majorBidi" w:hAnsiTheme="majorBidi" w:cstheme="majorBidi"/>
            <w:lang w:val="en-GB"/>
          </w:rPr>
          <w:t>The current draft</w:t>
        </w:r>
      </w:hyperlink>
      <w:r w:rsidR="00403A2F" w:rsidRPr="00A94875">
        <w:rPr>
          <w:rFonts w:asciiTheme="majorBidi" w:hAnsiTheme="majorBidi" w:cstheme="majorBidi"/>
          <w:lang w:val="en-GB"/>
        </w:rPr>
        <w:t xml:space="preserve"> </w:t>
      </w:r>
      <w:r w:rsidR="006944F8" w:rsidRPr="00A94875">
        <w:rPr>
          <w:rFonts w:asciiTheme="majorBidi" w:hAnsiTheme="majorBidi" w:cstheme="majorBidi"/>
          <w:lang w:val="en-GB"/>
        </w:rPr>
        <w:t>“Guidelines and Methodologies for Developing Technic</w:t>
      </w:r>
      <w:r w:rsidR="001F0C31" w:rsidRPr="00A94875">
        <w:rPr>
          <w:rFonts w:asciiTheme="majorBidi" w:hAnsiTheme="majorBidi" w:cstheme="majorBidi"/>
          <w:lang w:val="en-GB"/>
        </w:rPr>
        <w:t>al Recommendations”</w:t>
      </w:r>
      <w:r w:rsidR="00403A2F" w:rsidRPr="00A94875">
        <w:rPr>
          <w:rFonts w:asciiTheme="majorBidi" w:hAnsiTheme="majorBidi" w:cstheme="majorBidi"/>
          <w:lang w:val="en-GB"/>
        </w:rPr>
        <w:t xml:space="preserve"> attempts to address all questions likely to </w:t>
      </w:r>
      <w:proofErr w:type="gramStart"/>
      <w:r w:rsidR="00403A2F" w:rsidRPr="00A94875">
        <w:rPr>
          <w:rFonts w:asciiTheme="majorBidi" w:hAnsiTheme="majorBidi" w:cstheme="majorBidi"/>
          <w:lang w:val="en-GB"/>
        </w:rPr>
        <w:t>be asked</w:t>
      </w:r>
      <w:proofErr w:type="gramEnd"/>
      <w:r w:rsidR="00403A2F" w:rsidRPr="00A94875">
        <w:rPr>
          <w:rFonts w:asciiTheme="majorBidi" w:hAnsiTheme="majorBidi" w:cstheme="majorBidi"/>
          <w:lang w:val="en-GB"/>
        </w:rPr>
        <w:t xml:space="preserve"> by experts contributing to the development of ITU-T Recommendations. </w:t>
      </w:r>
    </w:p>
    <w:p w14:paraId="3AF1318F" w14:textId="74E638DA" w:rsidR="00403A2F" w:rsidRPr="00A94875" w:rsidRDefault="00403A2F" w:rsidP="009E5FFA">
      <w:pPr>
        <w:rPr>
          <w:rFonts w:asciiTheme="majorBidi" w:hAnsiTheme="majorBidi" w:cstheme="majorBidi"/>
          <w:lang w:val="en-GB"/>
        </w:rPr>
      </w:pPr>
      <w:r w:rsidRPr="00A94875">
        <w:rPr>
          <w:rFonts w:asciiTheme="majorBidi" w:hAnsiTheme="majorBidi" w:cstheme="majorBidi"/>
          <w:lang w:val="en-GB"/>
        </w:rPr>
        <w:t xml:space="preserve">ITU-T Study Group 13 has extended the timeframe for the delivery of the guidelines from July 2018 to March 2019. </w:t>
      </w:r>
    </w:p>
    <w:p w14:paraId="4B9A346D" w14:textId="77777777" w:rsidR="006944F8" w:rsidRPr="00A94875" w:rsidRDefault="006944F8" w:rsidP="006944F8">
      <w:pPr>
        <w:pStyle w:val="Heading1"/>
        <w:pageBreakBefore/>
        <w:jc w:val="center"/>
        <w:rPr>
          <w:rFonts w:asciiTheme="majorBidi" w:hAnsiTheme="majorBidi" w:cstheme="majorBidi"/>
          <w:lang w:val="en-GB"/>
        </w:rPr>
      </w:pPr>
      <w:bookmarkStart w:id="212" w:name="_Toc480527885"/>
      <w:bookmarkStart w:id="213" w:name="_Toc530571899"/>
      <w:r w:rsidRPr="00A94875">
        <w:rPr>
          <w:rFonts w:asciiTheme="majorBidi" w:hAnsiTheme="majorBidi" w:cstheme="majorBidi"/>
          <w:lang w:val="en-GB"/>
        </w:rPr>
        <w:lastRenderedPageBreak/>
        <w:t>Appendix I – List of approved Recommendations and other approved texts</w:t>
      </w:r>
      <w:bookmarkEnd w:id="212"/>
      <w:bookmarkEnd w:id="213"/>
    </w:p>
    <w:p w14:paraId="75DA245E" w14:textId="77777777" w:rsidR="006944F8" w:rsidRPr="00A94875" w:rsidRDefault="006944F8" w:rsidP="006944F8">
      <w:pPr>
        <w:rPr>
          <w:sz w:val="22"/>
          <w:szCs w:val="22"/>
          <w:lang w:val="en-GB"/>
        </w:rPr>
      </w:pPr>
      <w:r w:rsidRPr="00A94875">
        <w:rPr>
          <w:sz w:val="22"/>
          <w:szCs w:val="22"/>
          <w:lang w:val="en-GB"/>
        </w:rPr>
        <w:t xml:space="preserve">Note – Corrigenda </w:t>
      </w:r>
      <w:proofErr w:type="gramStart"/>
      <w:r w:rsidRPr="00A94875">
        <w:rPr>
          <w:sz w:val="22"/>
          <w:szCs w:val="22"/>
          <w:lang w:val="en-GB"/>
        </w:rPr>
        <w:t>are not listed</w:t>
      </w:r>
      <w:proofErr w:type="gramEnd"/>
      <w:r w:rsidRPr="00A94875">
        <w:rPr>
          <w:sz w:val="22"/>
          <w:szCs w:val="22"/>
          <w:lang w:val="en-GB"/>
        </w:rPr>
        <w:t xml:space="preserve"> here.</w:t>
      </w:r>
    </w:p>
    <w:p w14:paraId="4CB22422" w14:textId="77777777" w:rsidR="006944F8" w:rsidRPr="00A94875" w:rsidRDefault="006944F8" w:rsidP="006944F8">
      <w:pPr>
        <w:spacing w:before="240"/>
        <w:rPr>
          <w:b/>
          <w:sz w:val="22"/>
          <w:szCs w:val="22"/>
          <w:lang w:val="en-GB"/>
        </w:rPr>
      </w:pPr>
      <w:bookmarkStart w:id="214" w:name="_Toc480527886"/>
      <w:bookmarkStart w:id="215" w:name="_Toc480527890"/>
      <w:r w:rsidRPr="00A94875">
        <w:rPr>
          <w:b/>
          <w:sz w:val="22"/>
          <w:szCs w:val="22"/>
          <w:lang w:val="en-GB"/>
        </w:rPr>
        <w:t>I.1.1</w:t>
      </w:r>
      <w:r w:rsidRPr="00A94875">
        <w:rPr>
          <w:b/>
          <w:sz w:val="22"/>
          <w:szCs w:val="22"/>
          <w:lang w:val="en-GB"/>
        </w:rPr>
        <w:tab/>
      </w:r>
      <w:proofErr w:type="spellStart"/>
      <w:r w:rsidRPr="00A94875">
        <w:rPr>
          <w:b/>
          <w:sz w:val="22"/>
          <w:szCs w:val="22"/>
          <w:lang w:val="en-GB"/>
        </w:rPr>
        <w:t>G.fast</w:t>
      </w:r>
      <w:proofErr w:type="spellEnd"/>
      <w:r w:rsidRPr="00A94875">
        <w:rPr>
          <w:b/>
          <w:sz w:val="22"/>
          <w:szCs w:val="22"/>
          <w:lang w:val="en-GB"/>
        </w:rPr>
        <w:t xml:space="preserve"> and DSL: Breathing new life into existing copper infrastructure</w:t>
      </w:r>
    </w:p>
    <w:p w14:paraId="18FB2DF0" w14:textId="1B4ADBC9" w:rsidR="00FB64D7" w:rsidRPr="00A94875" w:rsidRDefault="00FB64D7" w:rsidP="00FB64D7">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 xml:space="preserve">ITU-T G.993.2 (revised) “Very high speed digital subscriber line transceivers 2 (VDSL2)” </w:t>
      </w:r>
      <w:r w:rsidRPr="00A94875">
        <w:rPr>
          <w:rFonts w:asciiTheme="majorBidi" w:hAnsiTheme="majorBidi" w:cstheme="majorBidi"/>
          <w:szCs w:val="20"/>
          <w:lang w:val="en-GB" w:eastAsia="en-US"/>
        </w:rPr>
        <w:t xml:space="preserve">(under approval) specifies an access technology that exploits the existing infrastructure of copper wires that were originally deployed for POTS services. It </w:t>
      </w:r>
      <w:proofErr w:type="gramStart"/>
      <w:r w:rsidRPr="00A94875">
        <w:rPr>
          <w:rFonts w:asciiTheme="majorBidi" w:hAnsiTheme="majorBidi" w:cstheme="majorBidi"/>
          <w:szCs w:val="20"/>
          <w:lang w:val="en-GB" w:eastAsia="en-US"/>
        </w:rPr>
        <w:t>can be deployed</w:t>
      </w:r>
      <w:proofErr w:type="gramEnd"/>
      <w:r w:rsidRPr="00A94875">
        <w:rPr>
          <w:rFonts w:asciiTheme="majorBidi" w:hAnsiTheme="majorBidi" w:cstheme="majorBidi"/>
          <w:szCs w:val="20"/>
          <w:lang w:val="en-GB" w:eastAsia="en-US"/>
        </w:rPr>
        <w:t xml:space="preserve"> from central offices, from fibre-fed cabinets located near customer premises, or within buildings. This Recommendation is an enhancement to ITU T G.993.1 that supports asymmetric and symmetric transmission at a bidirectional net data rate up to 200 Mbit/s on twisted pairs using a bandwidth up to 30 </w:t>
      </w:r>
      <w:proofErr w:type="spellStart"/>
      <w:r w:rsidRPr="00A94875">
        <w:rPr>
          <w:rFonts w:asciiTheme="majorBidi" w:hAnsiTheme="majorBidi" w:cstheme="majorBidi"/>
          <w:szCs w:val="20"/>
          <w:lang w:val="en-GB" w:eastAsia="en-US"/>
        </w:rPr>
        <w:t>MHz.</w:t>
      </w:r>
      <w:proofErr w:type="spellEnd"/>
    </w:p>
    <w:p w14:paraId="54BECB18" w14:textId="36EAB980" w:rsidR="00FB64D7" w:rsidRPr="00A94875" w:rsidRDefault="00FB64D7" w:rsidP="00FB64D7">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This version of this Recommendation integrates all the previous amendments and corrigenda with the 2011 version of Recommendation ITU-T G.993.2. This version of Recommendation ITU-T G.993.2 corrects or adds the following functionality:</w:t>
      </w:r>
    </w:p>
    <w:p w14:paraId="368238C0" w14:textId="77777777" w:rsidR="00FB64D7" w:rsidRPr="00A94875" w:rsidRDefault="00FB64D7" w:rsidP="00FB64D7">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 xml:space="preserve">Method to address the </w:t>
      </w:r>
      <w:proofErr w:type="spellStart"/>
      <w:r w:rsidRPr="00A94875">
        <w:rPr>
          <w:rFonts w:asciiTheme="majorBidi" w:hAnsiTheme="majorBidi" w:cstheme="majorBidi"/>
          <w:szCs w:val="20"/>
          <w:lang w:val="en-GB" w:eastAsia="en-US"/>
        </w:rPr>
        <w:t>misestimation</w:t>
      </w:r>
      <w:proofErr w:type="spellEnd"/>
      <w:r w:rsidRPr="00A94875">
        <w:rPr>
          <w:rFonts w:asciiTheme="majorBidi" w:hAnsiTheme="majorBidi" w:cstheme="majorBidi"/>
          <w:szCs w:val="20"/>
          <w:lang w:val="en-GB" w:eastAsia="en-US"/>
        </w:rPr>
        <w:t xml:space="preserve"> of the SNR during MEDLEY (Amendment 2)</w:t>
      </w:r>
    </w:p>
    <w:p w14:paraId="3CC80035" w14:textId="77777777" w:rsidR="00FB64D7" w:rsidRPr="00A94875" w:rsidRDefault="00FB64D7" w:rsidP="00FB64D7">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Segmentation of SOC messages for profile 35b (Corrigendum 1)</w:t>
      </w:r>
    </w:p>
    <w:p w14:paraId="5FBCBEA7" w14:textId="77777777" w:rsidR="00FB64D7" w:rsidRPr="00A94875" w:rsidRDefault="00FB64D7" w:rsidP="00FB64D7">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Annex D: Long reach VDSL2 (Amendment 3)</w:t>
      </w:r>
    </w:p>
    <w:p w14:paraId="66EAFEDB" w14:textId="77777777" w:rsidR="00FB64D7" w:rsidRPr="00A94875" w:rsidRDefault="00FB64D7" w:rsidP="00FB64D7">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Near-end anomalies for loss-of-power, host-</w:t>
      </w:r>
      <w:proofErr w:type="spellStart"/>
      <w:r w:rsidRPr="00A94875">
        <w:rPr>
          <w:rFonts w:asciiTheme="majorBidi" w:hAnsiTheme="majorBidi" w:cstheme="majorBidi"/>
          <w:szCs w:val="20"/>
          <w:lang w:val="en-GB" w:eastAsia="en-US"/>
        </w:rPr>
        <w:t>reinit</w:t>
      </w:r>
      <w:proofErr w:type="spellEnd"/>
      <w:r w:rsidRPr="00A94875">
        <w:rPr>
          <w:rFonts w:asciiTheme="majorBidi" w:hAnsiTheme="majorBidi" w:cstheme="majorBidi"/>
          <w:szCs w:val="20"/>
          <w:lang w:val="en-GB" w:eastAsia="en-US"/>
        </w:rPr>
        <w:t xml:space="preserve"> and spontaneous interruptions (Amendment 4)</w:t>
      </w:r>
    </w:p>
    <w:p w14:paraId="604010DE" w14:textId="77777777" w:rsidR="00FB64D7" w:rsidRPr="00A94875" w:rsidRDefault="00FB64D7" w:rsidP="00FB64D7">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Addition of operation per the North American region for profile 35b (Annex Q) (Amendment 4)</w:t>
      </w:r>
    </w:p>
    <w:p w14:paraId="14D3F16A" w14:textId="77777777" w:rsidR="00FB64D7" w:rsidRPr="00A94875" w:rsidRDefault="00FB64D7" w:rsidP="00FB64D7">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Addition of operation per the China region for profile 35b (Annex Q) (new)</w:t>
      </w:r>
    </w:p>
    <w:p w14:paraId="21E11E0A" w14:textId="77777777" w:rsidR="00FB64D7" w:rsidRPr="00A94875" w:rsidRDefault="00FB64D7" w:rsidP="00FB64D7">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Addition of Successful SRA counter (new)</w:t>
      </w:r>
    </w:p>
    <w:p w14:paraId="544A37C1" w14:textId="77777777" w:rsidR="00FB64D7" w:rsidRPr="00A94875" w:rsidRDefault="00FB64D7" w:rsidP="00FB64D7">
      <w:pPr>
        <w:pStyle w:val="NormalWeb"/>
        <w:spacing w:before="120" w:beforeAutospacing="0" w:after="0" w:afterAutospacing="0"/>
        <w:rPr>
          <w:rFonts w:asciiTheme="majorBidi" w:hAnsiTheme="majorBidi" w:cstheme="majorBidi"/>
          <w:szCs w:val="20"/>
          <w:lang w:val="en-GB" w:eastAsia="en-US"/>
        </w:rPr>
      </w:pPr>
      <w:proofErr w:type="gramStart"/>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Long</w:t>
      </w:r>
      <w:proofErr w:type="gramEnd"/>
      <w:r w:rsidRPr="00A94875">
        <w:rPr>
          <w:rFonts w:asciiTheme="majorBidi" w:hAnsiTheme="majorBidi" w:cstheme="majorBidi"/>
          <w:szCs w:val="20"/>
          <w:lang w:val="en-GB" w:eastAsia="en-US"/>
        </w:rPr>
        <w:t xml:space="preserve"> reach VDSL2 corrigendum related to MAXNOMATP (new)</w:t>
      </w:r>
    </w:p>
    <w:p w14:paraId="3E49C3F3" w14:textId="77777777" w:rsidR="00FB64D7" w:rsidRPr="00A94875" w:rsidRDefault="00FB64D7" w:rsidP="00FB64D7">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Corrigendum to MAXMASK definition in Table 7 5 (new)</w:t>
      </w:r>
    </w:p>
    <w:p w14:paraId="2F4C7FE0" w14:textId="2EEF1D24" w:rsidR="00FB64D7" w:rsidRPr="00A94875" w:rsidRDefault="00FB64D7" w:rsidP="00FB64D7">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Corrigendum to use of US0 with 35b profile for the North-America region (new).</w:t>
      </w:r>
    </w:p>
    <w:p w14:paraId="6920FB19" w14:textId="3D56356E" w:rsidR="006944F8" w:rsidRPr="00A94875" w:rsidRDefault="006944F8" w:rsidP="006944F8">
      <w:pPr>
        <w:pStyle w:val="NormalWeb"/>
        <w:spacing w:before="120" w:beforeAutospacing="0" w:after="120" w:afterAutospacing="0"/>
        <w:rPr>
          <w:rFonts w:asciiTheme="majorBidi" w:hAnsiTheme="majorBidi" w:cstheme="majorBidi"/>
          <w:bCs/>
          <w:szCs w:val="20"/>
          <w:lang w:val="en-GB" w:eastAsia="en-US"/>
        </w:rPr>
      </w:pPr>
      <w:r w:rsidRPr="00A94875">
        <w:rPr>
          <w:rFonts w:asciiTheme="majorBidi" w:hAnsiTheme="majorBidi" w:cstheme="majorBidi"/>
          <w:b/>
          <w:szCs w:val="20"/>
          <w:lang w:val="en-GB" w:eastAsia="en-US"/>
        </w:rPr>
        <w:t xml:space="preserve">ITU-T G.993.2 (2015) Amd.3 “Very high speed digital subscriber line transceivers 2 (VDSL2) - Annex D: Long Reach VDSL2” </w:t>
      </w:r>
      <w:r w:rsidRPr="00A94875">
        <w:rPr>
          <w:rFonts w:asciiTheme="majorBidi" w:hAnsiTheme="majorBidi" w:cstheme="majorBidi"/>
          <w:bCs/>
          <w:szCs w:val="20"/>
          <w:lang w:val="en-GB" w:eastAsia="en-US"/>
        </w:rPr>
        <w:t>defines the Long Reach operation for VDSL2 without vectoring.</w:t>
      </w:r>
    </w:p>
    <w:p w14:paraId="314DEA9D" w14:textId="77777777" w:rsidR="006944F8" w:rsidRPr="00A94875" w:rsidRDefault="006944F8" w:rsidP="006944F8">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
          <w:bCs/>
          <w:szCs w:val="20"/>
          <w:lang w:val="en-GB" w:eastAsia="en-US"/>
        </w:rPr>
        <w:t xml:space="preserve">ITU-T G.993.2 (2015) Amd.4 “Very </w:t>
      </w:r>
      <w:proofErr w:type="gramStart"/>
      <w:r w:rsidRPr="00A94875">
        <w:rPr>
          <w:rFonts w:asciiTheme="majorBidi" w:hAnsiTheme="majorBidi" w:cstheme="majorBidi"/>
          <w:b/>
          <w:bCs/>
          <w:szCs w:val="20"/>
          <w:lang w:val="en-GB" w:eastAsia="en-US"/>
        </w:rPr>
        <w:t>high speed</w:t>
      </w:r>
      <w:proofErr w:type="gramEnd"/>
      <w:r w:rsidRPr="00A94875">
        <w:rPr>
          <w:rFonts w:asciiTheme="majorBidi" w:hAnsiTheme="majorBidi" w:cstheme="majorBidi"/>
          <w:b/>
          <w:bCs/>
          <w:szCs w:val="20"/>
          <w:lang w:val="en-GB" w:eastAsia="en-US"/>
        </w:rPr>
        <w:t xml:space="preserve"> digital subscriber line transceivers 2 (VDSL2) - Amendment 4”</w:t>
      </w:r>
      <w:r w:rsidRPr="00A94875">
        <w:rPr>
          <w:rFonts w:asciiTheme="majorBidi" w:hAnsiTheme="majorBidi" w:cstheme="majorBidi"/>
          <w:bCs/>
          <w:szCs w:val="20"/>
          <w:lang w:val="en-GB" w:eastAsia="en-US"/>
        </w:rPr>
        <w:t xml:space="preserve"> addresses the following:</w:t>
      </w:r>
    </w:p>
    <w:p w14:paraId="152E5E88" w14:textId="77777777" w:rsidR="006944F8" w:rsidRPr="00A94875" w:rsidRDefault="006944F8" w:rsidP="006944F8">
      <w:pPr>
        <w:pStyle w:val="NormalWeb"/>
        <w:spacing w:before="120" w:beforeAutospacing="0" w:after="0" w:afterAutospacing="0"/>
        <w:ind w:left="567"/>
        <w:rPr>
          <w:rFonts w:asciiTheme="majorBidi" w:hAnsiTheme="majorBidi" w:cstheme="majorBidi"/>
          <w:bCs/>
          <w:szCs w:val="20"/>
          <w:lang w:val="en-GB" w:eastAsia="en-US"/>
        </w:rPr>
      </w:pPr>
      <w:r w:rsidRPr="00A94875">
        <w:rPr>
          <w:rFonts w:asciiTheme="majorBidi" w:hAnsiTheme="majorBidi" w:cstheme="majorBidi"/>
          <w:bCs/>
          <w:szCs w:val="20"/>
          <w:lang w:val="en-GB" w:eastAsia="en-US"/>
        </w:rPr>
        <w:t>-</w:t>
      </w:r>
      <w:r w:rsidRPr="00A94875">
        <w:rPr>
          <w:rFonts w:asciiTheme="majorBidi" w:hAnsiTheme="majorBidi" w:cstheme="majorBidi"/>
          <w:bCs/>
          <w:szCs w:val="20"/>
          <w:lang w:val="en-GB" w:eastAsia="en-US"/>
        </w:rPr>
        <w:tab/>
        <w:t>Addition of a Band plan and Limit PSD masks for profile 35b for the North American region (Annex A).</w:t>
      </w:r>
    </w:p>
    <w:p w14:paraId="2EED448D" w14:textId="77777777" w:rsidR="006944F8" w:rsidRPr="00A94875" w:rsidRDefault="006944F8" w:rsidP="006944F8">
      <w:pPr>
        <w:pStyle w:val="NormalWeb"/>
        <w:spacing w:before="120" w:beforeAutospacing="0" w:after="0" w:afterAutospacing="0"/>
        <w:ind w:left="567"/>
        <w:rPr>
          <w:rFonts w:asciiTheme="majorBidi" w:hAnsiTheme="majorBidi" w:cstheme="majorBidi"/>
          <w:bCs/>
          <w:szCs w:val="20"/>
          <w:lang w:val="en-GB" w:eastAsia="en-US"/>
        </w:rPr>
      </w:pPr>
      <w:r w:rsidRPr="00A94875">
        <w:rPr>
          <w:rFonts w:asciiTheme="majorBidi" w:hAnsiTheme="majorBidi" w:cstheme="majorBidi"/>
          <w:bCs/>
          <w:szCs w:val="20"/>
          <w:lang w:val="en-GB" w:eastAsia="en-US"/>
        </w:rPr>
        <w:t>-</w:t>
      </w:r>
      <w:r w:rsidRPr="00A94875">
        <w:rPr>
          <w:rFonts w:asciiTheme="majorBidi" w:hAnsiTheme="majorBidi" w:cstheme="majorBidi"/>
          <w:bCs/>
          <w:szCs w:val="20"/>
          <w:lang w:val="en-GB" w:eastAsia="en-US"/>
        </w:rPr>
        <w:tab/>
        <w:t>Addition of operation per the North American region for profile 35b (Annex Q).</w:t>
      </w:r>
    </w:p>
    <w:p w14:paraId="0E6E4A57" w14:textId="738C1EB1" w:rsidR="002541BC" w:rsidRPr="00A94875" w:rsidRDefault="002541BC" w:rsidP="002541BC">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ITU-T G.993.5 (revised) “Self-FEXT cancellation (vectoring) for use with VDSL2 transceivers”</w:t>
      </w:r>
      <w:r w:rsidRPr="00A94875">
        <w:rPr>
          <w:rFonts w:asciiTheme="majorBidi" w:hAnsiTheme="majorBidi" w:cstheme="majorBidi"/>
          <w:szCs w:val="20"/>
          <w:lang w:val="en-GB" w:eastAsia="en-US"/>
        </w:rPr>
        <w:t xml:space="preserve"> (under approval) is specifically limited to the self-far-end crosstalk (self-FEXT) cancellation in the downstream and upstream directions. It defines a single method of self-FEXT cancellation, in which FEXT generated by a group of near-end transceivers and interfering with the far-end transceivers of that same group </w:t>
      </w:r>
      <w:proofErr w:type="gramStart"/>
      <w:r w:rsidRPr="00A94875">
        <w:rPr>
          <w:rFonts w:asciiTheme="majorBidi" w:hAnsiTheme="majorBidi" w:cstheme="majorBidi"/>
          <w:szCs w:val="20"/>
          <w:lang w:val="en-GB" w:eastAsia="en-US"/>
        </w:rPr>
        <w:t>is cancelled</w:t>
      </w:r>
      <w:proofErr w:type="gramEnd"/>
      <w:r w:rsidRPr="00A94875">
        <w:rPr>
          <w:rFonts w:asciiTheme="majorBidi" w:hAnsiTheme="majorBidi" w:cstheme="majorBidi"/>
          <w:szCs w:val="20"/>
          <w:lang w:val="en-GB" w:eastAsia="en-US"/>
        </w:rPr>
        <w:t xml:space="preserve">. This cancellation takes place between very high-bit-rate digital subscriber line </w:t>
      </w:r>
      <w:proofErr w:type="gramStart"/>
      <w:r w:rsidRPr="00A94875">
        <w:rPr>
          <w:rFonts w:asciiTheme="majorBidi" w:hAnsiTheme="majorBidi" w:cstheme="majorBidi"/>
          <w:szCs w:val="20"/>
          <w:lang w:val="en-GB" w:eastAsia="en-US"/>
        </w:rPr>
        <w:t>2</w:t>
      </w:r>
      <w:proofErr w:type="gramEnd"/>
      <w:r w:rsidRPr="00A94875">
        <w:rPr>
          <w:rFonts w:asciiTheme="majorBidi" w:hAnsiTheme="majorBidi" w:cstheme="majorBidi"/>
          <w:szCs w:val="20"/>
          <w:lang w:val="en-GB" w:eastAsia="en-US"/>
        </w:rPr>
        <w:t xml:space="preserve"> (VDSL2) transceivers, not necessarily of the same profile. This Recommendation </w:t>
      </w:r>
      <w:proofErr w:type="gramStart"/>
      <w:r w:rsidRPr="00A94875">
        <w:rPr>
          <w:rFonts w:asciiTheme="majorBidi" w:hAnsiTheme="majorBidi" w:cstheme="majorBidi"/>
          <w:szCs w:val="20"/>
          <w:lang w:val="en-GB" w:eastAsia="en-US"/>
        </w:rPr>
        <w:t>is intended to be implemented</w:t>
      </w:r>
      <w:proofErr w:type="gramEnd"/>
      <w:r w:rsidRPr="00A94875">
        <w:rPr>
          <w:rFonts w:asciiTheme="majorBidi" w:hAnsiTheme="majorBidi" w:cstheme="majorBidi"/>
          <w:szCs w:val="20"/>
          <w:lang w:val="en-GB" w:eastAsia="en-US"/>
        </w:rPr>
        <w:t xml:space="preserve"> in conjunction with Recommendation ITU T G.993.2. This version of this Recommendation integrates all of the previous amendments and corrigenda with the 2015 version 2.0 of Recommendation ITU-T G.993.5. This version of Recommendation ITU-T G.993.5 corrects or adds the following functionality:</w:t>
      </w:r>
    </w:p>
    <w:p w14:paraId="3826B27D" w14:textId="77777777" w:rsidR="002541BC" w:rsidRPr="00A94875" w:rsidRDefault="002541BC" w:rsidP="002541BC">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Typographical correction in clause 8.2 (Corrigendum 1)</w:t>
      </w:r>
    </w:p>
    <w:p w14:paraId="3F9A38CE" w14:textId="77777777" w:rsidR="002541BC" w:rsidRPr="00A94875" w:rsidRDefault="002541BC" w:rsidP="002541BC">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lastRenderedPageBreak/>
        <w:t>–</w:t>
      </w:r>
      <w:r w:rsidRPr="00A94875">
        <w:rPr>
          <w:rFonts w:asciiTheme="majorBidi" w:hAnsiTheme="majorBidi" w:cstheme="majorBidi"/>
          <w:szCs w:val="20"/>
          <w:lang w:val="en-GB" w:eastAsia="en-US"/>
        </w:rPr>
        <w:tab/>
        <w:t>Generalization of the segmentation of SOC messages in clause 10.4.2.2 for vectoring of profile 35b (Corrigendum 1)</w:t>
      </w:r>
    </w:p>
    <w:p w14:paraId="1A82170C" w14:textId="77777777" w:rsidR="002541BC" w:rsidRPr="00A94875" w:rsidRDefault="002541BC" w:rsidP="002541BC">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Transceiver O-DEACTIVATING state (Amendment 1)</w:t>
      </w:r>
    </w:p>
    <w:p w14:paraId="0BBAE388" w14:textId="77777777" w:rsidR="002541BC" w:rsidRPr="00A94875" w:rsidRDefault="002541BC" w:rsidP="002541BC">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Annex A: Mitigating strong FEXT (Amendment 2)</w:t>
      </w:r>
    </w:p>
    <w:p w14:paraId="1BB7866A" w14:textId="77777777" w:rsidR="002541BC" w:rsidRPr="00A94875" w:rsidRDefault="002541BC" w:rsidP="002541BC">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Annex B: Vectored Long Reach VDSL2 (Amendment 2)</w:t>
      </w:r>
    </w:p>
    <w:p w14:paraId="6AAC5836" w14:textId="77777777" w:rsidR="002541BC" w:rsidRPr="00A94875" w:rsidRDefault="002541BC" w:rsidP="002541BC">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Encoding of R-P-VECTOR-2 in LR mode with long loop operation (Annex B) (Corrigendum 2)</w:t>
      </w:r>
    </w:p>
    <w:p w14:paraId="2944C718" w14:textId="70C1094C" w:rsidR="002541BC" w:rsidRPr="00A94875" w:rsidRDefault="002541BC" w:rsidP="002541BC">
      <w:pPr>
        <w:pStyle w:val="NormalWeb"/>
        <w:spacing w:before="120" w:beforeAutospacing="0" w:after="0" w:afterAutospacing="0"/>
        <w:rPr>
          <w:rFonts w:asciiTheme="majorBidi" w:hAnsiTheme="majorBidi" w:cstheme="majorBidi"/>
          <w:szCs w:val="20"/>
          <w:lang w:val="en-GB" w:eastAsia="en-US"/>
        </w:rPr>
      </w:pPr>
      <w:proofErr w:type="gramStart"/>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Long</w:t>
      </w:r>
      <w:proofErr w:type="gramEnd"/>
      <w:r w:rsidRPr="00A94875">
        <w:rPr>
          <w:rFonts w:asciiTheme="majorBidi" w:hAnsiTheme="majorBidi" w:cstheme="majorBidi"/>
          <w:szCs w:val="20"/>
          <w:lang w:val="en-GB" w:eastAsia="en-US"/>
        </w:rPr>
        <w:t xml:space="preserve"> reach VDSL2 corrigendum related to MAXNOMATP (new).</w:t>
      </w:r>
    </w:p>
    <w:p w14:paraId="3ACF47CF" w14:textId="292B8B6E" w:rsidR="0033606E" w:rsidRPr="00A94875" w:rsidRDefault="0033606E" w:rsidP="0033606E">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 xml:space="preserve">ITU-T G.994.1 (revised) “Handshake procedures for digital subscriber line transceivers” </w:t>
      </w:r>
      <w:r w:rsidRPr="00A94875">
        <w:rPr>
          <w:rFonts w:asciiTheme="majorBidi" w:hAnsiTheme="majorBidi" w:cstheme="majorBidi"/>
          <w:szCs w:val="20"/>
          <w:lang w:val="en-GB" w:eastAsia="en-US"/>
        </w:rPr>
        <w:t xml:space="preserve">(under approval) provides a flexible mechanism for digital subscriber line (DSL) transceivers to exchange capabilities and to select a common mode of operation. It includes parameters relating to service and application requirements as well as parameters pertinent to various DSL transceivers. This Recommendation is currently an integral part of the start-up procedure for Recommendations ITU T G.991.2, ITU-T G.992.1, ITU-T G.992.2, ITU-T G.992.3, ITU-T G.992.4, ITU-T G.992.5, ITU-T G.993.1 and ITU-T G.993.2. It </w:t>
      </w:r>
      <w:proofErr w:type="gramStart"/>
      <w:r w:rsidRPr="00A94875">
        <w:rPr>
          <w:rFonts w:asciiTheme="majorBidi" w:hAnsiTheme="majorBidi" w:cstheme="majorBidi"/>
          <w:szCs w:val="20"/>
          <w:lang w:val="en-GB" w:eastAsia="en-US"/>
        </w:rPr>
        <w:t>is anticipated</w:t>
      </w:r>
      <w:proofErr w:type="gramEnd"/>
      <w:r w:rsidRPr="00A94875">
        <w:rPr>
          <w:rFonts w:asciiTheme="majorBidi" w:hAnsiTheme="majorBidi" w:cstheme="majorBidi"/>
          <w:szCs w:val="20"/>
          <w:lang w:val="en-GB" w:eastAsia="en-US"/>
        </w:rPr>
        <w:t xml:space="preserve"> that future DSL Recommendations will also be able to make use of this Recommendation. Provisions are also included for exchanging non-standard information. The 2018 edition of this Recommendation integrates ITU-T G.994.1 (2017) and all its amendments and corrigendum. In addition, the 2018 edition includes the following new technical material:</w:t>
      </w:r>
    </w:p>
    <w:p w14:paraId="3D029236" w14:textId="77777777" w:rsidR="0033606E" w:rsidRPr="00A94875" w:rsidRDefault="0033606E" w:rsidP="0033606E">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r>
      <w:proofErr w:type="spellStart"/>
      <w:proofErr w:type="gramStart"/>
      <w:r w:rsidRPr="00A94875">
        <w:rPr>
          <w:rFonts w:asciiTheme="majorBidi" w:hAnsiTheme="majorBidi" w:cstheme="majorBidi"/>
          <w:szCs w:val="20"/>
          <w:lang w:val="en-GB" w:eastAsia="en-US"/>
        </w:rPr>
        <w:t>codepoints</w:t>
      </w:r>
      <w:proofErr w:type="spellEnd"/>
      <w:proofErr w:type="gramEnd"/>
      <w:r w:rsidRPr="00A94875">
        <w:rPr>
          <w:rFonts w:asciiTheme="majorBidi" w:hAnsiTheme="majorBidi" w:cstheme="majorBidi"/>
          <w:szCs w:val="20"/>
          <w:lang w:val="en-GB" w:eastAsia="en-US"/>
        </w:rPr>
        <w:t xml:space="preserve"> for support of US0 of G.993.2 Annex N PSD masks</w:t>
      </w:r>
    </w:p>
    <w:p w14:paraId="26AFFC6F" w14:textId="77777777" w:rsidR="0033606E" w:rsidRPr="00A94875" w:rsidRDefault="0033606E" w:rsidP="0033606E">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r>
      <w:proofErr w:type="spellStart"/>
      <w:proofErr w:type="gramStart"/>
      <w:r w:rsidRPr="00A94875">
        <w:rPr>
          <w:rFonts w:asciiTheme="majorBidi" w:hAnsiTheme="majorBidi" w:cstheme="majorBidi"/>
          <w:szCs w:val="20"/>
          <w:lang w:val="en-GB" w:eastAsia="en-US"/>
        </w:rPr>
        <w:t>codepoints</w:t>
      </w:r>
      <w:proofErr w:type="spellEnd"/>
      <w:proofErr w:type="gramEnd"/>
      <w:r w:rsidRPr="00A94875">
        <w:rPr>
          <w:rFonts w:asciiTheme="majorBidi" w:hAnsiTheme="majorBidi" w:cstheme="majorBidi"/>
          <w:szCs w:val="20"/>
          <w:lang w:val="en-GB" w:eastAsia="en-US"/>
        </w:rPr>
        <w:t xml:space="preserve"> for support of US0 together with profile 35b of G.993.2 Annex A PSD masks</w:t>
      </w:r>
    </w:p>
    <w:p w14:paraId="23C40FF7" w14:textId="4873E77F" w:rsidR="0033606E" w:rsidRPr="00A94875" w:rsidRDefault="0033606E" w:rsidP="0033606E">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r>
      <w:proofErr w:type="spellStart"/>
      <w:proofErr w:type="gramStart"/>
      <w:r w:rsidRPr="00A94875">
        <w:rPr>
          <w:rFonts w:asciiTheme="majorBidi" w:hAnsiTheme="majorBidi" w:cstheme="majorBidi"/>
          <w:szCs w:val="20"/>
          <w:lang w:val="en-GB" w:eastAsia="en-US"/>
        </w:rPr>
        <w:t>codepoints</w:t>
      </w:r>
      <w:proofErr w:type="spellEnd"/>
      <w:proofErr w:type="gramEnd"/>
      <w:r w:rsidRPr="00A94875">
        <w:rPr>
          <w:rFonts w:asciiTheme="majorBidi" w:hAnsiTheme="majorBidi" w:cstheme="majorBidi"/>
          <w:szCs w:val="20"/>
          <w:lang w:val="en-GB" w:eastAsia="en-US"/>
        </w:rPr>
        <w:t xml:space="preserve"> for support of G.9701 extended </w:t>
      </w:r>
      <w:proofErr w:type="spellStart"/>
      <w:r w:rsidRPr="00A94875">
        <w:rPr>
          <w:rFonts w:asciiTheme="majorBidi" w:hAnsiTheme="majorBidi" w:cstheme="majorBidi"/>
          <w:szCs w:val="20"/>
          <w:lang w:val="en-GB" w:eastAsia="en-US"/>
        </w:rPr>
        <w:t>probesequence</w:t>
      </w:r>
      <w:proofErr w:type="spellEnd"/>
      <w:r w:rsidRPr="00A94875">
        <w:rPr>
          <w:rFonts w:asciiTheme="majorBidi" w:hAnsiTheme="majorBidi" w:cstheme="majorBidi"/>
          <w:szCs w:val="20"/>
          <w:lang w:val="en-GB" w:eastAsia="en-US"/>
        </w:rPr>
        <w:t xml:space="preserve"> length.</w:t>
      </w:r>
    </w:p>
    <w:p w14:paraId="5F6B9117" w14:textId="4F08E849" w:rsidR="006944F8" w:rsidRPr="00A94875" w:rsidRDefault="006944F8"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 xml:space="preserve">ITU-T G.994.1 (2017) Amd.2 “Handshake procedures for digital subscriber line transceivers: Amendment 2” </w:t>
      </w:r>
      <w:r w:rsidRPr="00A94875">
        <w:rPr>
          <w:rFonts w:asciiTheme="majorBidi" w:hAnsiTheme="majorBidi" w:cstheme="majorBidi"/>
          <w:szCs w:val="20"/>
          <w:lang w:val="en-GB" w:eastAsia="en-US"/>
        </w:rPr>
        <w:t>includes:</w:t>
      </w:r>
    </w:p>
    <w:p w14:paraId="3CA9FE37"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 xml:space="preserve">- Add </w:t>
      </w:r>
      <w:proofErr w:type="spellStart"/>
      <w:r w:rsidRPr="00A94875">
        <w:rPr>
          <w:rFonts w:asciiTheme="majorBidi" w:hAnsiTheme="majorBidi" w:cstheme="majorBidi"/>
          <w:szCs w:val="20"/>
          <w:lang w:val="en-GB" w:eastAsia="en-US"/>
        </w:rPr>
        <w:t>codepoint</w:t>
      </w:r>
      <w:proofErr w:type="spellEnd"/>
      <w:r w:rsidRPr="00A94875">
        <w:rPr>
          <w:rFonts w:asciiTheme="majorBidi" w:hAnsiTheme="majorBidi" w:cstheme="majorBidi"/>
          <w:szCs w:val="20"/>
          <w:lang w:val="en-GB" w:eastAsia="en-US"/>
        </w:rPr>
        <w:t xml:space="preserve"> for the support of G.9701 Annex D.</w:t>
      </w:r>
    </w:p>
    <w:p w14:paraId="3C78A997" w14:textId="07DF9FF5" w:rsidR="00127A50" w:rsidRPr="00A94875" w:rsidRDefault="00127A50" w:rsidP="00127A50">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w:t>
      </w:r>
      <w:r w:rsidR="006E06DE">
        <w:rPr>
          <w:rFonts w:asciiTheme="majorBidi" w:hAnsiTheme="majorBidi" w:cstheme="majorBidi"/>
          <w:b/>
          <w:szCs w:val="20"/>
          <w:lang w:val="en-GB" w:eastAsia="en-US"/>
        </w:rPr>
        <w:t>U</w:t>
      </w:r>
      <w:r w:rsidRPr="00A94875">
        <w:rPr>
          <w:rFonts w:asciiTheme="majorBidi" w:hAnsiTheme="majorBidi" w:cstheme="majorBidi"/>
          <w:b/>
          <w:szCs w:val="20"/>
          <w:lang w:val="en-GB" w:eastAsia="en-US"/>
        </w:rPr>
        <w:t xml:space="preserve">-T G.996.2 (revised) “Single-ended line testing for digital subscriber lines (DSL)” </w:t>
      </w:r>
      <w:r w:rsidRPr="00A94875">
        <w:rPr>
          <w:rFonts w:asciiTheme="majorBidi" w:hAnsiTheme="majorBidi" w:cstheme="majorBidi"/>
          <w:szCs w:val="20"/>
          <w:lang w:val="en-GB" w:eastAsia="en-US"/>
        </w:rPr>
        <w:t xml:space="preserve">(under approval) specifies line testing for </w:t>
      </w:r>
      <w:proofErr w:type="spellStart"/>
      <w:r w:rsidRPr="00A94875">
        <w:rPr>
          <w:rFonts w:asciiTheme="majorBidi" w:hAnsiTheme="majorBidi" w:cstheme="majorBidi"/>
          <w:szCs w:val="20"/>
          <w:lang w:val="en-GB" w:eastAsia="en-US"/>
        </w:rPr>
        <w:t>xDSL</w:t>
      </w:r>
      <w:proofErr w:type="spellEnd"/>
      <w:r w:rsidRPr="00A94875">
        <w:rPr>
          <w:rFonts w:asciiTheme="majorBidi" w:hAnsiTheme="majorBidi" w:cstheme="majorBidi"/>
          <w:szCs w:val="20"/>
          <w:lang w:val="en-GB" w:eastAsia="en-US"/>
        </w:rPr>
        <w:t xml:space="preserve"> transceivers in the form of single ended line testing (SELT), dual-ended line testing (DELT) and metallic line testing (MELT). This version of this Recommendation integrates all the previous amendments and corrigenda with the 2009 version of Recommendation ITU-T G.996.2. This version of Recommendation ITU-T G.996.2 corrects or adds the following functionality:</w:t>
      </w:r>
    </w:p>
    <w:p w14:paraId="7C0ECE02" w14:textId="77777777" w:rsidR="00127A50" w:rsidRPr="00A94875" w:rsidRDefault="00127A50" w:rsidP="00127A50">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Amendment 2 provides updates to Annexes E and F, defining revised new measurement parameters for a MELT-PMD and a MELT-P.</w:t>
      </w:r>
    </w:p>
    <w:p w14:paraId="5F021FDB" w14:textId="77777777" w:rsidR="00127A50" w:rsidRPr="00A94875" w:rsidRDefault="00127A50" w:rsidP="00127A50">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Amendment 3 updates Annex E defining accuracy values for MELT-PMD and MELT-P (new functionality).</w:t>
      </w:r>
    </w:p>
    <w:p w14:paraId="6F8CFB95" w14:textId="77777777" w:rsidR="00127A50" w:rsidRPr="00A94875" w:rsidRDefault="00127A50" w:rsidP="00127A50">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 xml:space="preserve">Amendment 4 updates Annex E on the accuracy values for multi-component 4-element resistance and 3-element capacitance parameters in MELT-PMD and on a definition on dealing with the </w:t>
      </w:r>
      <w:proofErr w:type="spellStart"/>
      <w:r w:rsidRPr="00A94875">
        <w:rPr>
          <w:rFonts w:asciiTheme="majorBidi" w:hAnsiTheme="majorBidi" w:cstheme="majorBidi"/>
          <w:szCs w:val="20"/>
          <w:lang w:val="en-GB" w:eastAsia="en-US"/>
        </w:rPr>
        <w:t>xDSL</w:t>
      </w:r>
      <w:proofErr w:type="spellEnd"/>
      <w:r w:rsidRPr="00A94875">
        <w:rPr>
          <w:rFonts w:asciiTheme="majorBidi" w:hAnsiTheme="majorBidi" w:cstheme="majorBidi"/>
          <w:szCs w:val="20"/>
          <w:lang w:val="en-GB" w:eastAsia="en-US"/>
        </w:rPr>
        <w:t xml:space="preserve"> input capacitance during measurements.</w:t>
      </w:r>
    </w:p>
    <w:p w14:paraId="0E9C79F8" w14:textId="77777777" w:rsidR="00127A50" w:rsidRPr="00A94875" w:rsidRDefault="00127A50" w:rsidP="00127A50">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Amendment 5 provides updates to Annexes A and B, defining SELT operating in conjunction with ITU-T G.9701 transceivers.</w:t>
      </w:r>
    </w:p>
    <w:p w14:paraId="23FFD5DE" w14:textId="77777777" w:rsidR="00127A50" w:rsidRPr="00A94875" w:rsidRDefault="00127A50" w:rsidP="00127A50">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Amendment 6 updates Annexes A, E, and F, defining the following new functionalities: SELT PMD management, MELT PMD management, report of negative capacitance values, pair identification tone with timeout, report of reliability indicator for measurements, report of time stamp, parallelism and polarity of far-end signature detection, and CPE identification capacitive.</w:t>
      </w:r>
    </w:p>
    <w:p w14:paraId="2005B0FB" w14:textId="28BC7706" w:rsidR="00127A50" w:rsidRPr="00A94875" w:rsidRDefault="00127A50" w:rsidP="00127A50">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lastRenderedPageBreak/>
        <w:t>•</w:t>
      </w:r>
      <w:r w:rsidRPr="00A94875">
        <w:rPr>
          <w:rFonts w:asciiTheme="majorBidi" w:hAnsiTheme="majorBidi" w:cstheme="majorBidi"/>
          <w:szCs w:val="20"/>
          <w:lang w:val="en-GB" w:eastAsia="en-US"/>
        </w:rPr>
        <w:tab/>
        <w:t>Corrigendum 1 fixes a number of inconsistencies.</w:t>
      </w:r>
    </w:p>
    <w:p w14:paraId="608A5C2B" w14:textId="0529649E" w:rsidR="006944F8" w:rsidRPr="00A94875" w:rsidRDefault="006944F8"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ITU-T G.996.2 (2009) Amd.6 “Single-ended line testing for digital subscriber lines (DSL): Amendment 6”</w:t>
      </w:r>
      <w:r w:rsidRPr="00A94875">
        <w:rPr>
          <w:rFonts w:asciiTheme="majorBidi" w:hAnsiTheme="majorBidi" w:cstheme="majorBidi"/>
          <w:szCs w:val="20"/>
          <w:lang w:val="en-GB" w:eastAsia="en-US"/>
        </w:rPr>
        <w:t xml:space="preserve"> updates Annexes A, E, and F, defining the following new functionalities:</w:t>
      </w:r>
    </w:p>
    <w:p w14:paraId="36FED5CF"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1)</w:t>
      </w:r>
      <w:r w:rsidRPr="00A94875">
        <w:rPr>
          <w:rFonts w:asciiTheme="majorBidi" w:hAnsiTheme="majorBidi" w:cstheme="majorBidi"/>
          <w:szCs w:val="20"/>
          <w:lang w:val="en-GB" w:eastAsia="en-US"/>
        </w:rPr>
        <w:tab/>
        <w:t>SELT PMD management</w:t>
      </w:r>
    </w:p>
    <w:p w14:paraId="695D2729"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2)</w:t>
      </w:r>
      <w:r w:rsidRPr="00A94875">
        <w:rPr>
          <w:rFonts w:asciiTheme="majorBidi" w:hAnsiTheme="majorBidi" w:cstheme="majorBidi"/>
          <w:szCs w:val="20"/>
          <w:lang w:val="en-GB" w:eastAsia="en-US"/>
        </w:rPr>
        <w:tab/>
        <w:t>MELT PMD management</w:t>
      </w:r>
    </w:p>
    <w:p w14:paraId="35B43C3E"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3)</w:t>
      </w:r>
      <w:r w:rsidRPr="00A94875">
        <w:rPr>
          <w:rFonts w:asciiTheme="majorBidi" w:hAnsiTheme="majorBidi" w:cstheme="majorBidi"/>
          <w:szCs w:val="20"/>
          <w:lang w:val="en-GB" w:eastAsia="en-US"/>
        </w:rPr>
        <w:tab/>
        <w:t>Report of negative capacitance values</w:t>
      </w:r>
    </w:p>
    <w:p w14:paraId="5E77E306"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4)</w:t>
      </w:r>
      <w:r w:rsidRPr="00A94875">
        <w:rPr>
          <w:rFonts w:asciiTheme="majorBidi" w:hAnsiTheme="majorBidi" w:cstheme="majorBidi"/>
          <w:szCs w:val="20"/>
          <w:lang w:val="en-GB" w:eastAsia="en-US"/>
        </w:rPr>
        <w:tab/>
        <w:t>Pair identification tone with timeout</w:t>
      </w:r>
    </w:p>
    <w:p w14:paraId="384D487A"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5)</w:t>
      </w:r>
      <w:r w:rsidRPr="00A94875">
        <w:rPr>
          <w:rFonts w:asciiTheme="majorBidi" w:hAnsiTheme="majorBidi" w:cstheme="majorBidi"/>
          <w:szCs w:val="20"/>
          <w:lang w:val="en-GB" w:eastAsia="en-US"/>
        </w:rPr>
        <w:tab/>
        <w:t>Report of reliability indicator for measurements</w:t>
      </w:r>
    </w:p>
    <w:p w14:paraId="07E24E5C"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6)</w:t>
      </w:r>
      <w:r w:rsidRPr="00A94875">
        <w:rPr>
          <w:rFonts w:asciiTheme="majorBidi" w:hAnsiTheme="majorBidi" w:cstheme="majorBidi"/>
          <w:szCs w:val="20"/>
          <w:lang w:val="en-GB" w:eastAsia="en-US"/>
        </w:rPr>
        <w:tab/>
        <w:t>Report of time stamp</w:t>
      </w:r>
    </w:p>
    <w:p w14:paraId="0FE4D154"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7)</w:t>
      </w:r>
      <w:r w:rsidRPr="00A94875">
        <w:rPr>
          <w:rFonts w:asciiTheme="majorBidi" w:hAnsiTheme="majorBidi" w:cstheme="majorBidi"/>
          <w:szCs w:val="20"/>
          <w:lang w:val="en-GB" w:eastAsia="en-US"/>
        </w:rPr>
        <w:tab/>
        <w:t>Parallelism and polarity of far-end signature detection</w:t>
      </w:r>
    </w:p>
    <w:p w14:paraId="583F35F1"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8)</w:t>
      </w:r>
      <w:r w:rsidRPr="00A94875">
        <w:rPr>
          <w:rFonts w:asciiTheme="majorBidi" w:hAnsiTheme="majorBidi" w:cstheme="majorBidi"/>
          <w:szCs w:val="20"/>
          <w:lang w:val="en-GB" w:eastAsia="en-US"/>
        </w:rPr>
        <w:tab/>
        <w:t>CPE identification capacitive.</w:t>
      </w:r>
    </w:p>
    <w:p w14:paraId="7011B437" w14:textId="2D380FFC" w:rsidR="00083D88" w:rsidRPr="00A94875" w:rsidRDefault="00083D88" w:rsidP="00083D8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 xml:space="preserve">ITU-T G.997.1 (revised) “Physical layer management for digital subscriber line transceivers” </w:t>
      </w:r>
      <w:r w:rsidRPr="00A94875">
        <w:rPr>
          <w:rFonts w:asciiTheme="majorBidi" w:hAnsiTheme="majorBidi" w:cstheme="majorBidi"/>
          <w:szCs w:val="20"/>
          <w:lang w:val="en-GB" w:eastAsia="en-US"/>
        </w:rPr>
        <w:t xml:space="preserve">(under approval) specifies the physical layer management for asymmetric digital subscriber line (ADSL) and very </w:t>
      </w:r>
      <w:proofErr w:type="gramStart"/>
      <w:r w:rsidRPr="00A94875">
        <w:rPr>
          <w:rFonts w:asciiTheme="majorBidi" w:hAnsiTheme="majorBidi" w:cstheme="majorBidi"/>
          <w:szCs w:val="20"/>
          <w:lang w:val="en-GB" w:eastAsia="en-US"/>
        </w:rPr>
        <w:t>high speed</w:t>
      </w:r>
      <w:proofErr w:type="gramEnd"/>
      <w:r w:rsidRPr="00A94875">
        <w:rPr>
          <w:rFonts w:asciiTheme="majorBidi" w:hAnsiTheme="majorBidi" w:cstheme="majorBidi"/>
          <w:szCs w:val="20"/>
          <w:lang w:val="en-GB" w:eastAsia="en-US"/>
        </w:rPr>
        <w:t xml:space="preserve"> digital subscriber line 2 (VDSL2) transmission systems. It specifies means of communication on a transport transmission channel defined in the physical layer Recommendations ITU-T G.992.1, ITU-T G.992.2, ITU-T G.992.3, ITU-T G.992.4, ITU T G.992.5 and ITU-T G.993.2. It specifies network elements (NE) content and syntax for configuration, fault and performance management.</w:t>
      </w:r>
    </w:p>
    <w:p w14:paraId="723B9DAF" w14:textId="77777777" w:rsidR="00083D88" w:rsidRPr="00A94875" w:rsidRDefault="00083D88" w:rsidP="00083D8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The revision of this Recommendation includes the management information base (MIB) elements for the physical layer management of Recommendation ITU T G.993.2 and additional MIB elements for the physical layer management of Recommendations ITU T G.992.3 and ITU-T G.992.5. The 2018 edition of this Recommendation integrates ITU-T G.997.1 (2016) and all its amendments and corrigenda. It adds the following new technical material:</w:t>
      </w:r>
    </w:p>
    <w:p w14:paraId="741D3E94" w14:textId="77777777" w:rsidR="00083D88" w:rsidRPr="00A94875" w:rsidRDefault="00083D88" w:rsidP="00083D8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Add support for G.993.2 Annex N PSD masks.</w:t>
      </w:r>
    </w:p>
    <w:p w14:paraId="2EDBD67D" w14:textId="20F6A549" w:rsidR="00083D88" w:rsidRPr="00A94875" w:rsidRDefault="00083D88" w:rsidP="00083D8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Add support of MAXEFTR and extend the definition of the parameters “error-free bits counter” and “MINEFTR” to apply to line with retransmission inactive.</w:t>
      </w:r>
    </w:p>
    <w:p w14:paraId="0C0541C2" w14:textId="29CCBF83" w:rsidR="006944F8" w:rsidRPr="00A94875" w:rsidRDefault="006944F8"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ITU-T G.997.1 (2016) Amd.2 “Physical layer management for digital subscriber line transceivers - Amendment 2”</w:t>
      </w:r>
      <w:r w:rsidRPr="00A94875">
        <w:rPr>
          <w:rFonts w:asciiTheme="majorBidi" w:hAnsiTheme="majorBidi" w:cstheme="majorBidi"/>
          <w:szCs w:val="20"/>
          <w:lang w:val="en-GB" w:eastAsia="en-US"/>
        </w:rPr>
        <w:t xml:space="preserve"> includes:</w:t>
      </w:r>
    </w:p>
    <w:p w14:paraId="40B875D6"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 Addition of loop diagnostic status parameters</w:t>
      </w:r>
    </w:p>
    <w:p w14:paraId="7F8D5BB8"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 Freezing of performance and monitoring counters when line is forced in L3 state</w:t>
      </w:r>
    </w:p>
    <w:p w14:paraId="6D049EE6"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 Add support for Band plan and Limit PSD masks of profile 35b for the North American region (Annex A).</w:t>
      </w:r>
    </w:p>
    <w:p w14:paraId="255BD3CC" w14:textId="1A9CE0C8" w:rsidR="008B4CCA" w:rsidRPr="00A94875" w:rsidRDefault="008B4CCA" w:rsidP="008B4CCA">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 xml:space="preserve">ITU-T G.997.2 (revised) “Physical layer management for </w:t>
      </w:r>
      <w:proofErr w:type="spellStart"/>
      <w:r w:rsidRPr="00A94875">
        <w:rPr>
          <w:rFonts w:asciiTheme="majorBidi" w:hAnsiTheme="majorBidi" w:cstheme="majorBidi"/>
          <w:b/>
          <w:szCs w:val="20"/>
          <w:lang w:val="en-GB" w:eastAsia="en-US"/>
        </w:rPr>
        <w:t>G.fast</w:t>
      </w:r>
      <w:proofErr w:type="spellEnd"/>
      <w:r w:rsidRPr="00A94875">
        <w:rPr>
          <w:rFonts w:asciiTheme="majorBidi" w:hAnsiTheme="majorBidi" w:cstheme="majorBidi"/>
          <w:b/>
          <w:szCs w:val="20"/>
          <w:lang w:val="en-GB" w:eastAsia="en-US"/>
        </w:rPr>
        <w:t xml:space="preserve"> transceivers” </w:t>
      </w:r>
      <w:r w:rsidRPr="00A94875">
        <w:rPr>
          <w:rFonts w:asciiTheme="majorBidi" w:hAnsiTheme="majorBidi" w:cstheme="majorBidi"/>
          <w:szCs w:val="20"/>
          <w:lang w:val="en-GB" w:eastAsia="en-US"/>
        </w:rPr>
        <w:t>(under approval) specifies the physical layer management for fast access to subscriber terminals (</w:t>
      </w:r>
      <w:proofErr w:type="spellStart"/>
      <w:r w:rsidRPr="00A94875">
        <w:rPr>
          <w:rFonts w:asciiTheme="majorBidi" w:hAnsiTheme="majorBidi" w:cstheme="majorBidi"/>
          <w:szCs w:val="20"/>
          <w:lang w:val="en-GB" w:eastAsia="en-US"/>
        </w:rPr>
        <w:t>G.fast</w:t>
      </w:r>
      <w:proofErr w:type="spellEnd"/>
      <w:r w:rsidRPr="00A94875">
        <w:rPr>
          <w:rFonts w:asciiTheme="majorBidi" w:hAnsiTheme="majorBidi" w:cstheme="majorBidi"/>
          <w:szCs w:val="20"/>
          <w:lang w:val="en-GB" w:eastAsia="en-US"/>
        </w:rPr>
        <w:t xml:space="preserve">) transmission systems. It specifies managed objects for configuration, fault, status, </w:t>
      </w:r>
      <w:proofErr w:type="gramStart"/>
      <w:r w:rsidRPr="00A94875">
        <w:rPr>
          <w:rFonts w:asciiTheme="majorBidi" w:hAnsiTheme="majorBidi" w:cstheme="majorBidi"/>
          <w:szCs w:val="20"/>
          <w:lang w:val="en-GB" w:eastAsia="en-US"/>
        </w:rPr>
        <w:t>inventory</w:t>
      </w:r>
      <w:proofErr w:type="gramEnd"/>
      <w:r w:rsidRPr="00A94875">
        <w:rPr>
          <w:rFonts w:asciiTheme="majorBidi" w:hAnsiTheme="majorBidi" w:cstheme="majorBidi"/>
          <w:szCs w:val="20"/>
          <w:lang w:val="en-GB" w:eastAsia="en-US"/>
        </w:rPr>
        <w:t xml:space="preserve"> and performance management. The 2018 edition of this Recommendation integrates ITU-T G.997.2 (2015) and all its amendments and corrigenda. It adds the following new technical material:</w:t>
      </w:r>
    </w:p>
    <w:p w14:paraId="4ED9084F" w14:textId="77777777" w:rsidR="008B4CCA" w:rsidRPr="00A94875" w:rsidRDefault="008B4CCA" w:rsidP="008B4CCA">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Correction on loss of power definition for RPF.</w:t>
      </w:r>
    </w:p>
    <w:p w14:paraId="7720984F" w14:textId="77777777" w:rsidR="008B4CCA" w:rsidRPr="00A94875" w:rsidRDefault="008B4CCA" w:rsidP="008B4CCA">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 xml:space="preserve">Correction to the special value of </w:t>
      </w:r>
      <w:proofErr w:type="spellStart"/>
      <w:r w:rsidRPr="00A94875">
        <w:rPr>
          <w:rFonts w:asciiTheme="majorBidi" w:hAnsiTheme="majorBidi" w:cstheme="majorBidi"/>
          <w:szCs w:val="20"/>
          <w:lang w:val="en-GB" w:eastAsia="en-US"/>
        </w:rPr>
        <w:t>SNRps</w:t>
      </w:r>
      <w:proofErr w:type="spellEnd"/>
    </w:p>
    <w:p w14:paraId="38801832" w14:textId="77777777" w:rsidR="008B4CCA" w:rsidRPr="00A94875" w:rsidRDefault="008B4CCA" w:rsidP="008B4CCA">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 xml:space="preserve">Inclusion of managed objects for </w:t>
      </w:r>
      <w:proofErr w:type="spellStart"/>
      <w:r w:rsidRPr="00A94875">
        <w:rPr>
          <w:rFonts w:asciiTheme="majorBidi" w:hAnsiTheme="majorBidi" w:cstheme="majorBidi"/>
          <w:szCs w:val="20"/>
          <w:lang w:val="en-GB" w:eastAsia="en-US"/>
        </w:rPr>
        <w:t>showtime</w:t>
      </w:r>
      <w:proofErr w:type="spellEnd"/>
      <w:r w:rsidRPr="00A94875">
        <w:rPr>
          <w:rFonts w:asciiTheme="majorBidi" w:hAnsiTheme="majorBidi" w:cstheme="majorBidi"/>
          <w:szCs w:val="20"/>
          <w:lang w:val="en-GB" w:eastAsia="en-US"/>
        </w:rPr>
        <w:t xml:space="preserve"> reconfiguration</w:t>
      </w:r>
    </w:p>
    <w:p w14:paraId="252CF5A1" w14:textId="77777777" w:rsidR="008B4CCA" w:rsidRPr="00A94875" w:rsidRDefault="008B4CCA" w:rsidP="008B4CCA">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 xml:space="preserve">Correction to the range of valid values of </w:t>
      </w:r>
      <w:proofErr w:type="spellStart"/>
      <w:r w:rsidRPr="00A94875">
        <w:rPr>
          <w:rFonts w:asciiTheme="majorBidi" w:hAnsiTheme="majorBidi" w:cstheme="majorBidi"/>
          <w:szCs w:val="20"/>
          <w:lang w:val="en-GB" w:eastAsia="en-US"/>
        </w:rPr>
        <w:t>LOM_PERSISTENCYds</w:t>
      </w:r>
      <w:proofErr w:type="spellEnd"/>
      <w:r w:rsidRPr="00A94875">
        <w:rPr>
          <w:rFonts w:asciiTheme="majorBidi" w:hAnsiTheme="majorBidi" w:cstheme="majorBidi"/>
          <w:szCs w:val="20"/>
          <w:lang w:val="en-GB" w:eastAsia="en-US"/>
        </w:rPr>
        <w:t>/us</w:t>
      </w:r>
    </w:p>
    <w:p w14:paraId="3BE0ABCF" w14:textId="48D7F58F" w:rsidR="008B4CCA" w:rsidRPr="00A94875" w:rsidRDefault="008B4CCA" w:rsidP="008B4CCA">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w:t>
      </w:r>
      <w:r w:rsidRPr="00A94875">
        <w:rPr>
          <w:rFonts w:asciiTheme="majorBidi" w:hAnsiTheme="majorBidi" w:cstheme="majorBidi"/>
          <w:szCs w:val="20"/>
          <w:lang w:val="en-GB" w:eastAsia="en-US"/>
        </w:rPr>
        <w:tab/>
        <w:t xml:space="preserve">Inclusion of managed objects </w:t>
      </w:r>
      <w:proofErr w:type="spellStart"/>
      <w:r w:rsidRPr="00A94875">
        <w:rPr>
          <w:rFonts w:asciiTheme="majorBidi" w:hAnsiTheme="majorBidi" w:cstheme="majorBidi"/>
          <w:szCs w:val="20"/>
          <w:lang w:val="en-GB" w:eastAsia="en-US"/>
        </w:rPr>
        <w:t>CLASSMASKds</w:t>
      </w:r>
      <w:proofErr w:type="spellEnd"/>
      <w:r w:rsidRPr="00A94875">
        <w:rPr>
          <w:rFonts w:asciiTheme="majorBidi" w:hAnsiTheme="majorBidi" w:cstheme="majorBidi"/>
          <w:szCs w:val="20"/>
          <w:lang w:val="en-GB" w:eastAsia="en-US"/>
        </w:rPr>
        <w:t>/us.</w:t>
      </w:r>
    </w:p>
    <w:p w14:paraId="6550BD89" w14:textId="3C91AE83" w:rsidR="006944F8" w:rsidRPr="00A94875" w:rsidRDefault="006944F8"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lastRenderedPageBreak/>
        <w:t xml:space="preserve">ITU-T G.997.2 (2015) Amd.5 “Physical layer management for </w:t>
      </w:r>
      <w:proofErr w:type="spellStart"/>
      <w:r w:rsidRPr="00A94875">
        <w:rPr>
          <w:rFonts w:asciiTheme="majorBidi" w:hAnsiTheme="majorBidi" w:cstheme="majorBidi"/>
          <w:b/>
          <w:szCs w:val="20"/>
          <w:lang w:val="en-GB" w:eastAsia="en-US"/>
        </w:rPr>
        <w:t>G.fast</w:t>
      </w:r>
      <w:proofErr w:type="spellEnd"/>
      <w:r w:rsidRPr="00A94875">
        <w:rPr>
          <w:rFonts w:asciiTheme="majorBidi" w:hAnsiTheme="majorBidi" w:cstheme="majorBidi"/>
          <w:b/>
          <w:szCs w:val="20"/>
          <w:lang w:val="en-GB" w:eastAsia="en-US"/>
        </w:rPr>
        <w:t xml:space="preserve"> transceivers: Amendment 5” </w:t>
      </w:r>
      <w:r w:rsidRPr="00A94875">
        <w:rPr>
          <w:rFonts w:asciiTheme="majorBidi" w:hAnsiTheme="majorBidi" w:cstheme="majorBidi"/>
          <w:szCs w:val="20"/>
          <w:lang w:val="en-GB" w:eastAsia="en-US"/>
        </w:rPr>
        <w:t>includes:</w:t>
      </w:r>
    </w:p>
    <w:p w14:paraId="658424D5"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 Freezing of performance and monitoring counters when line is forced in L3 state</w:t>
      </w:r>
    </w:p>
    <w:p w14:paraId="1985E715" w14:textId="77777777" w:rsidR="006944F8" w:rsidRPr="00A94875" w:rsidRDefault="006944F8" w:rsidP="006944F8">
      <w:pPr>
        <w:pStyle w:val="NormalWeb"/>
        <w:spacing w:before="120" w:beforeAutospacing="0" w:after="0" w:afterAutospacing="0"/>
        <w:ind w:left="567"/>
        <w:rPr>
          <w:rFonts w:asciiTheme="majorBidi" w:hAnsiTheme="majorBidi" w:cstheme="majorBidi"/>
          <w:szCs w:val="20"/>
          <w:lang w:val="en-GB" w:eastAsia="en-US"/>
        </w:rPr>
      </w:pPr>
      <w:r w:rsidRPr="00A94875">
        <w:rPr>
          <w:rFonts w:asciiTheme="majorBidi" w:hAnsiTheme="majorBidi" w:cstheme="majorBidi"/>
          <w:szCs w:val="20"/>
          <w:lang w:val="en-GB" w:eastAsia="en-US"/>
        </w:rPr>
        <w:t>- Add support for G.9701 Annex D (</w:t>
      </w:r>
      <w:proofErr w:type="spellStart"/>
      <w:r w:rsidRPr="00A94875">
        <w:rPr>
          <w:rFonts w:asciiTheme="majorBidi" w:hAnsiTheme="majorBidi" w:cstheme="majorBidi"/>
          <w:szCs w:val="20"/>
          <w:lang w:val="en-GB" w:eastAsia="en-US"/>
        </w:rPr>
        <w:t>cDTA</w:t>
      </w:r>
      <w:proofErr w:type="spellEnd"/>
      <w:r w:rsidRPr="00A94875">
        <w:rPr>
          <w:rFonts w:asciiTheme="majorBidi" w:hAnsiTheme="majorBidi" w:cstheme="majorBidi"/>
          <w:szCs w:val="20"/>
          <w:lang w:val="en-GB" w:eastAsia="en-US"/>
        </w:rPr>
        <w:t>).</w:t>
      </w:r>
    </w:p>
    <w:p w14:paraId="52CF6161" w14:textId="77777777" w:rsidR="00FB75DD" w:rsidRPr="00A94875" w:rsidRDefault="00FB75DD" w:rsidP="00FB75DD">
      <w:pPr>
        <w:spacing w:after="120"/>
        <w:rPr>
          <w:rFonts w:asciiTheme="majorBidi" w:hAnsiTheme="majorBidi" w:cstheme="majorBidi"/>
          <w:bCs/>
          <w:lang w:val="en-GB" w:eastAsia="ko-KR"/>
        </w:rPr>
      </w:pPr>
      <w:r w:rsidRPr="00A94875">
        <w:rPr>
          <w:rFonts w:asciiTheme="majorBidi" w:hAnsiTheme="majorBidi" w:cstheme="majorBidi"/>
          <w:b/>
          <w:bCs/>
          <w:lang w:val="en-GB" w:eastAsia="ko-KR"/>
        </w:rPr>
        <w:t>ITU-T G.999.1 (revised) “Interface between the link layer and the physical layer for digital subscriber line (DSL) transceivers”</w:t>
      </w:r>
      <w:r w:rsidRPr="00A94875">
        <w:rPr>
          <w:rFonts w:asciiTheme="majorBidi" w:hAnsiTheme="majorBidi" w:cstheme="majorBidi"/>
          <w:bCs/>
          <w:lang w:val="en-GB" w:eastAsia="ko-KR"/>
        </w:rPr>
        <w:t xml:space="preserve"> (under approval) defines a point-to-point interface between the LINK layer device such as a network processor and a PHY device supporting multiple DSL lines, such as VDSL2, ADSL2, and SHDSL.</w:t>
      </w:r>
    </w:p>
    <w:p w14:paraId="78D7A5C5" w14:textId="77777777" w:rsidR="00FB75DD" w:rsidRPr="00155D7A" w:rsidRDefault="00FB75DD" w:rsidP="00FB75DD">
      <w:pPr>
        <w:spacing w:after="120"/>
        <w:rPr>
          <w:rFonts w:asciiTheme="majorBidi" w:hAnsiTheme="majorBidi" w:cstheme="majorBidi"/>
          <w:bCs/>
          <w:lang w:val="fr-CH" w:eastAsia="ko-KR"/>
        </w:rPr>
      </w:pPr>
      <w:proofErr w:type="spellStart"/>
      <w:r w:rsidRPr="00155D7A">
        <w:rPr>
          <w:rFonts w:asciiTheme="majorBidi" w:hAnsiTheme="majorBidi" w:cstheme="majorBidi"/>
          <w:bCs/>
          <w:lang w:val="fr-CH" w:eastAsia="ko-KR"/>
        </w:rPr>
        <w:t>Corrigendum</w:t>
      </w:r>
      <w:proofErr w:type="spellEnd"/>
      <w:r w:rsidRPr="00155D7A">
        <w:rPr>
          <w:rFonts w:asciiTheme="majorBidi" w:hAnsiTheme="majorBidi" w:cstheme="majorBidi"/>
          <w:bCs/>
          <w:lang w:val="fr-CH" w:eastAsia="ko-KR"/>
        </w:rPr>
        <w:t xml:space="preserve"> 1 to </w:t>
      </w:r>
      <w:proofErr w:type="spellStart"/>
      <w:r w:rsidRPr="00155D7A">
        <w:rPr>
          <w:rFonts w:asciiTheme="majorBidi" w:hAnsiTheme="majorBidi" w:cstheme="majorBidi"/>
          <w:bCs/>
          <w:lang w:val="fr-CH" w:eastAsia="ko-KR"/>
        </w:rPr>
        <w:t>Recommendation</w:t>
      </w:r>
      <w:proofErr w:type="spellEnd"/>
      <w:r w:rsidRPr="00155D7A">
        <w:rPr>
          <w:rFonts w:asciiTheme="majorBidi" w:hAnsiTheme="majorBidi" w:cstheme="majorBidi"/>
          <w:bCs/>
          <w:lang w:val="fr-CH" w:eastAsia="ko-KR"/>
        </w:rPr>
        <w:t xml:space="preserve"> ITU-T G.999.1 (2009) </w:t>
      </w:r>
      <w:proofErr w:type="spellStart"/>
      <w:r w:rsidRPr="00155D7A">
        <w:rPr>
          <w:rFonts w:asciiTheme="majorBidi" w:hAnsiTheme="majorBidi" w:cstheme="majorBidi"/>
          <w:bCs/>
          <w:lang w:val="fr-CH" w:eastAsia="ko-KR"/>
        </w:rPr>
        <w:t>contains</w:t>
      </w:r>
      <w:proofErr w:type="spellEnd"/>
      <w:r w:rsidRPr="00155D7A">
        <w:rPr>
          <w:rFonts w:asciiTheme="majorBidi" w:hAnsiTheme="majorBidi" w:cstheme="majorBidi"/>
          <w:bCs/>
          <w:lang w:val="fr-CH" w:eastAsia="ko-KR"/>
        </w:rPr>
        <w:t>:</w:t>
      </w:r>
    </w:p>
    <w:p w14:paraId="03FF671D" w14:textId="77777777" w:rsidR="00FB75DD" w:rsidRPr="00A94875" w:rsidRDefault="00FB75DD" w:rsidP="00FB75DD">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Resolution of an inconsistency with TCI bit mapping relative to IEEE 802.1q</w:t>
      </w:r>
    </w:p>
    <w:p w14:paraId="7823706A" w14:textId="77777777" w:rsidR="00FB75DD" w:rsidRPr="00A94875" w:rsidRDefault="00FB75DD" w:rsidP="00FB75DD">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 xml:space="preserve">Clarification of LENGTH field bit mapping </w:t>
      </w:r>
    </w:p>
    <w:p w14:paraId="029C8B25" w14:textId="77777777" w:rsidR="00FB75DD" w:rsidRPr="00A94875" w:rsidRDefault="00FB75DD" w:rsidP="00FB75DD">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Editorial corrections and clarifications to various clauses throughout the Recommendation.</w:t>
      </w:r>
    </w:p>
    <w:p w14:paraId="4A92CF00" w14:textId="77777777" w:rsidR="00FB75DD" w:rsidRPr="00A94875" w:rsidRDefault="00FB75DD" w:rsidP="00FB75DD">
      <w:pPr>
        <w:spacing w:after="120"/>
        <w:rPr>
          <w:rFonts w:asciiTheme="majorBidi" w:hAnsiTheme="majorBidi" w:cstheme="majorBidi"/>
          <w:bCs/>
          <w:lang w:val="en-GB" w:eastAsia="ko-KR"/>
        </w:rPr>
      </w:pPr>
      <w:r w:rsidRPr="00A94875">
        <w:rPr>
          <w:rFonts w:asciiTheme="majorBidi" w:hAnsiTheme="majorBidi" w:cstheme="majorBidi"/>
          <w:bCs/>
          <w:lang w:val="en-GB" w:eastAsia="ko-KR"/>
        </w:rPr>
        <w:t>Amendment 1 to Recommendation ITU-T G.999.1 (2009) provides the following update:</w:t>
      </w:r>
    </w:p>
    <w:p w14:paraId="7D1C148E" w14:textId="77777777" w:rsidR="00FB75DD" w:rsidRPr="00A94875" w:rsidRDefault="00FB75DD" w:rsidP="00FB75DD">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Revision to clause 6.3 with extension for flow control on the PHY-to-LINK data stream over gamma reference point.</w:t>
      </w:r>
    </w:p>
    <w:p w14:paraId="394D8F76" w14:textId="77777777" w:rsidR="00FB75DD" w:rsidRPr="00A94875" w:rsidRDefault="00FB75DD" w:rsidP="00FB75DD">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Update of clause 7, Table 7-1 Configuration parameters for the encapsulation.</w:t>
      </w:r>
    </w:p>
    <w:p w14:paraId="6F856FB7" w14:textId="77777777" w:rsidR="00FB75DD" w:rsidRPr="00A94875" w:rsidRDefault="00FB75DD" w:rsidP="00FB75DD">
      <w:pPr>
        <w:spacing w:after="120"/>
        <w:rPr>
          <w:rFonts w:asciiTheme="majorBidi" w:hAnsiTheme="majorBidi" w:cstheme="majorBidi"/>
          <w:bCs/>
          <w:lang w:val="en-GB" w:eastAsia="ko-KR"/>
        </w:rPr>
      </w:pPr>
      <w:r w:rsidRPr="00A94875">
        <w:rPr>
          <w:rFonts w:asciiTheme="majorBidi" w:hAnsiTheme="majorBidi" w:cstheme="majorBidi"/>
          <w:bCs/>
          <w:lang w:val="en-GB" w:eastAsia="ko-KR"/>
        </w:rPr>
        <w:t xml:space="preserve">This revision adds support for 2.5 </w:t>
      </w:r>
      <w:proofErr w:type="spellStart"/>
      <w:r w:rsidRPr="00A94875">
        <w:rPr>
          <w:rFonts w:asciiTheme="majorBidi" w:hAnsiTheme="majorBidi" w:cstheme="majorBidi"/>
          <w:bCs/>
          <w:lang w:val="en-GB" w:eastAsia="ko-KR"/>
        </w:rPr>
        <w:t>Gbit</w:t>
      </w:r>
      <w:proofErr w:type="spellEnd"/>
      <w:r w:rsidRPr="00A94875">
        <w:rPr>
          <w:rFonts w:asciiTheme="majorBidi" w:hAnsiTheme="majorBidi" w:cstheme="majorBidi"/>
          <w:bCs/>
          <w:lang w:val="en-GB" w:eastAsia="ko-KR"/>
        </w:rPr>
        <w:t xml:space="preserve">/s and 10 </w:t>
      </w:r>
      <w:proofErr w:type="spellStart"/>
      <w:r w:rsidRPr="00A94875">
        <w:rPr>
          <w:rFonts w:asciiTheme="majorBidi" w:hAnsiTheme="majorBidi" w:cstheme="majorBidi"/>
          <w:bCs/>
          <w:lang w:val="en-GB" w:eastAsia="ko-KR"/>
        </w:rPr>
        <w:t>Gbit</w:t>
      </w:r>
      <w:proofErr w:type="spellEnd"/>
      <w:r w:rsidRPr="00A94875">
        <w:rPr>
          <w:rFonts w:asciiTheme="majorBidi" w:hAnsiTheme="majorBidi" w:cstheme="majorBidi"/>
          <w:bCs/>
          <w:lang w:val="en-GB" w:eastAsia="ko-KR"/>
        </w:rPr>
        <w:t>/s LINK/PHY physical interfaces.</w:t>
      </w:r>
    </w:p>
    <w:p w14:paraId="06745312" w14:textId="77777777" w:rsidR="001A5106" w:rsidRPr="00A94875" w:rsidRDefault="001A5106" w:rsidP="00FB75DD">
      <w:pPr>
        <w:pStyle w:val="NormalWeb"/>
        <w:spacing w:before="120" w:beforeAutospacing="0" w:after="0" w:afterAutospacing="0"/>
        <w:rPr>
          <w:rFonts w:asciiTheme="majorBidi" w:hAnsiTheme="majorBidi" w:cstheme="majorBidi"/>
          <w:bCs/>
          <w:szCs w:val="20"/>
          <w:lang w:val="en-GB" w:eastAsia="en-US"/>
        </w:rPr>
      </w:pPr>
      <w:proofErr w:type="gramStart"/>
      <w:r w:rsidRPr="00A94875">
        <w:rPr>
          <w:rFonts w:asciiTheme="majorBidi" w:hAnsiTheme="majorBidi" w:cstheme="majorBidi"/>
          <w:b/>
          <w:bCs/>
          <w:szCs w:val="20"/>
          <w:lang w:val="en-GB" w:eastAsia="en-US"/>
        </w:rPr>
        <w:t>ITU-T G.9700 (revised) “Fast access to subscriber terminals (</w:t>
      </w:r>
      <w:proofErr w:type="spellStart"/>
      <w:r w:rsidRPr="00A94875">
        <w:rPr>
          <w:rFonts w:asciiTheme="majorBidi" w:hAnsiTheme="majorBidi" w:cstheme="majorBidi"/>
          <w:b/>
          <w:bCs/>
          <w:szCs w:val="20"/>
          <w:lang w:val="en-GB" w:eastAsia="en-US"/>
        </w:rPr>
        <w:t>G.fast</w:t>
      </w:r>
      <w:proofErr w:type="spellEnd"/>
      <w:r w:rsidRPr="00A94875">
        <w:rPr>
          <w:rFonts w:asciiTheme="majorBidi" w:hAnsiTheme="majorBidi" w:cstheme="majorBidi"/>
          <w:b/>
          <w:bCs/>
          <w:szCs w:val="20"/>
          <w:lang w:val="en-GB" w:eastAsia="en-US"/>
        </w:rPr>
        <w:t>) – Power spectral density specification”</w:t>
      </w:r>
      <w:r w:rsidRPr="00A94875">
        <w:rPr>
          <w:rFonts w:asciiTheme="majorBidi" w:hAnsiTheme="majorBidi" w:cstheme="majorBidi"/>
          <w:bCs/>
          <w:szCs w:val="20"/>
          <w:lang w:val="en-GB" w:eastAsia="en-US"/>
        </w:rPr>
        <w:t xml:space="preserve"> (under approval) specifies power spectral density (PSD) mask requirements for fast access to subscriber terminals (</w:t>
      </w:r>
      <w:proofErr w:type="spellStart"/>
      <w:r w:rsidRPr="00A94875">
        <w:rPr>
          <w:rFonts w:asciiTheme="majorBidi" w:hAnsiTheme="majorBidi" w:cstheme="majorBidi"/>
          <w:bCs/>
          <w:szCs w:val="20"/>
          <w:lang w:val="en-GB" w:eastAsia="en-US"/>
        </w:rPr>
        <w:t>G.fast</w:t>
      </w:r>
      <w:proofErr w:type="spellEnd"/>
      <w:r w:rsidRPr="00A94875">
        <w:rPr>
          <w:rFonts w:asciiTheme="majorBidi" w:hAnsiTheme="majorBidi" w:cstheme="majorBidi"/>
          <w:bCs/>
          <w:szCs w:val="20"/>
          <w:lang w:val="en-GB" w:eastAsia="en-US"/>
        </w:rPr>
        <w:t>), a set of tools to support reduction of the transmit PSD mask, profile control parameters that determine spectral content, including the allowable maximum aggregate transmit power into a specified termination impedance, and a methodology for transmit PSD verification.</w:t>
      </w:r>
      <w:proofErr w:type="gramEnd"/>
      <w:r w:rsidRPr="00A94875">
        <w:rPr>
          <w:rFonts w:asciiTheme="majorBidi" w:hAnsiTheme="majorBidi" w:cstheme="majorBidi"/>
          <w:bCs/>
          <w:szCs w:val="20"/>
          <w:lang w:val="en-GB" w:eastAsia="en-US"/>
        </w:rPr>
        <w:t xml:space="preserve"> It complements the physical layer (PHY) specification in Recommendation ITU T G.9701.</w:t>
      </w:r>
    </w:p>
    <w:p w14:paraId="37A39808" w14:textId="77777777" w:rsidR="001A5106" w:rsidRPr="00A94875" w:rsidRDefault="001A5106" w:rsidP="001A5106">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 xml:space="preserve">Amendment 1 provided support for a new 106 MHz profile with +8 </w:t>
      </w:r>
      <w:proofErr w:type="spellStart"/>
      <w:r w:rsidRPr="00A94875">
        <w:rPr>
          <w:rFonts w:asciiTheme="majorBidi" w:hAnsiTheme="majorBidi" w:cstheme="majorBidi"/>
          <w:bCs/>
          <w:szCs w:val="20"/>
          <w:lang w:val="en-GB" w:eastAsia="en-US"/>
        </w:rPr>
        <w:t>dBm</w:t>
      </w:r>
      <w:proofErr w:type="spellEnd"/>
      <w:r w:rsidRPr="00A94875">
        <w:rPr>
          <w:rFonts w:asciiTheme="majorBidi" w:hAnsiTheme="majorBidi" w:cstheme="majorBidi"/>
          <w:bCs/>
          <w:szCs w:val="20"/>
          <w:lang w:val="en-GB" w:eastAsia="en-US"/>
        </w:rPr>
        <w:t xml:space="preserve"> maximum aggregate transmit power.</w:t>
      </w:r>
    </w:p>
    <w:p w14:paraId="186406E2" w14:textId="1A0C311E" w:rsidR="001A5106" w:rsidRPr="00A94875" w:rsidRDefault="001A5106" w:rsidP="001A5106">
      <w:pPr>
        <w:pStyle w:val="NormalWeb"/>
        <w:spacing w:before="120" w:beforeAutospacing="0" w:after="0" w:afterAutospacing="0"/>
        <w:rPr>
          <w:rFonts w:asciiTheme="majorBidi" w:hAnsiTheme="majorBidi" w:cstheme="majorBidi"/>
          <w:b/>
          <w:bCs/>
          <w:szCs w:val="20"/>
          <w:lang w:val="en-GB" w:eastAsia="en-US"/>
        </w:rPr>
      </w:pPr>
      <w:proofErr w:type="gramStart"/>
      <w:r w:rsidRPr="00A94875">
        <w:rPr>
          <w:rFonts w:asciiTheme="majorBidi" w:hAnsiTheme="majorBidi" w:cstheme="majorBidi"/>
          <w:bCs/>
          <w:szCs w:val="20"/>
          <w:lang w:val="en-GB" w:eastAsia="en-US"/>
        </w:rPr>
        <w:t>Amendment 2 aligns the text of clause 6.5 on notching of specific frequency bands with ITU-T G.9701 (2014) and its latest amendments, completes the specification of 212 MHz profiles, adds Annex X ''Adaptation to the coax medium'' in support of Annex X ''Operation without multi-line coordination intended for a crosstalk free environment'' that has been specified in amendment 3 to ITU-T G.9701, and updates the table of International amateur radio frequencies in Appendix I.</w:t>
      </w:r>
      <w:proofErr w:type="gramEnd"/>
    </w:p>
    <w:p w14:paraId="429EFCC8" w14:textId="6FED9063"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
          <w:bCs/>
          <w:szCs w:val="20"/>
          <w:lang w:val="en-GB" w:eastAsia="en-US"/>
        </w:rPr>
        <w:t>ITU-T G.9701 (revised) “Fast access to subscriber terminals (</w:t>
      </w:r>
      <w:proofErr w:type="spellStart"/>
      <w:r w:rsidRPr="00A94875">
        <w:rPr>
          <w:rFonts w:asciiTheme="majorBidi" w:hAnsiTheme="majorBidi" w:cstheme="majorBidi"/>
          <w:b/>
          <w:bCs/>
          <w:szCs w:val="20"/>
          <w:lang w:val="en-GB" w:eastAsia="en-US"/>
        </w:rPr>
        <w:t>G.fast</w:t>
      </w:r>
      <w:proofErr w:type="spellEnd"/>
      <w:r w:rsidRPr="00A94875">
        <w:rPr>
          <w:rFonts w:asciiTheme="majorBidi" w:hAnsiTheme="majorBidi" w:cstheme="majorBidi"/>
          <w:b/>
          <w:bCs/>
          <w:szCs w:val="20"/>
          <w:lang w:val="en-GB" w:eastAsia="en-US"/>
        </w:rPr>
        <w:t>) – Physical layer specification”</w:t>
      </w:r>
      <w:r w:rsidRPr="00A94875">
        <w:rPr>
          <w:rFonts w:asciiTheme="majorBidi" w:hAnsiTheme="majorBidi" w:cstheme="majorBidi"/>
          <w:bCs/>
          <w:szCs w:val="20"/>
          <w:lang w:val="en-GB" w:eastAsia="en-US"/>
        </w:rPr>
        <w:t xml:space="preserve"> (under approval) specifies a gigabit broadband access technology that exploits the existing infrastructure of wire-pairs that </w:t>
      </w:r>
      <w:proofErr w:type="gramStart"/>
      <w:r w:rsidRPr="00A94875">
        <w:rPr>
          <w:rFonts w:asciiTheme="majorBidi" w:hAnsiTheme="majorBidi" w:cstheme="majorBidi"/>
          <w:bCs/>
          <w:szCs w:val="20"/>
          <w:lang w:val="en-GB" w:eastAsia="en-US"/>
        </w:rPr>
        <w:t>were originally deployed</w:t>
      </w:r>
      <w:proofErr w:type="gramEnd"/>
      <w:r w:rsidRPr="00A94875">
        <w:rPr>
          <w:rFonts w:asciiTheme="majorBidi" w:hAnsiTheme="majorBidi" w:cstheme="majorBidi"/>
          <w:bCs/>
          <w:szCs w:val="20"/>
          <w:lang w:val="en-GB" w:eastAsia="en-US"/>
        </w:rPr>
        <w:t xml:space="preserve"> for plain old telephone service (POTS) services. Equipment implementing this Recommendation </w:t>
      </w:r>
      <w:proofErr w:type="gramStart"/>
      <w:r w:rsidRPr="00A94875">
        <w:rPr>
          <w:rFonts w:asciiTheme="majorBidi" w:hAnsiTheme="majorBidi" w:cstheme="majorBidi"/>
          <w:bCs/>
          <w:szCs w:val="20"/>
          <w:lang w:val="en-GB" w:eastAsia="en-US"/>
        </w:rPr>
        <w:t>can be deployed</w:t>
      </w:r>
      <w:proofErr w:type="gramEnd"/>
      <w:r w:rsidRPr="00A94875">
        <w:rPr>
          <w:rFonts w:asciiTheme="majorBidi" w:hAnsiTheme="majorBidi" w:cstheme="majorBidi"/>
          <w:bCs/>
          <w:szCs w:val="20"/>
          <w:lang w:val="en-GB" w:eastAsia="en-US"/>
        </w:rPr>
        <w:t xml:space="preserve"> from fibre-fed distribution points (fibre to the distribution point, </w:t>
      </w:r>
      <w:proofErr w:type="spellStart"/>
      <w:r w:rsidRPr="00A94875">
        <w:rPr>
          <w:rFonts w:asciiTheme="majorBidi" w:hAnsiTheme="majorBidi" w:cstheme="majorBidi"/>
          <w:bCs/>
          <w:szCs w:val="20"/>
          <w:lang w:val="en-GB" w:eastAsia="en-US"/>
        </w:rPr>
        <w:t>FTTdp</w:t>
      </w:r>
      <w:proofErr w:type="spellEnd"/>
      <w:r w:rsidRPr="00A94875">
        <w:rPr>
          <w:rFonts w:asciiTheme="majorBidi" w:hAnsiTheme="majorBidi" w:cstheme="majorBidi"/>
          <w:bCs/>
          <w:szCs w:val="20"/>
          <w:lang w:val="en-GB" w:eastAsia="en-US"/>
        </w:rPr>
        <w:t xml:space="preserve">) located very near the customer premises, or within buildings (fibre to the building, FTTB). This Recommendation supports asymmetric and symmetric transmission at an aggregate net data rate up to 1 </w:t>
      </w:r>
      <w:proofErr w:type="spellStart"/>
      <w:r w:rsidRPr="00A94875">
        <w:rPr>
          <w:rFonts w:asciiTheme="majorBidi" w:hAnsiTheme="majorBidi" w:cstheme="majorBidi"/>
          <w:bCs/>
          <w:szCs w:val="20"/>
          <w:lang w:val="en-GB" w:eastAsia="en-US"/>
        </w:rPr>
        <w:t>Gbit</w:t>
      </w:r>
      <w:proofErr w:type="spellEnd"/>
      <w:r w:rsidRPr="00A94875">
        <w:rPr>
          <w:rFonts w:asciiTheme="majorBidi" w:hAnsiTheme="majorBidi" w:cstheme="majorBidi"/>
          <w:bCs/>
          <w:szCs w:val="20"/>
          <w:lang w:val="en-GB" w:eastAsia="en-US"/>
        </w:rPr>
        <w:t>/s on twisted wire-pairs using spectrum up to 106 MHz and specifies all necessary functionality to support far-end crosstalk (FEXT) cancellation between multiple wire-pairs, and facilitates low power operation.</w:t>
      </w:r>
    </w:p>
    <w:p w14:paraId="6854501B"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Corrigendum 1 (2015) provides clarifications and corrects various errors in the Recommendation, and in particular includes a change to the definition of DFT output samples.</w:t>
      </w:r>
    </w:p>
    <w:p w14:paraId="059218A5"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 xml:space="preserve">Corrigendum 2 (2016) increases the number of RFI bands from 16 to 32, and provides clarifying text on alignment between TIGA and SRA/FRA procedures, tone repetition, unavailable seconds, and byte order in SOC and </w:t>
      </w:r>
      <w:proofErr w:type="spellStart"/>
      <w:r w:rsidRPr="00A94875">
        <w:rPr>
          <w:rFonts w:asciiTheme="majorBidi" w:hAnsiTheme="majorBidi" w:cstheme="majorBidi"/>
          <w:bCs/>
          <w:szCs w:val="20"/>
          <w:lang w:val="en-GB" w:eastAsia="en-US"/>
        </w:rPr>
        <w:t>eoc</w:t>
      </w:r>
      <w:proofErr w:type="spellEnd"/>
      <w:r w:rsidRPr="00A94875">
        <w:rPr>
          <w:rFonts w:asciiTheme="majorBidi" w:hAnsiTheme="majorBidi" w:cstheme="majorBidi"/>
          <w:bCs/>
          <w:szCs w:val="20"/>
          <w:lang w:val="en-GB" w:eastAsia="en-US"/>
        </w:rPr>
        <w:t xml:space="preserve"> messages.</w:t>
      </w:r>
    </w:p>
    <w:p w14:paraId="50C81695"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lastRenderedPageBreak/>
        <w:t>Amendment 1 (2016) specifies test parameters, some of which had previously been left for further study, and specifies support for low power operation.</w:t>
      </w:r>
    </w:p>
    <w:p w14:paraId="27172527"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 xml:space="preserve">Amendment 2 (2016) includes a new annex on cross-layer traffic monitoring functions and link state control to support low power operation. It also includes a new 106 MHz profile with increased maximum transmit power, support for increased bit loading, </w:t>
      </w:r>
      <w:proofErr w:type="spellStart"/>
      <w:r w:rsidRPr="00A94875">
        <w:rPr>
          <w:rFonts w:asciiTheme="majorBidi" w:hAnsiTheme="majorBidi" w:cstheme="majorBidi"/>
          <w:bCs/>
          <w:szCs w:val="20"/>
          <w:lang w:val="en-GB" w:eastAsia="en-US"/>
        </w:rPr>
        <w:t>Hlog</w:t>
      </w:r>
      <w:proofErr w:type="spellEnd"/>
      <w:r w:rsidRPr="00A94875">
        <w:rPr>
          <w:rFonts w:asciiTheme="majorBidi" w:hAnsiTheme="majorBidi" w:cstheme="majorBidi"/>
          <w:bCs/>
          <w:szCs w:val="20"/>
          <w:lang w:val="en-GB" w:eastAsia="en-US"/>
        </w:rPr>
        <w:t xml:space="preserve"> reporting in both directions, and </w:t>
      </w:r>
      <w:proofErr w:type="spellStart"/>
      <w:r w:rsidRPr="00A94875">
        <w:rPr>
          <w:rFonts w:asciiTheme="majorBidi" w:hAnsiTheme="majorBidi" w:cstheme="majorBidi"/>
          <w:bCs/>
          <w:szCs w:val="20"/>
          <w:lang w:val="en-GB" w:eastAsia="en-US"/>
        </w:rPr>
        <w:t>Xlog</w:t>
      </w:r>
      <w:proofErr w:type="spellEnd"/>
      <w:r w:rsidRPr="00A94875">
        <w:rPr>
          <w:rFonts w:asciiTheme="majorBidi" w:hAnsiTheme="majorBidi" w:cstheme="majorBidi"/>
          <w:bCs/>
          <w:szCs w:val="20"/>
          <w:lang w:val="en-GB" w:eastAsia="en-US"/>
        </w:rPr>
        <w:t xml:space="preserve"> reporting.</w:t>
      </w:r>
    </w:p>
    <w:p w14:paraId="3DF90689"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Corrigendum 3 (2017) adds several clarifications, and fixes various errors and inconsistencies.</w:t>
      </w:r>
    </w:p>
    <w:p w14:paraId="157C868C"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Amendment 3 adds support for new functionality: full specification of the 212 MHz profile, Annex X – Operation without multi-line coordination intended for a crosstalk free environment (e.g., coaxial cable medium) including independent dynamic time assignment (</w:t>
      </w:r>
      <w:proofErr w:type="spellStart"/>
      <w:r w:rsidRPr="00A94875">
        <w:rPr>
          <w:rFonts w:asciiTheme="majorBidi" w:hAnsiTheme="majorBidi" w:cstheme="majorBidi"/>
          <w:bCs/>
          <w:szCs w:val="20"/>
          <w:lang w:val="en-GB" w:eastAsia="en-US"/>
        </w:rPr>
        <w:t>iDTA</w:t>
      </w:r>
      <w:proofErr w:type="spellEnd"/>
      <w:r w:rsidRPr="00A94875">
        <w:rPr>
          <w:rFonts w:asciiTheme="majorBidi" w:hAnsiTheme="majorBidi" w:cstheme="majorBidi"/>
          <w:bCs/>
          <w:szCs w:val="20"/>
          <w:lang w:val="en-GB" w:eastAsia="en-US"/>
        </w:rPr>
        <w:t>), Annex T – higher layer control aspects of DTA, and Annex S – software download to NTs.</w:t>
      </w:r>
    </w:p>
    <w:p w14:paraId="654254FD"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Amendment 4 supports new functionality for impulse noise monitoring (INM), robust management channel recovery (RMCR), and performance monitoring parameter ANDEFTR.</w:t>
      </w:r>
    </w:p>
    <w:p w14:paraId="3CC36D97"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Corrigendum 5 adds several clarifications, and fixes various errors and inconsistencies.</w:t>
      </w:r>
    </w:p>
    <w:p w14:paraId="3050011D"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Amendment 5 adds support for coordinated dynamic time assignment (</w:t>
      </w:r>
      <w:proofErr w:type="spellStart"/>
      <w:r w:rsidRPr="00A94875">
        <w:rPr>
          <w:rFonts w:asciiTheme="majorBidi" w:hAnsiTheme="majorBidi" w:cstheme="majorBidi"/>
          <w:bCs/>
          <w:szCs w:val="20"/>
          <w:lang w:val="en-GB" w:eastAsia="en-US"/>
        </w:rPr>
        <w:t>cDTA</w:t>
      </w:r>
      <w:proofErr w:type="spellEnd"/>
      <w:r w:rsidRPr="00A94875">
        <w:rPr>
          <w:rFonts w:asciiTheme="majorBidi" w:hAnsiTheme="majorBidi" w:cstheme="majorBidi"/>
          <w:bCs/>
          <w:szCs w:val="20"/>
          <w:lang w:val="en-GB" w:eastAsia="en-US"/>
        </w:rPr>
        <w:t>).</w:t>
      </w:r>
    </w:p>
    <w:p w14:paraId="0847856A"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Corrigendum 6 includes:</w:t>
      </w:r>
    </w:p>
    <w:p w14:paraId="3AD5D8BF"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1.</w:t>
      </w:r>
      <w:r w:rsidRPr="00A94875">
        <w:rPr>
          <w:rFonts w:asciiTheme="majorBidi" w:hAnsiTheme="majorBidi" w:cstheme="majorBidi"/>
          <w:bCs/>
          <w:szCs w:val="20"/>
          <w:lang w:val="en-GB" w:eastAsia="en-US"/>
        </w:rPr>
        <w:tab/>
        <w:t>Correction of Figure 10-25 in §10.4.4 “Cyclic extension and windowing” according to Q4-180423-C29 (Issue 10.71).</w:t>
      </w:r>
    </w:p>
    <w:p w14:paraId="38E8FBCB"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2.</w:t>
      </w:r>
      <w:r w:rsidRPr="00A94875">
        <w:rPr>
          <w:rFonts w:asciiTheme="majorBidi" w:hAnsiTheme="majorBidi" w:cstheme="majorBidi"/>
          <w:bCs/>
          <w:szCs w:val="20"/>
          <w:lang w:val="en-GB" w:eastAsia="en-US"/>
        </w:rPr>
        <w:tab/>
        <w:t>Revision of the text on §11.2.2.5 “OLR commands and responses” according to Q4-180423-C31R1 (Issue 10.73). Further revised according to WD1018 (Issue 10.79).</w:t>
      </w:r>
    </w:p>
    <w:p w14:paraId="5D105D81"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3.</w:t>
      </w:r>
      <w:r w:rsidRPr="00A94875">
        <w:rPr>
          <w:rFonts w:asciiTheme="majorBidi" w:hAnsiTheme="majorBidi" w:cstheme="majorBidi"/>
          <w:bCs/>
          <w:szCs w:val="20"/>
          <w:lang w:val="en-GB" w:eastAsia="en-US"/>
        </w:rPr>
        <w:tab/>
        <w:t>Revision of the text of §13.2.1.1 “SRA procedures” according to Q4-180423-C20R1 (Issue 10.70). Further revised according to Q4-180423-C32R1 (Issue 10.73). Further revised according to WD1018 (Issue 10.79).</w:t>
      </w:r>
    </w:p>
    <w:p w14:paraId="57E017FF"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4.</w:t>
      </w:r>
      <w:r w:rsidRPr="00A94875">
        <w:rPr>
          <w:rFonts w:asciiTheme="majorBidi" w:hAnsiTheme="majorBidi" w:cstheme="majorBidi"/>
          <w:bCs/>
          <w:szCs w:val="20"/>
          <w:lang w:val="en-GB" w:eastAsia="en-US"/>
        </w:rPr>
        <w:tab/>
        <w:t>Revision of the text of §13.3.1.1.1.1 “FRA time window (</w:t>
      </w:r>
      <w:proofErr w:type="spellStart"/>
      <w:r w:rsidRPr="00A94875">
        <w:rPr>
          <w:rFonts w:asciiTheme="majorBidi" w:hAnsiTheme="majorBidi" w:cstheme="majorBidi"/>
          <w:bCs/>
          <w:szCs w:val="20"/>
          <w:lang w:val="en-GB" w:eastAsia="en-US"/>
        </w:rPr>
        <w:t>fra</w:t>
      </w:r>
      <w:proofErr w:type="spellEnd"/>
      <w:r w:rsidRPr="00A94875">
        <w:rPr>
          <w:rFonts w:asciiTheme="majorBidi" w:hAnsiTheme="majorBidi" w:cstheme="majorBidi"/>
          <w:bCs/>
          <w:szCs w:val="20"/>
          <w:lang w:val="en-GB" w:eastAsia="en-US"/>
        </w:rPr>
        <w:t>-time)” according to Q4-180423-C30R1 (Issue 10.72).</w:t>
      </w:r>
    </w:p>
    <w:p w14:paraId="4B056E53"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5.</w:t>
      </w:r>
      <w:r w:rsidRPr="00A94875">
        <w:rPr>
          <w:rFonts w:asciiTheme="majorBidi" w:hAnsiTheme="majorBidi" w:cstheme="majorBidi"/>
          <w:bCs/>
          <w:szCs w:val="20"/>
          <w:lang w:val="en-GB" w:eastAsia="en-US"/>
        </w:rPr>
        <w:tab/>
        <w:t>Replacing BRMC with NRMC in §9.5 according to Q4-180625-C34 (Issue 10.75).</w:t>
      </w:r>
    </w:p>
    <w:p w14:paraId="2A663414"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6.</w:t>
      </w:r>
      <w:r w:rsidRPr="00A94875">
        <w:rPr>
          <w:rFonts w:asciiTheme="majorBidi" w:hAnsiTheme="majorBidi" w:cstheme="majorBidi"/>
          <w:bCs/>
          <w:szCs w:val="20"/>
          <w:lang w:val="en-GB" w:eastAsia="en-US"/>
        </w:rPr>
        <w:tab/>
        <w:t>Revision of the text of §11.3.1.1 “Near end anomalies” according to Q4-180827-C02R1 (Issue 10.74).</w:t>
      </w:r>
    </w:p>
    <w:p w14:paraId="2DE8B982"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7.</w:t>
      </w:r>
      <w:r w:rsidRPr="00A94875">
        <w:rPr>
          <w:rFonts w:asciiTheme="majorBidi" w:hAnsiTheme="majorBidi" w:cstheme="majorBidi"/>
          <w:bCs/>
          <w:szCs w:val="20"/>
          <w:lang w:val="en-GB" w:eastAsia="en-US"/>
        </w:rPr>
        <w:tab/>
        <w:t>Revision of the text of §11.4.4.7.3.3 “INM inter arrival time histogram primitives” according to Q4-180827-C17R1 (Issue 10.78.1).</w:t>
      </w:r>
    </w:p>
    <w:p w14:paraId="54218CB0"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8.</w:t>
      </w:r>
      <w:r w:rsidRPr="00A94875">
        <w:rPr>
          <w:rFonts w:asciiTheme="majorBidi" w:hAnsiTheme="majorBidi" w:cstheme="majorBidi"/>
          <w:bCs/>
          <w:szCs w:val="20"/>
          <w:lang w:val="en-GB" w:eastAsia="en-US"/>
        </w:rPr>
        <w:tab/>
        <w:t>Revision of the text of §11.4.1.2.2 “Signal-to-noise ratio per subcarrier (SNR-</w:t>
      </w:r>
      <w:proofErr w:type="spellStart"/>
      <w:r w:rsidRPr="00A94875">
        <w:rPr>
          <w:rFonts w:asciiTheme="majorBidi" w:hAnsiTheme="majorBidi" w:cstheme="majorBidi"/>
          <w:bCs/>
          <w:szCs w:val="20"/>
          <w:lang w:val="en-GB" w:eastAsia="en-US"/>
        </w:rPr>
        <w:t>ps</w:t>
      </w:r>
      <w:proofErr w:type="spellEnd"/>
      <w:r w:rsidRPr="00A94875">
        <w:rPr>
          <w:rFonts w:asciiTheme="majorBidi" w:hAnsiTheme="majorBidi" w:cstheme="majorBidi"/>
          <w:bCs/>
          <w:szCs w:val="20"/>
          <w:lang w:val="en-GB" w:eastAsia="en-US"/>
        </w:rPr>
        <w:t>)” according to Q4-180827-WD02R1 (Issue 10.76.1).</w:t>
      </w:r>
    </w:p>
    <w:p w14:paraId="261F1B53"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9.</w:t>
      </w:r>
      <w:r w:rsidRPr="00A94875">
        <w:rPr>
          <w:rFonts w:asciiTheme="majorBidi" w:hAnsiTheme="majorBidi" w:cstheme="majorBidi"/>
          <w:bCs/>
          <w:szCs w:val="20"/>
          <w:lang w:val="en-GB" w:eastAsia="en-US"/>
        </w:rPr>
        <w:tab/>
        <w:t>Revision of the text of §12.3.4.2.1 “O-MSG 1”, §12.3.4.2.2 “R-MSG 2”, and §11.2.2.11 “Management counter read commands responses” according to WD1015 (Issue 10.77.1.1).</w:t>
      </w:r>
    </w:p>
    <w:p w14:paraId="3A242D08"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Amendment 6 includes:</w:t>
      </w:r>
    </w:p>
    <w:p w14:paraId="18E04F7F"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1.</w:t>
      </w:r>
      <w:r w:rsidRPr="00A94875">
        <w:rPr>
          <w:rFonts w:asciiTheme="majorBidi" w:hAnsiTheme="majorBidi" w:cstheme="majorBidi"/>
          <w:bCs/>
          <w:szCs w:val="20"/>
          <w:lang w:val="en-GB" w:eastAsia="en-US"/>
        </w:rPr>
        <w:tab/>
        <w:t>Addition of new §5.6 “Reconfiguration of the line” according to Q4-180423-WD04R1 (Issue 20.32.76). Further revised according to Q4-180625-C02R1 (Issue 20.32.82). Further revised according to Q4-180827-WD03R2 (Issue 20.32.88).</w:t>
      </w:r>
    </w:p>
    <w:p w14:paraId="70566877"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2.</w:t>
      </w:r>
      <w:r w:rsidRPr="00A94875">
        <w:rPr>
          <w:rFonts w:asciiTheme="majorBidi" w:hAnsiTheme="majorBidi" w:cstheme="majorBidi"/>
          <w:bCs/>
          <w:szCs w:val="20"/>
          <w:lang w:val="en-GB" w:eastAsia="en-US"/>
        </w:rPr>
        <w:tab/>
        <w:t>Revision of the text of §10.2.2.1 “Sync symbol encoder” according to Q4-180827-C26R1 (Issue 20.57.2). Further revised according to C1040R1 (Issue 20.57.3).</w:t>
      </w:r>
    </w:p>
    <w:p w14:paraId="3DF29950"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3.</w:t>
      </w:r>
      <w:r w:rsidRPr="00A94875">
        <w:rPr>
          <w:rFonts w:asciiTheme="majorBidi" w:hAnsiTheme="majorBidi" w:cstheme="majorBidi"/>
          <w:bCs/>
          <w:szCs w:val="20"/>
          <w:lang w:val="en-GB" w:eastAsia="en-US"/>
        </w:rPr>
        <w:tab/>
        <w:t>Revision of the text of §10.3.2.5.2 “Time identification control parameters” according to Q4-180827-C26R1 (Issue 20.57.2). Further revised according to C1040R1 (Issue 20.57.3).</w:t>
      </w:r>
    </w:p>
    <w:p w14:paraId="1EF0641C"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lastRenderedPageBreak/>
        <w:t>4.</w:t>
      </w:r>
      <w:r w:rsidRPr="00A94875">
        <w:rPr>
          <w:rFonts w:asciiTheme="majorBidi" w:hAnsiTheme="majorBidi" w:cstheme="majorBidi"/>
          <w:bCs/>
          <w:szCs w:val="20"/>
          <w:lang w:val="en-GB" w:eastAsia="en-US"/>
        </w:rPr>
        <w:tab/>
        <w:t>Revision of the text of §11.1.1 “</w:t>
      </w:r>
      <w:proofErr w:type="spellStart"/>
      <w:r w:rsidRPr="00A94875">
        <w:rPr>
          <w:rFonts w:asciiTheme="majorBidi" w:hAnsiTheme="majorBidi" w:cstheme="majorBidi"/>
          <w:bCs/>
          <w:szCs w:val="20"/>
          <w:lang w:val="en-GB" w:eastAsia="en-US"/>
        </w:rPr>
        <w:t>γ_MGMT</w:t>
      </w:r>
      <w:proofErr w:type="spellEnd"/>
      <w:r w:rsidRPr="00A94875">
        <w:rPr>
          <w:rFonts w:asciiTheme="majorBidi" w:hAnsiTheme="majorBidi" w:cstheme="majorBidi"/>
          <w:bCs/>
          <w:szCs w:val="20"/>
          <w:lang w:val="en-GB" w:eastAsia="en-US"/>
        </w:rPr>
        <w:t xml:space="preserve"> interface” according to Q4-180423-WD04R1 (Issue 20.32.76).</w:t>
      </w:r>
    </w:p>
    <w:p w14:paraId="073D5C0B"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5.</w:t>
      </w:r>
      <w:r w:rsidRPr="00A94875">
        <w:rPr>
          <w:rFonts w:asciiTheme="majorBidi" w:hAnsiTheme="majorBidi" w:cstheme="majorBidi"/>
          <w:bCs/>
          <w:szCs w:val="20"/>
          <w:lang w:val="en-GB" w:eastAsia="en-US"/>
        </w:rPr>
        <w:tab/>
        <w:t>Revision of the text of §11.3.1.1 “Near-end anomalies” according to Q4-180423-WD04R1 (Issue 20.32.76). Further revised according to Q4-180625-C02R1 (Issue 20.32.82). Moved to Annex R.5 according to Q4-180827-WD03R2 (Issue 20.32.88).</w:t>
      </w:r>
    </w:p>
    <w:p w14:paraId="5800CB9D"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6.</w:t>
      </w:r>
      <w:r w:rsidRPr="00A94875">
        <w:rPr>
          <w:rFonts w:asciiTheme="majorBidi" w:hAnsiTheme="majorBidi" w:cstheme="majorBidi"/>
          <w:bCs/>
          <w:szCs w:val="20"/>
          <w:lang w:val="en-GB" w:eastAsia="en-US"/>
        </w:rPr>
        <w:tab/>
        <w:t>Revision of the text of §12.3.2 “G.994.1 handshake phase” according to Q4-180827-C26R1 (Issue 20.57.2). Further revised according to C1040R1 (Issue 20.57.3). Further revised according to WD0964 (Issue 20.62.1).</w:t>
      </w:r>
    </w:p>
    <w:p w14:paraId="31903A06"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7.</w:t>
      </w:r>
      <w:r w:rsidRPr="00A94875">
        <w:rPr>
          <w:rFonts w:asciiTheme="majorBidi" w:hAnsiTheme="majorBidi" w:cstheme="majorBidi"/>
          <w:bCs/>
          <w:szCs w:val="20"/>
          <w:lang w:val="en-GB" w:eastAsia="en-US"/>
        </w:rPr>
        <w:tab/>
        <w:t>Revision of the text of §12.3.3.2.1 “O-SIGNATURE” according to C1040R1 (Issue 20.57.3).</w:t>
      </w:r>
    </w:p>
    <w:p w14:paraId="050ED8EB"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8.</w:t>
      </w:r>
      <w:r w:rsidRPr="00A94875">
        <w:rPr>
          <w:rFonts w:asciiTheme="majorBidi" w:hAnsiTheme="majorBidi" w:cstheme="majorBidi"/>
          <w:bCs/>
          <w:szCs w:val="20"/>
          <w:lang w:val="en-GB" w:eastAsia="en-US"/>
        </w:rPr>
        <w:tab/>
        <w:t>Revision of the text of §12.3.4.2.1 “O-MSG 1”and §12.3.4.2.2 “R-MSG 2” (Issue 20.32.90).</w:t>
      </w:r>
    </w:p>
    <w:p w14:paraId="25A44F98"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9.</w:t>
      </w:r>
      <w:r w:rsidRPr="00A94875">
        <w:rPr>
          <w:rFonts w:asciiTheme="majorBidi" w:hAnsiTheme="majorBidi" w:cstheme="majorBidi"/>
          <w:bCs/>
          <w:szCs w:val="20"/>
          <w:lang w:val="en-GB" w:eastAsia="en-US"/>
        </w:rPr>
        <w:tab/>
        <w:t>Addition of text for new Annex R “Showtime reconfiguration” according to WD0421 (Issue 20.32.62). Revised according to Q4-180423-WD04R1 (Issue 20.32.76). Further revised according to Q4-180625-C02R1 (Issue 20.32.82). Further revised according to Q4-180827-WD03R2 (Issue 20.32.88). Further revised according to WD0885 (Issue 20.32.89).</w:t>
      </w:r>
    </w:p>
    <w:p w14:paraId="2B8E31BE" w14:textId="77777777"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10.</w:t>
      </w:r>
      <w:r w:rsidRPr="00A94875">
        <w:rPr>
          <w:rFonts w:asciiTheme="majorBidi" w:hAnsiTheme="majorBidi" w:cstheme="majorBidi"/>
          <w:bCs/>
          <w:szCs w:val="20"/>
          <w:lang w:val="en-GB" w:eastAsia="en-US"/>
        </w:rPr>
        <w:tab/>
        <w:t>Addition of text for new Annex V “Targeted generalized vectoring (TGV)” according to Q4-180423-C28R1 (Issue 20.49.9.1). Revised according to Q4-180827-C25R1 (Issue 20.49.13). Revised according to WD1042 (Issue 20.49.14).</w:t>
      </w:r>
    </w:p>
    <w:p w14:paraId="261E3364" w14:textId="0917105B" w:rsidR="00DF42F0" w:rsidRPr="00A94875" w:rsidRDefault="00DF42F0" w:rsidP="00DF42F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Cs/>
          <w:szCs w:val="20"/>
          <w:lang w:val="en-GB" w:eastAsia="en-US"/>
        </w:rPr>
        <w:t xml:space="preserve">Changed DTA to </w:t>
      </w:r>
      <w:proofErr w:type="spellStart"/>
      <w:r w:rsidRPr="00A94875">
        <w:rPr>
          <w:rFonts w:asciiTheme="majorBidi" w:hAnsiTheme="majorBidi" w:cstheme="majorBidi"/>
          <w:bCs/>
          <w:szCs w:val="20"/>
          <w:lang w:val="en-GB" w:eastAsia="en-US"/>
        </w:rPr>
        <w:t>iDTA</w:t>
      </w:r>
      <w:proofErr w:type="spellEnd"/>
      <w:r w:rsidRPr="00A94875">
        <w:rPr>
          <w:rFonts w:asciiTheme="majorBidi" w:hAnsiTheme="majorBidi" w:cstheme="majorBidi"/>
          <w:bCs/>
          <w:szCs w:val="20"/>
          <w:lang w:val="en-GB" w:eastAsia="en-US"/>
        </w:rPr>
        <w:t xml:space="preserve"> throughout as appropriate (AMD.5 LC comment resolution).</w:t>
      </w:r>
    </w:p>
    <w:p w14:paraId="40FED317" w14:textId="2AC36C4B" w:rsidR="006944F8" w:rsidRPr="00A94875" w:rsidRDefault="006944F8" w:rsidP="006944F8">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
          <w:bCs/>
          <w:szCs w:val="20"/>
          <w:lang w:val="en-GB" w:eastAsia="en-US"/>
        </w:rPr>
        <w:t>ITU-T G.9701 (2014) Amd.5 “Fast access to subscriber terminals (</w:t>
      </w:r>
      <w:proofErr w:type="spellStart"/>
      <w:r w:rsidRPr="00A94875">
        <w:rPr>
          <w:rFonts w:asciiTheme="majorBidi" w:hAnsiTheme="majorBidi" w:cstheme="majorBidi"/>
          <w:b/>
          <w:bCs/>
          <w:szCs w:val="20"/>
          <w:lang w:val="en-GB" w:eastAsia="en-US"/>
        </w:rPr>
        <w:t>G.fast</w:t>
      </w:r>
      <w:proofErr w:type="spellEnd"/>
      <w:r w:rsidRPr="00A94875">
        <w:rPr>
          <w:rFonts w:asciiTheme="majorBidi" w:hAnsiTheme="majorBidi" w:cstheme="majorBidi"/>
          <w:b/>
          <w:bCs/>
          <w:szCs w:val="20"/>
          <w:lang w:val="en-GB" w:eastAsia="en-US"/>
        </w:rPr>
        <w:t>) - Physical layer specification: Amendment 5”</w:t>
      </w:r>
      <w:r w:rsidRPr="00A94875">
        <w:rPr>
          <w:rFonts w:asciiTheme="majorBidi" w:hAnsiTheme="majorBidi" w:cstheme="majorBidi"/>
          <w:bCs/>
          <w:szCs w:val="20"/>
          <w:lang w:val="en-GB" w:eastAsia="en-US"/>
        </w:rPr>
        <w:t xml:space="preserve"> supports coordinated dynamic time assignment (</w:t>
      </w:r>
      <w:proofErr w:type="spellStart"/>
      <w:r w:rsidRPr="00A94875">
        <w:rPr>
          <w:rFonts w:asciiTheme="majorBidi" w:hAnsiTheme="majorBidi" w:cstheme="majorBidi"/>
          <w:bCs/>
          <w:szCs w:val="20"/>
          <w:lang w:val="en-GB" w:eastAsia="en-US"/>
        </w:rPr>
        <w:t>cDTA</w:t>
      </w:r>
      <w:proofErr w:type="spellEnd"/>
      <w:r w:rsidRPr="00A94875">
        <w:rPr>
          <w:rFonts w:asciiTheme="majorBidi" w:hAnsiTheme="majorBidi" w:cstheme="majorBidi"/>
          <w:bCs/>
          <w:szCs w:val="20"/>
          <w:lang w:val="en-GB" w:eastAsia="en-US"/>
        </w:rPr>
        <w:t>).</w:t>
      </w:r>
    </w:p>
    <w:p w14:paraId="0AF4F79E" w14:textId="78A31E19" w:rsidR="006944F8" w:rsidRPr="00A94875" w:rsidRDefault="006944F8" w:rsidP="006944F8">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
          <w:bCs/>
          <w:szCs w:val="20"/>
          <w:lang w:val="en-GB" w:eastAsia="en-US"/>
        </w:rPr>
        <w:t>ITU-T G Suppl.62 (02/2018) “</w:t>
      </w:r>
      <w:proofErr w:type="spellStart"/>
      <w:r w:rsidRPr="00A94875">
        <w:rPr>
          <w:rFonts w:asciiTheme="majorBidi" w:hAnsiTheme="majorBidi" w:cstheme="majorBidi"/>
          <w:b/>
          <w:bCs/>
          <w:szCs w:val="20"/>
          <w:lang w:val="en-GB" w:eastAsia="en-US"/>
        </w:rPr>
        <w:t>Gfast</w:t>
      </w:r>
      <w:proofErr w:type="spellEnd"/>
      <w:r w:rsidRPr="00A94875">
        <w:rPr>
          <w:rFonts w:asciiTheme="majorBidi" w:hAnsiTheme="majorBidi" w:cstheme="majorBidi"/>
          <w:b/>
          <w:bCs/>
          <w:szCs w:val="20"/>
          <w:lang w:val="en-GB" w:eastAsia="en-US"/>
        </w:rPr>
        <w:t xml:space="preserve"> certification"</w:t>
      </w:r>
      <w:r w:rsidRPr="00A94875">
        <w:rPr>
          <w:rFonts w:asciiTheme="majorBidi" w:hAnsiTheme="majorBidi" w:cstheme="majorBidi"/>
          <w:bCs/>
          <w:szCs w:val="20"/>
          <w:lang w:val="en-GB" w:eastAsia="en-US"/>
        </w:rPr>
        <w:t xml:space="preserve"> provides information regarding the </w:t>
      </w:r>
      <w:proofErr w:type="spellStart"/>
      <w:r w:rsidRPr="00A94875">
        <w:rPr>
          <w:rFonts w:asciiTheme="majorBidi" w:hAnsiTheme="majorBidi" w:cstheme="majorBidi"/>
          <w:bCs/>
          <w:szCs w:val="20"/>
          <w:lang w:val="en-GB" w:eastAsia="en-US"/>
        </w:rPr>
        <w:t>Gfast</w:t>
      </w:r>
      <w:proofErr w:type="spellEnd"/>
      <w:r w:rsidRPr="00A94875">
        <w:rPr>
          <w:rFonts w:asciiTheme="majorBidi" w:hAnsiTheme="majorBidi" w:cstheme="majorBidi"/>
          <w:bCs/>
          <w:szCs w:val="20"/>
          <w:lang w:val="en-GB" w:eastAsia="en-US"/>
        </w:rPr>
        <w:t xml:space="preserve"> certification of equipment implementing ITU-T Recommendations G.9700 and G.9701.</w:t>
      </w:r>
    </w:p>
    <w:p w14:paraId="467DAB82" w14:textId="23C30B81" w:rsidR="00BA09B0" w:rsidRPr="00A94875" w:rsidRDefault="00BA09B0" w:rsidP="00BA09B0">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
          <w:bCs/>
          <w:szCs w:val="20"/>
          <w:lang w:val="en-GB" w:eastAsia="en-US"/>
        </w:rPr>
        <w:t>ITU-T Technical Paper NT software upgrade for one image</w:t>
      </w:r>
      <w:r w:rsidRPr="00A94875">
        <w:rPr>
          <w:rFonts w:asciiTheme="majorBidi" w:hAnsiTheme="majorBidi" w:cstheme="majorBidi"/>
          <w:bCs/>
          <w:szCs w:val="20"/>
          <w:lang w:val="en-GB" w:eastAsia="en-US"/>
        </w:rPr>
        <w:t xml:space="preserve">: Annex S of [ITU-T G.9701] provides means to upgrade the software of an NT where the executable software </w:t>
      </w:r>
      <w:proofErr w:type="gramStart"/>
      <w:r w:rsidRPr="00A94875">
        <w:rPr>
          <w:rFonts w:asciiTheme="majorBidi" w:hAnsiTheme="majorBidi" w:cstheme="majorBidi"/>
          <w:bCs/>
          <w:szCs w:val="20"/>
          <w:lang w:val="en-GB" w:eastAsia="en-US"/>
        </w:rPr>
        <w:t>can be upgraded</w:t>
      </w:r>
      <w:proofErr w:type="gramEnd"/>
      <w:r w:rsidRPr="00A94875">
        <w:rPr>
          <w:rFonts w:asciiTheme="majorBidi" w:hAnsiTheme="majorBidi" w:cstheme="majorBidi"/>
          <w:bCs/>
          <w:szCs w:val="20"/>
          <w:lang w:val="en-GB" w:eastAsia="en-US"/>
        </w:rPr>
        <w:t xml:space="preserve"> with a single vendor-specific image file. This software management process requires the support of two </w:t>
      </w:r>
      <w:proofErr w:type="gramStart"/>
      <w:r w:rsidRPr="00A94875">
        <w:rPr>
          <w:rFonts w:asciiTheme="majorBidi" w:hAnsiTheme="majorBidi" w:cstheme="majorBidi"/>
          <w:bCs/>
          <w:szCs w:val="20"/>
          <w:lang w:val="en-GB" w:eastAsia="en-US"/>
        </w:rPr>
        <w:t>images,</w:t>
      </w:r>
      <w:proofErr w:type="gramEnd"/>
      <w:r w:rsidRPr="00A94875">
        <w:rPr>
          <w:rFonts w:asciiTheme="majorBidi" w:hAnsiTheme="majorBidi" w:cstheme="majorBidi"/>
          <w:bCs/>
          <w:szCs w:val="20"/>
          <w:lang w:val="en-GB" w:eastAsia="en-US"/>
        </w:rPr>
        <w:t xml:space="preserve"> however, not all NTs have the capability to store two images. This Technical Paper describes a software upgrade procedure for NTs with one image only.</w:t>
      </w:r>
    </w:p>
    <w:p w14:paraId="72CC2F34" w14:textId="77777777" w:rsidR="006944F8" w:rsidRPr="00A94875" w:rsidRDefault="006944F8" w:rsidP="006944F8">
      <w:pPr>
        <w:spacing w:before="240"/>
        <w:rPr>
          <w:b/>
          <w:sz w:val="22"/>
          <w:szCs w:val="22"/>
          <w:lang w:val="en-GB"/>
        </w:rPr>
      </w:pPr>
      <w:bookmarkStart w:id="216" w:name="_Toc480527892"/>
      <w:r w:rsidRPr="00A94875">
        <w:rPr>
          <w:b/>
          <w:sz w:val="22"/>
          <w:szCs w:val="22"/>
          <w:lang w:val="en-GB"/>
        </w:rPr>
        <w:t>I.1.2</w:t>
      </w:r>
      <w:r w:rsidRPr="00A94875">
        <w:rPr>
          <w:b/>
          <w:sz w:val="22"/>
          <w:szCs w:val="22"/>
          <w:lang w:val="en-GB"/>
        </w:rPr>
        <w:tab/>
        <w:t>Ultra-high-speed access including NG-PON2</w:t>
      </w:r>
      <w:bookmarkEnd w:id="216"/>
    </w:p>
    <w:p w14:paraId="1E3BD0AF"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G.984.5 (2014) Amd.1 “Gigabit-capable passive optical networks (G-PON): Enhancement band - Amendment 1”</w:t>
      </w:r>
      <w:r w:rsidRPr="00A94875">
        <w:rPr>
          <w:rFonts w:asciiTheme="majorBidi" w:hAnsiTheme="majorBidi" w:cstheme="majorBidi"/>
          <w:bCs/>
          <w:lang w:val="en-GB"/>
        </w:rPr>
        <w:t xml:space="preserve"> includes:</w:t>
      </w:r>
    </w:p>
    <w:p w14:paraId="77C18789"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1) New Appendix IV describing the examples for a Multi-PON Module</w:t>
      </w:r>
    </w:p>
    <w:p w14:paraId="56799B4A"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 xml:space="preserve">2) Method for </w:t>
      </w:r>
      <w:proofErr w:type="spellStart"/>
      <w:r w:rsidRPr="00A94875">
        <w:rPr>
          <w:rFonts w:asciiTheme="majorBidi" w:hAnsiTheme="majorBidi" w:cstheme="majorBidi"/>
          <w:bCs/>
          <w:lang w:val="en-GB"/>
        </w:rPr>
        <w:t>CEx</w:t>
      </w:r>
      <w:proofErr w:type="spellEnd"/>
      <w:r w:rsidRPr="00A94875">
        <w:rPr>
          <w:rFonts w:asciiTheme="majorBidi" w:hAnsiTheme="majorBidi" w:cstheme="majorBidi"/>
          <w:bCs/>
          <w:lang w:val="en-GB"/>
        </w:rPr>
        <w:t xml:space="preserve"> isolation and directivity calculations in multi-interferer scenarios in Appendix III and application case in Appendix I</w:t>
      </w:r>
    </w:p>
    <w:p w14:paraId="12473DED"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3) New Appendix V providing analysis on coexistence method using a 2</w:t>
      </w:r>
      <w:proofErr w:type="gramStart"/>
      <w:r w:rsidRPr="00A94875">
        <w:rPr>
          <w:rFonts w:asciiTheme="majorBidi" w:hAnsiTheme="majorBidi" w:cstheme="majorBidi"/>
          <w:bCs/>
          <w:lang w:val="en-GB"/>
        </w:rPr>
        <w:t>:N</w:t>
      </w:r>
      <w:proofErr w:type="gramEnd"/>
      <w:r w:rsidRPr="00A94875">
        <w:rPr>
          <w:rFonts w:asciiTheme="majorBidi" w:hAnsiTheme="majorBidi" w:cstheme="majorBidi"/>
          <w:bCs/>
          <w:lang w:val="en-GB"/>
        </w:rPr>
        <w:t xml:space="preserve"> splitter.</w:t>
      </w:r>
    </w:p>
    <w:p w14:paraId="1E75AED3" w14:textId="0D1CDAC3" w:rsidR="00220082" w:rsidRPr="00A94875" w:rsidRDefault="00220082" w:rsidP="00220082">
      <w:pPr>
        <w:rPr>
          <w:lang w:val="en-GB"/>
        </w:rPr>
      </w:pPr>
      <w:r w:rsidRPr="00A94875">
        <w:rPr>
          <w:b/>
          <w:lang w:val="en-GB"/>
        </w:rPr>
        <w:t>ITU-T G.988 Amd</w:t>
      </w:r>
      <w:r w:rsidR="00546B79" w:rsidRPr="00A94875">
        <w:rPr>
          <w:b/>
          <w:lang w:val="en-GB"/>
        </w:rPr>
        <w:t>.</w:t>
      </w:r>
      <w:r w:rsidRPr="00A94875">
        <w:rPr>
          <w:b/>
          <w:lang w:val="en-GB"/>
        </w:rPr>
        <w:t>1 “ONU management and control interface (OMCI) specification: Amendment 1”</w:t>
      </w:r>
      <w:r w:rsidRPr="00A94875">
        <w:rPr>
          <w:lang w:val="en-GB"/>
        </w:rPr>
        <w:t xml:space="preserve"> (under approval) contains various updates to ITU-T G.988 (2017). This amendment contains editorial corrections and clarifications along with the following substantive changes and extensions to PON OMCI related to bonded ONUs, filtering on DHCP for admission control purposes, synchronization alarm support, ONU </w:t>
      </w:r>
      <w:proofErr w:type="spellStart"/>
      <w:r w:rsidRPr="00A94875">
        <w:rPr>
          <w:lang w:val="en-GB"/>
        </w:rPr>
        <w:t>timezone</w:t>
      </w:r>
      <w:proofErr w:type="spellEnd"/>
      <w:r w:rsidRPr="00A94875">
        <w:rPr>
          <w:lang w:val="en-GB"/>
        </w:rPr>
        <w:t xml:space="preserve"> offset and ONU manufacturing data.</w:t>
      </w:r>
    </w:p>
    <w:p w14:paraId="701922F4" w14:textId="17FBEC81" w:rsidR="00366F98" w:rsidRPr="00A94875" w:rsidRDefault="00366F98" w:rsidP="00366F98">
      <w:pPr>
        <w:rPr>
          <w:lang w:val="en-GB"/>
        </w:rPr>
      </w:pPr>
      <w:r w:rsidRPr="00A94875">
        <w:rPr>
          <w:b/>
          <w:lang w:val="en-GB"/>
        </w:rPr>
        <w:t>ITU-T G.989.2 (revised) “40-Gigabit-capable passive optical networks 2 (NG PON2): Physical media dependent (PMD) layer specification”</w:t>
      </w:r>
      <w:r w:rsidRPr="00A94875">
        <w:rPr>
          <w:lang w:val="en-GB"/>
        </w:rPr>
        <w:t xml:space="preserve"> (under approval) specifies the physical media dependent (PMD) layer requirements for a passive optical network (PON) system with a nominal aggregate capacity of 40 </w:t>
      </w:r>
      <w:proofErr w:type="spellStart"/>
      <w:r w:rsidRPr="00A94875">
        <w:rPr>
          <w:lang w:val="en-GB"/>
        </w:rPr>
        <w:t>Gbit</w:t>
      </w:r>
      <w:proofErr w:type="spellEnd"/>
      <w:r w:rsidRPr="00A94875">
        <w:rPr>
          <w:lang w:val="en-GB"/>
        </w:rPr>
        <w:t xml:space="preserve">/s in the downstream direction and 10 </w:t>
      </w:r>
      <w:proofErr w:type="spellStart"/>
      <w:r w:rsidRPr="00A94875">
        <w:rPr>
          <w:lang w:val="en-GB"/>
        </w:rPr>
        <w:t>Gbit</w:t>
      </w:r>
      <w:proofErr w:type="spellEnd"/>
      <w:r w:rsidRPr="00A94875">
        <w:rPr>
          <w:lang w:val="en-GB"/>
        </w:rPr>
        <w:t xml:space="preserve">/s in the upstream direction, hereinafter referred to as NG-PON2. NG-PON2 is a flexible optical fibre access network capable of </w:t>
      </w:r>
      <w:r w:rsidRPr="00A94875">
        <w:rPr>
          <w:lang w:val="en-GB"/>
        </w:rPr>
        <w:lastRenderedPageBreak/>
        <w:t>supporting the bandwidth requirements of mobile backhaul, business and residential services. Furthermore, this Recommendation describes optional configurations, to extend beyond this nominal capacity, as the ITU-T G.989 series of Recommendations allows for multiple upstream and downstream line rates.</w:t>
      </w:r>
    </w:p>
    <w:p w14:paraId="43FD3954" w14:textId="77777777" w:rsidR="00366F98" w:rsidRPr="00A94875" w:rsidRDefault="00366F98" w:rsidP="00366F98">
      <w:pPr>
        <w:rPr>
          <w:lang w:val="en-GB"/>
        </w:rPr>
      </w:pPr>
      <w:r w:rsidRPr="00A94875">
        <w:rPr>
          <w:lang w:val="en-GB"/>
        </w:rPr>
        <w:t xml:space="preserve">This Recommendation specifies the characteristics of hybrid time and wavelength division multiplexing (TWDM) channels, referred to as TWDM PON. The characteristics of optional, </w:t>
      </w:r>
      <w:proofErr w:type="spellStart"/>
      <w:r w:rsidRPr="00A94875">
        <w:rPr>
          <w:lang w:val="en-GB"/>
        </w:rPr>
        <w:t>tunable</w:t>
      </w:r>
      <w:proofErr w:type="spellEnd"/>
      <w:r w:rsidRPr="00A94875">
        <w:rPr>
          <w:lang w:val="en-GB"/>
        </w:rPr>
        <w:t xml:space="preserve"> point-to-point wavelength overlay channels are also </w:t>
      </w:r>
      <w:proofErr w:type="gramStart"/>
      <w:r w:rsidRPr="00A94875">
        <w:rPr>
          <w:lang w:val="en-GB"/>
        </w:rPr>
        <w:t>described,</w:t>
      </w:r>
      <w:proofErr w:type="gramEnd"/>
      <w:r w:rsidRPr="00A94875">
        <w:rPr>
          <w:lang w:val="en-GB"/>
        </w:rPr>
        <w:t xml:space="preserve"> referred to as point-to-point wavelength division multiplexing (</w:t>
      </w:r>
      <w:proofErr w:type="spellStart"/>
      <w:r w:rsidRPr="00A94875">
        <w:rPr>
          <w:lang w:val="en-GB"/>
        </w:rPr>
        <w:t>PtP</w:t>
      </w:r>
      <w:proofErr w:type="spellEnd"/>
      <w:r w:rsidRPr="00A94875">
        <w:rPr>
          <w:lang w:val="en-GB"/>
        </w:rPr>
        <w:t xml:space="preserve"> WDM) PON.</w:t>
      </w:r>
    </w:p>
    <w:p w14:paraId="648D1398" w14:textId="77777777" w:rsidR="00366F98" w:rsidRPr="00A94875" w:rsidRDefault="00366F98" w:rsidP="00366F98">
      <w:pPr>
        <w:rPr>
          <w:lang w:val="en-GB"/>
        </w:rPr>
      </w:pPr>
      <w:r w:rsidRPr="00A94875">
        <w:rPr>
          <w:lang w:val="en-GB"/>
        </w:rPr>
        <w:t>The TWDM PON described in this Recommendation represents a further development from the systems described in the ITU-T G.984 and ITU-T G.987 series of Recommendations. To the greatest extent possible, this Recommendation retains the requirements of ITU-T G.984.1 and ITU-T G.987.1 to ensure maximal reuse of existing technology and compatibility with deployed optical access systems and optical fibre infrastructure.</w:t>
      </w:r>
    </w:p>
    <w:p w14:paraId="1F477CAD" w14:textId="4B874743" w:rsidR="00366F98" w:rsidRPr="00A94875" w:rsidRDefault="00366F98" w:rsidP="00366F98">
      <w:pPr>
        <w:rPr>
          <w:lang w:val="en-GB"/>
        </w:rPr>
      </w:pPr>
      <w:r w:rsidRPr="00A94875">
        <w:rPr>
          <w:lang w:val="en-GB"/>
        </w:rPr>
        <w:t>Edition 2.0 continues the maintenance and evolution of physical media dependent (PMD) layer specification.</w:t>
      </w:r>
    </w:p>
    <w:p w14:paraId="1FC5B89F" w14:textId="33106439" w:rsidR="00F919F8" w:rsidRPr="00A94875" w:rsidRDefault="00F919F8" w:rsidP="00F919F8">
      <w:pPr>
        <w:rPr>
          <w:lang w:val="en-GB"/>
        </w:rPr>
      </w:pPr>
      <w:r w:rsidRPr="00A94875">
        <w:rPr>
          <w:b/>
          <w:lang w:val="en-GB"/>
        </w:rPr>
        <w:t>ITU-T G.989.3 Amd2 “40-Gigabit-capable passive optical networks (NG PON2): Transmission Convergence (TC) layer specification”</w:t>
      </w:r>
      <w:r w:rsidRPr="00A94875">
        <w:rPr>
          <w:lang w:val="en-GB"/>
        </w:rPr>
        <w:t xml:space="preserve"> (under approval) continues the evolution of NG-PON2 Transmission Convergence (TC) layer, introducing TWDM channel bonding, making additions and changes to the PLOAM channel, providing DBA enhancements, and performing regular specification maintenance.</w:t>
      </w:r>
    </w:p>
    <w:p w14:paraId="36C2EAB7" w14:textId="4CCDDB49" w:rsidR="00986C2A" w:rsidRPr="00A94875" w:rsidRDefault="00986C2A" w:rsidP="00986C2A">
      <w:pPr>
        <w:rPr>
          <w:lang w:val="en-GB"/>
        </w:rPr>
      </w:pPr>
      <w:r w:rsidRPr="00A94875">
        <w:rPr>
          <w:b/>
          <w:lang w:val="en-GB"/>
        </w:rPr>
        <w:t>ITU-T G.9807.2 Amd1 “10 Gigabit-capable symmetrical passive optical networks (XG(S)-PON): Reach extension”</w:t>
      </w:r>
      <w:r w:rsidRPr="00A94875">
        <w:rPr>
          <w:lang w:val="en-GB"/>
        </w:rPr>
        <w:t xml:space="preserve"> (under approval)</w:t>
      </w:r>
      <w:r w:rsidRPr="00A94875">
        <w:rPr>
          <w:b/>
          <w:lang w:val="en-GB"/>
        </w:rPr>
        <w:t xml:space="preserve"> </w:t>
      </w:r>
      <w:r w:rsidRPr="00A94875">
        <w:rPr>
          <w:lang w:val="en-GB"/>
        </w:rPr>
        <w:t>contains necessary additional details and clarifications for the Recommendation, and provides regular specification maintenance.</w:t>
      </w:r>
    </w:p>
    <w:p w14:paraId="521F70FB" w14:textId="214387F1" w:rsidR="006944F8" w:rsidRPr="00A94875" w:rsidRDefault="006944F8" w:rsidP="006944F8">
      <w:pPr>
        <w:rPr>
          <w:lang w:val="en-GB"/>
        </w:rPr>
      </w:pPr>
      <w:r w:rsidRPr="00A94875">
        <w:rPr>
          <w:b/>
          <w:lang w:val="en-GB"/>
        </w:rPr>
        <w:t>ITU-T G Suppl. 63 (02/2018) “ITU-T G.989.3 TC layer operating in ITU T G.987.3 or ITU-T G.9807.1 TC layer mode”</w:t>
      </w:r>
      <w:r w:rsidRPr="00A94875">
        <w:rPr>
          <w:lang w:val="en-GB"/>
        </w:rPr>
        <w:t xml:space="preserve"> describes how a flexible G.989.3 TC layer implementation can be used to support a G.987.3 or G.9807.1 PON.</w:t>
      </w:r>
    </w:p>
    <w:p w14:paraId="1B3E3CC1" w14:textId="77777777" w:rsidR="006944F8" w:rsidRPr="00A94875" w:rsidRDefault="006944F8" w:rsidP="006944F8">
      <w:pPr>
        <w:rPr>
          <w:lang w:val="en-GB"/>
        </w:rPr>
      </w:pPr>
      <w:r w:rsidRPr="00A94875">
        <w:rPr>
          <w:lang w:val="en-GB"/>
        </w:rPr>
        <w:t xml:space="preserve">G.989.3 </w:t>
      </w:r>
      <w:proofErr w:type="gramStart"/>
      <w:r w:rsidRPr="00A94875">
        <w:rPr>
          <w:lang w:val="en-GB"/>
        </w:rPr>
        <w:t>was largely derived</w:t>
      </w:r>
      <w:proofErr w:type="gramEnd"/>
      <w:r w:rsidRPr="00A94875">
        <w:rPr>
          <w:lang w:val="en-GB"/>
        </w:rPr>
        <w:t xml:space="preserve"> from G.987.3. The G.9807.1 Appendix C TC layer specification </w:t>
      </w:r>
      <w:proofErr w:type="gramStart"/>
      <w:r w:rsidRPr="00A94875">
        <w:rPr>
          <w:lang w:val="en-GB"/>
        </w:rPr>
        <w:t>was derived</w:t>
      </w:r>
      <w:proofErr w:type="gramEnd"/>
      <w:r w:rsidRPr="00A94875">
        <w:rPr>
          <w:lang w:val="en-GB"/>
        </w:rPr>
        <w:t xml:space="preserve"> from G.989.3, with G.9807.1 Appendix II describing this derivation in detail. G.9807.1 also specifies that a G.9807.1 compliant OLT will interwork with a G.987.3 compliant ONT.</w:t>
      </w:r>
    </w:p>
    <w:p w14:paraId="3DAD7D59" w14:textId="77777777" w:rsidR="006944F8" w:rsidRPr="00A94875" w:rsidRDefault="006944F8" w:rsidP="006944F8">
      <w:pPr>
        <w:rPr>
          <w:lang w:val="en-GB"/>
        </w:rPr>
      </w:pPr>
      <w:r w:rsidRPr="00A94875">
        <w:rPr>
          <w:lang w:val="en-GB"/>
        </w:rPr>
        <w:t>It should be evident from this chain of derivation that a flexible TC layer implementation that supports G.989.3 can support G.9807.1 or G.987.3 operation. This supplement describes the implementation flexibility required.</w:t>
      </w:r>
    </w:p>
    <w:p w14:paraId="43AE92E1" w14:textId="41E9224A" w:rsidR="006944F8" w:rsidRPr="00A94875" w:rsidRDefault="006944F8" w:rsidP="006944F8">
      <w:pPr>
        <w:rPr>
          <w:lang w:val="en-GB"/>
        </w:rPr>
      </w:pPr>
      <w:r w:rsidRPr="00A94875">
        <w:rPr>
          <w:b/>
          <w:lang w:val="en-GB"/>
        </w:rPr>
        <w:t>ITU-T G Suppl. 64 (02/2018) “PON transmission technologies above 10 Gb/s per wavelength”</w:t>
      </w:r>
      <w:r w:rsidRPr="00A94875">
        <w:rPr>
          <w:lang w:val="en-GB"/>
        </w:rPr>
        <w:t xml:space="preserve">: The line rate per wavelength in the existing PON systems, such as GPON, XG(S)-PON, TWDM-PON, is up to 10Gb/s. For High-speed PON, line rate per wavelength will exceed </w:t>
      </w:r>
      <w:proofErr w:type="gramStart"/>
      <w:r w:rsidRPr="00A94875">
        <w:rPr>
          <w:lang w:val="en-GB"/>
        </w:rPr>
        <w:t>10Gb/</w:t>
      </w:r>
      <w:proofErr w:type="gramEnd"/>
      <w:r w:rsidRPr="00A94875">
        <w:rPr>
          <w:lang w:val="en-GB"/>
        </w:rPr>
        <w:t>s, in order to provide higher bandwidth capability for growing services’ requirement.</w:t>
      </w:r>
    </w:p>
    <w:p w14:paraId="1B458986" w14:textId="77777777" w:rsidR="006944F8" w:rsidRPr="00A94875" w:rsidRDefault="006944F8" w:rsidP="006944F8">
      <w:pPr>
        <w:rPr>
          <w:lang w:val="en-GB"/>
        </w:rPr>
      </w:pPr>
      <w:r w:rsidRPr="00A94875">
        <w:rPr>
          <w:lang w:val="en-GB"/>
        </w:rPr>
        <w:t xml:space="preserve">This supplement describes characteristics of optical transmission above 10 </w:t>
      </w:r>
      <w:proofErr w:type="gramStart"/>
      <w:r w:rsidRPr="00A94875">
        <w:rPr>
          <w:lang w:val="en-GB"/>
        </w:rPr>
        <w:t>Gb/</w:t>
      </w:r>
      <w:proofErr w:type="gramEnd"/>
      <w:r w:rsidRPr="00A94875">
        <w:rPr>
          <w:lang w:val="en-GB"/>
        </w:rPr>
        <w:t xml:space="preserve">s per wavelength between the optical line termination (OLT) and the optical network unit (ONU). It reviews challenges of transmission above 10 </w:t>
      </w:r>
      <w:proofErr w:type="gramStart"/>
      <w:r w:rsidRPr="00A94875">
        <w:rPr>
          <w:lang w:val="en-GB"/>
        </w:rPr>
        <w:t>Gb/</w:t>
      </w:r>
      <w:proofErr w:type="gramEnd"/>
      <w:r w:rsidRPr="00A94875">
        <w:rPr>
          <w:lang w:val="en-GB"/>
        </w:rPr>
        <w:t xml:space="preserve">s in optical access. A set of assumed system requirements </w:t>
      </w:r>
      <w:proofErr w:type="gramStart"/>
      <w:r w:rsidRPr="00A94875">
        <w:rPr>
          <w:lang w:val="en-GB"/>
        </w:rPr>
        <w:t>is developed</w:t>
      </w:r>
      <w:proofErr w:type="gramEnd"/>
      <w:r w:rsidRPr="00A94875">
        <w:rPr>
          <w:lang w:val="en-GB"/>
        </w:rPr>
        <w:t xml:space="preserve"> as a basis for discussion of candidate technologies. Some aspects considered include signal modulation selection, optical transmitter design, optical receiver design, and wavelength dependency. Coexistence with other optical access systems </w:t>
      </w:r>
      <w:proofErr w:type="gramStart"/>
      <w:r w:rsidRPr="00A94875">
        <w:rPr>
          <w:lang w:val="en-GB"/>
        </w:rPr>
        <w:t>is also investigated</w:t>
      </w:r>
      <w:proofErr w:type="gramEnd"/>
      <w:r w:rsidRPr="00A94875">
        <w:rPr>
          <w:lang w:val="en-GB"/>
        </w:rPr>
        <w:t xml:space="preserve"> as a key factor of wavelength planning.</w:t>
      </w:r>
    </w:p>
    <w:p w14:paraId="55B98D9B" w14:textId="77777777" w:rsidR="006944F8" w:rsidRPr="00A94875" w:rsidRDefault="006944F8" w:rsidP="006944F8">
      <w:pPr>
        <w:spacing w:before="240"/>
        <w:rPr>
          <w:b/>
          <w:sz w:val="22"/>
          <w:szCs w:val="22"/>
          <w:lang w:val="en-GB"/>
        </w:rPr>
      </w:pPr>
      <w:r w:rsidRPr="00A94875">
        <w:rPr>
          <w:b/>
          <w:sz w:val="22"/>
          <w:szCs w:val="22"/>
          <w:lang w:val="en-GB"/>
        </w:rPr>
        <w:t>I.1.3</w:t>
      </w:r>
      <w:r w:rsidRPr="00A94875">
        <w:rPr>
          <w:b/>
          <w:sz w:val="22"/>
          <w:szCs w:val="22"/>
          <w:lang w:val="en-GB"/>
        </w:rPr>
        <w:tab/>
        <w:t>Optical fibres</w:t>
      </w:r>
      <w:bookmarkEnd w:id="214"/>
    </w:p>
    <w:p w14:paraId="4A7A486D"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G.650.1 (revised) “Definitions and test methods for linear, deterministic attributes of single-mode fibre and cable”</w:t>
      </w:r>
      <w:r w:rsidRPr="00A94875">
        <w:rPr>
          <w:rFonts w:asciiTheme="majorBidi" w:hAnsiTheme="majorBidi" w:cstheme="majorBidi"/>
          <w:lang w:val="en-GB"/>
        </w:rPr>
        <w:t xml:space="preserve"> contains definitions of the linear, deterministic parameters of single-mode optical fibres and cables. It also contains both, reference test methods and alternative test </w:t>
      </w:r>
      <w:r w:rsidRPr="00A94875">
        <w:rPr>
          <w:rFonts w:asciiTheme="majorBidi" w:hAnsiTheme="majorBidi" w:cstheme="majorBidi"/>
          <w:lang w:val="en-GB"/>
        </w:rPr>
        <w:lastRenderedPageBreak/>
        <w:t xml:space="preserve">methods for characterizing these parameters. These test methods are suitable mainly for factory measurements of the linear, deterministic attributes of single-mode fibres and cables. Some of the test methods </w:t>
      </w:r>
      <w:proofErr w:type="gramStart"/>
      <w:r w:rsidRPr="00A94875">
        <w:rPr>
          <w:rFonts w:asciiTheme="majorBidi" w:hAnsiTheme="majorBidi" w:cstheme="majorBidi"/>
          <w:lang w:val="en-GB"/>
        </w:rPr>
        <w:t>may also be used</w:t>
      </w:r>
      <w:proofErr w:type="gramEnd"/>
      <w:r w:rsidRPr="00A94875">
        <w:rPr>
          <w:rFonts w:asciiTheme="majorBidi" w:hAnsiTheme="majorBidi" w:cstheme="majorBidi"/>
          <w:lang w:val="en-GB"/>
        </w:rPr>
        <w:t xml:space="preserve"> to characterize discrete optical components.</w:t>
      </w:r>
    </w:p>
    <w:p w14:paraId="7280D638" w14:textId="69632DDB" w:rsidR="00B744CF" w:rsidRPr="00A94875" w:rsidRDefault="00B744CF" w:rsidP="00B744CF">
      <w:pPr>
        <w:pStyle w:val="NormalWeb"/>
        <w:spacing w:before="120" w:beforeAutospacing="0" w:after="0" w:afterAutospacing="0"/>
        <w:rPr>
          <w:rFonts w:asciiTheme="majorBidi" w:hAnsiTheme="majorBidi" w:cstheme="majorBidi"/>
          <w:b/>
          <w:szCs w:val="20"/>
          <w:lang w:val="en-GB" w:eastAsia="en-US"/>
        </w:rPr>
      </w:pPr>
      <w:r w:rsidRPr="00A94875">
        <w:rPr>
          <w:rFonts w:asciiTheme="majorBidi" w:hAnsiTheme="majorBidi" w:cstheme="majorBidi"/>
          <w:b/>
          <w:szCs w:val="20"/>
          <w:lang w:val="en-GB" w:eastAsia="en-US"/>
        </w:rPr>
        <w:t>ITU-T G.651.1 (revised) “Characteristics of a 50/125 µm multimode graded index optical fibre cable for the optical access network”</w:t>
      </w:r>
      <w:r w:rsidRPr="00A94875">
        <w:rPr>
          <w:rFonts w:asciiTheme="majorBidi" w:hAnsiTheme="majorBidi" w:cstheme="majorBidi"/>
          <w:szCs w:val="20"/>
          <w:lang w:val="en-GB" w:eastAsia="en-US"/>
        </w:rPr>
        <w:t xml:space="preserve"> (under approval) recommends a quartz multimode fibre to be used for the access network in specific environments. These environments are multi-tenant building sub-networks in which broadband services have to </w:t>
      </w:r>
      <w:proofErr w:type="gramStart"/>
      <w:r w:rsidRPr="00A94875">
        <w:rPr>
          <w:rFonts w:asciiTheme="majorBidi" w:hAnsiTheme="majorBidi" w:cstheme="majorBidi"/>
          <w:szCs w:val="20"/>
          <w:lang w:val="en-GB" w:eastAsia="en-US"/>
        </w:rPr>
        <w:t>be delivered</w:t>
      </w:r>
      <w:proofErr w:type="gramEnd"/>
      <w:r w:rsidRPr="00A94875">
        <w:rPr>
          <w:rFonts w:asciiTheme="majorBidi" w:hAnsiTheme="majorBidi" w:cstheme="majorBidi"/>
          <w:szCs w:val="20"/>
          <w:lang w:val="en-GB" w:eastAsia="en-US"/>
        </w:rPr>
        <w:t xml:space="preserve"> to individual apartments. The recommended multimode fibre supports the cost-effective use of </w:t>
      </w:r>
      <w:proofErr w:type="gramStart"/>
      <w:r w:rsidRPr="00A94875">
        <w:rPr>
          <w:rFonts w:asciiTheme="majorBidi" w:hAnsiTheme="majorBidi" w:cstheme="majorBidi"/>
          <w:szCs w:val="20"/>
          <w:lang w:val="en-GB" w:eastAsia="en-US"/>
        </w:rPr>
        <w:t>1</w:t>
      </w:r>
      <w:proofErr w:type="gramEnd"/>
      <w:r w:rsidRPr="00A94875">
        <w:rPr>
          <w:rFonts w:asciiTheme="majorBidi" w:hAnsiTheme="majorBidi" w:cstheme="majorBidi"/>
          <w:szCs w:val="20"/>
          <w:lang w:val="en-GB" w:eastAsia="en-US"/>
        </w:rPr>
        <w:t xml:space="preserve"> </w:t>
      </w:r>
      <w:proofErr w:type="spellStart"/>
      <w:r w:rsidRPr="00A94875">
        <w:rPr>
          <w:rFonts w:asciiTheme="majorBidi" w:hAnsiTheme="majorBidi" w:cstheme="majorBidi"/>
          <w:szCs w:val="20"/>
          <w:lang w:val="en-GB" w:eastAsia="en-US"/>
        </w:rPr>
        <w:t>Gbit</w:t>
      </w:r>
      <w:proofErr w:type="spellEnd"/>
      <w:r w:rsidRPr="00A94875">
        <w:rPr>
          <w:rFonts w:asciiTheme="majorBidi" w:hAnsiTheme="majorBidi" w:cstheme="majorBidi"/>
          <w:szCs w:val="20"/>
          <w:lang w:val="en-GB" w:eastAsia="en-US"/>
        </w:rPr>
        <w:t>/s Ethernet systems over link lengths up to 550 m, usually based upon the use of 850 nm transceivers.</w:t>
      </w:r>
    </w:p>
    <w:p w14:paraId="724E34E2" w14:textId="6B28315A" w:rsidR="00B744CF" w:rsidRPr="00A94875" w:rsidRDefault="00B744CF" w:rsidP="00B744CF">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 xml:space="preserve">The recommended fibre type is an improved version of the well-known 50/125 µm multimode graded-index fibre as recommended in ITU-T Recommendation G.651. Its cost effective use is very common in </w:t>
      </w:r>
      <w:proofErr w:type="spellStart"/>
      <w:r w:rsidRPr="00A94875">
        <w:rPr>
          <w:rFonts w:asciiTheme="majorBidi" w:hAnsiTheme="majorBidi" w:cstheme="majorBidi"/>
          <w:szCs w:val="20"/>
          <w:lang w:val="en-GB" w:eastAsia="en-US"/>
        </w:rPr>
        <w:t>datacom</w:t>
      </w:r>
      <w:proofErr w:type="spellEnd"/>
      <w:r w:rsidRPr="00A94875">
        <w:rPr>
          <w:rFonts w:asciiTheme="majorBidi" w:hAnsiTheme="majorBidi" w:cstheme="majorBidi"/>
          <w:szCs w:val="20"/>
          <w:lang w:val="en-GB" w:eastAsia="en-US"/>
        </w:rPr>
        <w:t xml:space="preserve"> systems applied in enterprise buildings throughout the world for quite a number of years.</w:t>
      </w:r>
    </w:p>
    <w:p w14:paraId="159F18B5" w14:textId="630F04EF" w:rsidR="00F015B5" w:rsidRPr="00A94875" w:rsidRDefault="00F015B5" w:rsidP="00F015B5">
      <w:pPr>
        <w:pStyle w:val="NormalWeb"/>
        <w:spacing w:before="120" w:beforeAutospacing="0" w:after="0" w:afterAutospacing="0"/>
        <w:rPr>
          <w:rFonts w:asciiTheme="majorBidi" w:hAnsiTheme="majorBidi" w:cstheme="majorBidi"/>
          <w:b/>
          <w:szCs w:val="20"/>
          <w:lang w:val="en-GB" w:eastAsia="en-US"/>
        </w:rPr>
      </w:pPr>
      <w:r w:rsidRPr="00A94875">
        <w:rPr>
          <w:rFonts w:asciiTheme="majorBidi" w:hAnsiTheme="majorBidi" w:cstheme="majorBidi"/>
          <w:b/>
          <w:szCs w:val="20"/>
          <w:lang w:val="en-GB" w:eastAsia="en-US"/>
        </w:rPr>
        <w:t>ITU-T G.672 (revised) “Characteristics of multi-degree reconfigurable optical add/drop multiplexers”</w:t>
      </w:r>
      <w:r w:rsidRPr="00A94875">
        <w:rPr>
          <w:rFonts w:asciiTheme="majorBidi" w:hAnsiTheme="majorBidi" w:cstheme="majorBidi"/>
          <w:szCs w:val="20"/>
          <w:lang w:val="en-GB" w:eastAsia="en-US"/>
        </w:rPr>
        <w:t xml:space="preserve"> (under approval) deals with the classification and the characteristics of multi-degree reconfigurable optical add/drop multiplexers (MD-ROADMs), including two-degree ROADMs. Some examples of MD-ROADM configurations and applications </w:t>
      </w:r>
      <w:proofErr w:type="gramStart"/>
      <w:r w:rsidRPr="00A94875">
        <w:rPr>
          <w:rFonts w:asciiTheme="majorBidi" w:hAnsiTheme="majorBidi" w:cstheme="majorBidi"/>
          <w:szCs w:val="20"/>
          <w:lang w:val="en-GB" w:eastAsia="en-US"/>
        </w:rPr>
        <w:t>are given</w:t>
      </w:r>
      <w:proofErr w:type="gramEnd"/>
      <w:r w:rsidRPr="00A94875">
        <w:rPr>
          <w:rFonts w:asciiTheme="majorBidi" w:hAnsiTheme="majorBidi" w:cstheme="majorBidi"/>
          <w:szCs w:val="20"/>
          <w:lang w:val="en-GB" w:eastAsia="en-US"/>
        </w:rPr>
        <w:t xml:space="preserve"> in the appendices.</w:t>
      </w:r>
    </w:p>
    <w:p w14:paraId="4978F937" w14:textId="1383828A" w:rsidR="00F015B5" w:rsidRPr="00A94875" w:rsidRDefault="00F015B5" w:rsidP="00F015B5">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szCs w:val="20"/>
          <w:lang w:val="en-GB" w:eastAsia="en-US"/>
        </w:rPr>
        <w:t>Photonic cross connects (PXC), which are a special category of MD-ROADM characterized by a unique switching matrix (see Figures 7-4, 7-5, 7-6, 7-7, 9-2, I.4 of [ITU-T G.680]) are outside the scope of this Recommendation.</w:t>
      </w:r>
    </w:p>
    <w:p w14:paraId="7FFA3224" w14:textId="1990221A" w:rsidR="001834A0" w:rsidRPr="00A94875" w:rsidRDefault="001834A0" w:rsidP="001834A0">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ITU-T G.698.2 (revised) “Amplified multichannel dense wavelength division multiplexing applications with single channel optical interfaces”</w:t>
      </w:r>
      <w:r w:rsidRPr="00A94875">
        <w:rPr>
          <w:rFonts w:asciiTheme="majorBidi" w:hAnsiTheme="majorBidi" w:cstheme="majorBidi"/>
          <w:szCs w:val="20"/>
          <w:lang w:val="en-GB" w:eastAsia="en-US"/>
        </w:rPr>
        <w:t xml:space="preserve"> (under approval) provides optical parameter values for physical layer interfaces of dense wavelength division multiplexing (DWDM) systems primarily intended for metro applications which include optical amplifiers. Applications are defined using optical interface parameters at the single-channel connection points between optical transmitters and the optical multiplexer, as well as between optical receivers and the optical </w:t>
      </w:r>
      <w:proofErr w:type="spellStart"/>
      <w:r w:rsidRPr="00A94875">
        <w:rPr>
          <w:rFonts w:asciiTheme="majorBidi" w:hAnsiTheme="majorBidi" w:cstheme="majorBidi"/>
          <w:szCs w:val="20"/>
          <w:lang w:val="en-GB" w:eastAsia="en-US"/>
        </w:rPr>
        <w:t>demultiplexer</w:t>
      </w:r>
      <w:proofErr w:type="spellEnd"/>
      <w:r w:rsidRPr="00A94875">
        <w:rPr>
          <w:rFonts w:asciiTheme="majorBidi" w:hAnsiTheme="majorBidi" w:cstheme="majorBidi"/>
          <w:szCs w:val="20"/>
          <w:lang w:val="en-GB" w:eastAsia="en-US"/>
        </w:rPr>
        <w:t xml:space="preserve"> in the DWDM system. This Recommendation uses a </w:t>
      </w:r>
      <w:proofErr w:type="gramStart"/>
      <w:r w:rsidRPr="00A94875">
        <w:rPr>
          <w:rFonts w:asciiTheme="majorBidi" w:hAnsiTheme="majorBidi" w:cstheme="majorBidi"/>
          <w:szCs w:val="20"/>
          <w:lang w:val="en-GB" w:eastAsia="en-US"/>
        </w:rPr>
        <w:t>methodology which</w:t>
      </w:r>
      <w:proofErr w:type="gramEnd"/>
      <w:r w:rsidRPr="00A94875">
        <w:rPr>
          <w:rFonts w:asciiTheme="majorBidi" w:hAnsiTheme="majorBidi" w:cstheme="majorBidi"/>
          <w:szCs w:val="20"/>
          <w:lang w:val="en-GB" w:eastAsia="en-US"/>
        </w:rPr>
        <w:t xml:space="preserve"> does not specify the details of the optical link, e.g., the maximum fibre length, explicitly. This version of this Recommendation includes unidirectional DWDM applications at 100 </w:t>
      </w:r>
      <w:proofErr w:type="spellStart"/>
      <w:r w:rsidRPr="00A94875">
        <w:rPr>
          <w:rFonts w:asciiTheme="majorBidi" w:hAnsiTheme="majorBidi" w:cstheme="majorBidi"/>
          <w:szCs w:val="20"/>
          <w:lang w:val="en-GB" w:eastAsia="en-US"/>
        </w:rPr>
        <w:t>Gbit</w:t>
      </w:r>
      <w:proofErr w:type="spellEnd"/>
      <w:r w:rsidRPr="00A94875">
        <w:rPr>
          <w:rFonts w:asciiTheme="majorBidi" w:hAnsiTheme="majorBidi" w:cstheme="majorBidi"/>
          <w:szCs w:val="20"/>
          <w:lang w:val="en-GB" w:eastAsia="en-US"/>
        </w:rPr>
        <w:t>/s with 100 GHz and 50 GHz channel frequency spacing.</w:t>
      </w:r>
    </w:p>
    <w:p w14:paraId="6287BFEE" w14:textId="6C07622C" w:rsidR="004B05E1" w:rsidRPr="00A94875" w:rsidRDefault="004B05E1" w:rsidP="004B05E1">
      <w:pPr>
        <w:pStyle w:val="NormalWeb"/>
        <w:spacing w:before="120" w:beforeAutospacing="0" w:after="0" w:afterAutospacing="0"/>
        <w:rPr>
          <w:rFonts w:asciiTheme="majorBidi" w:hAnsiTheme="majorBidi" w:cstheme="majorBidi"/>
          <w:b/>
          <w:szCs w:val="20"/>
          <w:lang w:val="en-GB" w:eastAsia="en-US"/>
        </w:rPr>
      </w:pPr>
      <w:r w:rsidRPr="00A94875">
        <w:rPr>
          <w:rFonts w:asciiTheme="majorBidi" w:hAnsiTheme="majorBidi" w:cstheme="majorBidi"/>
          <w:b/>
          <w:szCs w:val="20"/>
          <w:lang w:val="en-GB" w:eastAsia="en-US"/>
        </w:rPr>
        <w:t xml:space="preserve">ITU-T G.9803 “Radio over </w:t>
      </w:r>
      <w:proofErr w:type="spellStart"/>
      <w:r w:rsidRPr="00A94875">
        <w:rPr>
          <w:rFonts w:asciiTheme="majorBidi" w:hAnsiTheme="majorBidi" w:cstheme="majorBidi"/>
          <w:b/>
          <w:szCs w:val="20"/>
          <w:lang w:val="en-GB" w:eastAsia="en-US"/>
        </w:rPr>
        <w:t>fiber</w:t>
      </w:r>
      <w:proofErr w:type="spellEnd"/>
      <w:r w:rsidRPr="00A94875">
        <w:rPr>
          <w:rFonts w:asciiTheme="majorBidi" w:hAnsiTheme="majorBidi" w:cstheme="majorBidi"/>
          <w:b/>
          <w:szCs w:val="20"/>
          <w:lang w:val="en-GB" w:eastAsia="en-US"/>
        </w:rPr>
        <w:t xml:space="preserve"> systems”</w:t>
      </w:r>
      <w:r w:rsidRPr="00A94875">
        <w:rPr>
          <w:rFonts w:asciiTheme="majorBidi" w:hAnsiTheme="majorBidi" w:cstheme="majorBidi"/>
          <w:szCs w:val="20"/>
          <w:lang w:val="en-GB" w:eastAsia="en-US"/>
        </w:rPr>
        <w:t xml:space="preserve"> (under approval) defines fundamental architecture and requirements for radio over </w:t>
      </w:r>
      <w:proofErr w:type="spellStart"/>
      <w:r w:rsidRPr="00A94875">
        <w:rPr>
          <w:rFonts w:asciiTheme="majorBidi" w:hAnsiTheme="majorBidi" w:cstheme="majorBidi"/>
          <w:szCs w:val="20"/>
          <w:lang w:val="en-GB" w:eastAsia="en-US"/>
        </w:rPr>
        <w:t>fiber</w:t>
      </w:r>
      <w:proofErr w:type="spellEnd"/>
      <w:r w:rsidRPr="00A94875">
        <w:rPr>
          <w:rFonts w:asciiTheme="majorBidi" w:hAnsiTheme="majorBidi" w:cstheme="majorBidi"/>
          <w:szCs w:val="20"/>
          <w:lang w:val="en-GB" w:eastAsia="en-US"/>
        </w:rPr>
        <w:t xml:space="preserve"> system and specifies radio over </w:t>
      </w:r>
      <w:proofErr w:type="spellStart"/>
      <w:r w:rsidRPr="00A94875">
        <w:rPr>
          <w:rFonts w:asciiTheme="majorBidi" w:hAnsiTheme="majorBidi" w:cstheme="majorBidi"/>
          <w:szCs w:val="20"/>
          <w:lang w:val="en-GB" w:eastAsia="en-US"/>
        </w:rPr>
        <w:t>fiber</w:t>
      </w:r>
      <w:proofErr w:type="spellEnd"/>
      <w:r w:rsidRPr="00A94875">
        <w:rPr>
          <w:rFonts w:asciiTheme="majorBidi" w:hAnsiTheme="majorBidi" w:cstheme="majorBidi"/>
          <w:szCs w:val="20"/>
          <w:lang w:val="en-GB" w:eastAsia="en-US"/>
        </w:rPr>
        <w:t xml:space="preserve"> transmission systems suitable for access network and radiolocation applications.</w:t>
      </w:r>
    </w:p>
    <w:p w14:paraId="503964A0" w14:textId="44FABF3F" w:rsidR="006944F8" w:rsidRPr="00A94875" w:rsidRDefault="006944F8" w:rsidP="006944F8">
      <w:pPr>
        <w:pStyle w:val="NormalWeb"/>
        <w:spacing w:before="120" w:beforeAutospacing="0" w:after="0" w:afterAutospacing="0"/>
        <w:rPr>
          <w:rFonts w:asciiTheme="majorBidi" w:hAnsiTheme="majorBidi" w:cstheme="majorBidi"/>
          <w:b/>
          <w:szCs w:val="20"/>
          <w:lang w:val="en-GB" w:eastAsia="en-US"/>
        </w:rPr>
      </w:pPr>
      <w:r w:rsidRPr="00A94875">
        <w:rPr>
          <w:rFonts w:asciiTheme="majorBidi" w:hAnsiTheme="majorBidi" w:cstheme="majorBidi"/>
          <w:b/>
          <w:szCs w:val="20"/>
          <w:lang w:val="en-GB" w:eastAsia="en-US"/>
        </w:rPr>
        <w:t xml:space="preserve">ITU-T L.108 “Optical fibre cable elements for </w:t>
      </w:r>
      <w:proofErr w:type="spellStart"/>
      <w:r w:rsidRPr="00A94875">
        <w:rPr>
          <w:rFonts w:asciiTheme="majorBidi" w:hAnsiTheme="majorBidi" w:cstheme="majorBidi"/>
          <w:b/>
          <w:szCs w:val="20"/>
          <w:lang w:val="en-GB" w:eastAsia="en-US"/>
        </w:rPr>
        <w:t>microduct</w:t>
      </w:r>
      <w:proofErr w:type="spellEnd"/>
      <w:r w:rsidRPr="00A94875">
        <w:rPr>
          <w:rFonts w:asciiTheme="majorBidi" w:hAnsiTheme="majorBidi" w:cstheme="majorBidi"/>
          <w:b/>
          <w:szCs w:val="20"/>
          <w:lang w:val="en-GB" w:eastAsia="en-US"/>
        </w:rPr>
        <w:t xml:space="preserve"> blowing-installation application”</w:t>
      </w:r>
      <w:r w:rsidRPr="00A94875">
        <w:rPr>
          <w:rFonts w:asciiTheme="majorBidi" w:hAnsiTheme="majorBidi" w:cstheme="majorBidi"/>
          <w:szCs w:val="20"/>
          <w:lang w:val="en-GB" w:eastAsia="en-US"/>
        </w:rPr>
        <w:t xml:space="preserve"> describes characteristics, construction and test methods for </w:t>
      </w:r>
      <w:proofErr w:type="spellStart"/>
      <w:r w:rsidRPr="00A94875">
        <w:rPr>
          <w:rFonts w:asciiTheme="majorBidi" w:hAnsiTheme="majorBidi" w:cstheme="majorBidi"/>
          <w:szCs w:val="20"/>
          <w:lang w:val="en-GB" w:eastAsia="en-US"/>
        </w:rPr>
        <w:t>microduct</w:t>
      </w:r>
      <w:proofErr w:type="spellEnd"/>
      <w:r w:rsidRPr="00A94875">
        <w:rPr>
          <w:rFonts w:asciiTheme="majorBidi" w:hAnsiTheme="majorBidi" w:cstheme="majorBidi"/>
          <w:szCs w:val="20"/>
          <w:lang w:val="en-GB" w:eastAsia="en-US"/>
        </w:rPr>
        <w:t xml:space="preserve"> fibre units and </w:t>
      </w:r>
      <w:proofErr w:type="spellStart"/>
      <w:r w:rsidRPr="00A94875">
        <w:rPr>
          <w:rFonts w:asciiTheme="majorBidi" w:hAnsiTheme="majorBidi" w:cstheme="majorBidi"/>
          <w:szCs w:val="20"/>
          <w:lang w:val="en-GB" w:eastAsia="en-US"/>
        </w:rPr>
        <w:t>microduct</w:t>
      </w:r>
      <w:proofErr w:type="spellEnd"/>
      <w:r w:rsidRPr="00A94875">
        <w:rPr>
          <w:rFonts w:asciiTheme="majorBidi" w:hAnsiTheme="majorBidi" w:cstheme="majorBidi"/>
          <w:szCs w:val="20"/>
          <w:lang w:val="en-GB" w:eastAsia="en-US"/>
        </w:rPr>
        <w:t xml:space="preserve"> cables to </w:t>
      </w:r>
      <w:proofErr w:type="gramStart"/>
      <w:r w:rsidRPr="00A94875">
        <w:rPr>
          <w:rFonts w:asciiTheme="majorBidi" w:hAnsiTheme="majorBidi" w:cstheme="majorBidi"/>
          <w:szCs w:val="20"/>
          <w:lang w:val="en-GB" w:eastAsia="en-US"/>
        </w:rPr>
        <w:t>be used</w:t>
      </w:r>
      <w:proofErr w:type="gramEnd"/>
      <w:r w:rsidRPr="00A94875">
        <w:rPr>
          <w:rFonts w:asciiTheme="majorBidi" w:hAnsiTheme="majorBidi" w:cstheme="majorBidi"/>
          <w:szCs w:val="20"/>
          <w:lang w:val="en-GB" w:eastAsia="en-US"/>
        </w:rPr>
        <w:t xml:space="preserve"> with the blowing installation technique. The cable characteristics required for a cable to perform appropriately </w:t>
      </w:r>
      <w:proofErr w:type="gramStart"/>
      <w:r w:rsidRPr="00A94875">
        <w:rPr>
          <w:rFonts w:asciiTheme="majorBidi" w:hAnsiTheme="majorBidi" w:cstheme="majorBidi"/>
          <w:szCs w:val="20"/>
          <w:lang w:val="en-GB" w:eastAsia="en-US"/>
        </w:rPr>
        <w:t>are described</w:t>
      </w:r>
      <w:proofErr w:type="gramEnd"/>
      <w:r w:rsidRPr="00A94875">
        <w:rPr>
          <w:rFonts w:asciiTheme="majorBidi" w:hAnsiTheme="majorBidi" w:cstheme="majorBidi"/>
          <w:szCs w:val="20"/>
          <w:lang w:val="en-GB" w:eastAsia="en-US"/>
        </w:rPr>
        <w:t xml:space="preserve">. </w:t>
      </w:r>
      <w:proofErr w:type="gramStart"/>
      <w:r w:rsidRPr="00A94875">
        <w:rPr>
          <w:rFonts w:asciiTheme="majorBidi" w:hAnsiTheme="majorBidi" w:cstheme="majorBidi"/>
          <w:szCs w:val="20"/>
          <w:lang w:val="en-GB" w:eastAsia="en-US"/>
        </w:rPr>
        <w:t>Also</w:t>
      </w:r>
      <w:proofErr w:type="gramEnd"/>
      <w:r w:rsidRPr="00A94875">
        <w:rPr>
          <w:rFonts w:asciiTheme="majorBidi" w:hAnsiTheme="majorBidi" w:cstheme="majorBidi"/>
          <w:szCs w:val="20"/>
          <w:lang w:val="en-GB" w:eastAsia="en-US"/>
        </w:rPr>
        <w:t xml:space="preserve">, a method is described for determining whether or not the cable has the required characteristics. The required conditions may differ according to the installation environment; detailed test conditions </w:t>
      </w:r>
      <w:proofErr w:type="gramStart"/>
      <w:r w:rsidRPr="00A94875">
        <w:rPr>
          <w:rFonts w:asciiTheme="majorBidi" w:hAnsiTheme="majorBidi" w:cstheme="majorBidi"/>
          <w:szCs w:val="20"/>
          <w:lang w:val="en-GB" w:eastAsia="en-US"/>
        </w:rPr>
        <w:t>must be agreed</w:t>
      </w:r>
      <w:proofErr w:type="gramEnd"/>
      <w:r w:rsidRPr="00A94875">
        <w:rPr>
          <w:rFonts w:asciiTheme="majorBidi" w:hAnsiTheme="majorBidi" w:cstheme="majorBidi"/>
          <w:szCs w:val="20"/>
          <w:lang w:val="en-GB" w:eastAsia="en-US"/>
        </w:rPr>
        <w:t xml:space="preserve"> upon between a user and a manufacturer for the environment in which a cable is to be used.</w:t>
      </w:r>
    </w:p>
    <w:p w14:paraId="5E170F21" w14:textId="5138B3C8" w:rsidR="00785270" w:rsidRPr="00A94875" w:rsidRDefault="00785270" w:rsidP="00785270">
      <w:pPr>
        <w:pStyle w:val="NormalWeb"/>
        <w:spacing w:before="120" w:beforeAutospacing="0" w:after="0" w:afterAutospacing="0"/>
        <w:rPr>
          <w:rFonts w:asciiTheme="majorBidi" w:hAnsiTheme="majorBidi" w:cstheme="majorBidi"/>
          <w:b/>
          <w:lang w:val="en-GB"/>
        </w:rPr>
      </w:pPr>
      <w:r w:rsidRPr="00A94875">
        <w:rPr>
          <w:rFonts w:asciiTheme="majorBidi" w:hAnsiTheme="majorBidi" w:cstheme="majorBidi"/>
          <w:b/>
          <w:lang w:val="en-GB"/>
        </w:rPr>
        <w:t>ITU-T L.109 (revised) “Construction of optical/metallic hybrid cables”</w:t>
      </w:r>
      <w:r w:rsidRPr="00A94875">
        <w:rPr>
          <w:rFonts w:asciiTheme="majorBidi" w:hAnsiTheme="majorBidi" w:cstheme="majorBidi"/>
          <w:lang w:val="en-GB"/>
        </w:rPr>
        <w:t xml:space="preserve"> (under approval) describes cable construction and provides guidance for the use of this type of cable. Technical requirements may differ according to the installation environment. Environmental issues and test methods for cable characteristics </w:t>
      </w:r>
      <w:proofErr w:type="gramStart"/>
      <w:r w:rsidRPr="00A94875">
        <w:rPr>
          <w:rFonts w:asciiTheme="majorBidi" w:hAnsiTheme="majorBidi" w:cstheme="majorBidi"/>
          <w:lang w:val="en-GB"/>
        </w:rPr>
        <w:t>are described</w:t>
      </w:r>
      <w:proofErr w:type="gramEnd"/>
      <w:r w:rsidRPr="00A94875">
        <w:rPr>
          <w:rFonts w:asciiTheme="majorBidi" w:hAnsiTheme="majorBidi" w:cstheme="majorBidi"/>
          <w:lang w:val="en-GB"/>
        </w:rPr>
        <w:t xml:space="preserve"> in other L-series Recommendations.</w:t>
      </w:r>
    </w:p>
    <w:p w14:paraId="44D61E99" w14:textId="23DC8640" w:rsidR="006944F8" w:rsidRPr="00A94875" w:rsidRDefault="006944F8" w:rsidP="006944F8">
      <w:pPr>
        <w:pStyle w:val="NormalWeb"/>
        <w:spacing w:before="120" w:beforeAutospacing="0" w:after="0" w:afterAutospacing="0"/>
        <w:rPr>
          <w:rFonts w:asciiTheme="majorBidi" w:hAnsiTheme="majorBidi" w:cstheme="majorBidi"/>
          <w:lang w:val="en-GB"/>
        </w:rPr>
      </w:pPr>
      <w:r w:rsidRPr="00A94875">
        <w:rPr>
          <w:rFonts w:asciiTheme="majorBidi" w:hAnsiTheme="majorBidi" w:cstheme="majorBidi"/>
          <w:b/>
          <w:lang w:val="en-GB"/>
        </w:rPr>
        <w:t>ITU-T L.156 “Air-assisted installation of optical fibre cable”</w:t>
      </w:r>
      <w:r w:rsidRPr="00A94875">
        <w:rPr>
          <w:rFonts w:asciiTheme="majorBidi" w:hAnsiTheme="majorBidi" w:cstheme="majorBidi"/>
          <w:lang w:val="en-GB"/>
        </w:rPr>
        <w:t xml:space="preserve"> describes air-assisted methods for installation of optical fibre cables in ducts. These methods </w:t>
      </w:r>
      <w:proofErr w:type="gramStart"/>
      <w:r w:rsidRPr="00A94875">
        <w:rPr>
          <w:rFonts w:asciiTheme="majorBidi" w:hAnsiTheme="majorBidi" w:cstheme="majorBidi"/>
          <w:lang w:val="en-GB"/>
        </w:rPr>
        <w:t>can be used</w:t>
      </w:r>
      <w:proofErr w:type="gramEnd"/>
      <w:r w:rsidRPr="00A94875">
        <w:rPr>
          <w:rFonts w:asciiTheme="majorBidi" w:hAnsiTheme="majorBidi" w:cstheme="majorBidi"/>
          <w:lang w:val="en-GB"/>
        </w:rPr>
        <w:t xml:space="preserve"> to install </w:t>
      </w:r>
      <w:proofErr w:type="spellStart"/>
      <w:r w:rsidRPr="00A94875">
        <w:rPr>
          <w:rFonts w:asciiTheme="majorBidi" w:hAnsiTheme="majorBidi" w:cstheme="majorBidi"/>
          <w:lang w:val="en-GB"/>
        </w:rPr>
        <w:t>microcables</w:t>
      </w:r>
      <w:proofErr w:type="spellEnd"/>
      <w:r w:rsidRPr="00A94875">
        <w:rPr>
          <w:rFonts w:asciiTheme="majorBidi" w:hAnsiTheme="majorBidi" w:cstheme="majorBidi"/>
          <w:lang w:val="en-GB"/>
        </w:rPr>
        <w:t xml:space="preserve"> into </w:t>
      </w:r>
      <w:proofErr w:type="spellStart"/>
      <w:r w:rsidRPr="00A94875">
        <w:rPr>
          <w:rFonts w:asciiTheme="majorBidi" w:hAnsiTheme="majorBidi" w:cstheme="majorBidi"/>
          <w:lang w:val="en-GB"/>
        </w:rPr>
        <w:t>microducts</w:t>
      </w:r>
      <w:proofErr w:type="spellEnd"/>
      <w:r w:rsidRPr="00A94875">
        <w:rPr>
          <w:rFonts w:asciiTheme="majorBidi" w:hAnsiTheme="majorBidi" w:cstheme="majorBidi"/>
          <w:lang w:val="en-GB"/>
        </w:rPr>
        <w:t xml:space="preserve">, or </w:t>
      </w:r>
      <w:proofErr w:type="spellStart"/>
      <w:r w:rsidRPr="00A94875">
        <w:rPr>
          <w:rFonts w:asciiTheme="majorBidi" w:hAnsiTheme="majorBidi" w:cstheme="majorBidi"/>
          <w:lang w:val="en-GB"/>
        </w:rPr>
        <w:t>largercables</w:t>
      </w:r>
      <w:proofErr w:type="spellEnd"/>
      <w:r w:rsidRPr="00A94875">
        <w:rPr>
          <w:rFonts w:asciiTheme="majorBidi" w:hAnsiTheme="majorBidi" w:cstheme="majorBidi"/>
          <w:lang w:val="en-GB"/>
        </w:rPr>
        <w:t xml:space="preserve"> into ducts or conduits. Installing conditions and equipment required should be different in each case.</w:t>
      </w:r>
    </w:p>
    <w:p w14:paraId="133DF267" w14:textId="0E9E519E" w:rsidR="001F7D83" w:rsidRPr="00A94875" w:rsidRDefault="001F7D83" w:rsidP="001F7D83">
      <w:pPr>
        <w:pStyle w:val="NormalWeb"/>
        <w:spacing w:before="120" w:beforeAutospacing="0" w:after="0" w:afterAutospacing="0"/>
        <w:rPr>
          <w:rFonts w:asciiTheme="majorBidi" w:hAnsiTheme="majorBidi" w:cstheme="majorBidi"/>
          <w:lang w:val="en-GB"/>
        </w:rPr>
      </w:pPr>
      <w:proofErr w:type="gramStart"/>
      <w:r w:rsidRPr="00A94875">
        <w:rPr>
          <w:rFonts w:asciiTheme="majorBidi" w:hAnsiTheme="majorBidi" w:cstheme="majorBidi"/>
          <w:b/>
          <w:lang w:val="en-GB"/>
        </w:rPr>
        <w:lastRenderedPageBreak/>
        <w:t>ITU-T L.163 “Criteria for optical fibre cable installation with minimal existing infrastructure”</w:t>
      </w:r>
      <w:r w:rsidRPr="00A94875">
        <w:rPr>
          <w:rFonts w:asciiTheme="majorBidi" w:hAnsiTheme="majorBidi" w:cstheme="majorBidi"/>
          <w:lang w:val="en-GB"/>
        </w:rPr>
        <w:t xml:space="preserve"> (under approval) describes criteria for the installation of optical fibre cables defined in [ITU-T L.110] in remote areas with lack of usual infrastructure for installation including the procedures of cable-route planning, cable selection, cable-installation scheme selection, cable tension and temperature consideration, and the handling, bend protection and river/lake closing of the cable together with pilot tests and training for installation.</w:t>
      </w:r>
      <w:proofErr w:type="gramEnd"/>
    </w:p>
    <w:p w14:paraId="514B74F9" w14:textId="4A892180" w:rsidR="001F7D83" w:rsidRPr="00A94875" w:rsidRDefault="001F7D83" w:rsidP="001F7D83">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lang w:val="en-GB"/>
        </w:rPr>
        <w:t xml:space="preserve">This Recommendation also describes how to mitigate the considerable risks and/or issues to which the optical fibre cable </w:t>
      </w:r>
      <w:proofErr w:type="gramStart"/>
      <w:r w:rsidRPr="00A94875">
        <w:rPr>
          <w:rFonts w:asciiTheme="majorBidi" w:hAnsiTheme="majorBidi" w:cstheme="majorBidi"/>
          <w:lang w:val="en-GB"/>
        </w:rPr>
        <w:t>may be exposed</w:t>
      </w:r>
      <w:proofErr w:type="gramEnd"/>
      <w:r w:rsidRPr="00A94875">
        <w:rPr>
          <w:rFonts w:asciiTheme="majorBidi" w:hAnsiTheme="majorBidi" w:cstheme="majorBidi"/>
          <w:lang w:val="en-GB"/>
        </w:rPr>
        <w:t xml:space="preserve"> when infrastructures are minimal during installation, maintenance and operation procedures.</w:t>
      </w:r>
    </w:p>
    <w:p w14:paraId="6560B091" w14:textId="2AB37017" w:rsidR="006944F8" w:rsidRPr="00A94875" w:rsidRDefault="006944F8" w:rsidP="006944F8">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
          <w:bCs/>
          <w:lang w:val="en-GB"/>
        </w:rPr>
        <w:t>ITU-T L.207 “Passive node elements with automated ID tag detection”</w:t>
      </w:r>
      <w:r w:rsidRPr="00A94875">
        <w:rPr>
          <w:rFonts w:asciiTheme="majorBidi" w:hAnsiTheme="majorBidi" w:cstheme="majorBidi"/>
          <w:bCs/>
          <w:lang w:val="en-GB"/>
        </w:rPr>
        <w:t xml:space="preserve"> focuses on hardware aspects on this type </w:t>
      </w:r>
      <w:proofErr w:type="gramStart"/>
      <w:r w:rsidRPr="00A94875">
        <w:rPr>
          <w:rFonts w:asciiTheme="majorBidi" w:hAnsiTheme="majorBidi" w:cstheme="majorBidi"/>
          <w:bCs/>
          <w:lang w:val="en-GB"/>
        </w:rPr>
        <w:t>of passive node elements and to describe the general features, characterization and performance specifications for node elements with automated ID tag detection,</w:t>
      </w:r>
      <w:proofErr w:type="gramEnd"/>
      <w:r w:rsidRPr="00A94875">
        <w:rPr>
          <w:rFonts w:asciiTheme="majorBidi" w:hAnsiTheme="majorBidi" w:cstheme="majorBidi"/>
          <w:bCs/>
          <w:lang w:val="en-GB"/>
        </w:rPr>
        <w:t xml:space="preserve"> including the environmental conditions, functional requirements, performance requirements, and mechanical and electrical/optical interface requirements. A product characterization checklist is included in the Appendix III.</w:t>
      </w:r>
    </w:p>
    <w:p w14:paraId="40DFF41A" w14:textId="1DC27D94" w:rsidR="00AD3A79" w:rsidRPr="00A94875" w:rsidRDefault="00AD3A79" w:rsidP="00AD3A79">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
          <w:bCs/>
          <w:lang w:val="en-GB"/>
        </w:rPr>
        <w:t>ITU-T L.314 (revised) “Optical fibre identification for the maintenance of optical access networks”</w:t>
      </w:r>
      <w:r w:rsidRPr="00A94875">
        <w:rPr>
          <w:rFonts w:asciiTheme="majorBidi" w:hAnsiTheme="majorBidi" w:cstheme="majorBidi"/>
          <w:bCs/>
          <w:lang w:val="en-GB"/>
        </w:rPr>
        <w:t xml:space="preserve"> (under approval) deals with important considerations with respect to the requirements for an optical fibre identification technique used for construction and maintenance work in optical access networks by detection of leaky light waves.</w:t>
      </w:r>
    </w:p>
    <w:p w14:paraId="49629479" w14:textId="77777777" w:rsidR="006944F8" w:rsidRPr="00A94875" w:rsidRDefault="006944F8" w:rsidP="006944F8">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
          <w:bCs/>
          <w:lang w:val="en-GB"/>
        </w:rPr>
        <w:t>ITU-T L.315 “Water detection in underground closures for the maintenance of optical fibre cable networks with optical monitoring system”</w:t>
      </w:r>
      <w:r w:rsidRPr="00A94875">
        <w:rPr>
          <w:rFonts w:asciiTheme="majorBidi" w:hAnsiTheme="majorBidi" w:cstheme="majorBidi"/>
          <w:bCs/>
          <w:lang w:val="en-GB"/>
        </w:rPr>
        <w:t xml:space="preserve"> describes the methodology for water detection in splice closures/cabinets, the fundamental requirements for a water sensor and technical considerations as regards the OTDR based water ingress monitoring and location system design.</w:t>
      </w:r>
    </w:p>
    <w:p w14:paraId="65E6D214" w14:textId="048FAE57" w:rsidR="006944F8" w:rsidRPr="00A94875" w:rsidRDefault="006944F8" w:rsidP="006944F8">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
          <w:bCs/>
          <w:lang w:val="en-GB"/>
        </w:rPr>
        <w:t xml:space="preserve">ITU-T G Suppl. 59 (02/2018 - revised) </w:t>
      </w:r>
      <w:r w:rsidRPr="00A94875">
        <w:rPr>
          <w:rFonts w:asciiTheme="majorBidi" w:hAnsiTheme="majorBidi" w:cstheme="majorBidi"/>
          <w:bCs/>
          <w:lang w:val="en-GB"/>
        </w:rPr>
        <w:t xml:space="preserve">provides guidance regarding the </w:t>
      </w:r>
      <w:proofErr w:type="gramStart"/>
      <w:r w:rsidRPr="00A94875">
        <w:rPr>
          <w:rFonts w:asciiTheme="majorBidi" w:hAnsiTheme="majorBidi" w:cstheme="majorBidi"/>
          <w:bCs/>
          <w:lang w:val="en-GB"/>
        </w:rPr>
        <w:t>long term</w:t>
      </w:r>
      <w:proofErr w:type="gramEnd"/>
      <w:r w:rsidRPr="00A94875">
        <w:rPr>
          <w:rFonts w:asciiTheme="majorBidi" w:hAnsiTheme="majorBidi" w:cstheme="majorBidi"/>
          <w:bCs/>
          <w:lang w:val="en-GB"/>
        </w:rPr>
        <w:t xml:space="preserve"> reliability of cabled optical fibres. This Supplement uses currently accepted models combined with current experience to describe items that can </w:t>
      </w:r>
      <w:proofErr w:type="gramStart"/>
      <w:r w:rsidRPr="00A94875">
        <w:rPr>
          <w:rFonts w:asciiTheme="majorBidi" w:hAnsiTheme="majorBidi" w:cstheme="majorBidi"/>
          <w:bCs/>
          <w:lang w:val="en-GB"/>
        </w:rPr>
        <w:t>impact</w:t>
      </w:r>
      <w:proofErr w:type="gramEnd"/>
      <w:r w:rsidRPr="00A94875">
        <w:rPr>
          <w:rFonts w:asciiTheme="majorBidi" w:hAnsiTheme="majorBidi" w:cstheme="majorBidi"/>
          <w:bCs/>
          <w:lang w:val="en-GB"/>
        </w:rPr>
        <w:t xml:space="preserve"> the performance of an optical fibre over time. The document describes ''optical reliability'' for fibres, ''mechanical reliability'' for fibres and describes how optical cables </w:t>
      </w:r>
      <w:proofErr w:type="gramStart"/>
      <w:r w:rsidRPr="00A94875">
        <w:rPr>
          <w:rFonts w:asciiTheme="majorBidi" w:hAnsiTheme="majorBidi" w:cstheme="majorBidi"/>
          <w:bCs/>
          <w:lang w:val="en-GB"/>
        </w:rPr>
        <w:t>impact</w:t>
      </w:r>
      <w:proofErr w:type="gramEnd"/>
      <w:r w:rsidRPr="00A94875">
        <w:rPr>
          <w:rFonts w:asciiTheme="majorBidi" w:hAnsiTheme="majorBidi" w:cstheme="majorBidi"/>
          <w:bCs/>
          <w:lang w:val="en-GB"/>
        </w:rPr>
        <w:t xml:space="preserve"> these properties.</w:t>
      </w:r>
    </w:p>
    <w:p w14:paraId="172004B1" w14:textId="03FFDB72" w:rsidR="006E6B4E" w:rsidRPr="00A94875" w:rsidRDefault="006E6B4E" w:rsidP="006E6B4E">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
          <w:bCs/>
          <w:lang w:val="en-GB"/>
        </w:rPr>
        <w:t>ITU-T G.suppl.40 (revised) “Optical fibre and cable Recommendations and standards guideline”</w:t>
      </w:r>
      <w:r w:rsidRPr="00A94875">
        <w:rPr>
          <w:rFonts w:asciiTheme="majorBidi" w:hAnsiTheme="majorBidi" w:cstheme="majorBidi"/>
          <w:bCs/>
          <w:lang w:val="en-GB"/>
        </w:rPr>
        <w:t xml:space="preserve"> provides information on the background and specifications used in the development of optical fibre and cable ITU-T Recommendations such as Recommendations ITU-T G.651.1, ITU T G.652, ITU-T G.653, ITU-T G.654, ITU-T G.655, ITU T G.656, ITU-T G.657 and L series Recommendations. It also contains information used in the development of test method Recommendations such as Recommendations ITU-T G.650.1, ITU T G.650.2 and ITU-T G.650.3. Moreover, this Supplement maps ITU T documents to optical fibre and cable standards developed under IEC.</w:t>
      </w:r>
    </w:p>
    <w:p w14:paraId="63162739" w14:textId="1F309571" w:rsidR="006944F8" w:rsidRPr="00A94875" w:rsidRDefault="006944F8" w:rsidP="006944F8">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
          <w:bCs/>
          <w:lang w:val="en-GB"/>
        </w:rPr>
        <w:t xml:space="preserve">ITU-T G Suppl. 41 (02/2018 - revised) </w:t>
      </w:r>
      <w:r w:rsidRPr="00A94875">
        <w:rPr>
          <w:rFonts w:asciiTheme="majorBidi" w:hAnsiTheme="majorBidi" w:cstheme="majorBidi"/>
          <w:bCs/>
          <w:lang w:val="en-GB"/>
        </w:rPr>
        <w:t xml:space="preserve">describes design considerations for </w:t>
      </w:r>
      <w:proofErr w:type="spellStart"/>
      <w:r w:rsidRPr="00A94875">
        <w:rPr>
          <w:rFonts w:asciiTheme="majorBidi" w:hAnsiTheme="majorBidi" w:cstheme="majorBidi"/>
          <w:bCs/>
          <w:lang w:val="en-GB"/>
        </w:rPr>
        <w:t>repeatered</w:t>
      </w:r>
      <w:proofErr w:type="spellEnd"/>
      <w:r w:rsidRPr="00A94875">
        <w:rPr>
          <w:rFonts w:asciiTheme="majorBidi" w:hAnsiTheme="majorBidi" w:cstheme="majorBidi"/>
          <w:bCs/>
          <w:lang w:val="en-GB"/>
        </w:rPr>
        <w:t xml:space="preserve">, </w:t>
      </w:r>
      <w:proofErr w:type="spellStart"/>
      <w:r w:rsidRPr="00A94875">
        <w:rPr>
          <w:rFonts w:asciiTheme="majorBidi" w:hAnsiTheme="majorBidi" w:cstheme="majorBidi"/>
          <w:bCs/>
          <w:lang w:val="en-GB"/>
        </w:rPr>
        <w:t>repeaterless</w:t>
      </w:r>
      <w:proofErr w:type="spellEnd"/>
      <w:r w:rsidRPr="00A94875">
        <w:rPr>
          <w:rFonts w:asciiTheme="majorBidi" w:hAnsiTheme="majorBidi" w:cstheme="majorBidi"/>
          <w:bCs/>
          <w:lang w:val="en-GB"/>
        </w:rPr>
        <w:t xml:space="preserve"> and optically amplified systems supporting SDH and OTN signals in optical submarine cable systems.</w:t>
      </w:r>
    </w:p>
    <w:p w14:paraId="59332A1F" w14:textId="38CCCFC0" w:rsidR="00091DA8" w:rsidRPr="00A94875" w:rsidRDefault="00091DA8" w:rsidP="00091DA8">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
          <w:bCs/>
          <w:lang w:val="en-GB"/>
        </w:rPr>
        <w:t>ITU-T G.suppl.42 (revised) “Guide on the use of the ITU-T Recommendations related to optical fibres and systems technology”</w:t>
      </w:r>
      <w:r w:rsidRPr="00A94875">
        <w:rPr>
          <w:rFonts w:asciiTheme="majorBidi" w:hAnsiTheme="majorBidi" w:cstheme="majorBidi"/>
          <w:bCs/>
          <w:lang w:val="en-GB"/>
        </w:rPr>
        <w:t xml:space="preserve"> contains a functional grouping of the ITU-T Recommendations on optical fibres and systems technology (e.g., optical fibres and cables, physical optical interfaces and optical fibre submarine cable systems).</w:t>
      </w:r>
    </w:p>
    <w:p w14:paraId="1AE3C407" w14:textId="77777777" w:rsidR="00091DA8" w:rsidRPr="00A94875" w:rsidRDefault="00091DA8" w:rsidP="00091DA8">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Cs/>
          <w:lang w:val="en-GB"/>
        </w:rPr>
        <w:t xml:space="preserve">An introduction to each category with more than one Recommendation outlines the </w:t>
      </w:r>
      <w:proofErr w:type="gramStart"/>
      <w:r w:rsidRPr="00A94875">
        <w:rPr>
          <w:rFonts w:asciiTheme="majorBidi" w:hAnsiTheme="majorBidi" w:cstheme="majorBidi"/>
          <w:bCs/>
          <w:lang w:val="en-GB"/>
        </w:rPr>
        <w:t>subjects which</w:t>
      </w:r>
      <w:proofErr w:type="gramEnd"/>
      <w:r w:rsidRPr="00A94875">
        <w:rPr>
          <w:rFonts w:asciiTheme="majorBidi" w:hAnsiTheme="majorBidi" w:cstheme="majorBidi"/>
          <w:bCs/>
          <w:lang w:val="en-GB"/>
        </w:rPr>
        <w:t xml:space="preserve"> are common to the category.</w:t>
      </w:r>
    </w:p>
    <w:p w14:paraId="2EE3EF13" w14:textId="77777777" w:rsidR="00091DA8" w:rsidRPr="00A94875" w:rsidRDefault="00091DA8" w:rsidP="00091DA8">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Cs/>
          <w:lang w:val="en-GB"/>
        </w:rPr>
        <w:t>For each Recommendation, there is a short description of the purpose, content and, in many cases, the evolution of the content in the subsequent versions. There are also cross-references to the other Recommendations dealing with related issues.</w:t>
      </w:r>
    </w:p>
    <w:p w14:paraId="79577E05" w14:textId="77777777" w:rsidR="00091DA8" w:rsidRPr="00A94875" w:rsidRDefault="00091DA8" w:rsidP="00091DA8">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Cs/>
          <w:lang w:val="en-GB"/>
        </w:rPr>
        <w:lastRenderedPageBreak/>
        <w:t>The main purpose of this guide is to give to developing countries an improved capability in the application of standards, while the telecommunication industry, particularly manufacturers and operators, could benefit from the greater involvement of developing countries in the making and application of standards.</w:t>
      </w:r>
    </w:p>
    <w:p w14:paraId="25E1C819" w14:textId="00D257E6" w:rsidR="00091DA8" w:rsidRPr="00A94875" w:rsidRDefault="00091DA8" w:rsidP="00091DA8">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Cs/>
          <w:lang w:val="en-GB"/>
        </w:rPr>
        <w:t>The guide could also have a wider use among manufacturers and operators who are not directly involved in the preparation of this group of Recommendations and they could find the guide to be a useful tool both for rapidly focusing on the Recommendation(s) of specific interest and for better understanding the meaning and the objectives of each Recommendation.</w:t>
      </w:r>
    </w:p>
    <w:p w14:paraId="2082CE93" w14:textId="54433C26" w:rsidR="00F55790" w:rsidRPr="00A94875" w:rsidRDefault="00F55790" w:rsidP="00091DA8">
      <w:pPr>
        <w:pStyle w:val="NormalWeb"/>
        <w:spacing w:before="120" w:beforeAutospacing="0" w:after="0" w:afterAutospacing="0"/>
        <w:rPr>
          <w:rFonts w:asciiTheme="majorBidi" w:hAnsiTheme="majorBidi" w:cstheme="majorBidi"/>
          <w:b/>
          <w:bCs/>
          <w:lang w:val="en-GB"/>
        </w:rPr>
      </w:pPr>
      <w:r w:rsidRPr="00A94875">
        <w:rPr>
          <w:rFonts w:asciiTheme="majorBidi" w:hAnsiTheme="majorBidi" w:cstheme="majorBidi"/>
          <w:b/>
          <w:bCs/>
          <w:lang w:val="en-GB"/>
        </w:rPr>
        <w:t xml:space="preserve">ITU-T Technical Paper </w:t>
      </w:r>
      <w:proofErr w:type="gramStart"/>
      <w:r w:rsidRPr="00A94875">
        <w:rPr>
          <w:rFonts w:asciiTheme="majorBidi" w:hAnsiTheme="majorBidi" w:cstheme="majorBidi"/>
          <w:b/>
          <w:bCs/>
          <w:lang w:val="en-GB"/>
        </w:rPr>
        <w:t>“ Guide</w:t>
      </w:r>
      <w:proofErr w:type="gramEnd"/>
      <w:r w:rsidRPr="00A94875">
        <w:rPr>
          <w:rFonts w:asciiTheme="majorBidi" w:hAnsiTheme="majorBidi" w:cstheme="majorBidi"/>
          <w:b/>
          <w:bCs/>
          <w:lang w:val="en-GB"/>
        </w:rPr>
        <w:t xml:space="preserve"> on the use of ITU-T L-series Recommendations related to optical technologies for outside plant”</w:t>
      </w:r>
    </w:p>
    <w:p w14:paraId="63EBAD5E" w14:textId="77777777" w:rsidR="006944F8" w:rsidRPr="00A94875" w:rsidRDefault="006944F8" w:rsidP="00091DA8">
      <w:pPr>
        <w:rPr>
          <w:b/>
          <w:sz w:val="22"/>
          <w:szCs w:val="22"/>
          <w:lang w:val="en-GB"/>
        </w:rPr>
      </w:pPr>
      <w:bookmarkStart w:id="217" w:name="_Toc480527891"/>
      <w:r w:rsidRPr="00A94875">
        <w:rPr>
          <w:b/>
          <w:sz w:val="22"/>
          <w:szCs w:val="22"/>
          <w:lang w:val="en-GB"/>
        </w:rPr>
        <w:t>I.1.4</w:t>
      </w:r>
      <w:r w:rsidRPr="00A94875">
        <w:rPr>
          <w:b/>
          <w:sz w:val="22"/>
          <w:szCs w:val="22"/>
          <w:lang w:val="en-GB"/>
        </w:rPr>
        <w:tab/>
        <w:t>Ultra-high-speed optical core network: OTN beyond 100G</w:t>
      </w:r>
      <w:bookmarkEnd w:id="217"/>
    </w:p>
    <w:p w14:paraId="6366CC0F" w14:textId="79F23EED" w:rsidR="006944F8" w:rsidRPr="00A94875" w:rsidRDefault="006944F8" w:rsidP="006944F8">
      <w:pPr>
        <w:rPr>
          <w:rFonts w:asciiTheme="majorBidi" w:hAnsiTheme="majorBidi" w:cstheme="majorBidi"/>
          <w:b/>
          <w:bCs/>
          <w:lang w:val="en-GB"/>
        </w:rPr>
      </w:pPr>
      <w:r w:rsidRPr="00A94875">
        <w:rPr>
          <w:rFonts w:asciiTheme="majorBidi" w:hAnsiTheme="majorBidi" w:cstheme="majorBidi"/>
          <w:b/>
          <w:bCs/>
          <w:lang w:val="en-GB"/>
        </w:rPr>
        <w:t>ITU-T G.709/Y.1331 (2016) Amd.2 “Interfaces for the optical transport network (OTN): Amendment 2”</w:t>
      </w:r>
      <w:r w:rsidRPr="00A94875">
        <w:rPr>
          <w:rFonts w:asciiTheme="majorBidi" w:hAnsiTheme="majorBidi" w:cstheme="majorBidi"/>
          <w:bCs/>
          <w:lang w:val="en-GB"/>
        </w:rPr>
        <w:t xml:space="preserve"> adds the OTN mappings for the IEEE 802.3 200Gbit/s and 400Gbit/s Ethernet client signals, adds the </w:t>
      </w:r>
      <w:proofErr w:type="spellStart"/>
      <w:r w:rsidRPr="00A94875">
        <w:rPr>
          <w:rFonts w:asciiTheme="majorBidi" w:hAnsiTheme="majorBidi" w:cstheme="majorBidi"/>
          <w:bCs/>
          <w:lang w:val="en-GB"/>
        </w:rPr>
        <w:t>eSSM</w:t>
      </w:r>
      <w:proofErr w:type="spellEnd"/>
      <w:r w:rsidRPr="00A94875">
        <w:rPr>
          <w:rFonts w:asciiTheme="majorBidi" w:hAnsiTheme="majorBidi" w:cstheme="majorBidi"/>
          <w:bCs/>
          <w:lang w:val="en-GB"/>
        </w:rPr>
        <w:t xml:space="preserve"> message type for the OSMC, specifies </w:t>
      </w:r>
      <w:proofErr w:type="spellStart"/>
      <w:r w:rsidRPr="00A94875">
        <w:rPr>
          <w:rFonts w:asciiTheme="majorBidi" w:hAnsiTheme="majorBidi" w:cstheme="majorBidi"/>
          <w:bCs/>
          <w:lang w:val="en-GB"/>
        </w:rPr>
        <w:t>OTSiG</w:t>
      </w:r>
      <w:proofErr w:type="spellEnd"/>
      <w:r w:rsidRPr="00A94875">
        <w:rPr>
          <w:rFonts w:asciiTheme="majorBidi" w:hAnsiTheme="majorBidi" w:cstheme="majorBidi"/>
          <w:bCs/>
          <w:lang w:val="en-GB"/>
        </w:rPr>
        <w:t xml:space="preserve">-O transport over the </w:t>
      </w:r>
      <w:proofErr w:type="spellStart"/>
      <w:r w:rsidRPr="00A94875">
        <w:rPr>
          <w:rFonts w:asciiTheme="majorBidi" w:hAnsiTheme="majorBidi" w:cstheme="majorBidi"/>
          <w:bCs/>
          <w:lang w:val="en-GB"/>
        </w:rPr>
        <w:t>FlexO</w:t>
      </w:r>
      <w:proofErr w:type="spellEnd"/>
      <w:r w:rsidRPr="00A94875">
        <w:rPr>
          <w:rFonts w:asciiTheme="majorBidi" w:hAnsiTheme="majorBidi" w:cstheme="majorBidi"/>
          <w:bCs/>
          <w:lang w:val="en-GB"/>
        </w:rPr>
        <w:t xml:space="preserve">-LR </w:t>
      </w:r>
      <w:proofErr w:type="spellStart"/>
      <w:r w:rsidRPr="00A94875">
        <w:rPr>
          <w:rFonts w:asciiTheme="majorBidi" w:hAnsiTheme="majorBidi" w:cstheme="majorBidi"/>
          <w:bCs/>
          <w:lang w:val="en-GB"/>
        </w:rPr>
        <w:t>SOTUm</w:t>
      </w:r>
      <w:proofErr w:type="spellEnd"/>
      <w:r w:rsidRPr="00A94875">
        <w:rPr>
          <w:rFonts w:asciiTheme="majorBidi" w:hAnsiTheme="majorBidi" w:cstheme="majorBidi"/>
          <w:bCs/>
          <w:lang w:val="en-GB"/>
        </w:rPr>
        <w:t xml:space="preserve"> interface, and adds reference to two</w:t>
      </w:r>
      <w:r w:rsidR="001F0C31" w:rsidRPr="00A94875">
        <w:rPr>
          <w:rFonts w:asciiTheme="majorBidi" w:hAnsiTheme="majorBidi" w:cstheme="majorBidi"/>
          <w:bCs/>
          <w:lang w:val="en-GB"/>
        </w:rPr>
        <w:t xml:space="preserve"> FEC options for </w:t>
      </w:r>
      <w:proofErr w:type="spellStart"/>
      <w:r w:rsidR="001F0C31" w:rsidRPr="00A94875">
        <w:rPr>
          <w:rFonts w:asciiTheme="majorBidi" w:hAnsiTheme="majorBidi" w:cstheme="majorBidi"/>
          <w:bCs/>
          <w:lang w:val="en-GB"/>
        </w:rPr>
        <w:t>OTUk</w:t>
      </w:r>
      <w:proofErr w:type="spellEnd"/>
      <w:r w:rsidR="001F0C31" w:rsidRPr="00A94875">
        <w:rPr>
          <w:rFonts w:asciiTheme="majorBidi" w:hAnsiTheme="majorBidi" w:cstheme="majorBidi"/>
          <w:bCs/>
          <w:lang w:val="en-GB"/>
        </w:rPr>
        <w:t xml:space="preserve"> signals. </w:t>
      </w:r>
      <w:r w:rsidRPr="00A94875">
        <w:rPr>
          <w:rFonts w:asciiTheme="majorBidi" w:hAnsiTheme="majorBidi" w:cstheme="majorBidi"/>
          <w:bCs/>
          <w:lang w:val="en-GB"/>
        </w:rPr>
        <w:t xml:space="preserve">It also provides clarification regarding interfaces where </w:t>
      </w:r>
      <w:proofErr w:type="spellStart"/>
      <w:r w:rsidRPr="00A94875">
        <w:rPr>
          <w:rFonts w:asciiTheme="majorBidi" w:hAnsiTheme="majorBidi" w:cstheme="majorBidi"/>
          <w:bCs/>
          <w:lang w:val="en-GB"/>
        </w:rPr>
        <w:t>OTUk</w:t>
      </w:r>
      <w:proofErr w:type="spellEnd"/>
      <w:r w:rsidRPr="00A94875">
        <w:rPr>
          <w:rFonts w:asciiTheme="majorBidi" w:hAnsiTheme="majorBidi" w:cstheme="majorBidi"/>
          <w:bCs/>
          <w:lang w:val="en-GB"/>
        </w:rPr>
        <w:t xml:space="preserve"> and </w:t>
      </w:r>
      <w:proofErr w:type="spellStart"/>
      <w:r w:rsidRPr="00A94875">
        <w:rPr>
          <w:rFonts w:asciiTheme="majorBidi" w:hAnsiTheme="majorBidi" w:cstheme="majorBidi"/>
          <w:bCs/>
          <w:lang w:val="en-GB"/>
        </w:rPr>
        <w:t>OTUCn</w:t>
      </w:r>
      <w:proofErr w:type="spellEnd"/>
      <w:r w:rsidRPr="00A94875">
        <w:rPr>
          <w:rFonts w:asciiTheme="majorBidi" w:hAnsiTheme="majorBidi" w:cstheme="majorBidi"/>
          <w:bCs/>
          <w:lang w:val="en-GB"/>
        </w:rPr>
        <w:t xml:space="preserve"> Section Monitoring overhead is optional, and elaborates on </w:t>
      </w:r>
      <w:proofErr w:type="spellStart"/>
      <w:r w:rsidRPr="00A94875">
        <w:rPr>
          <w:rFonts w:asciiTheme="majorBidi" w:hAnsiTheme="majorBidi" w:cstheme="majorBidi"/>
          <w:bCs/>
          <w:lang w:val="en-GB"/>
        </w:rPr>
        <w:t>OCh</w:t>
      </w:r>
      <w:proofErr w:type="spellEnd"/>
      <w:r w:rsidRPr="00A94875">
        <w:rPr>
          <w:rFonts w:asciiTheme="majorBidi" w:hAnsiTheme="majorBidi" w:cstheme="majorBidi"/>
          <w:bCs/>
          <w:lang w:val="en-GB"/>
        </w:rPr>
        <w:t xml:space="preserve"> and </w:t>
      </w:r>
      <w:proofErr w:type="spellStart"/>
      <w:r w:rsidRPr="00A94875">
        <w:rPr>
          <w:rFonts w:asciiTheme="majorBidi" w:hAnsiTheme="majorBidi" w:cstheme="majorBidi"/>
          <w:bCs/>
          <w:lang w:val="en-GB"/>
        </w:rPr>
        <w:t>OTiSA</w:t>
      </w:r>
      <w:proofErr w:type="spellEnd"/>
      <w:r w:rsidRPr="00A94875">
        <w:rPr>
          <w:rFonts w:asciiTheme="majorBidi" w:hAnsiTheme="majorBidi" w:cstheme="majorBidi"/>
          <w:bCs/>
          <w:lang w:val="en-GB"/>
        </w:rPr>
        <w:t xml:space="preserve"> maintenance signals.</w:t>
      </w:r>
    </w:p>
    <w:p w14:paraId="79AF3E47" w14:textId="773EDDC1"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G.709.1/Y.1331.1 (revised) “Flexible OTN short-reach interfaces”</w:t>
      </w:r>
      <w:r w:rsidR="00165A85" w:rsidRPr="00A94875">
        <w:rPr>
          <w:rFonts w:asciiTheme="majorBidi" w:hAnsiTheme="majorBidi" w:cstheme="majorBidi"/>
          <w:bCs/>
          <w:lang w:val="en-GB"/>
        </w:rPr>
        <w:t xml:space="preserve"> </w:t>
      </w:r>
      <w:r w:rsidRPr="00A94875">
        <w:rPr>
          <w:rFonts w:asciiTheme="majorBidi" w:hAnsiTheme="majorBidi" w:cstheme="majorBidi"/>
          <w:bCs/>
          <w:lang w:val="en-GB"/>
        </w:rPr>
        <w:t xml:space="preserve">specifies a set of flexible interoperable short-reach OTN interface over which an </w:t>
      </w:r>
      <w:proofErr w:type="spellStart"/>
      <w:r w:rsidRPr="00A94875">
        <w:rPr>
          <w:rFonts w:asciiTheme="majorBidi" w:hAnsiTheme="majorBidi" w:cstheme="majorBidi"/>
          <w:bCs/>
          <w:lang w:val="en-GB"/>
        </w:rPr>
        <w:t>OTUCn</w:t>
      </w:r>
      <w:proofErr w:type="spellEnd"/>
      <w:r w:rsidRPr="00A94875">
        <w:rPr>
          <w:rFonts w:asciiTheme="majorBidi" w:hAnsiTheme="majorBidi" w:cstheme="majorBidi"/>
          <w:bCs/>
          <w:lang w:val="en-GB"/>
        </w:rPr>
        <w:t xml:space="preserve"> (n ≥ 1) </w:t>
      </w:r>
      <w:proofErr w:type="gramStart"/>
      <w:r w:rsidRPr="00A94875">
        <w:rPr>
          <w:rFonts w:asciiTheme="majorBidi" w:hAnsiTheme="majorBidi" w:cstheme="majorBidi"/>
          <w:bCs/>
          <w:lang w:val="en-GB"/>
        </w:rPr>
        <w:t>is transferred</w:t>
      </w:r>
      <w:proofErr w:type="gramEnd"/>
      <w:r w:rsidRPr="00A94875">
        <w:rPr>
          <w:rFonts w:asciiTheme="majorBidi" w:hAnsiTheme="majorBidi" w:cstheme="majorBidi"/>
          <w:bCs/>
          <w:lang w:val="en-GB"/>
        </w:rPr>
        <w:t xml:space="preserve">, using bonded interfaces. The Recommendation defines the frame structure for </w:t>
      </w:r>
      <w:proofErr w:type="spellStart"/>
      <w:r w:rsidRPr="00A94875">
        <w:rPr>
          <w:rFonts w:asciiTheme="majorBidi" w:hAnsiTheme="majorBidi" w:cstheme="majorBidi"/>
          <w:bCs/>
          <w:lang w:val="en-GB"/>
        </w:rPr>
        <w:t>FlexO</w:t>
      </w:r>
      <w:proofErr w:type="spellEnd"/>
      <w:r w:rsidRPr="00A94875">
        <w:rPr>
          <w:rFonts w:asciiTheme="majorBidi" w:hAnsiTheme="majorBidi" w:cstheme="majorBidi"/>
          <w:bCs/>
          <w:lang w:val="en-GB"/>
        </w:rPr>
        <w:t xml:space="preserve"> using the </w:t>
      </w:r>
      <w:proofErr w:type="gramStart"/>
      <w:r w:rsidRPr="00A94875">
        <w:rPr>
          <w:rFonts w:asciiTheme="majorBidi" w:hAnsiTheme="majorBidi" w:cstheme="majorBidi"/>
          <w:bCs/>
          <w:lang w:val="en-GB"/>
        </w:rPr>
        <w:t>RS(</w:t>
      </w:r>
      <w:proofErr w:type="gramEnd"/>
      <w:r w:rsidRPr="00A94875">
        <w:rPr>
          <w:rFonts w:asciiTheme="majorBidi" w:hAnsiTheme="majorBidi" w:cstheme="majorBidi"/>
          <w:bCs/>
          <w:lang w:val="en-GB"/>
        </w:rPr>
        <w:t>544,514) FEC.</w:t>
      </w:r>
    </w:p>
    <w:p w14:paraId="4AA7A1FC" w14:textId="6AA57D70" w:rsidR="00165A85" w:rsidRPr="00A94875" w:rsidRDefault="00165A85" w:rsidP="00165A85">
      <w:pPr>
        <w:rPr>
          <w:rFonts w:asciiTheme="majorBidi" w:hAnsiTheme="majorBidi" w:cstheme="majorBidi"/>
          <w:bCs/>
          <w:lang w:val="en-GB"/>
        </w:rPr>
      </w:pPr>
      <w:r w:rsidRPr="00A94875">
        <w:rPr>
          <w:rFonts w:asciiTheme="majorBidi" w:hAnsiTheme="majorBidi" w:cstheme="majorBidi"/>
          <w:b/>
          <w:bCs/>
          <w:lang w:val="en-GB"/>
        </w:rPr>
        <w:t>ITU-T G.709.1/Y.1331.1 Amd.1 “Flexible OTN short-reach interfaces: Amendment 1”</w:t>
      </w:r>
      <w:r w:rsidRPr="00A94875">
        <w:rPr>
          <w:rFonts w:asciiTheme="majorBidi" w:hAnsiTheme="majorBidi" w:cstheme="majorBidi"/>
          <w:bCs/>
          <w:lang w:val="en-GB"/>
        </w:rPr>
        <w:t xml:space="preserve"> (under approval) contains editorial changes to the second edition (06/2018) of ITU-T Recommendation G.709.1/Y.1331.1, related to the:</w:t>
      </w:r>
    </w:p>
    <w:p w14:paraId="1BFE0C3A" w14:textId="77777777" w:rsidR="00165A85" w:rsidRPr="00A94875" w:rsidRDefault="00165A85" w:rsidP="00165A85">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FEC specification enhancements to align to G.709 format</w:t>
      </w:r>
    </w:p>
    <w:p w14:paraId="7C27D213" w14:textId="77777777" w:rsidR="00165A85" w:rsidRPr="00A94875" w:rsidRDefault="00165A85" w:rsidP="00165A85">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 xml:space="preserve">Replacement of PHY terminology to </w:t>
      </w:r>
      <w:proofErr w:type="spellStart"/>
      <w:r w:rsidRPr="00A94875">
        <w:rPr>
          <w:rFonts w:asciiTheme="majorBidi" w:hAnsiTheme="majorBidi" w:cstheme="majorBidi"/>
          <w:bCs/>
          <w:lang w:val="en-GB"/>
        </w:rPr>
        <w:t>FlexO</w:t>
      </w:r>
      <w:proofErr w:type="spellEnd"/>
      <w:r w:rsidRPr="00A94875">
        <w:rPr>
          <w:rFonts w:asciiTheme="majorBidi" w:hAnsiTheme="majorBidi" w:cstheme="majorBidi"/>
          <w:bCs/>
          <w:lang w:val="en-GB"/>
        </w:rPr>
        <w:t xml:space="preserve"> instances</w:t>
      </w:r>
    </w:p>
    <w:p w14:paraId="1EB32E45" w14:textId="77777777" w:rsidR="00165A85" w:rsidRPr="00A94875" w:rsidRDefault="00165A85" w:rsidP="00165A85">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Fixed typos in clause 11.6.1</w:t>
      </w:r>
    </w:p>
    <w:p w14:paraId="6CEADB28" w14:textId="46A01842" w:rsidR="00165A85" w:rsidRPr="00A94875" w:rsidRDefault="00165A85" w:rsidP="00165A85">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Fixed typo in AM value of Table 9-2.</w:t>
      </w:r>
    </w:p>
    <w:p w14:paraId="52F51A09" w14:textId="77777777" w:rsidR="006944F8" w:rsidRPr="00A94875" w:rsidRDefault="006944F8" w:rsidP="006944F8">
      <w:pPr>
        <w:rPr>
          <w:rFonts w:asciiTheme="majorBidi" w:hAnsiTheme="majorBidi" w:cstheme="majorBidi"/>
          <w:b/>
          <w:bCs/>
          <w:lang w:val="en-GB"/>
        </w:rPr>
      </w:pPr>
      <w:r w:rsidRPr="00A94875">
        <w:rPr>
          <w:rFonts w:asciiTheme="majorBidi" w:hAnsiTheme="majorBidi" w:cstheme="majorBidi"/>
          <w:b/>
          <w:bCs/>
          <w:lang w:val="en-GB"/>
        </w:rPr>
        <w:t>ITU-T G.709.2 “OTU4 long-reach interface”</w:t>
      </w:r>
      <w:r w:rsidRPr="00A94875">
        <w:rPr>
          <w:rFonts w:asciiTheme="majorBidi" w:hAnsiTheme="majorBidi" w:cstheme="majorBidi"/>
          <w:bCs/>
          <w:lang w:val="en-GB"/>
        </w:rPr>
        <w:t xml:space="preserve"> </w:t>
      </w:r>
      <w:r w:rsidRPr="00A94875">
        <w:rPr>
          <w:lang w:val="en-GB"/>
        </w:rPr>
        <w:t xml:space="preserve">specifies functions for an OTU4 long reach interconnect application. The text of this recommendation </w:t>
      </w:r>
      <w:proofErr w:type="gramStart"/>
      <w:r w:rsidRPr="00A94875">
        <w:rPr>
          <w:lang w:val="en-GB"/>
        </w:rPr>
        <w:t>is intentionally kept</w:t>
      </w:r>
      <w:proofErr w:type="gramEnd"/>
      <w:r w:rsidRPr="00A94875">
        <w:rPr>
          <w:lang w:val="en-GB"/>
        </w:rPr>
        <w:t xml:space="preserve"> separate from the main G.709 text and from other </w:t>
      </w:r>
      <w:proofErr w:type="spellStart"/>
      <w:r w:rsidRPr="00A94875">
        <w:rPr>
          <w:lang w:val="en-GB"/>
        </w:rPr>
        <w:t>adjoints</w:t>
      </w:r>
      <w:proofErr w:type="spellEnd"/>
      <w:r w:rsidRPr="00A94875">
        <w:rPr>
          <w:lang w:val="en-GB"/>
        </w:rPr>
        <w:t xml:space="preserve"> like the G.709.1 text.</w:t>
      </w:r>
    </w:p>
    <w:p w14:paraId="1FF4A902" w14:textId="0AB36514" w:rsidR="006944F8" w:rsidRPr="00A94875" w:rsidRDefault="006944F8" w:rsidP="006944F8">
      <w:pPr>
        <w:rPr>
          <w:szCs w:val="24"/>
          <w:lang w:val="en-GB"/>
        </w:rPr>
      </w:pPr>
      <w:r w:rsidRPr="00A94875">
        <w:rPr>
          <w:rFonts w:asciiTheme="majorBidi" w:hAnsiTheme="majorBidi" w:cstheme="majorBidi"/>
          <w:b/>
          <w:bCs/>
          <w:szCs w:val="24"/>
          <w:lang w:val="en-GB"/>
        </w:rPr>
        <w:t>ITU-T G.709.3 “Flexible OTN long-reach interface”</w:t>
      </w:r>
      <w:r w:rsidRPr="00A94875">
        <w:rPr>
          <w:rFonts w:asciiTheme="majorBidi" w:hAnsiTheme="majorBidi" w:cstheme="majorBidi"/>
          <w:bCs/>
          <w:szCs w:val="24"/>
          <w:lang w:val="en-GB"/>
        </w:rPr>
        <w:t xml:space="preserve"> </w:t>
      </w:r>
      <w:r w:rsidRPr="00A94875">
        <w:rPr>
          <w:szCs w:val="24"/>
          <w:lang w:val="en-GB"/>
        </w:rPr>
        <w:t>defines flexible OTN (</w:t>
      </w:r>
      <w:proofErr w:type="spellStart"/>
      <w:r w:rsidRPr="00A94875">
        <w:rPr>
          <w:szCs w:val="24"/>
          <w:lang w:val="en-GB"/>
        </w:rPr>
        <w:t>FlexO</w:t>
      </w:r>
      <w:proofErr w:type="spellEnd"/>
      <w:r w:rsidRPr="00A94875">
        <w:rPr>
          <w:szCs w:val="24"/>
          <w:lang w:val="en-GB"/>
        </w:rPr>
        <w:t xml:space="preserve">) long-reach interfaces that support bonding (i.e. grouping) of multiple of these interfaces such that an </w:t>
      </w:r>
      <w:proofErr w:type="spellStart"/>
      <w:r w:rsidRPr="00A94875">
        <w:rPr>
          <w:szCs w:val="24"/>
          <w:lang w:val="en-GB"/>
        </w:rPr>
        <w:t>OTUCn</w:t>
      </w:r>
      <w:proofErr w:type="spellEnd"/>
      <w:r w:rsidRPr="00A94875">
        <w:rPr>
          <w:szCs w:val="24"/>
          <w:lang w:val="en-GB"/>
        </w:rPr>
        <w:t xml:space="preserve"> (n ≥ 1) can be transferred via one or more optical tributary signals (</w:t>
      </w:r>
      <w:proofErr w:type="spellStart"/>
      <w:r w:rsidRPr="00A94875">
        <w:rPr>
          <w:szCs w:val="24"/>
          <w:lang w:val="en-GB"/>
        </w:rPr>
        <w:t>OTSi</w:t>
      </w:r>
      <w:proofErr w:type="spellEnd"/>
      <w:r w:rsidRPr="00A94875">
        <w:rPr>
          <w:szCs w:val="24"/>
          <w:lang w:val="en-GB"/>
        </w:rPr>
        <w:t xml:space="preserve">) over one or more physical interfaces. The Recommendation specifies the frame structure for </w:t>
      </w:r>
      <w:proofErr w:type="spellStart"/>
      <w:r w:rsidRPr="00A94875">
        <w:rPr>
          <w:szCs w:val="24"/>
          <w:lang w:val="en-GB"/>
        </w:rPr>
        <w:t>FlexO</w:t>
      </w:r>
      <w:proofErr w:type="spellEnd"/>
      <w:r w:rsidRPr="00A94875">
        <w:rPr>
          <w:szCs w:val="24"/>
          <w:lang w:val="en-GB"/>
        </w:rPr>
        <w:t xml:space="preserve"> long reach interfaces using forward error correction codes with a higher coding gain than used in the </w:t>
      </w:r>
      <w:proofErr w:type="spellStart"/>
      <w:r w:rsidRPr="00A94875">
        <w:rPr>
          <w:szCs w:val="24"/>
          <w:lang w:val="en-GB"/>
        </w:rPr>
        <w:t>FlexO</w:t>
      </w:r>
      <w:proofErr w:type="spellEnd"/>
      <w:r w:rsidRPr="00A94875">
        <w:rPr>
          <w:szCs w:val="24"/>
          <w:lang w:val="en-GB"/>
        </w:rPr>
        <w:t xml:space="preserve"> short reach interfaces that </w:t>
      </w:r>
      <w:proofErr w:type="gramStart"/>
      <w:r w:rsidRPr="00A94875">
        <w:rPr>
          <w:szCs w:val="24"/>
          <w:lang w:val="en-GB"/>
        </w:rPr>
        <w:t>are specified</w:t>
      </w:r>
      <w:proofErr w:type="gramEnd"/>
      <w:r w:rsidRPr="00A94875">
        <w:rPr>
          <w:szCs w:val="24"/>
          <w:lang w:val="en-GB"/>
        </w:rPr>
        <w:t xml:space="preserve"> in G.709.1.</w:t>
      </w:r>
    </w:p>
    <w:p w14:paraId="5A9863AC" w14:textId="4A852B08" w:rsidR="00FE09A3" w:rsidRPr="00A94875" w:rsidRDefault="00FE09A3" w:rsidP="00FE09A3">
      <w:pPr>
        <w:rPr>
          <w:rFonts w:asciiTheme="majorBidi" w:hAnsiTheme="majorBidi" w:cstheme="majorBidi"/>
          <w:bCs/>
          <w:szCs w:val="24"/>
          <w:lang w:val="en-GB"/>
        </w:rPr>
      </w:pPr>
      <w:r w:rsidRPr="00A94875">
        <w:rPr>
          <w:rFonts w:asciiTheme="majorBidi" w:hAnsiTheme="majorBidi" w:cstheme="majorBidi"/>
          <w:b/>
          <w:bCs/>
          <w:szCs w:val="24"/>
          <w:lang w:val="en-GB"/>
        </w:rPr>
        <w:t>ITU-T G.709/Y.1331 (2016) Amd.3 “Interfaces for the optical transport network (OTN): Amendment 3”</w:t>
      </w:r>
      <w:r w:rsidRPr="00A94875">
        <w:rPr>
          <w:rFonts w:asciiTheme="majorBidi" w:hAnsiTheme="majorBidi" w:cstheme="majorBidi"/>
          <w:bCs/>
          <w:szCs w:val="24"/>
          <w:lang w:val="en-GB"/>
        </w:rPr>
        <w:t xml:space="preserve"> (under approval) </w:t>
      </w:r>
      <w:r w:rsidRPr="00A94875">
        <w:rPr>
          <w:lang w:val="en-GB"/>
        </w:rPr>
        <w:t>contains extensions to the fifth edition (06/2016) of ITU-T Recommendation G.709/Y.1331, related to the:</w:t>
      </w:r>
    </w:p>
    <w:p w14:paraId="2334A137" w14:textId="77777777" w:rsidR="00FE09A3" w:rsidRPr="00A94875" w:rsidRDefault="00FE09A3" w:rsidP="009261B2">
      <w:pPr>
        <w:numPr>
          <w:ilvl w:val="0"/>
          <w:numId w:val="31"/>
        </w:numPr>
        <w:overflowPunct/>
        <w:autoSpaceDE/>
        <w:autoSpaceDN/>
        <w:adjustRightInd/>
        <w:textAlignment w:val="auto"/>
        <w:rPr>
          <w:lang w:val="en-GB"/>
        </w:rPr>
      </w:pPr>
      <w:r w:rsidRPr="00A94875">
        <w:rPr>
          <w:lang w:val="en-GB"/>
        </w:rPr>
        <w:t xml:space="preserve">Addition of interconnection of Ethernet UNI and </w:t>
      </w:r>
      <w:proofErr w:type="spellStart"/>
      <w:r w:rsidRPr="00A94875">
        <w:rPr>
          <w:lang w:val="en-GB"/>
        </w:rPr>
        <w:t>FlexE</w:t>
      </w:r>
      <w:proofErr w:type="spellEnd"/>
      <w:r w:rsidRPr="00A94875">
        <w:rPr>
          <w:lang w:val="en-GB"/>
        </w:rPr>
        <w:t xml:space="preserve"> Group UNI in two administrative domains (7.5, Appendix XIV).</w:t>
      </w:r>
    </w:p>
    <w:p w14:paraId="35198BC1" w14:textId="77777777" w:rsidR="00FE09A3" w:rsidRPr="00A94875" w:rsidRDefault="00FE09A3" w:rsidP="009261B2">
      <w:pPr>
        <w:numPr>
          <w:ilvl w:val="0"/>
          <w:numId w:val="31"/>
        </w:numPr>
        <w:overflowPunct/>
        <w:autoSpaceDE/>
        <w:autoSpaceDN/>
        <w:adjustRightInd/>
        <w:textAlignment w:val="auto"/>
        <w:rPr>
          <w:lang w:val="en-GB"/>
        </w:rPr>
      </w:pPr>
      <w:r w:rsidRPr="00A94875">
        <w:rPr>
          <w:lang w:val="en-GB"/>
        </w:rPr>
        <w:t xml:space="preserve">Addition of 50GBASE-R mapping into </w:t>
      </w:r>
      <w:proofErr w:type="spellStart"/>
      <w:r w:rsidRPr="00A94875">
        <w:rPr>
          <w:lang w:val="en-GB"/>
        </w:rPr>
        <w:t>ODUflex</w:t>
      </w:r>
      <w:proofErr w:type="spellEnd"/>
      <w:r w:rsidRPr="00A94875">
        <w:rPr>
          <w:lang w:val="en-GB"/>
        </w:rPr>
        <w:t xml:space="preserve"> (2, 17.13.3, Annex J).</w:t>
      </w:r>
    </w:p>
    <w:p w14:paraId="30133D9C" w14:textId="77777777" w:rsidR="00FE09A3" w:rsidRPr="00A94875" w:rsidRDefault="00FE09A3" w:rsidP="009261B2">
      <w:pPr>
        <w:numPr>
          <w:ilvl w:val="0"/>
          <w:numId w:val="31"/>
        </w:numPr>
        <w:overflowPunct/>
        <w:autoSpaceDE/>
        <w:autoSpaceDN/>
        <w:adjustRightInd/>
        <w:textAlignment w:val="auto"/>
        <w:rPr>
          <w:lang w:val="en-GB"/>
        </w:rPr>
      </w:pPr>
      <w:r w:rsidRPr="00A94875">
        <w:rPr>
          <w:lang w:val="en-GB"/>
        </w:rPr>
        <w:t xml:space="preserve">Update of </w:t>
      </w:r>
      <w:proofErr w:type="spellStart"/>
      <w:r w:rsidRPr="00A94875">
        <w:rPr>
          <w:lang w:val="en-GB"/>
        </w:rPr>
        <w:t>FlexE</w:t>
      </w:r>
      <w:proofErr w:type="spellEnd"/>
      <w:r w:rsidRPr="00A94875">
        <w:rPr>
          <w:lang w:val="en-GB"/>
        </w:rPr>
        <w:t xml:space="preserve"> terminology and calendar slot descriptions with </w:t>
      </w:r>
      <w:proofErr w:type="spellStart"/>
      <w:r w:rsidRPr="00A94875">
        <w:rPr>
          <w:lang w:val="en-GB"/>
        </w:rPr>
        <w:t>FlexE</w:t>
      </w:r>
      <w:proofErr w:type="spellEnd"/>
      <w:r w:rsidRPr="00A94875">
        <w:rPr>
          <w:lang w:val="en-GB"/>
        </w:rPr>
        <w:t xml:space="preserve"> 2.0 IA (2, 17.11, </w:t>
      </w:r>
      <w:proofErr w:type="gramStart"/>
      <w:r w:rsidRPr="00A94875">
        <w:rPr>
          <w:lang w:val="en-GB"/>
        </w:rPr>
        <w:t>17.12</w:t>
      </w:r>
      <w:proofErr w:type="gramEnd"/>
      <w:r w:rsidRPr="00A94875">
        <w:rPr>
          <w:lang w:val="en-GB"/>
        </w:rPr>
        <w:t>).</w:t>
      </w:r>
    </w:p>
    <w:p w14:paraId="6D2F62FC" w14:textId="77777777" w:rsidR="00FE09A3" w:rsidRPr="00A94875" w:rsidRDefault="00FE09A3" w:rsidP="009261B2">
      <w:pPr>
        <w:numPr>
          <w:ilvl w:val="0"/>
          <w:numId w:val="31"/>
        </w:numPr>
        <w:overflowPunct/>
        <w:autoSpaceDE/>
        <w:autoSpaceDN/>
        <w:adjustRightInd/>
        <w:textAlignment w:val="auto"/>
        <w:rPr>
          <w:lang w:val="en-GB"/>
        </w:rPr>
      </w:pPr>
      <w:r w:rsidRPr="00A94875">
        <w:rPr>
          <w:lang w:val="en-GB" w:eastAsia="en-US"/>
        </w:rPr>
        <w:t xml:space="preserve">Redefine the OP overhead bit in bit 1 of JC6 as a RES overhead </w:t>
      </w:r>
      <w:r w:rsidRPr="00A94875">
        <w:rPr>
          <w:lang w:val="en-GB"/>
        </w:rPr>
        <w:t>(20.4, 20.4.3.1, 20.5).</w:t>
      </w:r>
    </w:p>
    <w:p w14:paraId="4DF54B2B" w14:textId="77777777" w:rsidR="00FE09A3" w:rsidRPr="00A94875" w:rsidRDefault="00FE09A3" w:rsidP="009261B2">
      <w:pPr>
        <w:numPr>
          <w:ilvl w:val="0"/>
          <w:numId w:val="31"/>
        </w:numPr>
        <w:overflowPunct/>
        <w:autoSpaceDE/>
        <w:autoSpaceDN/>
        <w:adjustRightInd/>
        <w:textAlignment w:val="auto"/>
        <w:rPr>
          <w:lang w:val="en-GB"/>
        </w:rPr>
      </w:pPr>
      <w:r w:rsidRPr="00A94875">
        <w:rPr>
          <w:lang w:val="en-GB"/>
        </w:rPr>
        <w:lastRenderedPageBreak/>
        <w:t xml:space="preserve">Replacement of references to IEEE Std. 802.3-2015, 802.3by and 802.3bs by a reference to IEEE </w:t>
      </w:r>
      <w:proofErr w:type="spellStart"/>
      <w:r w:rsidRPr="00A94875">
        <w:rPr>
          <w:lang w:val="en-GB"/>
        </w:rPr>
        <w:t>Std</w:t>
      </w:r>
      <w:proofErr w:type="spellEnd"/>
      <w:r w:rsidRPr="00A94875">
        <w:rPr>
          <w:lang w:val="en-GB"/>
        </w:rPr>
        <w:t xml:space="preserve"> 802.3-2018 (2, 17.13.1, 17.13.2, Annex J, Annex K).</w:t>
      </w:r>
    </w:p>
    <w:p w14:paraId="56518092" w14:textId="77777777" w:rsidR="00FE09A3" w:rsidRPr="00A94875" w:rsidRDefault="00FE09A3" w:rsidP="009261B2">
      <w:pPr>
        <w:numPr>
          <w:ilvl w:val="0"/>
          <w:numId w:val="31"/>
        </w:numPr>
        <w:overflowPunct/>
        <w:autoSpaceDE/>
        <w:autoSpaceDN/>
        <w:adjustRightInd/>
        <w:textAlignment w:val="auto"/>
        <w:rPr>
          <w:lang w:val="en-GB"/>
        </w:rPr>
      </w:pPr>
      <w:r w:rsidRPr="00A94875">
        <w:rPr>
          <w:lang w:val="en-GB"/>
        </w:rPr>
        <w:t xml:space="preserve">Addition of ODU4 and </w:t>
      </w:r>
      <w:proofErr w:type="spellStart"/>
      <w:proofErr w:type="gramStart"/>
      <w:r w:rsidRPr="00A94875">
        <w:rPr>
          <w:lang w:val="en-GB"/>
        </w:rPr>
        <w:t>ODUflex</w:t>
      </w:r>
      <w:proofErr w:type="spellEnd"/>
      <w:r w:rsidRPr="00A94875">
        <w:rPr>
          <w:lang w:val="en-GB"/>
        </w:rPr>
        <w:t>(</w:t>
      </w:r>
      <w:proofErr w:type="gramEnd"/>
      <w:r w:rsidRPr="00A94875">
        <w:rPr>
          <w:lang w:val="en-GB"/>
        </w:rPr>
        <w:t>25G/50G/200G/400GBASE-R) rows to Table 7-9 (7.4).</w:t>
      </w:r>
    </w:p>
    <w:p w14:paraId="0FBE339D" w14:textId="77777777" w:rsidR="00FE09A3" w:rsidRPr="00A94875" w:rsidRDefault="00FE09A3" w:rsidP="009261B2">
      <w:pPr>
        <w:numPr>
          <w:ilvl w:val="0"/>
          <w:numId w:val="31"/>
        </w:numPr>
        <w:overflowPunct/>
        <w:autoSpaceDE/>
        <w:autoSpaceDN/>
        <w:adjustRightInd/>
        <w:textAlignment w:val="auto"/>
        <w:rPr>
          <w:lang w:val="en-GB"/>
        </w:rPr>
      </w:pPr>
      <w:r w:rsidRPr="00A94875">
        <w:rPr>
          <w:lang w:val="en-GB" w:eastAsia="en-US"/>
        </w:rPr>
        <w:t>Addition of 25G, 50G, 200G and 400GBASE-R rows</w:t>
      </w:r>
      <w:r w:rsidRPr="00A94875">
        <w:rPr>
          <w:lang w:val="en-GB"/>
        </w:rPr>
        <w:t xml:space="preserve"> to </w:t>
      </w:r>
      <w:r w:rsidRPr="00A94875">
        <w:rPr>
          <w:lang w:val="en-GB" w:eastAsia="en-US"/>
        </w:rPr>
        <w:t>Table IX.1 (Appendix IX).</w:t>
      </w:r>
    </w:p>
    <w:p w14:paraId="114E8E10" w14:textId="78DD8106" w:rsidR="00FE09A3" w:rsidRPr="00A94875" w:rsidRDefault="00FE09A3" w:rsidP="009261B2">
      <w:pPr>
        <w:numPr>
          <w:ilvl w:val="0"/>
          <w:numId w:val="31"/>
        </w:numPr>
        <w:overflowPunct/>
        <w:autoSpaceDE/>
        <w:autoSpaceDN/>
        <w:adjustRightInd/>
        <w:textAlignment w:val="auto"/>
        <w:rPr>
          <w:lang w:val="en-GB"/>
        </w:rPr>
      </w:pPr>
      <w:r w:rsidRPr="00A94875">
        <w:rPr>
          <w:lang w:val="en-GB" w:eastAsia="en-US"/>
        </w:rPr>
        <w:t xml:space="preserve">Addition of </w:t>
      </w:r>
      <w:proofErr w:type="spellStart"/>
      <w:proofErr w:type="gramStart"/>
      <w:r w:rsidRPr="00A94875">
        <w:rPr>
          <w:lang w:val="en-GB"/>
        </w:rPr>
        <w:t>ODUflex</w:t>
      </w:r>
      <w:proofErr w:type="spellEnd"/>
      <w:r w:rsidRPr="00A94875">
        <w:rPr>
          <w:lang w:val="en-GB"/>
        </w:rPr>
        <w:t>(</w:t>
      </w:r>
      <w:proofErr w:type="gramEnd"/>
      <w:r w:rsidRPr="00A94875">
        <w:rPr>
          <w:lang w:val="en-GB"/>
        </w:rPr>
        <w:t xml:space="preserve">25G/50GGBASE-R, FC-1600/3200) </w:t>
      </w:r>
      <w:r w:rsidRPr="00A94875">
        <w:rPr>
          <w:lang w:val="en-GB" w:eastAsia="en-US"/>
        </w:rPr>
        <w:t>rows</w:t>
      </w:r>
      <w:r w:rsidRPr="00A94875">
        <w:rPr>
          <w:lang w:val="en-GB"/>
        </w:rPr>
        <w:t xml:space="preserve"> to </w:t>
      </w:r>
      <w:r w:rsidRPr="00A94875">
        <w:rPr>
          <w:lang w:val="en-GB" w:eastAsia="en-US"/>
        </w:rPr>
        <w:t>Table X.1 (Appendix X).</w:t>
      </w:r>
    </w:p>
    <w:p w14:paraId="08046E1F"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G.798 (2017) Amd.1 “Characteristics of optical transport network hierarchy equipment functional blocks”</w:t>
      </w:r>
      <w:r w:rsidRPr="00A94875">
        <w:rPr>
          <w:rFonts w:asciiTheme="majorBidi" w:hAnsiTheme="majorBidi" w:cstheme="majorBidi"/>
          <w:bCs/>
          <w:lang w:val="en-GB"/>
        </w:rPr>
        <w:t xml:space="preserve"> contains text modifications and additions:</w:t>
      </w:r>
    </w:p>
    <w:p w14:paraId="2D015E2D" w14:textId="77777777" w:rsidR="006944F8" w:rsidRPr="00A94875" w:rsidRDefault="006944F8" w:rsidP="009261B2">
      <w:pPr>
        <w:pStyle w:val="ListParagraph"/>
        <w:numPr>
          <w:ilvl w:val="0"/>
          <w:numId w:val="21"/>
        </w:numPr>
        <w:rPr>
          <w:rFonts w:ascii="Times New Roman" w:hAnsi="Times New Roman"/>
          <w:bCs/>
          <w:sz w:val="24"/>
          <w:szCs w:val="24"/>
          <w:lang w:val="en-GB"/>
        </w:rPr>
      </w:pPr>
      <w:proofErr w:type="gramStart"/>
      <w:r w:rsidRPr="00A94875">
        <w:rPr>
          <w:rFonts w:ascii="Times New Roman" w:hAnsi="Times New Roman"/>
          <w:bCs/>
          <w:sz w:val="24"/>
          <w:szCs w:val="24"/>
          <w:lang w:val="en-GB"/>
        </w:rPr>
        <w:t>moving</w:t>
      </w:r>
      <w:proofErr w:type="gramEnd"/>
      <w:r w:rsidRPr="00A94875">
        <w:rPr>
          <w:rFonts w:ascii="Times New Roman" w:hAnsi="Times New Roman"/>
          <w:bCs/>
          <w:sz w:val="24"/>
          <w:szCs w:val="24"/>
          <w:lang w:val="en-GB"/>
        </w:rPr>
        <w:t xml:space="preserve"> the </w:t>
      </w:r>
      <w:proofErr w:type="spellStart"/>
      <w:r w:rsidRPr="00A94875">
        <w:rPr>
          <w:rFonts w:ascii="Times New Roman" w:hAnsi="Times New Roman"/>
          <w:bCs/>
          <w:sz w:val="24"/>
          <w:szCs w:val="24"/>
          <w:lang w:val="en-GB"/>
        </w:rPr>
        <w:t>ODUkP</w:t>
      </w:r>
      <w:proofErr w:type="spellEnd"/>
      <w:r w:rsidRPr="00A94875">
        <w:rPr>
          <w:rFonts w:ascii="Times New Roman" w:hAnsi="Times New Roman"/>
          <w:bCs/>
          <w:sz w:val="24"/>
          <w:szCs w:val="24"/>
          <w:lang w:val="en-GB"/>
        </w:rPr>
        <w:t xml:space="preserve"> to Ethernet MAC layer and Ethernet Reconciliation sublayer adaptation functions from ITU-T G.8021 to ITU-T G.798.</w:t>
      </w:r>
    </w:p>
    <w:p w14:paraId="28869FB1" w14:textId="77777777" w:rsidR="006944F8" w:rsidRPr="00A94875" w:rsidRDefault="006944F8" w:rsidP="009261B2">
      <w:pPr>
        <w:pStyle w:val="ListParagraph"/>
        <w:numPr>
          <w:ilvl w:val="0"/>
          <w:numId w:val="21"/>
        </w:numPr>
        <w:rPr>
          <w:rFonts w:ascii="Times New Roman" w:hAnsi="Times New Roman"/>
          <w:bCs/>
          <w:sz w:val="24"/>
          <w:szCs w:val="24"/>
          <w:lang w:val="en-GB"/>
        </w:rPr>
      </w:pPr>
      <w:proofErr w:type="gramStart"/>
      <w:r w:rsidRPr="00A94875">
        <w:rPr>
          <w:rFonts w:ascii="Times New Roman" w:hAnsi="Times New Roman"/>
          <w:bCs/>
          <w:sz w:val="24"/>
          <w:szCs w:val="24"/>
          <w:lang w:val="en-GB"/>
        </w:rPr>
        <w:t>to</w:t>
      </w:r>
      <w:proofErr w:type="gramEnd"/>
      <w:r w:rsidRPr="00A94875">
        <w:rPr>
          <w:rFonts w:ascii="Times New Roman" w:hAnsi="Times New Roman"/>
          <w:bCs/>
          <w:sz w:val="24"/>
          <w:szCs w:val="24"/>
          <w:lang w:val="en-GB"/>
        </w:rPr>
        <w:t xml:space="preserve"> support adaptation of </w:t>
      </w:r>
      <w:proofErr w:type="spellStart"/>
      <w:r w:rsidRPr="00A94875">
        <w:rPr>
          <w:rFonts w:ascii="Times New Roman" w:hAnsi="Times New Roman"/>
          <w:bCs/>
          <w:sz w:val="24"/>
          <w:szCs w:val="24"/>
          <w:lang w:val="en-GB"/>
        </w:rPr>
        <w:t>ODUkP</w:t>
      </w:r>
      <w:proofErr w:type="spellEnd"/>
      <w:r w:rsidRPr="00A94875">
        <w:rPr>
          <w:rFonts w:ascii="Times New Roman" w:hAnsi="Times New Roman"/>
          <w:bCs/>
          <w:sz w:val="24"/>
          <w:szCs w:val="24"/>
          <w:lang w:val="en-GB"/>
        </w:rPr>
        <w:t xml:space="preserve"> to Ethernet Coding sublayer for 25 Gb/s, 200 Gb/s and 400 Gb/s Ethernet signals.</w:t>
      </w:r>
    </w:p>
    <w:p w14:paraId="4FA91DBF" w14:textId="77777777" w:rsidR="006944F8" w:rsidRPr="00A94875" w:rsidRDefault="006944F8" w:rsidP="009261B2">
      <w:pPr>
        <w:pStyle w:val="ListParagraph"/>
        <w:numPr>
          <w:ilvl w:val="0"/>
          <w:numId w:val="21"/>
        </w:numPr>
        <w:rPr>
          <w:rFonts w:ascii="Times New Roman" w:hAnsi="Times New Roman"/>
          <w:bCs/>
          <w:sz w:val="24"/>
          <w:szCs w:val="24"/>
          <w:lang w:val="en-GB"/>
        </w:rPr>
      </w:pPr>
      <w:proofErr w:type="gramStart"/>
      <w:r w:rsidRPr="00A94875">
        <w:rPr>
          <w:rFonts w:ascii="Times New Roman" w:hAnsi="Times New Roman"/>
          <w:bCs/>
          <w:sz w:val="24"/>
          <w:szCs w:val="24"/>
          <w:lang w:val="en-GB"/>
        </w:rPr>
        <w:t>to</w:t>
      </w:r>
      <w:proofErr w:type="gramEnd"/>
      <w:r w:rsidRPr="00A94875">
        <w:rPr>
          <w:rFonts w:ascii="Times New Roman" w:hAnsi="Times New Roman"/>
          <w:bCs/>
          <w:sz w:val="24"/>
          <w:szCs w:val="24"/>
          <w:lang w:val="en-GB"/>
        </w:rPr>
        <w:t xml:space="preserve"> align with ITU-T G.8023.</w:t>
      </w:r>
    </w:p>
    <w:p w14:paraId="25E6F710" w14:textId="77777777" w:rsidR="006944F8" w:rsidRPr="00A94875" w:rsidRDefault="006944F8" w:rsidP="009261B2">
      <w:pPr>
        <w:pStyle w:val="ListParagraph"/>
        <w:numPr>
          <w:ilvl w:val="0"/>
          <w:numId w:val="21"/>
        </w:numPr>
        <w:rPr>
          <w:rFonts w:ascii="Times New Roman" w:hAnsi="Times New Roman"/>
          <w:bCs/>
          <w:sz w:val="24"/>
          <w:szCs w:val="24"/>
          <w:lang w:val="en-GB"/>
        </w:rPr>
      </w:pPr>
      <w:proofErr w:type="gramStart"/>
      <w:r w:rsidRPr="00A94875">
        <w:rPr>
          <w:rFonts w:ascii="Times New Roman" w:hAnsi="Times New Roman"/>
          <w:bCs/>
          <w:sz w:val="24"/>
          <w:szCs w:val="24"/>
          <w:lang w:val="en-GB"/>
        </w:rPr>
        <w:t>replacing</w:t>
      </w:r>
      <w:proofErr w:type="gramEnd"/>
      <w:r w:rsidRPr="00A94875">
        <w:rPr>
          <w:rFonts w:ascii="Times New Roman" w:hAnsi="Times New Roman"/>
          <w:bCs/>
          <w:sz w:val="24"/>
          <w:szCs w:val="24"/>
          <w:lang w:val="en-GB"/>
        </w:rPr>
        <w:t xml:space="preserve"> Appendix VIII to align with ITU-T G.872 and G.873.1.</w:t>
      </w:r>
    </w:p>
    <w:p w14:paraId="28A0F003" w14:textId="77777777" w:rsidR="006944F8" w:rsidRPr="00A94875" w:rsidRDefault="006944F8" w:rsidP="006944F8">
      <w:pPr>
        <w:rPr>
          <w:lang w:val="en-GB" w:eastAsia="en-US"/>
        </w:rPr>
      </w:pPr>
      <w:bookmarkStart w:id="218" w:name="_Toc480527887"/>
      <w:r w:rsidRPr="00A94875">
        <w:rPr>
          <w:b/>
          <w:lang w:val="en-GB" w:eastAsia="en-US"/>
        </w:rPr>
        <w:t xml:space="preserve">ITU-T G Suppl. 58 (02/2018 - revised) “Optical transport network module framer interfaces” </w:t>
      </w:r>
      <w:r w:rsidRPr="00A94875">
        <w:rPr>
          <w:lang w:val="en-GB" w:eastAsia="en-US"/>
        </w:rPr>
        <w:t>describes several interoperable component-to-component multilane interfaces (across different vendors) to connect an optical module (with or without digital signal processor (DSP)) to a framer device in a vendor's equipment supporting 40G, 100G or beyond 100G optical transport network (OTN) interfaces.</w:t>
      </w:r>
    </w:p>
    <w:p w14:paraId="41247CB4" w14:textId="14E52623" w:rsidR="006944F8" w:rsidRPr="00A94875" w:rsidRDefault="006944F8" w:rsidP="006944F8">
      <w:pPr>
        <w:rPr>
          <w:lang w:val="en-GB" w:eastAsia="en-US"/>
        </w:rPr>
      </w:pPr>
      <w:r w:rsidRPr="00A94875">
        <w:rPr>
          <w:lang w:val="en-GB" w:eastAsia="en-US"/>
        </w:rPr>
        <w:t xml:space="preserve">Only the structure of the 11G, 28G or 56G physical lanes of the different OTN module framer interface (MFI) examples </w:t>
      </w:r>
      <w:proofErr w:type="gramStart"/>
      <w:r w:rsidRPr="00A94875">
        <w:rPr>
          <w:lang w:val="en-GB" w:eastAsia="en-US"/>
        </w:rPr>
        <w:t>is provided</w:t>
      </w:r>
      <w:proofErr w:type="gramEnd"/>
      <w:r w:rsidRPr="00A94875">
        <w:rPr>
          <w:lang w:val="en-GB" w:eastAsia="en-US"/>
        </w:rPr>
        <w:t xml:space="preserve"> in this Supplement. For their electrical characteristics, the OIF-CEI IA specifications </w:t>
      </w:r>
      <w:proofErr w:type="gramStart"/>
      <w:r w:rsidRPr="00A94875">
        <w:rPr>
          <w:lang w:val="en-GB" w:eastAsia="en-US"/>
        </w:rPr>
        <w:t>can be used</w:t>
      </w:r>
      <w:proofErr w:type="gramEnd"/>
      <w:r w:rsidRPr="00A94875">
        <w:rPr>
          <w:lang w:val="en-GB" w:eastAsia="en-US"/>
        </w:rPr>
        <w:t>. This Supplement relates to Recommendation ITU-T G.709/Y.1331.</w:t>
      </w:r>
    </w:p>
    <w:p w14:paraId="35F4C5E3" w14:textId="16FE7245" w:rsidR="004B5943" w:rsidRPr="00A94875" w:rsidRDefault="004B5943" w:rsidP="004B5943">
      <w:pPr>
        <w:rPr>
          <w:lang w:val="en-GB" w:eastAsia="en-US"/>
        </w:rPr>
      </w:pPr>
      <w:r w:rsidRPr="00A94875">
        <w:rPr>
          <w:b/>
          <w:lang w:val="en-GB" w:eastAsia="en-US"/>
        </w:rPr>
        <w:t>ITU-T G.Suppl.58 (revised) “Optical transport network module framer interfaces”</w:t>
      </w:r>
      <w:r w:rsidRPr="00A94875">
        <w:rPr>
          <w:lang w:val="en-GB" w:eastAsia="en-US"/>
        </w:rPr>
        <w:t xml:space="preserve"> describes several interoperable component-to-component multilane interfaces (across different vendors) to connect an optical module (with or without digital signal processor (DSP)) to a framer device in a vendor's equipment supporting 40G, 100G or beyond 100G optical transport network (OTN) interfaces. Only the structure of the 11G, 28G or 56G physical lanes of the different OTN module framer interface (MFI) examples </w:t>
      </w:r>
      <w:proofErr w:type="gramStart"/>
      <w:r w:rsidRPr="00A94875">
        <w:rPr>
          <w:lang w:val="en-GB" w:eastAsia="en-US"/>
        </w:rPr>
        <w:t>is provided</w:t>
      </w:r>
      <w:proofErr w:type="gramEnd"/>
      <w:r w:rsidRPr="00A94875">
        <w:rPr>
          <w:lang w:val="en-GB" w:eastAsia="en-US"/>
        </w:rPr>
        <w:t xml:space="preserve"> in this Supplement. For their electrical characteristics, the OIF-CEI IA specifications </w:t>
      </w:r>
      <w:proofErr w:type="gramStart"/>
      <w:r w:rsidRPr="00A94875">
        <w:rPr>
          <w:lang w:val="en-GB" w:eastAsia="en-US"/>
        </w:rPr>
        <w:t>can be used</w:t>
      </w:r>
      <w:proofErr w:type="gramEnd"/>
      <w:r w:rsidRPr="00A94875">
        <w:rPr>
          <w:lang w:val="en-GB" w:eastAsia="en-US"/>
        </w:rPr>
        <w:t>. This Supplement relates to Recommendation ITU-T G.709/Y.1331.</w:t>
      </w:r>
    </w:p>
    <w:p w14:paraId="2FD0E886" w14:textId="77777777" w:rsidR="006944F8" w:rsidRPr="00A94875" w:rsidRDefault="006944F8" w:rsidP="006944F8">
      <w:pPr>
        <w:spacing w:before="240"/>
        <w:rPr>
          <w:b/>
          <w:sz w:val="22"/>
          <w:szCs w:val="22"/>
          <w:lang w:val="en-GB"/>
        </w:rPr>
      </w:pPr>
      <w:r w:rsidRPr="00A94875">
        <w:rPr>
          <w:b/>
          <w:sz w:val="22"/>
          <w:szCs w:val="22"/>
          <w:lang w:val="en-GB"/>
        </w:rPr>
        <w:t>I.1.5</w:t>
      </w:r>
      <w:r w:rsidRPr="00A94875">
        <w:rPr>
          <w:b/>
          <w:sz w:val="22"/>
          <w:szCs w:val="22"/>
          <w:lang w:val="en-GB"/>
        </w:rPr>
        <w:tab/>
        <w:t>Optical transmission systems</w:t>
      </w:r>
      <w:bookmarkEnd w:id="218"/>
    </w:p>
    <w:p w14:paraId="7C751C11"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G.695 (revised) “Optical interfaces for coarse wavelength division multiplexing applications”</w:t>
      </w:r>
      <w:r w:rsidRPr="00A94875">
        <w:rPr>
          <w:rFonts w:asciiTheme="majorBidi" w:hAnsiTheme="majorBidi" w:cstheme="majorBidi"/>
          <w:bCs/>
          <w:lang w:val="en-GB"/>
        </w:rPr>
        <w:t xml:space="preserve"> provides optical parameter values for physical layer interfaces of coarse wavelength division multiplexing (CWDM) applications with up to 16 channels and up to 50 </w:t>
      </w:r>
      <w:proofErr w:type="spellStart"/>
      <w:r w:rsidRPr="00A94875">
        <w:rPr>
          <w:rFonts w:asciiTheme="majorBidi" w:hAnsiTheme="majorBidi" w:cstheme="majorBidi"/>
          <w:bCs/>
          <w:lang w:val="en-GB"/>
        </w:rPr>
        <w:t>Gbit</w:t>
      </w:r>
      <w:proofErr w:type="spellEnd"/>
      <w:r w:rsidRPr="00A94875">
        <w:rPr>
          <w:rFonts w:asciiTheme="majorBidi" w:hAnsiTheme="majorBidi" w:cstheme="majorBidi"/>
          <w:bCs/>
          <w:lang w:val="en-GB"/>
        </w:rPr>
        <w:t xml:space="preserve">/s. Applications are defined using two different methods, one using multichannel interface parameters and the other using single-channel interface parameters. Both unidirectional and bidirectional applications are specified. In this version of this Recommendation, an application code for </w:t>
      </w:r>
      <w:proofErr w:type="gramStart"/>
      <w:r w:rsidRPr="00A94875">
        <w:rPr>
          <w:rFonts w:asciiTheme="majorBidi" w:hAnsiTheme="majorBidi" w:cstheme="majorBidi"/>
          <w:bCs/>
          <w:lang w:val="en-GB"/>
        </w:rPr>
        <w:t>4</w:t>
      </w:r>
      <w:proofErr w:type="gramEnd"/>
      <w:r w:rsidRPr="00A94875">
        <w:rPr>
          <w:rFonts w:asciiTheme="majorBidi" w:hAnsiTheme="majorBidi" w:cstheme="majorBidi"/>
          <w:bCs/>
          <w:lang w:val="en-GB"/>
        </w:rPr>
        <w:t xml:space="preserve"> channel PAM4 50G short-haul black box applications has been added, which is suitable for carrying FOIC2.4 (200G striped across four physical lanes).</w:t>
      </w:r>
    </w:p>
    <w:p w14:paraId="33C2ABA4" w14:textId="77777777" w:rsidR="006944F8" w:rsidRPr="00A94875" w:rsidRDefault="006944F8" w:rsidP="006944F8">
      <w:pPr>
        <w:rPr>
          <w:rFonts w:asciiTheme="majorBidi" w:hAnsiTheme="majorBidi" w:cstheme="majorBidi"/>
          <w:b/>
          <w:bCs/>
          <w:lang w:val="en-GB"/>
        </w:rPr>
      </w:pPr>
      <w:r w:rsidRPr="00A94875">
        <w:rPr>
          <w:rFonts w:asciiTheme="majorBidi" w:hAnsiTheme="majorBidi" w:cstheme="majorBidi"/>
          <w:b/>
          <w:bCs/>
          <w:lang w:val="en-GB"/>
        </w:rPr>
        <w:t>ITU-T G.698.4 “Multichannel bi-directional DWDM applications with port agnostic single-channel optical interfaces”</w:t>
      </w:r>
      <w:r w:rsidRPr="00A94875">
        <w:rPr>
          <w:rFonts w:asciiTheme="majorBidi" w:hAnsiTheme="majorBidi" w:cstheme="majorBidi"/>
          <w:bCs/>
          <w:lang w:val="en-GB"/>
        </w:rPr>
        <w:t xml:space="preserve"> provides optical parameter values for physical layer interfaces of dense wavelength division multiplexing (DWDM) systems primarily intended for metro applications, where the tail-end transmitters have the capability to automatically adapt their DWDM channel frequency to the optical </w:t>
      </w:r>
      <w:proofErr w:type="spellStart"/>
      <w:r w:rsidRPr="00A94875">
        <w:rPr>
          <w:rFonts w:asciiTheme="majorBidi" w:hAnsiTheme="majorBidi" w:cstheme="majorBidi"/>
          <w:bCs/>
          <w:lang w:val="en-GB"/>
        </w:rPr>
        <w:t>demultiplexer</w:t>
      </w:r>
      <w:proofErr w:type="spellEnd"/>
      <w:r w:rsidRPr="00A94875">
        <w:rPr>
          <w:rFonts w:asciiTheme="majorBidi" w:hAnsiTheme="majorBidi" w:cstheme="majorBidi"/>
          <w:bCs/>
          <w:lang w:val="en-GB"/>
        </w:rPr>
        <w:t xml:space="preserve">/optical multiplexer (OD/OM) or optical add-drop multiplexer (OADM) port. Applications are defined using optical interface parameters and values for single-channel and multichannel interfaces of multichannel DWDM optical systems in point-to-point applications. This Recommendation uses a system architecture comprising a head end, connecting to the tail-end equipment (TEE) through a black link. The head end houses a set of transmitters and </w:t>
      </w:r>
      <w:r w:rsidRPr="00A94875">
        <w:rPr>
          <w:rFonts w:asciiTheme="majorBidi" w:hAnsiTheme="majorBidi" w:cstheme="majorBidi"/>
          <w:bCs/>
          <w:lang w:val="en-GB"/>
        </w:rPr>
        <w:lastRenderedPageBreak/>
        <w:t xml:space="preserve">receivers and an OD/OM. A single bidirectional fibre </w:t>
      </w:r>
      <w:proofErr w:type="gramStart"/>
      <w:r w:rsidRPr="00A94875">
        <w:rPr>
          <w:rFonts w:asciiTheme="majorBidi" w:hAnsiTheme="majorBidi" w:cstheme="majorBidi"/>
          <w:bCs/>
          <w:lang w:val="en-GB"/>
        </w:rPr>
        <w:t>is used</w:t>
      </w:r>
      <w:proofErr w:type="gramEnd"/>
      <w:r w:rsidRPr="00A94875">
        <w:rPr>
          <w:rFonts w:asciiTheme="majorBidi" w:hAnsiTheme="majorBidi" w:cstheme="majorBidi"/>
          <w:bCs/>
          <w:lang w:val="en-GB"/>
        </w:rPr>
        <w:t xml:space="preserve"> to connect the head end to the black link OD/OM or OADM. The connection between the OD/OM/OADM and the TEE is also bidirectional. The initial version of this Recommendation includes DWDM applications up to 10 </w:t>
      </w:r>
      <w:proofErr w:type="spellStart"/>
      <w:r w:rsidRPr="00A94875">
        <w:rPr>
          <w:rFonts w:asciiTheme="majorBidi" w:hAnsiTheme="majorBidi" w:cstheme="majorBidi"/>
          <w:bCs/>
          <w:lang w:val="en-GB"/>
        </w:rPr>
        <w:t>Gbit</w:t>
      </w:r>
      <w:proofErr w:type="spellEnd"/>
      <w:r w:rsidRPr="00A94875">
        <w:rPr>
          <w:rFonts w:asciiTheme="majorBidi" w:hAnsiTheme="majorBidi" w:cstheme="majorBidi"/>
          <w:bCs/>
          <w:lang w:val="en-GB"/>
        </w:rPr>
        <w:t>/s with channel frequency spacing of 50 GHz and 100 GHz.</w:t>
      </w:r>
    </w:p>
    <w:p w14:paraId="2470D33D" w14:textId="4CAD3708" w:rsidR="007D6346" w:rsidRPr="00A94875" w:rsidRDefault="007D6346" w:rsidP="007D6346">
      <w:pPr>
        <w:rPr>
          <w:rFonts w:asciiTheme="majorBidi" w:hAnsiTheme="majorBidi" w:cstheme="majorBidi"/>
          <w:bCs/>
          <w:lang w:val="en-GB"/>
        </w:rPr>
      </w:pPr>
      <w:r w:rsidRPr="00A94875">
        <w:rPr>
          <w:rFonts w:asciiTheme="majorBidi" w:hAnsiTheme="majorBidi" w:cstheme="majorBidi"/>
          <w:b/>
          <w:bCs/>
          <w:lang w:val="en-GB"/>
        </w:rPr>
        <w:t xml:space="preserve">ITU-T G.709/Y.1331 (2016) Amd.3 “Interfaces for the optical transport network (OTN): Amendment 3” </w:t>
      </w:r>
      <w:r w:rsidRPr="00A94875">
        <w:rPr>
          <w:rFonts w:asciiTheme="majorBidi" w:hAnsiTheme="majorBidi" w:cstheme="majorBidi"/>
          <w:bCs/>
          <w:lang w:val="en-GB"/>
        </w:rPr>
        <w:t>(under approval) contains extensions to the fifth edition (06/2016) of ITU-T Recommendation G.709/Y.1331, related to the:</w:t>
      </w:r>
    </w:p>
    <w:p w14:paraId="176494AB" w14:textId="77777777" w:rsidR="007D6346" w:rsidRPr="00A94875" w:rsidRDefault="007D6346" w:rsidP="007D6346">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 xml:space="preserve">Addition of interconnection of Ethernet UNI and </w:t>
      </w:r>
      <w:proofErr w:type="spellStart"/>
      <w:r w:rsidRPr="00A94875">
        <w:rPr>
          <w:rFonts w:asciiTheme="majorBidi" w:hAnsiTheme="majorBidi" w:cstheme="majorBidi"/>
          <w:bCs/>
          <w:lang w:val="en-GB"/>
        </w:rPr>
        <w:t>FlexE</w:t>
      </w:r>
      <w:proofErr w:type="spellEnd"/>
      <w:r w:rsidRPr="00A94875">
        <w:rPr>
          <w:rFonts w:asciiTheme="majorBidi" w:hAnsiTheme="majorBidi" w:cstheme="majorBidi"/>
          <w:bCs/>
          <w:lang w:val="en-GB"/>
        </w:rPr>
        <w:t xml:space="preserve"> Group UNI in two administrative domains (7.5, Appendix XIV).</w:t>
      </w:r>
    </w:p>
    <w:p w14:paraId="08A81EDE" w14:textId="77777777" w:rsidR="007D6346" w:rsidRPr="00A94875" w:rsidRDefault="007D6346" w:rsidP="007D6346">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 xml:space="preserve">Addition of 50GBASE-R mapping into </w:t>
      </w:r>
      <w:proofErr w:type="spellStart"/>
      <w:r w:rsidRPr="00A94875">
        <w:rPr>
          <w:rFonts w:asciiTheme="majorBidi" w:hAnsiTheme="majorBidi" w:cstheme="majorBidi"/>
          <w:bCs/>
          <w:lang w:val="en-GB"/>
        </w:rPr>
        <w:t>ODUflex</w:t>
      </w:r>
      <w:proofErr w:type="spellEnd"/>
      <w:r w:rsidRPr="00A94875">
        <w:rPr>
          <w:rFonts w:asciiTheme="majorBidi" w:hAnsiTheme="majorBidi" w:cstheme="majorBidi"/>
          <w:bCs/>
          <w:lang w:val="en-GB"/>
        </w:rPr>
        <w:t xml:space="preserve"> (2, 17.13.3, Annex J).</w:t>
      </w:r>
    </w:p>
    <w:p w14:paraId="34B4EDB6" w14:textId="77777777" w:rsidR="007D6346" w:rsidRPr="00A94875" w:rsidRDefault="007D6346" w:rsidP="007D6346">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 xml:space="preserve">Update of </w:t>
      </w:r>
      <w:proofErr w:type="spellStart"/>
      <w:r w:rsidRPr="00A94875">
        <w:rPr>
          <w:rFonts w:asciiTheme="majorBidi" w:hAnsiTheme="majorBidi" w:cstheme="majorBidi"/>
          <w:bCs/>
          <w:lang w:val="en-GB"/>
        </w:rPr>
        <w:t>FlexE</w:t>
      </w:r>
      <w:proofErr w:type="spellEnd"/>
      <w:r w:rsidRPr="00A94875">
        <w:rPr>
          <w:rFonts w:asciiTheme="majorBidi" w:hAnsiTheme="majorBidi" w:cstheme="majorBidi"/>
          <w:bCs/>
          <w:lang w:val="en-GB"/>
        </w:rPr>
        <w:t xml:space="preserve"> terminology and calendar slot descriptions with </w:t>
      </w:r>
      <w:proofErr w:type="spellStart"/>
      <w:r w:rsidRPr="00A94875">
        <w:rPr>
          <w:rFonts w:asciiTheme="majorBidi" w:hAnsiTheme="majorBidi" w:cstheme="majorBidi"/>
          <w:bCs/>
          <w:lang w:val="en-GB"/>
        </w:rPr>
        <w:t>FlexE</w:t>
      </w:r>
      <w:proofErr w:type="spellEnd"/>
      <w:r w:rsidRPr="00A94875">
        <w:rPr>
          <w:rFonts w:asciiTheme="majorBidi" w:hAnsiTheme="majorBidi" w:cstheme="majorBidi"/>
          <w:bCs/>
          <w:lang w:val="en-GB"/>
        </w:rPr>
        <w:t xml:space="preserve"> 2.0 IA (2, 17.11, </w:t>
      </w:r>
      <w:proofErr w:type="gramStart"/>
      <w:r w:rsidRPr="00A94875">
        <w:rPr>
          <w:rFonts w:asciiTheme="majorBidi" w:hAnsiTheme="majorBidi" w:cstheme="majorBidi"/>
          <w:bCs/>
          <w:lang w:val="en-GB"/>
        </w:rPr>
        <w:t>17.12</w:t>
      </w:r>
      <w:proofErr w:type="gramEnd"/>
      <w:r w:rsidRPr="00A94875">
        <w:rPr>
          <w:rFonts w:asciiTheme="majorBidi" w:hAnsiTheme="majorBidi" w:cstheme="majorBidi"/>
          <w:bCs/>
          <w:lang w:val="en-GB"/>
        </w:rPr>
        <w:t>).</w:t>
      </w:r>
    </w:p>
    <w:p w14:paraId="1C102866" w14:textId="77777777" w:rsidR="007D6346" w:rsidRPr="00A94875" w:rsidRDefault="007D6346" w:rsidP="007D6346">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Redefine the OP overhead bit in bit 1 of JC6 as a RES overhead (20.4, 20.4.3.1, 20.5).</w:t>
      </w:r>
    </w:p>
    <w:p w14:paraId="32EA9D42" w14:textId="77777777" w:rsidR="007D6346" w:rsidRPr="00A94875" w:rsidRDefault="007D6346" w:rsidP="007D6346">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 xml:space="preserve">Replacement of references to IEEE Std. 802.3-2015, 802.3by and 802.3bs by a reference to IEEE </w:t>
      </w:r>
      <w:proofErr w:type="spellStart"/>
      <w:r w:rsidRPr="00A94875">
        <w:rPr>
          <w:rFonts w:asciiTheme="majorBidi" w:hAnsiTheme="majorBidi" w:cstheme="majorBidi"/>
          <w:bCs/>
          <w:lang w:val="en-GB"/>
        </w:rPr>
        <w:t>Std</w:t>
      </w:r>
      <w:proofErr w:type="spellEnd"/>
      <w:r w:rsidRPr="00A94875">
        <w:rPr>
          <w:rFonts w:asciiTheme="majorBidi" w:hAnsiTheme="majorBidi" w:cstheme="majorBidi"/>
          <w:bCs/>
          <w:lang w:val="en-GB"/>
        </w:rPr>
        <w:t xml:space="preserve"> 802.3-2018 (2, 17.13.1, 17.13.2, Annex J, Annex K).</w:t>
      </w:r>
    </w:p>
    <w:p w14:paraId="6D9FBC66" w14:textId="77777777" w:rsidR="007D6346" w:rsidRPr="00A94875" w:rsidRDefault="007D6346" w:rsidP="007D6346">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 xml:space="preserve">Addition of ODU4 and </w:t>
      </w:r>
      <w:proofErr w:type="spellStart"/>
      <w:proofErr w:type="gramStart"/>
      <w:r w:rsidRPr="00A94875">
        <w:rPr>
          <w:rFonts w:asciiTheme="majorBidi" w:hAnsiTheme="majorBidi" w:cstheme="majorBidi"/>
          <w:bCs/>
          <w:lang w:val="en-GB"/>
        </w:rPr>
        <w:t>ODUflex</w:t>
      </w:r>
      <w:proofErr w:type="spellEnd"/>
      <w:r w:rsidRPr="00A94875">
        <w:rPr>
          <w:rFonts w:asciiTheme="majorBidi" w:hAnsiTheme="majorBidi" w:cstheme="majorBidi"/>
          <w:bCs/>
          <w:lang w:val="en-GB"/>
        </w:rPr>
        <w:t>(</w:t>
      </w:r>
      <w:proofErr w:type="gramEnd"/>
      <w:r w:rsidRPr="00A94875">
        <w:rPr>
          <w:rFonts w:asciiTheme="majorBidi" w:hAnsiTheme="majorBidi" w:cstheme="majorBidi"/>
          <w:bCs/>
          <w:lang w:val="en-GB"/>
        </w:rPr>
        <w:t>25G/50G/200G/400GBASE-R) rows to Table 7-9 (7.4).</w:t>
      </w:r>
    </w:p>
    <w:p w14:paraId="240B8393" w14:textId="77777777" w:rsidR="007D6346" w:rsidRPr="00A94875" w:rsidRDefault="007D6346" w:rsidP="007D6346">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Addition of 25G, 50G, 200G and 400GBASE-R rows to Table IX.1 (Appendix IX).</w:t>
      </w:r>
    </w:p>
    <w:p w14:paraId="36666276" w14:textId="68C3753E" w:rsidR="007D6346" w:rsidRPr="00A94875" w:rsidRDefault="007D6346" w:rsidP="007D6346">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 xml:space="preserve">Addition of </w:t>
      </w:r>
      <w:proofErr w:type="spellStart"/>
      <w:proofErr w:type="gramStart"/>
      <w:r w:rsidRPr="00A94875">
        <w:rPr>
          <w:rFonts w:asciiTheme="majorBidi" w:hAnsiTheme="majorBidi" w:cstheme="majorBidi"/>
          <w:bCs/>
          <w:lang w:val="en-GB"/>
        </w:rPr>
        <w:t>ODUflex</w:t>
      </w:r>
      <w:proofErr w:type="spellEnd"/>
      <w:r w:rsidRPr="00A94875">
        <w:rPr>
          <w:rFonts w:asciiTheme="majorBidi" w:hAnsiTheme="majorBidi" w:cstheme="majorBidi"/>
          <w:bCs/>
          <w:lang w:val="en-GB"/>
        </w:rPr>
        <w:t>(</w:t>
      </w:r>
      <w:proofErr w:type="gramEnd"/>
      <w:r w:rsidRPr="00A94875">
        <w:rPr>
          <w:rFonts w:asciiTheme="majorBidi" w:hAnsiTheme="majorBidi" w:cstheme="majorBidi"/>
          <w:bCs/>
          <w:lang w:val="en-GB"/>
        </w:rPr>
        <w:t>25G/50GGBASE-R, FC-1600/3200) rows to Table X.1 (Appendix X).</w:t>
      </w:r>
    </w:p>
    <w:p w14:paraId="64956CAA" w14:textId="024E18EE" w:rsidR="006421CD" w:rsidRPr="00A94875" w:rsidRDefault="006421CD" w:rsidP="006421CD">
      <w:pPr>
        <w:rPr>
          <w:rFonts w:asciiTheme="majorBidi" w:hAnsiTheme="majorBidi" w:cstheme="majorBidi"/>
          <w:bCs/>
          <w:lang w:val="en-GB"/>
        </w:rPr>
      </w:pPr>
      <w:r w:rsidRPr="00A94875">
        <w:rPr>
          <w:rFonts w:asciiTheme="majorBidi" w:hAnsiTheme="majorBidi" w:cstheme="majorBidi"/>
          <w:b/>
          <w:bCs/>
          <w:lang w:val="en-GB"/>
        </w:rPr>
        <w:t xml:space="preserve">ITU-T G.709.1/Y.1331.1 (2018) Amd.1 “Flexible OTN short-reach interfaces: Amendment 1” </w:t>
      </w:r>
      <w:r w:rsidRPr="00A94875">
        <w:rPr>
          <w:rFonts w:asciiTheme="majorBidi" w:hAnsiTheme="majorBidi" w:cstheme="majorBidi"/>
          <w:bCs/>
          <w:lang w:val="en-GB"/>
        </w:rPr>
        <w:t>(under approval) contains editorial changes to the second edition (06/2018) of ITU-T Recommendation G.709.1/Y.1331.1, related to the:</w:t>
      </w:r>
    </w:p>
    <w:p w14:paraId="5376A088" w14:textId="77777777" w:rsidR="006421CD" w:rsidRPr="00A94875" w:rsidRDefault="006421CD" w:rsidP="006421CD">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FEC specification enhancements to align to G.709 format</w:t>
      </w:r>
    </w:p>
    <w:p w14:paraId="08F95508" w14:textId="77777777" w:rsidR="006421CD" w:rsidRPr="00A94875" w:rsidRDefault="006421CD" w:rsidP="006421CD">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 xml:space="preserve">Replacement of PHY terminology to </w:t>
      </w:r>
      <w:proofErr w:type="spellStart"/>
      <w:r w:rsidRPr="00A94875">
        <w:rPr>
          <w:rFonts w:asciiTheme="majorBidi" w:hAnsiTheme="majorBidi" w:cstheme="majorBidi"/>
          <w:bCs/>
          <w:lang w:val="en-GB"/>
        </w:rPr>
        <w:t>FlexO</w:t>
      </w:r>
      <w:proofErr w:type="spellEnd"/>
      <w:r w:rsidRPr="00A94875">
        <w:rPr>
          <w:rFonts w:asciiTheme="majorBidi" w:hAnsiTheme="majorBidi" w:cstheme="majorBidi"/>
          <w:bCs/>
          <w:lang w:val="en-GB"/>
        </w:rPr>
        <w:t xml:space="preserve"> instances</w:t>
      </w:r>
    </w:p>
    <w:p w14:paraId="603FBC4A" w14:textId="77777777" w:rsidR="006421CD" w:rsidRPr="00A94875" w:rsidRDefault="006421CD" w:rsidP="006421CD">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Fixed typos in clause 11.6.1</w:t>
      </w:r>
    </w:p>
    <w:p w14:paraId="759D5CFA" w14:textId="734206DD" w:rsidR="006421CD" w:rsidRPr="00A94875" w:rsidRDefault="006421CD" w:rsidP="006421CD">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Fixed typo in AM value of Table 9-2.</w:t>
      </w:r>
    </w:p>
    <w:p w14:paraId="30D06707" w14:textId="1766F9AF" w:rsidR="006421CD" w:rsidRPr="00A94875" w:rsidRDefault="006421CD" w:rsidP="006421CD">
      <w:pPr>
        <w:rPr>
          <w:rFonts w:asciiTheme="majorBidi" w:hAnsiTheme="majorBidi" w:cstheme="majorBidi"/>
          <w:bCs/>
          <w:lang w:val="en-GB"/>
        </w:rPr>
      </w:pPr>
      <w:r w:rsidRPr="00A94875">
        <w:rPr>
          <w:rFonts w:asciiTheme="majorBidi" w:hAnsiTheme="majorBidi" w:cstheme="majorBidi"/>
          <w:b/>
          <w:bCs/>
          <w:lang w:val="en-GB"/>
        </w:rPr>
        <w:t>ITU-T G.709.3/Y.1331.3 Amd.1 “Flexible OTN long-reach interfaces: Amendment 1”</w:t>
      </w:r>
      <w:r w:rsidRPr="00A94875">
        <w:rPr>
          <w:rFonts w:asciiTheme="majorBidi" w:hAnsiTheme="majorBidi" w:cstheme="majorBidi"/>
          <w:bCs/>
          <w:lang w:val="en-GB"/>
        </w:rPr>
        <w:t xml:space="preserve"> (under approval) contains extensions to the first edition (06/2018) of ITU-T Recommendation G.709.3/Y.1331.3, related to the:</w:t>
      </w:r>
    </w:p>
    <w:p w14:paraId="460D3B94" w14:textId="77777777" w:rsidR="006421CD" w:rsidRPr="00A94875" w:rsidRDefault="006421CD" w:rsidP="006421CD">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Enhancement of the FEC Block Alignment specification (11.3.1)</w:t>
      </w:r>
    </w:p>
    <w:p w14:paraId="04B373E9" w14:textId="77777777" w:rsidR="006421CD" w:rsidRPr="00A94875" w:rsidRDefault="006421CD" w:rsidP="006421CD">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 xml:space="preserve">Addition of 200G and 400G </w:t>
      </w:r>
      <w:proofErr w:type="spellStart"/>
      <w:r w:rsidRPr="00A94875">
        <w:rPr>
          <w:rFonts w:asciiTheme="majorBidi" w:hAnsiTheme="majorBidi" w:cstheme="majorBidi"/>
          <w:bCs/>
          <w:lang w:val="en-GB"/>
        </w:rPr>
        <w:t>FlexO</w:t>
      </w:r>
      <w:proofErr w:type="spellEnd"/>
      <w:r w:rsidRPr="00A94875">
        <w:rPr>
          <w:rFonts w:asciiTheme="majorBidi" w:hAnsiTheme="majorBidi" w:cstheme="majorBidi"/>
          <w:bCs/>
          <w:lang w:val="en-GB"/>
        </w:rPr>
        <w:t xml:space="preserve"> with Concatenated FEC (7, 7.2, 11.3, 11.3.1, 11.3.2, 12, 13, 14, 15, Annex C, Annex D, Appendix I, Appendix II)</w:t>
      </w:r>
    </w:p>
    <w:p w14:paraId="6DEBCAAC" w14:textId="73726EA2" w:rsidR="006421CD" w:rsidRPr="00A94875" w:rsidRDefault="006421CD" w:rsidP="006421CD">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 xml:space="preserve">Deletion of </w:t>
      </w:r>
      <w:proofErr w:type="gramStart"/>
      <w:r w:rsidRPr="00A94875">
        <w:rPr>
          <w:rFonts w:asciiTheme="majorBidi" w:hAnsiTheme="majorBidi" w:cstheme="majorBidi"/>
          <w:bCs/>
          <w:lang w:val="en-GB"/>
        </w:rPr>
        <w:t>m and n</w:t>
      </w:r>
      <w:proofErr w:type="gramEnd"/>
      <w:r w:rsidRPr="00A94875">
        <w:rPr>
          <w:rFonts w:asciiTheme="majorBidi" w:hAnsiTheme="majorBidi" w:cstheme="majorBidi"/>
          <w:bCs/>
          <w:lang w:val="en-GB"/>
        </w:rPr>
        <w:t xml:space="preserve"> and addition of Z conventions (5).</w:t>
      </w:r>
    </w:p>
    <w:p w14:paraId="4E3F88F8" w14:textId="7CAC0293"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 xml:space="preserve">ITU-T G.959.1 </w:t>
      </w:r>
      <w:r w:rsidR="007D6346" w:rsidRPr="00A94875">
        <w:rPr>
          <w:rFonts w:asciiTheme="majorBidi" w:hAnsiTheme="majorBidi" w:cstheme="majorBidi"/>
          <w:b/>
          <w:bCs/>
          <w:lang w:val="en-GB"/>
        </w:rPr>
        <w:t xml:space="preserve">(revised) </w:t>
      </w:r>
      <w:r w:rsidRPr="00A94875">
        <w:rPr>
          <w:rFonts w:asciiTheme="majorBidi" w:hAnsiTheme="majorBidi" w:cstheme="majorBidi"/>
          <w:b/>
          <w:bCs/>
          <w:lang w:val="en-GB"/>
        </w:rPr>
        <w:t>“Optical transport networks physical layer interfaces”</w:t>
      </w:r>
      <w:r w:rsidRPr="00A94875">
        <w:rPr>
          <w:rFonts w:asciiTheme="majorBidi" w:hAnsiTheme="majorBidi" w:cstheme="majorBidi"/>
          <w:bCs/>
          <w:lang w:val="en-GB"/>
        </w:rPr>
        <w:t xml:space="preserve"> provides physical layer inter-domain interface (</w:t>
      </w:r>
      <w:proofErr w:type="spellStart"/>
      <w:r w:rsidRPr="00A94875">
        <w:rPr>
          <w:rFonts w:asciiTheme="majorBidi" w:hAnsiTheme="majorBidi" w:cstheme="majorBidi"/>
          <w:bCs/>
          <w:lang w:val="en-GB"/>
        </w:rPr>
        <w:t>IrDI</w:t>
      </w:r>
      <w:proofErr w:type="spellEnd"/>
      <w:r w:rsidRPr="00A94875">
        <w:rPr>
          <w:rFonts w:asciiTheme="majorBidi" w:hAnsiTheme="majorBidi" w:cstheme="majorBidi"/>
          <w:bCs/>
          <w:lang w:val="en-GB"/>
        </w:rPr>
        <w:t xml:space="preserve">) specifications for optical </w:t>
      </w:r>
      <w:proofErr w:type="gramStart"/>
      <w:r w:rsidRPr="00A94875">
        <w:rPr>
          <w:rFonts w:asciiTheme="majorBidi" w:hAnsiTheme="majorBidi" w:cstheme="majorBidi"/>
          <w:bCs/>
          <w:lang w:val="en-GB"/>
        </w:rPr>
        <w:t>networks which</w:t>
      </w:r>
      <w:proofErr w:type="gramEnd"/>
      <w:r w:rsidRPr="00A94875">
        <w:rPr>
          <w:rFonts w:asciiTheme="majorBidi" w:hAnsiTheme="majorBidi" w:cstheme="majorBidi"/>
          <w:bCs/>
          <w:lang w:val="en-GB"/>
        </w:rPr>
        <w:t xml:space="preserve"> may employ wavelength division multiplexing (WDM). The </w:t>
      </w:r>
      <w:proofErr w:type="spellStart"/>
      <w:r w:rsidRPr="00A94875">
        <w:rPr>
          <w:rFonts w:asciiTheme="majorBidi" w:hAnsiTheme="majorBidi" w:cstheme="majorBidi"/>
          <w:bCs/>
          <w:lang w:val="en-GB"/>
        </w:rPr>
        <w:t>IrDIs</w:t>
      </w:r>
      <w:proofErr w:type="spellEnd"/>
      <w:r w:rsidRPr="00A94875">
        <w:rPr>
          <w:rFonts w:asciiTheme="majorBidi" w:hAnsiTheme="majorBidi" w:cstheme="majorBidi"/>
          <w:bCs/>
          <w:lang w:val="en-GB"/>
        </w:rPr>
        <w:t xml:space="preserve"> within the optical transport network (OTN) </w:t>
      </w:r>
      <w:proofErr w:type="gramStart"/>
      <w:r w:rsidRPr="00A94875">
        <w:rPr>
          <w:rFonts w:asciiTheme="majorBidi" w:hAnsiTheme="majorBidi" w:cstheme="majorBidi"/>
          <w:bCs/>
          <w:lang w:val="en-GB"/>
        </w:rPr>
        <w:t>are provided</w:t>
      </w:r>
      <w:proofErr w:type="gramEnd"/>
      <w:r w:rsidRPr="00A94875">
        <w:rPr>
          <w:rFonts w:asciiTheme="majorBidi" w:hAnsiTheme="majorBidi" w:cstheme="majorBidi"/>
          <w:bCs/>
          <w:lang w:val="en-GB"/>
        </w:rPr>
        <w:t xml:space="preserve"> by unidirectional, point-to-point, single and multichannel line systems. Their primary purpose is to enable transversely compatible interfaces to span the boundary between two administrative domains. The </w:t>
      </w:r>
      <w:proofErr w:type="spellStart"/>
      <w:r w:rsidRPr="00A94875">
        <w:rPr>
          <w:rFonts w:asciiTheme="majorBidi" w:hAnsiTheme="majorBidi" w:cstheme="majorBidi"/>
          <w:bCs/>
          <w:lang w:val="en-GB"/>
        </w:rPr>
        <w:t>IrDI</w:t>
      </w:r>
      <w:proofErr w:type="spellEnd"/>
      <w:r w:rsidRPr="00A94875">
        <w:rPr>
          <w:rFonts w:asciiTheme="majorBidi" w:hAnsiTheme="majorBidi" w:cstheme="majorBidi"/>
          <w:bCs/>
          <w:lang w:val="en-GB"/>
        </w:rPr>
        <w:t xml:space="preserve"> specifications include intra-office, short-haul and </w:t>
      </w:r>
      <w:proofErr w:type="gramStart"/>
      <w:r w:rsidRPr="00A94875">
        <w:rPr>
          <w:rFonts w:asciiTheme="majorBidi" w:hAnsiTheme="majorBidi" w:cstheme="majorBidi"/>
          <w:bCs/>
          <w:lang w:val="en-GB"/>
        </w:rPr>
        <w:t>long-haul</w:t>
      </w:r>
      <w:proofErr w:type="gramEnd"/>
      <w:r w:rsidRPr="00A94875">
        <w:rPr>
          <w:rFonts w:asciiTheme="majorBidi" w:hAnsiTheme="majorBidi" w:cstheme="majorBidi"/>
          <w:bCs/>
          <w:lang w:val="en-GB"/>
        </w:rPr>
        <w:t xml:space="preserve"> applications, without line amplifiers. This version of this Recommendation includes multichannel interfaces suitable for FOIC2.4 (200G striped across four physical lanes) and FOIC4.8 (400G striped across eight physical lanes).</w:t>
      </w:r>
    </w:p>
    <w:p w14:paraId="76767C7D" w14:textId="49368996"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G.808 (2016) Amd.1 “Terms and definitions for network protection and restoration”</w:t>
      </w:r>
      <w:r w:rsidRPr="00A94875">
        <w:rPr>
          <w:rFonts w:asciiTheme="majorBidi" w:hAnsiTheme="majorBidi" w:cstheme="majorBidi"/>
          <w:bCs/>
          <w:lang w:val="en-GB"/>
        </w:rPr>
        <w:t xml:space="preserve"> provides terms, definitions and abbreviations used in Recommendations that describe network </w:t>
      </w:r>
      <w:r w:rsidRPr="00A94875">
        <w:rPr>
          <w:rFonts w:asciiTheme="majorBidi" w:hAnsiTheme="majorBidi" w:cstheme="majorBidi"/>
          <w:bCs/>
          <w:lang w:val="en-GB"/>
        </w:rPr>
        <w:lastRenderedPageBreak/>
        <w:t xml:space="preserve">protection and restoration. It contains a list of the definitions and abbreviations introduced in Recommendations associated with network protection and restoration. This Recommendation can be considered </w:t>
      </w:r>
      <w:proofErr w:type="gramStart"/>
      <w:r w:rsidRPr="00A94875">
        <w:rPr>
          <w:rFonts w:asciiTheme="majorBidi" w:hAnsiTheme="majorBidi" w:cstheme="majorBidi"/>
          <w:bCs/>
          <w:lang w:val="en-GB"/>
        </w:rPr>
        <w:t>to be a</w:t>
      </w:r>
      <w:proofErr w:type="gramEnd"/>
      <w:r w:rsidRPr="00A94875">
        <w:rPr>
          <w:rFonts w:asciiTheme="majorBidi" w:hAnsiTheme="majorBidi" w:cstheme="majorBidi"/>
          <w:bCs/>
          <w:lang w:val="en-GB"/>
        </w:rPr>
        <w:t xml:space="preserve"> companion to Recommendations ITU T G.870/Y.1352, ITU T G.8001/Y.1354, ITU T G.8081/Y.1353 and ITU T G.8101/Y.1355. The goal of this Recommendation is to be a single normative source for terms in this subject area. Amendment 1 to Recommendation ITU-T G.808 clarifies the terms used to describe the time intervals related to protection switching (clause 3.2.9).</w:t>
      </w:r>
    </w:p>
    <w:p w14:paraId="5C9CB1BE" w14:textId="08A8A49A" w:rsidR="00CF05A5" w:rsidRPr="00A94875" w:rsidRDefault="00CF05A5" w:rsidP="00CF05A5">
      <w:pPr>
        <w:rPr>
          <w:rFonts w:asciiTheme="majorBidi" w:hAnsiTheme="majorBidi" w:cstheme="majorBidi"/>
          <w:bCs/>
          <w:lang w:val="en-GB"/>
        </w:rPr>
      </w:pPr>
      <w:r w:rsidRPr="00A94875">
        <w:rPr>
          <w:rFonts w:asciiTheme="majorBidi" w:hAnsiTheme="majorBidi" w:cstheme="majorBidi"/>
          <w:b/>
          <w:bCs/>
          <w:lang w:val="en-GB"/>
        </w:rPr>
        <w:t>ITU-T G.8251 (revised) The control of jitter and wander within the optical transport network (OTN)”</w:t>
      </w:r>
      <w:r w:rsidRPr="00A94875">
        <w:rPr>
          <w:rFonts w:asciiTheme="majorBidi" w:hAnsiTheme="majorBidi" w:cstheme="majorBidi"/>
          <w:bCs/>
          <w:lang w:val="en-GB"/>
        </w:rPr>
        <w:t xml:space="preserve"> (under approval) specifies the maximum network limits of jitter and wander that shall not be exceeded and the minimum equipment tolerance to jitter and wander that shall be provided at any relevant interfaces which are based on the optical transport network (OTN).</w:t>
      </w:r>
    </w:p>
    <w:p w14:paraId="4C492C83" w14:textId="025BB1C6" w:rsidR="00CF05A5" w:rsidRPr="00A94875" w:rsidRDefault="00CF05A5" w:rsidP="00CF05A5">
      <w:pPr>
        <w:rPr>
          <w:rFonts w:asciiTheme="majorBidi" w:hAnsiTheme="majorBidi" w:cstheme="majorBidi"/>
          <w:b/>
          <w:bCs/>
          <w:lang w:val="en-GB"/>
        </w:rPr>
      </w:pPr>
      <w:r w:rsidRPr="00A94875">
        <w:rPr>
          <w:rFonts w:asciiTheme="majorBidi" w:hAnsiTheme="majorBidi" w:cstheme="majorBidi"/>
          <w:bCs/>
          <w:lang w:val="en-GB"/>
        </w:rPr>
        <w:t>The requirements for the jitter and wander characteristics that are specified in this Recommendation must be adhered to in order to ensure interoperability of equipment produced by different manufacturers and a satisfactory network performance.</w:t>
      </w:r>
    </w:p>
    <w:p w14:paraId="3A92C4EA" w14:textId="77777777" w:rsidR="006944F8" w:rsidRPr="00A94875" w:rsidRDefault="006944F8" w:rsidP="006944F8">
      <w:pPr>
        <w:spacing w:before="240"/>
        <w:rPr>
          <w:b/>
          <w:sz w:val="22"/>
          <w:szCs w:val="22"/>
          <w:lang w:val="en-GB"/>
        </w:rPr>
      </w:pPr>
      <w:bookmarkStart w:id="219" w:name="_Toc480527889"/>
      <w:r w:rsidRPr="00A94875">
        <w:rPr>
          <w:b/>
          <w:sz w:val="22"/>
          <w:szCs w:val="22"/>
          <w:lang w:val="en-GB"/>
        </w:rPr>
        <w:t>I.1.6</w:t>
      </w:r>
      <w:r w:rsidRPr="00A94875">
        <w:rPr>
          <w:b/>
          <w:sz w:val="22"/>
          <w:szCs w:val="22"/>
          <w:lang w:val="en-GB"/>
        </w:rPr>
        <w:tab/>
        <w:t>Transport network control aspects</w:t>
      </w:r>
      <w:bookmarkEnd w:id="219"/>
    </w:p>
    <w:p w14:paraId="2B992870"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G.7701 (2016) Amd.1 “Common control aspects - Amendment 1”</w:t>
      </w:r>
      <w:r w:rsidRPr="00A94875">
        <w:rPr>
          <w:rFonts w:asciiTheme="majorBidi" w:hAnsiTheme="majorBidi" w:cstheme="majorBidi"/>
          <w:bCs/>
          <w:lang w:val="en-GB"/>
        </w:rPr>
        <w:t xml:space="preserve"> describes concepts that are common to both software defined networking (SDN) controller and automatically switched optical network (ASON) control approaches, including common aspects of the interaction between the control functions, management functions and transport resources.</w:t>
      </w:r>
    </w:p>
    <w:p w14:paraId="2DB12BF4" w14:textId="77777777" w:rsidR="006944F8" w:rsidRPr="00A94875" w:rsidRDefault="006944F8" w:rsidP="006944F8">
      <w:pPr>
        <w:rPr>
          <w:rFonts w:asciiTheme="majorBidi" w:hAnsiTheme="majorBidi" w:cstheme="majorBidi"/>
          <w:b/>
          <w:bCs/>
          <w:lang w:val="en-GB"/>
        </w:rPr>
      </w:pPr>
      <w:r w:rsidRPr="00A94875">
        <w:rPr>
          <w:rFonts w:asciiTheme="majorBidi" w:hAnsiTheme="majorBidi" w:cstheme="majorBidi"/>
          <w:b/>
          <w:bCs/>
          <w:lang w:val="en-GB"/>
        </w:rPr>
        <w:t>ITU-T G.7702 “Architecture for SDN control of transport networks”</w:t>
      </w:r>
      <w:r w:rsidRPr="00A94875">
        <w:rPr>
          <w:rFonts w:asciiTheme="majorBidi" w:hAnsiTheme="majorBidi" w:cstheme="majorBidi"/>
          <w:bCs/>
          <w:lang w:val="en-GB"/>
        </w:rPr>
        <w:t xml:space="preserve"> describes the reference architecture for Software Defined Networking (SDN) control of transport networks applicable to both connection-oriented circuit and/or packet transport networks. This architecture </w:t>
      </w:r>
      <w:proofErr w:type="gramStart"/>
      <w:r w:rsidRPr="00A94875">
        <w:rPr>
          <w:rFonts w:asciiTheme="majorBidi" w:hAnsiTheme="majorBidi" w:cstheme="majorBidi"/>
          <w:bCs/>
          <w:lang w:val="en-GB"/>
        </w:rPr>
        <w:t>is described</w:t>
      </w:r>
      <w:proofErr w:type="gramEnd"/>
      <w:r w:rsidRPr="00A94875">
        <w:rPr>
          <w:rFonts w:asciiTheme="majorBidi" w:hAnsiTheme="majorBidi" w:cstheme="majorBidi"/>
          <w:bCs/>
          <w:lang w:val="en-GB"/>
        </w:rPr>
        <w:t xml:space="preserve"> in terms of abstract components and interfaces that represent logical functions (abstract entities versus physical implementations).</w:t>
      </w:r>
    </w:p>
    <w:p w14:paraId="00EFEC43" w14:textId="77777777" w:rsidR="006944F8" w:rsidRPr="00A94875" w:rsidRDefault="006944F8" w:rsidP="006944F8">
      <w:pPr>
        <w:rPr>
          <w:rFonts w:asciiTheme="majorBidi" w:hAnsiTheme="majorBidi" w:cstheme="majorBidi"/>
          <w:b/>
          <w:bCs/>
          <w:lang w:val="en-GB"/>
        </w:rPr>
      </w:pPr>
      <w:r w:rsidRPr="00A94875">
        <w:rPr>
          <w:rFonts w:asciiTheme="majorBidi" w:hAnsiTheme="majorBidi" w:cstheme="majorBidi"/>
          <w:b/>
          <w:bCs/>
          <w:lang w:val="en-GB"/>
        </w:rPr>
        <w:t>ITU-T G.7711 (revised) “Generic protocol-neutral management Information Model for Transport Resources”</w:t>
      </w:r>
      <w:r w:rsidRPr="00A94875">
        <w:rPr>
          <w:rFonts w:asciiTheme="majorBidi" w:hAnsiTheme="majorBidi" w:cstheme="majorBidi"/>
          <w:bCs/>
          <w:lang w:val="en-GB"/>
        </w:rPr>
        <w:t xml:space="preserve"> specifies a core information model (IM) of transport resources. The IM is applicable to the management and control of transport networks regardless of whether they utilize traditional operation support system (OSS) management, an automatically switched optical network (ASON) control plane or a software-defined networking (SDN) controller to configure transport connectivity. The model is also applicable regardless of the technology of the underlying transport network. Furthermore, the applicability of the IM is independent of the ultimate protocols that </w:t>
      </w:r>
      <w:proofErr w:type="gramStart"/>
      <w:r w:rsidRPr="00A94875">
        <w:rPr>
          <w:rFonts w:asciiTheme="majorBidi" w:hAnsiTheme="majorBidi" w:cstheme="majorBidi"/>
          <w:bCs/>
          <w:lang w:val="en-GB"/>
        </w:rPr>
        <w:t>will be used</w:t>
      </w:r>
      <w:proofErr w:type="gramEnd"/>
      <w:r w:rsidRPr="00A94875">
        <w:rPr>
          <w:rFonts w:asciiTheme="majorBidi" w:hAnsiTheme="majorBidi" w:cstheme="majorBidi"/>
          <w:bCs/>
          <w:lang w:val="en-GB"/>
        </w:rPr>
        <w:t xml:space="preserve"> in the management and control interfaces.</w:t>
      </w:r>
    </w:p>
    <w:p w14:paraId="0F4777CC"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Cs/>
          <w:lang w:val="en-GB"/>
        </w:rPr>
        <w:t xml:space="preserve">The 2016 edition of this Recommendation has changed the document structure, added an «experimental» address structure to the foundation model, changed the name of </w:t>
      </w:r>
      <w:proofErr w:type="spellStart"/>
      <w:r w:rsidRPr="00A94875">
        <w:rPr>
          <w:rFonts w:asciiTheme="majorBidi" w:hAnsiTheme="majorBidi" w:cstheme="majorBidi"/>
          <w:bCs/>
          <w:lang w:val="en-GB"/>
        </w:rPr>
        <w:t>TopologicalEntity</w:t>
      </w:r>
      <w:proofErr w:type="spellEnd"/>
      <w:r w:rsidRPr="00A94875">
        <w:rPr>
          <w:rFonts w:asciiTheme="majorBidi" w:hAnsiTheme="majorBidi" w:cstheme="majorBidi"/>
          <w:bCs/>
          <w:lang w:val="en-GB"/>
        </w:rPr>
        <w:t xml:space="preserve"> to </w:t>
      </w:r>
      <w:proofErr w:type="spellStart"/>
      <w:r w:rsidRPr="00A94875">
        <w:rPr>
          <w:rFonts w:asciiTheme="majorBidi" w:hAnsiTheme="majorBidi" w:cstheme="majorBidi"/>
          <w:bCs/>
          <w:lang w:val="en-GB"/>
        </w:rPr>
        <w:t>ForwardingEntity</w:t>
      </w:r>
      <w:proofErr w:type="spellEnd"/>
      <w:r w:rsidRPr="00A94875">
        <w:rPr>
          <w:rFonts w:asciiTheme="majorBidi" w:hAnsiTheme="majorBidi" w:cstheme="majorBidi"/>
          <w:bCs/>
          <w:lang w:val="en-GB"/>
        </w:rPr>
        <w:t xml:space="preserve">, incorporated </w:t>
      </w:r>
      <w:proofErr w:type="spellStart"/>
      <w:r w:rsidRPr="00A94875">
        <w:rPr>
          <w:rFonts w:asciiTheme="majorBidi" w:hAnsiTheme="majorBidi" w:cstheme="majorBidi"/>
          <w:bCs/>
          <w:lang w:val="en-GB"/>
        </w:rPr>
        <w:t>ForwardingConstruct</w:t>
      </w:r>
      <w:proofErr w:type="spellEnd"/>
      <w:r w:rsidRPr="00A94875">
        <w:rPr>
          <w:rFonts w:asciiTheme="majorBidi" w:hAnsiTheme="majorBidi" w:cstheme="majorBidi"/>
          <w:bCs/>
          <w:lang w:val="en-GB"/>
        </w:rPr>
        <w:t xml:space="preserve"> (FC) under </w:t>
      </w:r>
      <w:proofErr w:type="spellStart"/>
      <w:r w:rsidRPr="00A94875">
        <w:rPr>
          <w:rFonts w:asciiTheme="majorBidi" w:hAnsiTheme="majorBidi" w:cstheme="majorBidi"/>
          <w:bCs/>
          <w:lang w:val="en-GB"/>
        </w:rPr>
        <w:t>ForwardingEntity</w:t>
      </w:r>
      <w:proofErr w:type="spellEnd"/>
      <w:r w:rsidRPr="00A94875">
        <w:rPr>
          <w:rFonts w:asciiTheme="majorBidi" w:hAnsiTheme="majorBidi" w:cstheme="majorBidi"/>
          <w:bCs/>
          <w:lang w:val="en-GB"/>
        </w:rPr>
        <w:t xml:space="preserve"> and considers FC as closely related to topology, added the resilience model, added the equipment model and added the Specification model.</w:t>
      </w:r>
    </w:p>
    <w:p w14:paraId="43CB7C17"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Cs/>
          <w:lang w:val="en-GB"/>
        </w:rPr>
        <w:t xml:space="preserve">The 2018 edition of this Recommendation has enhanced the Forwarding &amp; Termination, Foundation, Topology, </w:t>
      </w:r>
      <w:proofErr w:type="spellStart"/>
      <w:r w:rsidRPr="00A94875">
        <w:rPr>
          <w:rFonts w:asciiTheme="majorBidi" w:hAnsiTheme="majorBidi" w:cstheme="majorBidi"/>
          <w:bCs/>
          <w:lang w:val="en-GB"/>
        </w:rPr>
        <w:t>Resilence</w:t>
      </w:r>
      <w:proofErr w:type="spellEnd"/>
      <w:r w:rsidRPr="00A94875">
        <w:rPr>
          <w:rFonts w:asciiTheme="majorBidi" w:hAnsiTheme="majorBidi" w:cstheme="majorBidi"/>
          <w:bCs/>
          <w:lang w:val="en-GB"/>
        </w:rPr>
        <w:t xml:space="preserve">, Equipment, and Specification models, and added the Control, Operations Pattern, Processing Construct, Constraint Domain models, </w:t>
      </w:r>
      <w:proofErr w:type="gramStart"/>
      <w:r w:rsidRPr="00A94875">
        <w:rPr>
          <w:rFonts w:asciiTheme="majorBidi" w:hAnsiTheme="majorBidi" w:cstheme="majorBidi"/>
          <w:bCs/>
          <w:lang w:val="en-GB"/>
        </w:rPr>
        <w:t>and also</w:t>
      </w:r>
      <w:proofErr w:type="gramEnd"/>
      <w:r w:rsidRPr="00A94875">
        <w:rPr>
          <w:rFonts w:asciiTheme="majorBidi" w:hAnsiTheme="majorBidi" w:cstheme="majorBidi"/>
          <w:bCs/>
          <w:lang w:val="en-GB"/>
        </w:rPr>
        <w:t xml:space="preserve"> updated the model description Appendixes. Appendix IV.6 “Synchronization management model” and IV.7 “Media management model” have been remove from this edition as they are being covered by separate Recommendations.</w:t>
      </w:r>
    </w:p>
    <w:p w14:paraId="61DAD6BF" w14:textId="77777777" w:rsidR="00434A8E" w:rsidRPr="00A94875" w:rsidRDefault="00434A8E" w:rsidP="00434A8E">
      <w:pPr>
        <w:spacing w:after="120"/>
        <w:rPr>
          <w:rFonts w:asciiTheme="majorBidi" w:hAnsiTheme="majorBidi" w:cstheme="majorBidi"/>
          <w:bCs/>
          <w:lang w:val="en-GB" w:eastAsia="ko-KR"/>
        </w:rPr>
      </w:pPr>
      <w:r w:rsidRPr="00A94875">
        <w:rPr>
          <w:rFonts w:asciiTheme="majorBidi" w:hAnsiTheme="majorBidi" w:cstheme="majorBidi"/>
          <w:b/>
          <w:bCs/>
          <w:lang w:val="en-GB" w:eastAsia="ko-KR"/>
        </w:rPr>
        <w:t>ITU-T G.875 (revised) “Optical transport network: Protocol-neutral management information model for the network element view”</w:t>
      </w:r>
      <w:r w:rsidRPr="00A94875">
        <w:rPr>
          <w:rFonts w:asciiTheme="majorBidi" w:hAnsiTheme="majorBidi" w:cstheme="majorBidi"/>
          <w:bCs/>
          <w:lang w:val="en-GB" w:eastAsia="ko-KR"/>
        </w:rPr>
        <w:t xml:space="preserve"> (under approval) provides a protocol-neutral management information model for managing network elements in the optical transport network (OTN). The model contains the managed entities and their properties that are useful to describe the information exchanged across interfaces defined in the ITU-T M.3010 telecommunications </w:t>
      </w:r>
      <w:r w:rsidRPr="00A94875">
        <w:rPr>
          <w:rFonts w:asciiTheme="majorBidi" w:hAnsiTheme="majorBidi" w:cstheme="majorBidi"/>
          <w:bCs/>
          <w:lang w:val="en-GB" w:eastAsia="ko-KR"/>
        </w:rPr>
        <w:lastRenderedPageBreak/>
        <w:t xml:space="preserve">management network (TMN) architecture. The protocol-neutral management information model </w:t>
      </w:r>
      <w:proofErr w:type="gramStart"/>
      <w:r w:rsidRPr="00A94875">
        <w:rPr>
          <w:rFonts w:asciiTheme="majorBidi" w:hAnsiTheme="majorBidi" w:cstheme="majorBidi"/>
          <w:bCs/>
          <w:lang w:val="en-GB" w:eastAsia="ko-KR"/>
        </w:rPr>
        <w:t>shall be used</w:t>
      </w:r>
      <w:proofErr w:type="gramEnd"/>
      <w:r w:rsidRPr="00A94875">
        <w:rPr>
          <w:rFonts w:asciiTheme="majorBidi" w:hAnsiTheme="majorBidi" w:cstheme="majorBidi"/>
          <w:bCs/>
          <w:lang w:val="en-GB" w:eastAsia="ko-KR"/>
        </w:rPr>
        <w:t xml:space="preserve"> as the base for defining protocol-specific management information models, for example, common management information service element (CMISE), common object request broker architecture (CORBA) and simple network management protocol (SNMP) information models. Mapping from the protocol-neutral entities into protocol-specific objects is a decision of the specific protocol modelling design and </w:t>
      </w:r>
      <w:proofErr w:type="gramStart"/>
      <w:r w:rsidRPr="00A94875">
        <w:rPr>
          <w:rFonts w:asciiTheme="majorBidi" w:hAnsiTheme="majorBidi" w:cstheme="majorBidi"/>
          <w:bCs/>
          <w:lang w:val="en-GB" w:eastAsia="ko-KR"/>
        </w:rPr>
        <w:t>should be described</w:t>
      </w:r>
      <w:proofErr w:type="gramEnd"/>
      <w:r w:rsidRPr="00A94875">
        <w:rPr>
          <w:rFonts w:asciiTheme="majorBidi" w:hAnsiTheme="majorBidi" w:cstheme="majorBidi"/>
          <w:bCs/>
          <w:lang w:val="en-GB" w:eastAsia="ko-KR"/>
        </w:rPr>
        <w:t xml:space="preserve"> in the protocol-specific information model Recommendations.</w:t>
      </w:r>
    </w:p>
    <w:p w14:paraId="236D5473" w14:textId="77777777" w:rsidR="00434A8E" w:rsidRPr="00A94875" w:rsidRDefault="00434A8E" w:rsidP="00434A8E">
      <w:pPr>
        <w:spacing w:after="120"/>
        <w:rPr>
          <w:rFonts w:asciiTheme="majorBidi" w:hAnsiTheme="majorBidi" w:cstheme="majorBidi"/>
          <w:bCs/>
          <w:lang w:val="en-GB" w:eastAsia="ko-KR"/>
        </w:rPr>
      </w:pPr>
      <w:r w:rsidRPr="00A94875">
        <w:rPr>
          <w:rFonts w:asciiTheme="majorBidi" w:hAnsiTheme="majorBidi" w:cstheme="majorBidi"/>
          <w:bCs/>
          <w:lang w:val="en-GB" w:eastAsia="ko-KR"/>
        </w:rPr>
        <w:t xml:space="preserve">The 2012 revision of this Recommendation updated the management information model to support the management of the new transport functions that were introduced in the 2010 revision of Recommendation ITU-T G.798 </w:t>
      </w:r>
      <w:proofErr w:type="gramStart"/>
      <w:r w:rsidRPr="00A94875">
        <w:rPr>
          <w:rFonts w:asciiTheme="majorBidi" w:hAnsiTheme="majorBidi" w:cstheme="majorBidi"/>
          <w:bCs/>
          <w:lang w:val="en-GB" w:eastAsia="ko-KR"/>
        </w:rPr>
        <w:t>and also</w:t>
      </w:r>
      <w:proofErr w:type="gramEnd"/>
      <w:r w:rsidRPr="00A94875">
        <w:rPr>
          <w:rFonts w:asciiTheme="majorBidi" w:hAnsiTheme="majorBidi" w:cstheme="majorBidi"/>
          <w:bCs/>
          <w:lang w:val="en-GB" w:eastAsia="ko-KR"/>
        </w:rPr>
        <w:t xml:space="preserve"> to support the management requirements enhancement introduced in the 2010 revision of Recommendation ITU-T G.874.</w:t>
      </w:r>
    </w:p>
    <w:p w14:paraId="344D8B4E" w14:textId="77777777" w:rsidR="00434A8E" w:rsidRPr="00A94875" w:rsidRDefault="00434A8E" w:rsidP="00434A8E">
      <w:pPr>
        <w:spacing w:after="120"/>
        <w:rPr>
          <w:rFonts w:asciiTheme="majorBidi" w:hAnsiTheme="majorBidi" w:cstheme="majorBidi"/>
          <w:bCs/>
          <w:lang w:val="en-GB" w:eastAsia="ko-KR"/>
        </w:rPr>
      </w:pPr>
      <w:r w:rsidRPr="00A94875">
        <w:rPr>
          <w:rFonts w:asciiTheme="majorBidi" w:hAnsiTheme="majorBidi" w:cstheme="majorBidi"/>
          <w:bCs/>
          <w:lang w:val="en-GB" w:eastAsia="ko-KR"/>
        </w:rPr>
        <w:t>Amendment 1 enhanced the model to cover delay measurement (DM), automatic protection switching (APS) configuration, tributary slot configuration, and optical data channel data (ODU) type and rate configuration, and to remove the counting of incoming alignment errors (IAEs) and backward incoming alignment errors (BIAEs).</w:t>
      </w:r>
    </w:p>
    <w:p w14:paraId="1DE60CC6" w14:textId="77777777" w:rsidR="00434A8E" w:rsidRPr="00A94875" w:rsidRDefault="00434A8E" w:rsidP="00434A8E">
      <w:pPr>
        <w:spacing w:after="120"/>
        <w:rPr>
          <w:rFonts w:asciiTheme="majorBidi" w:hAnsiTheme="majorBidi" w:cstheme="majorBidi"/>
          <w:bCs/>
          <w:lang w:val="en-GB" w:eastAsia="ko-KR"/>
        </w:rPr>
      </w:pPr>
      <w:r w:rsidRPr="00A94875">
        <w:rPr>
          <w:rFonts w:asciiTheme="majorBidi" w:hAnsiTheme="majorBidi" w:cstheme="majorBidi"/>
          <w:bCs/>
          <w:lang w:val="en-GB" w:eastAsia="ko-KR"/>
        </w:rPr>
        <w:t xml:space="preserve">Amendment 2 added: (1) the use of an organizationally unique identifier (OUI) to the description of the attributes </w:t>
      </w:r>
      <w:proofErr w:type="spellStart"/>
      <w:r w:rsidRPr="00A94875">
        <w:rPr>
          <w:rFonts w:asciiTheme="majorBidi" w:hAnsiTheme="majorBidi" w:cstheme="majorBidi"/>
          <w:bCs/>
          <w:lang w:val="en-GB" w:eastAsia="ko-KR"/>
        </w:rPr>
        <w:t>selectedApplicationIdentifier</w:t>
      </w:r>
      <w:proofErr w:type="spellEnd"/>
      <w:r w:rsidRPr="00A94875">
        <w:rPr>
          <w:rFonts w:asciiTheme="majorBidi" w:hAnsiTheme="majorBidi" w:cstheme="majorBidi"/>
          <w:bCs/>
          <w:lang w:val="en-GB" w:eastAsia="ko-KR"/>
        </w:rPr>
        <w:t xml:space="preserve"> and </w:t>
      </w:r>
      <w:proofErr w:type="spellStart"/>
      <w:r w:rsidRPr="00A94875">
        <w:rPr>
          <w:rFonts w:asciiTheme="majorBidi" w:hAnsiTheme="majorBidi" w:cstheme="majorBidi"/>
          <w:bCs/>
          <w:lang w:val="en-GB" w:eastAsia="ko-KR"/>
        </w:rPr>
        <w:t>supportableApplicationIdentifierList</w:t>
      </w:r>
      <w:proofErr w:type="spellEnd"/>
      <w:r w:rsidRPr="00A94875">
        <w:rPr>
          <w:rFonts w:asciiTheme="majorBidi" w:hAnsiTheme="majorBidi" w:cstheme="majorBidi"/>
          <w:bCs/>
          <w:lang w:val="en-GB" w:eastAsia="ko-KR"/>
        </w:rPr>
        <w:t>; and (2) sub-classes the OTN Current Data and History Data object classes from the ITU-T Q.822 Current Data and History Data object classes.</w:t>
      </w:r>
    </w:p>
    <w:p w14:paraId="1D84CED0" w14:textId="77777777" w:rsidR="00434A8E" w:rsidRPr="00A94875" w:rsidRDefault="00434A8E" w:rsidP="00434A8E">
      <w:pPr>
        <w:spacing w:after="120"/>
        <w:rPr>
          <w:rFonts w:asciiTheme="majorBidi" w:hAnsiTheme="majorBidi" w:cstheme="majorBidi"/>
          <w:bCs/>
          <w:lang w:val="en-GB" w:eastAsia="ko-KR"/>
        </w:rPr>
      </w:pPr>
      <w:proofErr w:type="gramStart"/>
      <w:r w:rsidRPr="00A94875">
        <w:rPr>
          <w:rFonts w:asciiTheme="majorBidi" w:hAnsiTheme="majorBidi" w:cstheme="majorBidi"/>
          <w:bCs/>
          <w:lang w:val="en-GB" w:eastAsia="ko-KR"/>
        </w:rPr>
        <w:t xml:space="preserve">The 2016 revision of this Recommendation has incorporated Amendment 1 and Amendment 2, and in addition the following updates: (1) changes the UML </w:t>
      </w:r>
      <w:proofErr w:type="spellStart"/>
      <w:r w:rsidRPr="00A94875">
        <w:rPr>
          <w:rFonts w:asciiTheme="majorBidi" w:hAnsiTheme="majorBidi" w:cstheme="majorBidi"/>
          <w:bCs/>
          <w:lang w:val="en-GB" w:eastAsia="ko-KR"/>
        </w:rPr>
        <w:t>modeling</w:t>
      </w:r>
      <w:proofErr w:type="spellEnd"/>
      <w:r w:rsidRPr="00A94875">
        <w:rPr>
          <w:rFonts w:asciiTheme="majorBidi" w:hAnsiTheme="majorBidi" w:cstheme="majorBidi"/>
          <w:bCs/>
          <w:lang w:val="en-GB" w:eastAsia="ko-KR"/>
        </w:rPr>
        <w:t xml:space="preserve"> tool from RSA to open source Papyrus tool; (2) updates the ITU-T G.874.1 information model to align with the ITU-T G.7711 v2.0 Core information model; (3) drops </w:t>
      </w:r>
      <w:proofErr w:type="spellStart"/>
      <w:r w:rsidRPr="00A94875">
        <w:rPr>
          <w:rFonts w:asciiTheme="majorBidi" w:hAnsiTheme="majorBidi" w:cstheme="majorBidi"/>
          <w:bCs/>
          <w:lang w:val="en-GB" w:eastAsia="ko-KR"/>
        </w:rPr>
        <w:t>subclassing</w:t>
      </w:r>
      <w:proofErr w:type="spellEnd"/>
      <w:r w:rsidRPr="00A94875">
        <w:rPr>
          <w:rFonts w:asciiTheme="majorBidi" w:hAnsiTheme="majorBidi" w:cstheme="majorBidi"/>
          <w:bCs/>
          <w:lang w:val="en-GB" w:eastAsia="ko-KR"/>
        </w:rPr>
        <w:t xml:space="preserve"> the TP classes from ITU-T M.3160; and (4) supports the additional management requirements in Recommendation ITU-T G.874.</w:t>
      </w:r>
      <w:proofErr w:type="gramEnd"/>
    </w:p>
    <w:p w14:paraId="0AFED4F6" w14:textId="77777777" w:rsidR="00434A8E" w:rsidRPr="00A94875" w:rsidRDefault="00434A8E" w:rsidP="00434A8E">
      <w:pPr>
        <w:spacing w:after="120"/>
        <w:rPr>
          <w:rFonts w:asciiTheme="majorBidi" w:hAnsiTheme="majorBidi" w:cstheme="majorBidi"/>
          <w:bCs/>
          <w:lang w:val="en-GB" w:eastAsia="ko-KR"/>
        </w:rPr>
      </w:pPr>
      <w:r w:rsidRPr="00A94875">
        <w:rPr>
          <w:rFonts w:asciiTheme="majorBidi" w:hAnsiTheme="majorBidi" w:cstheme="majorBidi"/>
          <w:bCs/>
          <w:lang w:val="en-GB" w:eastAsia="ko-KR"/>
        </w:rPr>
        <w:t xml:space="preserve">The 2018 revision of this Recommendation up-versions the UML model tool to Papyrus v3.2.0 and the profile to v0.2.13, updates the object class mapping figures to align with G.798, updates the model for ODU, OTU, </w:t>
      </w:r>
      <w:proofErr w:type="spellStart"/>
      <w:r w:rsidRPr="00A94875">
        <w:rPr>
          <w:rFonts w:asciiTheme="majorBidi" w:hAnsiTheme="majorBidi" w:cstheme="majorBidi"/>
          <w:bCs/>
          <w:lang w:val="en-GB" w:eastAsia="ko-KR"/>
        </w:rPr>
        <w:t>FlexO</w:t>
      </w:r>
      <w:proofErr w:type="spellEnd"/>
      <w:r w:rsidRPr="00A94875">
        <w:rPr>
          <w:rFonts w:asciiTheme="majorBidi" w:hAnsiTheme="majorBidi" w:cstheme="majorBidi"/>
          <w:bCs/>
          <w:lang w:val="en-GB" w:eastAsia="ko-KR"/>
        </w:rPr>
        <w:t xml:space="preserve">, </w:t>
      </w:r>
      <w:proofErr w:type="spellStart"/>
      <w:r w:rsidRPr="00A94875">
        <w:rPr>
          <w:rFonts w:asciiTheme="majorBidi" w:hAnsiTheme="majorBidi" w:cstheme="majorBidi"/>
          <w:bCs/>
          <w:lang w:val="en-GB" w:eastAsia="ko-KR"/>
        </w:rPr>
        <w:t>OTSiG</w:t>
      </w:r>
      <w:proofErr w:type="spellEnd"/>
      <w:r w:rsidRPr="00A94875">
        <w:rPr>
          <w:rFonts w:asciiTheme="majorBidi" w:hAnsiTheme="majorBidi" w:cstheme="majorBidi"/>
          <w:bCs/>
          <w:lang w:val="en-GB" w:eastAsia="ko-KR"/>
        </w:rPr>
        <w:t xml:space="preserve">-O, </w:t>
      </w:r>
      <w:proofErr w:type="spellStart"/>
      <w:r w:rsidRPr="00A94875">
        <w:rPr>
          <w:rFonts w:asciiTheme="majorBidi" w:hAnsiTheme="majorBidi" w:cstheme="majorBidi"/>
          <w:bCs/>
          <w:lang w:val="en-GB" w:eastAsia="ko-KR"/>
        </w:rPr>
        <w:t>OCh</w:t>
      </w:r>
      <w:proofErr w:type="spellEnd"/>
      <w:r w:rsidRPr="00A94875">
        <w:rPr>
          <w:rFonts w:asciiTheme="majorBidi" w:hAnsiTheme="majorBidi" w:cstheme="majorBidi"/>
          <w:bCs/>
          <w:lang w:val="en-GB" w:eastAsia="ko-KR"/>
        </w:rPr>
        <w:t>-O, OMS-O, &amp; OTS-O, and adds Annex A for OTN Spec Model.</w:t>
      </w:r>
    </w:p>
    <w:p w14:paraId="70645F6C" w14:textId="77777777" w:rsidR="006944F8" w:rsidRPr="00A94875" w:rsidRDefault="006944F8" w:rsidP="006944F8">
      <w:pPr>
        <w:spacing w:after="120"/>
        <w:rPr>
          <w:rFonts w:asciiTheme="majorBidi" w:hAnsiTheme="majorBidi" w:cstheme="majorBidi"/>
          <w:bCs/>
          <w:lang w:val="en-GB" w:eastAsia="ko-KR"/>
        </w:rPr>
      </w:pPr>
      <w:r w:rsidRPr="00A94875">
        <w:rPr>
          <w:rFonts w:asciiTheme="majorBidi" w:hAnsiTheme="majorBidi" w:cstheme="majorBidi"/>
          <w:b/>
          <w:bCs/>
          <w:lang w:val="en-GB" w:eastAsia="ko-KR"/>
        </w:rPr>
        <w:t xml:space="preserve">ITU-T G.8051/Y.1345 (revised) “Management aspects of the Ethernet Transport (ET) capable network element” </w:t>
      </w:r>
      <w:r w:rsidRPr="00A94875">
        <w:rPr>
          <w:rFonts w:asciiTheme="majorBidi" w:hAnsiTheme="majorBidi" w:cstheme="majorBidi"/>
          <w:bCs/>
          <w:lang w:val="en-GB" w:eastAsia="ko-KR"/>
        </w:rPr>
        <w:t xml:space="preserve">addresses management aspects of the Ethernet transport network element containing transport functions of one or more of the layer networks of the Ethernet transport network. The management of the Ethernet layer networks is separable from that of its client layer networks so that the same means of management </w:t>
      </w:r>
      <w:proofErr w:type="gramStart"/>
      <w:r w:rsidRPr="00A94875">
        <w:rPr>
          <w:rFonts w:asciiTheme="majorBidi" w:hAnsiTheme="majorBidi" w:cstheme="majorBidi"/>
          <w:bCs/>
          <w:lang w:val="en-GB" w:eastAsia="ko-KR"/>
        </w:rPr>
        <w:t>can be used</w:t>
      </w:r>
      <w:proofErr w:type="gramEnd"/>
      <w:r w:rsidRPr="00A94875">
        <w:rPr>
          <w:rFonts w:asciiTheme="majorBidi" w:hAnsiTheme="majorBidi" w:cstheme="majorBidi"/>
          <w:bCs/>
          <w:lang w:val="en-GB" w:eastAsia="ko-KR"/>
        </w:rPr>
        <w:t xml:space="preserve"> regardless of the client. The management functions for fault management, configuration management, performance monitoring, and security management </w:t>
      </w:r>
      <w:proofErr w:type="gramStart"/>
      <w:r w:rsidRPr="00A94875">
        <w:rPr>
          <w:rFonts w:asciiTheme="majorBidi" w:hAnsiTheme="majorBidi" w:cstheme="majorBidi"/>
          <w:bCs/>
          <w:lang w:val="en-GB" w:eastAsia="ko-KR"/>
        </w:rPr>
        <w:t>are specified</w:t>
      </w:r>
      <w:proofErr w:type="gramEnd"/>
      <w:r w:rsidRPr="00A94875">
        <w:rPr>
          <w:rFonts w:asciiTheme="majorBidi" w:hAnsiTheme="majorBidi" w:cstheme="majorBidi"/>
          <w:bCs/>
          <w:lang w:val="en-GB" w:eastAsia="ko-KR"/>
        </w:rPr>
        <w:t>.</w:t>
      </w:r>
    </w:p>
    <w:p w14:paraId="55ADAB51" w14:textId="77777777" w:rsidR="006944F8" w:rsidRPr="00A94875" w:rsidRDefault="006944F8" w:rsidP="006944F8">
      <w:pPr>
        <w:spacing w:after="120"/>
        <w:rPr>
          <w:rFonts w:asciiTheme="majorBidi" w:hAnsiTheme="majorBidi" w:cstheme="majorBidi"/>
          <w:bCs/>
          <w:lang w:val="en-GB" w:eastAsia="ko-KR"/>
        </w:rPr>
      </w:pPr>
      <w:r w:rsidRPr="00A94875">
        <w:rPr>
          <w:rFonts w:asciiTheme="majorBidi" w:hAnsiTheme="majorBidi" w:cstheme="majorBidi"/>
          <w:bCs/>
          <w:lang w:val="en-GB" w:eastAsia="ko-KR"/>
        </w:rPr>
        <w:t xml:space="preserve">The 2009 Revision of this Recommendation has added the management of additional transport functions that </w:t>
      </w:r>
      <w:proofErr w:type="gramStart"/>
      <w:r w:rsidRPr="00A94875">
        <w:rPr>
          <w:rFonts w:asciiTheme="majorBidi" w:hAnsiTheme="majorBidi" w:cstheme="majorBidi"/>
          <w:bCs/>
          <w:lang w:val="en-GB" w:eastAsia="ko-KR"/>
        </w:rPr>
        <w:t>have been introduced</w:t>
      </w:r>
      <w:proofErr w:type="gramEnd"/>
      <w:r w:rsidRPr="00A94875">
        <w:rPr>
          <w:rFonts w:asciiTheme="majorBidi" w:hAnsiTheme="majorBidi" w:cstheme="majorBidi"/>
          <w:bCs/>
          <w:lang w:val="en-GB" w:eastAsia="ko-KR"/>
        </w:rPr>
        <w:t xml:space="preserve"> in the 2009 Revision of Recommendation ITU T G.8021/Y.1341.</w:t>
      </w:r>
    </w:p>
    <w:p w14:paraId="029230A6" w14:textId="77777777" w:rsidR="006944F8" w:rsidRPr="00A94875" w:rsidRDefault="006944F8" w:rsidP="006944F8">
      <w:pPr>
        <w:spacing w:after="120"/>
        <w:rPr>
          <w:rFonts w:asciiTheme="majorBidi" w:hAnsiTheme="majorBidi" w:cstheme="majorBidi"/>
          <w:bCs/>
          <w:lang w:val="en-GB" w:eastAsia="ko-KR"/>
        </w:rPr>
      </w:pPr>
      <w:proofErr w:type="gramStart"/>
      <w:r w:rsidRPr="00A94875">
        <w:rPr>
          <w:rFonts w:asciiTheme="majorBidi" w:hAnsiTheme="majorBidi" w:cstheme="majorBidi"/>
          <w:bCs/>
          <w:lang w:val="en-GB" w:eastAsia="ko-KR"/>
        </w:rPr>
        <w:t>The 2013 Revision of this Recommendation has added the management of additional functions, including: CSF; proactive loss measurement using LMM/LMR; proactive delay measurement using DMM/DMR and 1DM; synthetic loss measurement using SLM/SLR and 1SL (proactive and on-demand); PM requirements on PDU generation type, Message period, Measurement interval, Repetition period, Start time, Stop time and Session duration; and PM data collection requirements.</w:t>
      </w:r>
      <w:proofErr w:type="gramEnd"/>
    </w:p>
    <w:p w14:paraId="3D610B33" w14:textId="068559AE" w:rsidR="006944F8" w:rsidRPr="00A94875" w:rsidRDefault="006944F8" w:rsidP="006944F8">
      <w:pPr>
        <w:spacing w:after="120"/>
        <w:rPr>
          <w:rFonts w:asciiTheme="majorBidi" w:hAnsiTheme="majorBidi" w:cstheme="majorBidi"/>
          <w:bCs/>
          <w:lang w:val="en-GB" w:eastAsia="ko-KR"/>
        </w:rPr>
      </w:pPr>
      <w:proofErr w:type="gramStart"/>
      <w:r w:rsidRPr="00A94875">
        <w:rPr>
          <w:rFonts w:asciiTheme="majorBidi" w:hAnsiTheme="majorBidi" w:cstheme="majorBidi"/>
          <w:bCs/>
          <w:lang w:val="en-GB" w:eastAsia="ko-KR"/>
        </w:rPr>
        <w:t xml:space="preserve">The 2015 Revision of this Recommendation has updated the management information (MI) signals for the </w:t>
      </w:r>
      <w:proofErr w:type="spellStart"/>
      <w:r w:rsidRPr="00A94875">
        <w:rPr>
          <w:rFonts w:asciiTheme="majorBidi" w:hAnsiTheme="majorBidi" w:cstheme="majorBidi"/>
          <w:bCs/>
          <w:lang w:val="en-GB" w:eastAsia="ko-KR"/>
        </w:rPr>
        <w:t>ETHx_FT</w:t>
      </w:r>
      <w:proofErr w:type="spellEnd"/>
      <w:r w:rsidRPr="00A94875">
        <w:rPr>
          <w:rFonts w:asciiTheme="majorBidi" w:hAnsiTheme="majorBidi" w:cstheme="majorBidi"/>
          <w:bCs/>
          <w:lang w:val="en-GB" w:eastAsia="ko-KR"/>
        </w:rPr>
        <w:t xml:space="preserve"> function in clause 8.5, the MI signals for the </w:t>
      </w:r>
      <w:proofErr w:type="spellStart"/>
      <w:r w:rsidRPr="00A94875">
        <w:rPr>
          <w:rFonts w:asciiTheme="majorBidi" w:hAnsiTheme="majorBidi" w:cstheme="majorBidi"/>
          <w:bCs/>
          <w:lang w:val="en-GB" w:eastAsia="ko-KR"/>
        </w:rPr>
        <w:t>ETHx</w:t>
      </w:r>
      <w:proofErr w:type="spellEnd"/>
      <w:r w:rsidRPr="00A94875">
        <w:rPr>
          <w:rFonts w:asciiTheme="majorBidi" w:hAnsiTheme="majorBidi" w:cstheme="majorBidi"/>
          <w:bCs/>
          <w:lang w:val="en-GB" w:eastAsia="ko-KR"/>
        </w:rPr>
        <w:t xml:space="preserve">/MCC function in clause 8.6, the one-way synthetic loss measurement (1SL) MI signal for the </w:t>
      </w:r>
      <w:proofErr w:type="spellStart"/>
      <w:r w:rsidRPr="00A94875">
        <w:rPr>
          <w:rFonts w:asciiTheme="majorBidi" w:hAnsiTheme="majorBidi" w:cstheme="majorBidi"/>
          <w:bCs/>
          <w:lang w:val="en-GB" w:eastAsia="ko-KR"/>
        </w:rPr>
        <w:t>ETHDe_FT_Sk</w:t>
      </w:r>
      <w:proofErr w:type="spellEnd"/>
      <w:r w:rsidRPr="00A94875">
        <w:rPr>
          <w:rFonts w:asciiTheme="majorBidi" w:hAnsiTheme="majorBidi" w:cstheme="majorBidi"/>
          <w:bCs/>
          <w:lang w:val="en-GB" w:eastAsia="ko-KR"/>
        </w:rPr>
        <w:t xml:space="preserve"> function in clause 8.8, and the on-demand and proactive loss measurement requirements in clause 10.2.The 2018 Revision of this Recommendation has updated the fault cause persistency function at ETH-C </w:t>
      </w:r>
      <w:r w:rsidRPr="00A94875">
        <w:rPr>
          <w:rFonts w:asciiTheme="majorBidi" w:hAnsiTheme="majorBidi" w:cstheme="majorBidi"/>
          <w:bCs/>
          <w:lang w:val="en-GB" w:eastAsia="ko-KR"/>
        </w:rPr>
        <w:lastRenderedPageBreak/>
        <w:t>function for ring protection, the configuration management for protection switching and connection functions.</w:t>
      </w:r>
      <w:proofErr w:type="gramEnd"/>
      <w:r w:rsidRPr="00A94875">
        <w:rPr>
          <w:rFonts w:asciiTheme="majorBidi" w:hAnsiTheme="majorBidi" w:cstheme="majorBidi"/>
          <w:bCs/>
          <w:lang w:val="en-GB" w:eastAsia="ko-KR"/>
        </w:rPr>
        <w:t xml:space="preserve"> </w:t>
      </w:r>
      <w:proofErr w:type="gramStart"/>
      <w:r w:rsidRPr="00A94875">
        <w:rPr>
          <w:rFonts w:asciiTheme="majorBidi" w:hAnsiTheme="majorBidi" w:cstheme="majorBidi"/>
          <w:bCs/>
          <w:lang w:val="en-GB" w:eastAsia="ko-KR"/>
        </w:rPr>
        <w:t>And</w:t>
      </w:r>
      <w:proofErr w:type="gramEnd"/>
      <w:r w:rsidRPr="00A94875">
        <w:rPr>
          <w:rFonts w:asciiTheme="majorBidi" w:hAnsiTheme="majorBidi" w:cstheme="majorBidi"/>
          <w:bCs/>
          <w:lang w:val="en-GB" w:eastAsia="ko-KR"/>
        </w:rPr>
        <w:t xml:space="preserve">, in align with ITU T G.8021/Y.1341, this revision has removed both fault management functions and the management information (MI) signals that are related to </w:t>
      </w:r>
      <w:proofErr w:type="spellStart"/>
      <w:r w:rsidRPr="00A94875">
        <w:rPr>
          <w:rFonts w:asciiTheme="majorBidi" w:hAnsiTheme="majorBidi" w:cstheme="majorBidi"/>
          <w:bCs/>
          <w:lang w:val="en-GB" w:eastAsia="ko-KR"/>
        </w:rPr>
        <w:t>ETYn_TT</w:t>
      </w:r>
      <w:proofErr w:type="spellEnd"/>
      <w:r w:rsidRPr="00A94875">
        <w:rPr>
          <w:rFonts w:asciiTheme="majorBidi" w:hAnsiTheme="majorBidi" w:cstheme="majorBidi"/>
          <w:bCs/>
          <w:lang w:val="en-GB" w:eastAsia="ko-KR"/>
        </w:rPr>
        <w:t xml:space="preserve">, </w:t>
      </w:r>
      <w:proofErr w:type="spellStart"/>
      <w:r w:rsidRPr="00A94875">
        <w:rPr>
          <w:rFonts w:asciiTheme="majorBidi" w:hAnsiTheme="majorBidi" w:cstheme="majorBidi"/>
          <w:bCs/>
          <w:lang w:val="en-GB" w:eastAsia="ko-KR"/>
        </w:rPr>
        <w:t>ODUkP</w:t>
      </w:r>
      <w:proofErr w:type="spellEnd"/>
      <w:r w:rsidRPr="00A94875">
        <w:rPr>
          <w:rFonts w:asciiTheme="majorBidi" w:hAnsiTheme="majorBidi" w:cstheme="majorBidi"/>
          <w:bCs/>
          <w:lang w:val="en-GB" w:eastAsia="ko-KR"/>
        </w:rPr>
        <w:t xml:space="preserve">-X-L/MT_A, and </w:t>
      </w:r>
      <w:proofErr w:type="spellStart"/>
      <w:r w:rsidRPr="00A94875">
        <w:rPr>
          <w:rFonts w:asciiTheme="majorBidi" w:hAnsiTheme="majorBidi" w:cstheme="majorBidi"/>
          <w:bCs/>
          <w:lang w:val="en-GB" w:eastAsia="ko-KR"/>
        </w:rPr>
        <w:t>ETYn</w:t>
      </w:r>
      <w:proofErr w:type="spellEnd"/>
      <w:r w:rsidRPr="00A94875">
        <w:rPr>
          <w:rFonts w:asciiTheme="majorBidi" w:hAnsiTheme="majorBidi" w:cstheme="majorBidi"/>
          <w:bCs/>
          <w:lang w:val="en-GB" w:eastAsia="ko-KR"/>
        </w:rPr>
        <w:t xml:space="preserve">/ETH_A. This revision has also removed </w:t>
      </w:r>
      <w:proofErr w:type="spellStart"/>
      <w:r w:rsidRPr="00A94875">
        <w:rPr>
          <w:rFonts w:asciiTheme="majorBidi" w:hAnsiTheme="majorBidi" w:cstheme="majorBidi"/>
          <w:bCs/>
          <w:lang w:val="en-GB" w:eastAsia="ko-KR"/>
        </w:rPr>
        <w:t>theMI</w:t>
      </w:r>
      <w:proofErr w:type="spellEnd"/>
      <w:r w:rsidRPr="00A94875">
        <w:rPr>
          <w:rFonts w:asciiTheme="majorBidi" w:hAnsiTheme="majorBidi" w:cstheme="majorBidi"/>
          <w:bCs/>
          <w:lang w:val="en-GB" w:eastAsia="ko-KR"/>
        </w:rPr>
        <w:t xml:space="preserve"> signals to activate processes in Adaptation functions (i.e. </w:t>
      </w:r>
      <w:proofErr w:type="spellStart"/>
      <w:r w:rsidRPr="00A94875">
        <w:rPr>
          <w:rFonts w:asciiTheme="majorBidi" w:hAnsiTheme="majorBidi" w:cstheme="majorBidi"/>
          <w:bCs/>
          <w:lang w:val="en-GB" w:eastAsia="ko-KR"/>
        </w:rPr>
        <w:t>MI_Active</w:t>
      </w:r>
      <w:proofErr w:type="spellEnd"/>
      <w:r w:rsidRPr="00A94875">
        <w:rPr>
          <w:rFonts w:asciiTheme="majorBidi" w:hAnsiTheme="majorBidi" w:cstheme="majorBidi"/>
          <w:bCs/>
          <w:lang w:val="en-GB" w:eastAsia="ko-KR"/>
        </w:rPr>
        <w:t>).</w:t>
      </w:r>
    </w:p>
    <w:p w14:paraId="2E49C747" w14:textId="4FB8AEE7" w:rsidR="00FE6830" w:rsidRPr="00A94875" w:rsidRDefault="00FE6830" w:rsidP="00FE6830">
      <w:pPr>
        <w:spacing w:after="120"/>
        <w:rPr>
          <w:rFonts w:asciiTheme="majorBidi" w:hAnsiTheme="majorBidi" w:cstheme="majorBidi"/>
          <w:bCs/>
          <w:lang w:val="en-GB" w:eastAsia="ko-KR"/>
        </w:rPr>
      </w:pPr>
      <w:r w:rsidRPr="00A94875">
        <w:rPr>
          <w:rFonts w:asciiTheme="majorBidi" w:hAnsiTheme="majorBidi" w:cstheme="majorBidi"/>
          <w:b/>
          <w:bCs/>
          <w:lang w:val="en-GB" w:eastAsia="ko-KR"/>
        </w:rPr>
        <w:t>ITU-T G.8052/Y.1346 (revised) “Protocol-neutral management information model for the Ethernet transport capable network element”</w:t>
      </w:r>
      <w:r w:rsidRPr="00A94875">
        <w:rPr>
          <w:rFonts w:asciiTheme="majorBidi" w:hAnsiTheme="majorBidi" w:cstheme="majorBidi"/>
          <w:bCs/>
          <w:lang w:val="en-GB" w:eastAsia="ko-KR"/>
        </w:rPr>
        <w:t xml:space="preserve"> (under approval) contains the protocol neutral UML information model for Ethernet transport network (NE) management. The model is based on the Ethernet equipment functions specified in Recommendation ITU-T G.8021/Y.1341, generic management requirements in Recommendation ITU-T G.7710/Y.1701, and Ethernet specific management requirements in Recommendation ITU T G.8051/Y.1345.</w:t>
      </w:r>
    </w:p>
    <w:p w14:paraId="5F6EC8A1" w14:textId="77777777" w:rsidR="00FE6830" w:rsidRPr="00A94875" w:rsidRDefault="00FE6830" w:rsidP="00FE6830">
      <w:pPr>
        <w:spacing w:after="120"/>
        <w:rPr>
          <w:rFonts w:asciiTheme="majorBidi" w:hAnsiTheme="majorBidi" w:cstheme="majorBidi"/>
          <w:bCs/>
          <w:lang w:val="en-GB" w:eastAsia="ko-KR"/>
        </w:rPr>
      </w:pPr>
      <w:r w:rsidRPr="00A94875">
        <w:rPr>
          <w:rFonts w:asciiTheme="majorBidi" w:hAnsiTheme="majorBidi" w:cstheme="majorBidi"/>
          <w:bCs/>
          <w:lang w:val="en-GB" w:eastAsia="ko-KR"/>
        </w:rPr>
        <w:t xml:space="preserve">The 2016 revision of this Recommendation changes the UML modelling tool from RSA to open source Papyrus tool, updates the Recommendation ITU-T G.8052/Y.1346 information model to align it with the Recommendation ITU-T G.7711/Y.1702 v2.0 Core information model, drops </w:t>
      </w:r>
      <w:proofErr w:type="spellStart"/>
      <w:r w:rsidRPr="00A94875">
        <w:rPr>
          <w:rFonts w:asciiTheme="majorBidi" w:hAnsiTheme="majorBidi" w:cstheme="majorBidi"/>
          <w:bCs/>
          <w:lang w:val="en-GB" w:eastAsia="ko-KR"/>
        </w:rPr>
        <w:t>subclassing</w:t>
      </w:r>
      <w:proofErr w:type="spellEnd"/>
      <w:r w:rsidRPr="00A94875">
        <w:rPr>
          <w:rFonts w:asciiTheme="majorBidi" w:hAnsiTheme="majorBidi" w:cstheme="majorBidi"/>
          <w:bCs/>
          <w:lang w:val="en-GB" w:eastAsia="ko-KR"/>
        </w:rPr>
        <w:t xml:space="preserve"> of the TP classes from Recommendation ITU-T M.3160, and supports the additional management requirements in Recommendation ITU-T G.8051/Y.1345.</w:t>
      </w:r>
    </w:p>
    <w:p w14:paraId="44CE2E45" w14:textId="11E5F06F" w:rsidR="00FE6830" w:rsidRPr="00A94875" w:rsidRDefault="00FE6830" w:rsidP="00FE6830">
      <w:pPr>
        <w:spacing w:after="120"/>
        <w:rPr>
          <w:rFonts w:asciiTheme="majorBidi" w:hAnsiTheme="majorBidi" w:cstheme="majorBidi"/>
          <w:bCs/>
          <w:lang w:val="en-GB" w:eastAsia="ko-KR"/>
        </w:rPr>
      </w:pPr>
      <w:r w:rsidRPr="00A94875">
        <w:rPr>
          <w:rFonts w:asciiTheme="majorBidi" w:hAnsiTheme="majorBidi" w:cstheme="majorBidi"/>
          <w:bCs/>
          <w:lang w:val="en-GB" w:eastAsia="ko-KR"/>
        </w:rPr>
        <w:t xml:space="preserve">The 2018 revision of this Recommendation up-versions the UML model tool to Papyrus v3.2.0 and the profile to v0.2.13, deletes </w:t>
      </w:r>
      <w:proofErr w:type="spellStart"/>
      <w:r w:rsidRPr="00A94875">
        <w:rPr>
          <w:rFonts w:asciiTheme="majorBidi" w:hAnsiTheme="majorBidi" w:cstheme="majorBidi"/>
          <w:bCs/>
          <w:lang w:val="en-GB" w:eastAsia="ko-KR"/>
        </w:rPr>
        <w:t>ODUkP</w:t>
      </w:r>
      <w:proofErr w:type="spellEnd"/>
      <w:r w:rsidRPr="00A94875">
        <w:rPr>
          <w:rFonts w:asciiTheme="majorBidi" w:hAnsiTheme="majorBidi" w:cstheme="majorBidi"/>
          <w:bCs/>
          <w:lang w:val="en-GB" w:eastAsia="ko-KR"/>
        </w:rPr>
        <w:t xml:space="preserve">-X-L (from the </w:t>
      </w:r>
      <w:proofErr w:type="spellStart"/>
      <w:r w:rsidRPr="00A94875">
        <w:rPr>
          <w:rFonts w:asciiTheme="majorBidi" w:hAnsiTheme="majorBidi" w:cstheme="majorBidi"/>
          <w:bCs/>
          <w:lang w:val="en-GB" w:eastAsia="ko-KR"/>
        </w:rPr>
        <w:t>CsfRdiFdiEnableSink_Pac</w:t>
      </w:r>
      <w:proofErr w:type="spellEnd"/>
      <w:r w:rsidRPr="00A94875">
        <w:rPr>
          <w:rFonts w:asciiTheme="majorBidi" w:hAnsiTheme="majorBidi" w:cstheme="majorBidi"/>
          <w:bCs/>
          <w:lang w:val="en-GB" w:eastAsia="ko-KR"/>
        </w:rPr>
        <w:t xml:space="preserve">, </w:t>
      </w:r>
      <w:proofErr w:type="spellStart"/>
      <w:r w:rsidRPr="00A94875">
        <w:rPr>
          <w:rFonts w:asciiTheme="majorBidi" w:hAnsiTheme="majorBidi" w:cstheme="majorBidi"/>
          <w:bCs/>
          <w:lang w:val="en-GB" w:eastAsia="ko-KR"/>
        </w:rPr>
        <w:t>CsfRdiFdiEnableSource_Pac</w:t>
      </w:r>
      <w:proofErr w:type="spellEnd"/>
      <w:r w:rsidRPr="00A94875">
        <w:rPr>
          <w:rFonts w:asciiTheme="majorBidi" w:hAnsiTheme="majorBidi" w:cstheme="majorBidi"/>
          <w:bCs/>
          <w:lang w:val="en-GB" w:eastAsia="ko-KR"/>
        </w:rPr>
        <w:t xml:space="preserve">, and </w:t>
      </w:r>
      <w:proofErr w:type="spellStart"/>
      <w:r w:rsidRPr="00A94875">
        <w:rPr>
          <w:rFonts w:asciiTheme="majorBidi" w:hAnsiTheme="majorBidi" w:cstheme="majorBidi"/>
          <w:bCs/>
          <w:lang w:val="en-GB" w:eastAsia="ko-KR"/>
        </w:rPr>
        <w:t>CsfReportSink_Pac</w:t>
      </w:r>
      <w:proofErr w:type="spellEnd"/>
      <w:r w:rsidRPr="00A94875">
        <w:rPr>
          <w:rFonts w:asciiTheme="majorBidi" w:hAnsiTheme="majorBidi" w:cstheme="majorBidi"/>
          <w:bCs/>
          <w:lang w:val="en-GB" w:eastAsia="ko-KR"/>
        </w:rPr>
        <w:t xml:space="preserve">), replace ETY termination points with </w:t>
      </w:r>
      <w:proofErr w:type="spellStart"/>
      <w:r w:rsidRPr="00A94875">
        <w:rPr>
          <w:rFonts w:asciiTheme="majorBidi" w:hAnsiTheme="majorBidi" w:cstheme="majorBidi"/>
          <w:bCs/>
          <w:lang w:val="en-GB" w:eastAsia="ko-KR"/>
        </w:rPr>
        <w:t>ETHnull</w:t>
      </w:r>
      <w:proofErr w:type="spellEnd"/>
      <w:r w:rsidRPr="00A94875">
        <w:rPr>
          <w:rFonts w:asciiTheme="majorBidi" w:hAnsiTheme="majorBidi" w:cstheme="majorBidi"/>
          <w:bCs/>
          <w:lang w:val="en-GB" w:eastAsia="ko-KR"/>
        </w:rPr>
        <w:t xml:space="preserve"> termination points, removes </w:t>
      </w:r>
      <w:proofErr w:type="spellStart"/>
      <w:r w:rsidRPr="00A94875">
        <w:rPr>
          <w:rFonts w:asciiTheme="majorBidi" w:hAnsiTheme="majorBidi" w:cstheme="majorBidi"/>
          <w:bCs/>
          <w:lang w:val="en-GB" w:eastAsia="ko-KR"/>
        </w:rPr>
        <w:t>ODUkp</w:t>
      </w:r>
      <w:proofErr w:type="spellEnd"/>
      <w:r w:rsidRPr="00A94875">
        <w:rPr>
          <w:rFonts w:asciiTheme="majorBidi" w:hAnsiTheme="majorBidi" w:cstheme="majorBidi"/>
          <w:bCs/>
          <w:lang w:val="en-GB" w:eastAsia="ko-KR"/>
        </w:rPr>
        <w:t>/ETH_A and ODU2P/ETHPP-OS_A, adds Annex A for the Ethernet Spec model.</w:t>
      </w:r>
    </w:p>
    <w:p w14:paraId="50C2EBC0" w14:textId="6053D4D5" w:rsidR="00D67334" w:rsidRPr="00A94875" w:rsidRDefault="00D67334" w:rsidP="00D67334">
      <w:pPr>
        <w:spacing w:after="120"/>
        <w:rPr>
          <w:rFonts w:asciiTheme="majorBidi" w:hAnsiTheme="majorBidi" w:cstheme="majorBidi"/>
          <w:bCs/>
          <w:lang w:val="en-GB" w:eastAsia="ko-KR"/>
        </w:rPr>
      </w:pPr>
      <w:r w:rsidRPr="00A94875">
        <w:rPr>
          <w:rFonts w:asciiTheme="majorBidi" w:hAnsiTheme="majorBidi" w:cstheme="majorBidi"/>
          <w:b/>
          <w:bCs/>
          <w:lang w:val="en-GB" w:eastAsia="ko-KR"/>
        </w:rPr>
        <w:t>ITU-T G.8151/Y.1374 (revised) “Management aspects of the MPLS-TP network element”</w:t>
      </w:r>
      <w:r w:rsidRPr="00A94875">
        <w:rPr>
          <w:rFonts w:asciiTheme="majorBidi" w:hAnsiTheme="majorBidi" w:cstheme="majorBidi"/>
          <w:bCs/>
          <w:lang w:val="en-GB" w:eastAsia="ko-KR"/>
        </w:rPr>
        <w:t xml:space="preserve"> (under approval) addresses management aspects of the multi-protocol label switching (MPLS) transport profile (MPLS-TP) capable network element containing transport functions of one or more of the layer networks of the MPLS-TP network. The management of the MPLS-TP layer networks is separable from that of its client layer networks so that the same means of management </w:t>
      </w:r>
      <w:proofErr w:type="gramStart"/>
      <w:r w:rsidRPr="00A94875">
        <w:rPr>
          <w:rFonts w:asciiTheme="majorBidi" w:hAnsiTheme="majorBidi" w:cstheme="majorBidi"/>
          <w:bCs/>
          <w:lang w:val="en-GB" w:eastAsia="ko-KR"/>
        </w:rPr>
        <w:t>can be used</w:t>
      </w:r>
      <w:proofErr w:type="gramEnd"/>
      <w:r w:rsidRPr="00A94875">
        <w:rPr>
          <w:rFonts w:asciiTheme="majorBidi" w:hAnsiTheme="majorBidi" w:cstheme="majorBidi"/>
          <w:bCs/>
          <w:lang w:val="en-GB" w:eastAsia="ko-KR"/>
        </w:rPr>
        <w:t xml:space="preserve"> regardless of the client. The management functions for fault management, configuration management, </w:t>
      </w:r>
      <w:proofErr w:type="gramStart"/>
      <w:r w:rsidRPr="00A94875">
        <w:rPr>
          <w:rFonts w:asciiTheme="majorBidi" w:hAnsiTheme="majorBidi" w:cstheme="majorBidi"/>
          <w:bCs/>
          <w:lang w:val="en-GB" w:eastAsia="ko-KR"/>
        </w:rPr>
        <w:t>performance</w:t>
      </w:r>
      <w:proofErr w:type="gramEnd"/>
      <w:r w:rsidRPr="00A94875">
        <w:rPr>
          <w:rFonts w:asciiTheme="majorBidi" w:hAnsiTheme="majorBidi" w:cstheme="majorBidi"/>
          <w:bCs/>
          <w:lang w:val="en-GB" w:eastAsia="ko-KR"/>
        </w:rPr>
        <w:t xml:space="preserve"> monitoring and security management are specified.</w:t>
      </w:r>
    </w:p>
    <w:p w14:paraId="3D4580DB" w14:textId="21C8E975" w:rsidR="00D67334" w:rsidRPr="00A94875" w:rsidRDefault="00D67334" w:rsidP="00D67334">
      <w:pPr>
        <w:spacing w:after="120"/>
        <w:rPr>
          <w:rFonts w:asciiTheme="majorBidi" w:hAnsiTheme="majorBidi" w:cstheme="majorBidi"/>
          <w:bCs/>
          <w:lang w:val="en-GB" w:eastAsia="ko-KR"/>
        </w:rPr>
      </w:pPr>
      <w:r w:rsidRPr="00A94875">
        <w:rPr>
          <w:rFonts w:asciiTheme="majorBidi" w:hAnsiTheme="majorBidi" w:cstheme="majorBidi"/>
          <w:bCs/>
          <w:lang w:val="en-GB" w:eastAsia="ko-KR"/>
        </w:rPr>
        <w:t>This Recommendation aligns with the MPLS-TP architecture and requirements jointly developed by IETF and ITU-T and provides the specification for managing MPLS-TP network elements (NEs) that support the operations, administration, maintenance (OAM) protocol neutral equipment functionality as defined in Recommendation ITU T G.8121/Y.1381, G.8121.1/Y.1381.1, and G.8121.2/Y.1381.2.</w:t>
      </w:r>
    </w:p>
    <w:p w14:paraId="3F3F15FF" w14:textId="33A87349" w:rsidR="003C3100" w:rsidRPr="00A94875" w:rsidRDefault="003C3100" w:rsidP="003C3100">
      <w:pPr>
        <w:spacing w:after="120"/>
        <w:rPr>
          <w:rFonts w:asciiTheme="majorBidi" w:hAnsiTheme="majorBidi" w:cstheme="majorBidi"/>
          <w:bCs/>
          <w:lang w:val="en-GB" w:eastAsia="ko-KR"/>
        </w:rPr>
      </w:pPr>
      <w:r w:rsidRPr="00A94875">
        <w:rPr>
          <w:rFonts w:asciiTheme="majorBidi" w:hAnsiTheme="majorBidi" w:cstheme="majorBidi"/>
          <w:b/>
          <w:bCs/>
          <w:lang w:val="en-GB" w:eastAsia="ko-KR"/>
        </w:rPr>
        <w:t>ITU-T G.8152/Y.1375 (revised) “Protocol-neutral management information model for the MPLS-TP network element”</w:t>
      </w:r>
      <w:r w:rsidRPr="00A94875">
        <w:rPr>
          <w:rFonts w:asciiTheme="majorBidi" w:hAnsiTheme="majorBidi" w:cstheme="majorBidi"/>
          <w:bCs/>
          <w:lang w:val="en-GB" w:eastAsia="ko-KR"/>
        </w:rPr>
        <w:t xml:space="preserve"> (under approval) contains the protocol neutral unified modelling language (UML) model for multi-protocol label switching – transport profile (MPLS-TP) network element (NE) management.</w:t>
      </w:r>
    </w:p>
    <w:p w14:paraId="723BA4CF" w14:textId="77777777" w:rsidR="003C3100" w:rsidRPr="00A94875" w:rsidRDefault="003C3100" w:rsidP="003C3100">
      <w:pPr>
        <w:spacing w:after="120"/>
        <w:rPr>
          <w:rFonts w:asciiTheme="majorBidi" w:hAnsiTheme="majorBidi" w:cstheme="majorBidi"/>
          <w:bCs/>
          <w:lang w:val="en-GB" w:eastAsia="ko-KR"/>
        </w:rPr>
      </w:pPr>
      <w:r w:rsidRPr="00A94875">
        <w:rPr>
          <w:rFonts w:asciiTheme="majorBidi" w:hAnsiTheme="majorBidi" w:cstheme="majorBidi"/>
          <w:bCs/>
          <w:lang w:val="en-GB" w:eastAsia="ko-KR"/>
        </w:rPr>
        <w:t xml:space="preserve">This Recommendation provides a representation of the MPLS-TP technology using the methodologies that </w:t>
      </w:r>
      <w:proofErr w:type="gramStart"/>
      <w:r w:rsidRPr="00A94875">
        <w:rPr>
          <w:rFonts w:asciiTheme="majorBidi" w:hAnsiTheme="majorBidi" w:cstheme="majorBidi"/>
          <w:bCs/>
          <w:lang w:val="en-GB" w:eastAsia="ko-KR"/>
        </w:rPr>
        <w:t>have been used</w:t>
      </w:r>
      <w:proofErr w:type="gramEnd"/>
      <w:r w:rsidRPr="00A94875">
        <w:rPr>
          <w:rFonts w:asciiTheme="majorBidi" w:hAnsiTheme="majorBidi" w:cstheme="majorBidi"/>
          <w:bCs/>
          <w:lang w:val="en-GB" w:eastAsia="ko-KR"/>
        </w:rPr>
        <w:t xml:space="preserve"> for other transport technologies (e.g., SDH, OTN and Ethernet). </w:t>
      </w:r>
    </w:p>
    <w:p w14:paraId="33B10219" w14:textId="752E9CD8" w:rsidR="003C3100" w:rsidRPr="00A94875" w:rsidRDefault="003C3100" w:rsidP="003C3100">
      <w:pPr>
        <w:spacing w:after="120"/>
        <w:rPr>
          <w:rFonts w:asciiTheme="majorBidi" w:hAnsiTheme="majorBidi" w:cstheme="majorBidi"/>
          <w:bCs/>
          <w:lang w:val="en-GB" w:eastAsia="ko-KR"/>
        </w:rPr>
      </w:pPr>
      <w:r w:rsidRPr="00A94875">
        <w:rPr>
          <w:rFonts w:asciiTheme="majorBidi" w:hAnsiTheme="majorBidi" w:cstheme="majorBidi"/>
          <w:bCs/>
          <w:lang w:val="en-GB" w:eastAsia="ko-KR"/>
        </w:rPr>
        <w:t xml:space="preserve">The 2018 revision of this Recommendation up-versions the UML model tool to Papyrus v3.2.0 and the profile to 0.2.13. Updates the model to add the MEP proactive measurement MI, MEP configuration MI, and MIP configuration MI, add the Spec model for MPLS-TP model, replace the G.8152NE and MT_NE by the MMPLS-TP Constraint Domain, and </w:t>
      </w:r>
      <w:proofErr w:type="spellStart"/>
      <w:r w:rsidRPr="00A94875">
        <w:rPr>
          <w:rFonts w:asciiTheme="majorBidi" w:hAnsiTheme="majorBidi" w:cstheme="majorBidi"/>
          <w:bCs/>
          <w:lang w:val="en-GB" w:eastAsia="ko-KR"/>
        </w:rPr>
        <w:t>MT_SubnetworkProtectionGroup</w:t>
      </w:r>
      <w:proofErr w:type="spellEnd"/>
      <w:r w:rsidRPr="00A94875">
        <w:rPr>
          <w:rFonts w:asciiTheme="majorBidi" w:hAnsiTheme="majorBidi" w:cstheme="majorBidi"/>
          <w:bCs/>
          <w:lang w:val="en-GB" w:eastAsia="ko-KR"/>
        </w:rPr>
        <w:t xml:space="preserve"> specifies the </w:t>
      </w:r>
      <w:proofErr w:type="spellStart"/>
      <w:r w:rsidRPr="00A94875">
        <w:rPr>
          <w:rFonts w:asciiTheme="majorBidi" w:hAnsiTheme="majorBidi" w:cstheme="majorBidi"/>
          <w:bCs/>
          <w:lang w:val="en-GB" w:eastAsia="ko-KR"/>
        </w:rPr>
        <w:t>FcSwitch</w:t>
      </w:r>
      <w:proofErr w:type="spellEnd"/>
      <w:r w:rsidRPr="00A94875">
        <w:rPr>
          <w:rFonts w:asciiTheme="majorBidi" w:hAnsiTheme="majorBidi" w:cstheme="majorBidi"/>
          <w:bCs/>
          <w:lang w:val="en-GB" w:eastAsia="ko-KR"/>
        </w:rPr>
        <w:t xml:space="preserve">, and </w:t>
      </w:r>
      <w:proofErr w:type="spellStart"/>
      <w:r w:rsidRPr="00A94875">
        <w:rPr>
          <w:rFonts w:asciiTheme="majorBidi" w:hAnsiTheme="majorBidi" w:cstheme="majorBidi"/>
          <w:bCs/>
          <w:lang w:val="en-GB" w:eastAsia="ko-KR"/>
        </w:rPr>
        <w:t>MT_CrossConnection</w:t>
      </w:r>
      <w:proofErr w:type="spellEnd"/>
      <w:r w:rsidRPr="00A94875">
        <w:rPr>
          <w:rFonts w:asciiTheme="majorBidi" w:hAnsiTheme="majorBidi" w:cstheme="majorBidi"/>
          <w:bCs/>
          <w:lang w:val="en-GB" w:eastAsia="ko-KR"/>
        </w:rPr>
        <w:t xml:space="preserve"> specifies the </w:t>
      </w:r>
      <w:proofErr w:type="spellStart"/>
      <w:r w:rsidRPr="00A94875">
        <w:rPr>
          <w:rFonts w:asciiTheme="majorBidi" w:hAnsiTheme="majorBidi" w:cstheme="majorBidi"/>
          <w:bCs/>
          <w:lang w:val="en-GB" w:eastAsia="ko-KR"/>
        </w:rPr>
        <w:t>ForwardingConstruct</w:t>
      </w:r>
      <w:proofErr w:type="spellEnd"/>
      <w:r w:rsidRPr="00A94875">
        <w:rPr>
          <w:rFonts w:asciiTheme="majorBidi" w:hAnsiTheme="majorBidi" w:cstheme="majorBidi"/>
          <w:bCs/>
          <w:lang w:val="en-GB" w:eastAsia="ko-KR"/>
        </w:rPr>
        <w:t>.</w:t>
      </w:r>
    </w:p>
    <w:p w14:paraId="4EF77487" w14:textId="77777777" w:rsidR="006944F8" w:rsidRPr="00A94875" w:rsidRDefault="006944F8" w:rsidP="006944F8">
      <w:pPr>
        <w:spacing w:before="240"/>
        <w:rPr>
          <w:b/>
          <w:sz w:val="22"/>
          <w:szCs w:val="22"/>
          <w:lang w:val="en-GB"/>
        </w:rPr>
      </w:pPr>
      <w:r w:rsidRPr="00A94875">
        <w:rPr>
          <w:b/>
          <w:sz w:val="22"/>
          <w:szCs w:val="22"/>
          <w:lang w:val="en-GB"/>
        </w:rPr>
        <w:t>I.1.7</w:t>
      </w:r>
      <w:r w:rsidRPr="00A94875">
        <w:rPr>
          <w:b/>
          <w:sz w:val="22"/>
          <w:szCs w:val="22"/>
          <w:lang w:val="en-GB"/>
        </w:rPr>
        <w:tab/>
        <w:t>Ethernet over transport networks</w:t>
      </w:r>
    </w:p>
    <w:p w14:paraId="52B9DDC1" w14:textId="713C4B21" w:rsidR="00C22837" w:rsidRPr="00A94875" w:rsidRDefault="00C22837" w:rsidP="00C22837">
      <w:pPr>
        <w:spacing w:after="120"/>
        <w:rPr>
          <w:rFonts w:asciiTheme="majorBidi" w:hAnsiTheme="majorBidi" w:cstheme="majorBidi"/>
          <w:bCs/>
          <w:lang w:val="en-GB" w:eastAsia="ko-KR"/>
        </w:rPr>
      </w:pPr>
      <w:r w:rsidRPr="00A94875">
        <w:rPr>
          <w:rFonts w:asciiTheme="majorBidi" w:hAnsiTheme="majorBidi" w:cstheme="majorBidi"/>
          <w:b/>
          <w:bCs/>
          <w:lang w:val="en-GB" w:eastAsia="ko-KR"/>
        </w:rPr>
        <w:t xml:space="preserve">ITU-T G.998.2 (revised) “Ethernet-based multi-pair bonding” </w:t>
      </w:r>
      <w:r w:rsidRPr="00A94875">
        <w:rPr>
          <w:rFonts w:asciiTheme="majorBidi" w:hAnsiTheme="majorBidi" w:cstheme="majorBidi"/>
          <w:bCs/>
          <w:lang w:val="en-GB" w:eastAsia="ko-KR"/>
        </w:rPr>
        <w:t xml:space="preserve">(under approval) describes a method for bonding of multiple digital subscriber lines (DSL) for Ethernet transport. This </w:t>
      </w:r>
      <w:r w:rsidRPr="00A94875">
        <w:rPr>
          <w:rFonts w:asciiTheme="majorBidi" w:hAnsiTheme="majorBidi" w:cstheme="majorBidi"/>
          <w:bCs/>
          <w:lang w:val="en-GB" w:eastAsia="ko-KR"/>
        </w:rPr>
        <w:lastRenderedPageBreak/>
        <w:t xml:space="preserve">Recommendation can support SHDSL, VDSL and ADSL transport as well as future </w:t>
      </w:r>
      <w:proofErr w:type="spellStart"/>
      <w:r w:rsidRPr="00A94875">
        <w:rPr>
          <w:rFonts w:asciiTheme="majorBidi" w:hAnsiTheme="majorBidi" w:cstheme="majorBidi"/>
          <w:bCs/>
          <w:lang w:val="en-GB" w:eastAsia="ko-KR"/>
        </w:rPr>
        <w:t>xDSL</w:t>
      </w:r>
      <w:proofErr w:type="spellEnd"/>
      <w:r w:rsidRPr="00A94875">
        <w:rPr>
          <w:rFonts w:asciiTheme="majorBidi" w:hAnsiTheme="majorBidi" w:cstheme="majorBidi"/>
          <w:bCs/>
          <w:lang w:val="en-GB" w:eastAsia="ko-KR"/>
        </w:rPr>
        <w:t xml:space="preserve"> technologies as they emerge. This Recommendation builds on the IEEE 802.3ah-2004 methods and extends Ethernet transport over other </w:t>
      </w:r>
      <w:proofErr w:type="spellStart"/>
      <w:r w:rsidRPr="00A94875">
        <w:rPr>
          <w:rFonts w:asciiTheme="majorBidi" w:hAnsiTheme="majorBidi" w:cstheme="majorBidi"/>
          <w:bCs/>
          <w:lang w:val="en-GB" w:eastAsia="ko-KR"/>
        </w:rPr>
        <w:t>xDSL</w:t>
      </w:r>
      <w:proofErr w:type="spellEnd"/>
      <w:r w:rsidRPr="00A94875">
        <w:rPr>
          <w:rFonts w:asciiTheme="majorBidi" w:hAnsiTheme="majorBidi" w:cstheme="majorBidi"/>
          <w:bCs/>
          <w:lang w:val="en-GB" w:eastAsia="ko-KR"/>
        </w:rPr>
        <w:t xml:space="preserve"> technologies, including ADSL. The Recommendation does not describe the details of the specific </w:t>
      </w:r>
      <w:proofErr w:type="spellStart"/>
      <w:r w:rsidRPr="00A94875">
        <w:rPr>
          <w:rFonts w:asciiTheme="majorBidi" w:hAnsiTheme="majorBidi" w:cstheme="majorBidi"/>
          <w:bCs/>
          <w:lang w:val="en-GB" w:eastAsia="ko-KR"/>
        </w:rPr>
        <w:t>xDSL</w:t>
      </w:r>
      <w:proofErr w:type="spellEnd"/>
      <w:r w:rsidRPr="00A94875">
        <w:rPr>
          <w:rFonts w:asciiTheme="majorBidi" w:hAnsiTheme="majorBidi" w:cstheme="majorBidi"/>
          <w:bCs/>
          <w:lang w:val="en-GB" w:eastAsia="ko-KR"/>
        </w:rPr>
        <w:t xml:space="preserve"> transport technology. Rather, it focuses on the aspects of the PCS layer modifications required for bonding. This version of the Recommendation integrates all the previous amendments and corrigenda with the 2005 version of Recommendation ITU-T G.998.2. This version of Recommendation ITU-T G.998.2 corrects or adds the following functionality:</w:t>
      </w:r>
    </w:p>
    <w:p w14:paraId="3F7D170B" w14:textId="77777777" w:rsidR="00C22837" w:rsidRPr="00A94875" w:rsidRDefault="00C22837" w:rsidP="00C22837">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Amendment 1 addresses differential delay for aggregation of ADSL2plus links and of VDSL2 links.</w:t>
      </w:r>
    </w:p>
    <w:p w14:paraId="3CE9EA59" w14:textId="77777777" w:rsidR="00C22837" w:rsidRPr="00A94875" w:rsidRDefault="00C22837" w:rsidP="00C22837">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Amendment 2 includes new functionality for discovery/aggregation and pair management at the bonding layer.</w:t>
      </w:r>
    </w:p>
    <w:p w14:paraId="74D01AA4" w14:textId="77777777" w:rsidR="00C22837" w:rsidRPr="00A94875" w:rsidRDefault="00C22837" w:rsidP="00C22837">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 xml:space="preserve">Amendment 3 includes a new clause </w:t>
      </w:r>
      <w:proofErr w:type="gramStart"/>
      <w:r w:rsidRPr="00A94875">
        <w:rPr>
          <w:rFonts w:asciiTheme="majorBidi" w:hAnsiTheme="majorBidi" w:cstheme="majorBidi"/>
          <w:bCs/>
          <w:lang w:val="en-GB" w:eastAsia="ko-KR"/>
        </w:rPr>
        <w:t>9</w:t>
      </w:r>
      <w:proofErr w:type="gramEnd"/>
      <w:r w:rsidRPr="00A94875">
        <w:rPr>
          <w:rFonts w:asciiTheme="majorBidi" w:hAnsiTheme="majorBidi" w:cstheme="majorBidi"/>
          <w:bCs/>
          <w:lang w:val="en-GB" w:eastAsia="ko-KR"/>
        </w:rPr>
        <w:t xml:space="preserve"> defining "intentional temporary shutdown of some bonded lines" (new functionality).</w:t>
      </w:r>
    </w:p>
    <w:p w14:paraId="6E9AFC43" w14:textId="77777777" w:rsidR="00C22837" w:rsidRPr="00A94875" w:rsidRDefault="00C22837" w:rsidP="00C22837">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Amendment 4 includes a new Annex D defining ''Ethernet bonding with DTU encapsulation'' (new functionality).</w:t>
      </w:r>
    </w:p>
    <w:p w14:paraId="1E32B031" w14:textId="4ACC8BC1" w:rsidR="00C22837" w:rsidRPr="00A94875" w:rsidRDefault="00C22837" w:rsidP="00C22837">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Corrigendum 1 fixes an occurrence of inconsistency.</w:t>
      </w:r>
    </w:p>
    <w:p w14:paraId="1A46D878" w14:textId="08C57D71" w:rsidR="004B556A" w:rsidRPr="00A94875" w:rsidRDefault="004B556A" w:rsidP="004B556A">
      <w:pPr>
        <w:spacing w:after="120"/>
        <w:rPr>
          <w:rFonts w:asciiTheme="majorBidi" w:hAnsiTheme="majorBidi" w:cstheme="majorBidi"/>
          <w:bCs/>
          <w:lang w:val="en-GB" w:eastAsia="ko-KR"/>
        </w:rPr>
      </w:pPr>
      <w:r w:rsidRPr="00A94875">
        <w:rPr>
          <w:rFonts w:asciiTheme="majorBidi" w:hAnsiTheme="majorBidi" w:cstheme="majorBidi"/>
          <w:b/>
          <w:bCs/>
          <w:lang w:val="en-GB" w:eastAsia="ko-KR"/>
        </w:rPr>
        <w:t>ITU-T G.998.4 (revised) “Improved impulse noise protection for digital subscriber line (DSL) transceivers”</w:t>
      </w:r>
      <w:r w:rsidRPr="00A94875">
        <w:rPr>
          <w:rFonts w:asciiTheme="majorBidi" w:hAnsiTheme="majorBidi" w:cstheme="majorBidi"/>
          <w:bCs/>
          <w:lang w:val="en-GB" w:eastAsia="ko-KR"/>
        </w:rPr>
        <w:t xml:space="preserve"> (under approval) specifies techniques beyond those defined in the existing ITU-T digital subscriber line (DSL) Recommendations ITU-T G.992.3, ITU-T G.992.5 and ITU T G.993.2 to provide enhanced protection against impulse noise or to increase the efficiency of providing impulse noise protection (INP).</w:t>
      </w:r>
    </w:p>
    <w:p w14:paraId="2AEB2DF7" w14:textId="77777777" w:rsidR="004B556A" w:rsidRPr="00A94875" w:rsidRDefault="004B556A" w:rsidP="004B556A">
      <w:pPr>
        <w:spacing w:after="120"/>
        <w:rPr>
          <w:rFonts w:asciiTheme="majorBidi" w:hAnsiTheme="majorBidi" w:cstheme="majorBidi"/>
          <w:bCs/>
          <w:lang w:val="en-GB" w:eastAsia="ko-KR"/>
        </w:rPr>
      </w:pPr>
      <w:r w:rsidRPr="00A94875">
        <w:rPr>
          <w:rFonts w:asciiTheme="majorBidi" w:hAnsiTheme="majorBidi" w:cstheme="majorBidi"/>
          <w:bCs/>
          <w:lang w:val="en-GB" w:eastAsia="ko-KR"/>
        </w:rPr>
        <w:t>This version of this Recommendation integrates all of the previous amendments and corrigenda with the 2015 version 2.0 of Recommendation ITU-T G.998.4. This version of Recommendation ITU-T G.998.4 corrects or adds the following functionality:</w:t>
      </w:r>
    </w:p>
    <w:p w14:paraId="1B4F2351" w14:textId="77777777" w:rsidR="004B556A" w:rsidRPr="00A94875" w:rsidRDefault="004B556A" w:rsidP="004B556A">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Valid values for RS FEC (corrigendum);</w:t>
      </w:r>
    </w:p>
    <w:p w14:paraId="460A91F3" w14:textId="77777777" w:rsidR="004B556A" w:rsidRPr="00A94875" w:rsidRDefault="004B556A" w:rsidP="004B556A">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Maximum error-free throughput (</w:t>
      </w:r>
      <w:proofErr w:type="spellStart"/>
      <w:r w:rsidRPr="00A94875">
        <w:rPr>
          <w:rFonts w:asciiTheme="majorBidi" w:hAnsiTheme="majorBidi" w:cstheme="majorBidi"/>
          <w:bCs/>
          <w:lang w:val="en-GB" w:eastAsia="ko-KR"/>
        </w:rPr>
        <w:t>EFTR_max</w:t>
      </w:r>
      <w:proofErr w:type="spellEnd"/>
      <w:r w:rsidRPr="00A94875">
        <w:rPr>
          <w:rFonts w:asciiTheme="majorBidi" w:hAnsiTheme="majorBidi" w:cstheme="majorBidi"/>
          <w:bCs/>
          <w:lang w:val="en-GB" w:eastAsia="ko-KR"/>
        </w:rPr>
        <w:t>) (amendment)</w:t>
      </w:r>
    </w:p>
    <w:p w14:paraId="0A8AA0F5" w14:textId="79D2C8F6" w:rsidR="004B556A" w:rsidRPr="00A94875" w:rsidRDefault="004B556A" w:rsidP="004B556A">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Minimum/accumulated/maximum NDR reporting with disabled retransmission (amendment).</w:t>
      </w:r>
    </w:p>
    <w:p w14:paraId="61B782B8" w14:textId="2C2D6113" w:rsidR="00480360" w:rsidRPr="00A94875" w:rsidRDefault="00480360" w:rsidP="00480360">
      <w:pPr>
        <w:spacing w:after="120"/>
        <w:rPr>
          <w:rFonts w:asciiTheme="majorBidi" w:hAnsiTheme="majorBidi" w:cstheme="majorBidi"/>
          <w:bCs/>
          <w:lang w:val="en-GB" w:eastAsia="ko-KR"/>
        </w:rPr>
      </w:pPr>
      <w:r w:rsidRPr="00A94875">
        <w:rPr>
          <w:rFonts w:asciiTheme="majorBidi" w:hAnsiTheme="majorBidi" w:cstheme="majorBidi"/>
          <w:b/>
          <w:bCs/>
          <w:lang w:val="en-GB" w:eastAsia="ko-KR"/>
        </w:rPr>
        <w:t>ITU-T G.8011/Y.1307 (revised) “Ethernet service characteristics”</w:t>
      </w:r>
      <w:r w:rsidRPr="00A94875">
        <w:rPr>
          <w:rFonts w:asciiTheme="majorBidi" w:hAnsiTheme="majorBidi" w:cstheme="majorBidi"/>
          <w:bCs/>
          <w:lang w:val="en-GB" w:eastAsia="ko-KR"/>
        </w:rPr>
        <w:t xml:space="preserve"> (under approval) describes a framework for defining network-oriented characteristics of Ethernet services based on MEF Forum (MEF) specifications. The </w:t>
      </w:r>
      <w:proofErr w:type="gramStart"/>
      <w:r w:rsidRPr="00A94875">
        <w:rPr>
          <w:rFonts w:asciiTheme="majorBidi" w:hAnsiTheme="majorBidi" w:cstheme="majorBidi"/>
          <w:bCs/>
          <w:lang w:val="en-GB" w:eastAsia="ko-KR"/>
        </w:rPr>
        <w:t>framework is supported by the modelling of Ethernet layer networks described by ITU-T and MEF</w:t>
      </w:r>
      <w:proofErr w:type="gramEnd"/>
      <w:r w:rsidRPr="00A94875">
        <w:rPr>
          <w:rFonts w:asciiTheme="majorBidi" w:hAnsiTheme="majorBidi" w:cstheme="majorBidi"/>
          <w:bCs/>
          <w:lang w:val="en-GB" w:eastAsia="ko-KR"/>
        </w:rPr>
        <w:t>. The service definition, service attributes and operation, administration and maintenance (OAM) introduced in this framework are used to create numerous specific Ethernet services.</w:t>
      </w:r>
    </w:p>
    <w:p w14:paraId="02427BE0" w14:textId="28F9068A" w:rsidR="008F00FD" w:rsidRPr="00A94875" w:rsidRDefault="008F00FD" w:rsidP="008F00FD">
      <w:pPr>
        <w:spacing w:after="120"/>
        <w:rPr>
          <w:rFonts w:asciiTheme="majorBidi" w:hAnsiTheme="majorBidi" w:cstheme="majorBidi"/>
          <w:bCs/>
          <w:lang w:val="en-GB" w:eastAsia="ko-KR"/>
        </w:rPr>
      </w:pPr>
      <w:r w:rsidRPr="00A94875">
        <w:rPr>
          <w:rFonts w:asciiTheme="majorBidi" w:hAnsiTheme="majorBidi" w:cstheme="majorBidi"/>
          <w:b/>
          <w:bCs/>
          <w:lang w:val="en-GB" w:eastAsia="ko-KR"/>
        </w:rPr>
        <w:t>ITU-T G.8013/Y.1731 Amd.1 “Operation, administration and maintenance (OAM) functions and mechanisms for Ethernet-based networks - Amendment 1”</w:t>
      </w:r>
      <w:r w:rsidRPr="00A94875">
        <w:rPr>
          <w:rFonts w:asciiTheme="majorBidi" w:hAnsiTheme="majorBidi" w:cstheme="majorBidi"/>
          <w:bCs/>
          <w:lang w:val="en-GB" w:eastAsia="ko-KR"/>
        </w:rPr>
        <w:t xml:space="preserve"> (under approval) provides:</w:t>
      </w:r>
    </w:p>
    <w:p w14:paraId="326A1B62" w14:textId="77777777" w:rsidR="008F00FD" w:rsidRPr="00A94875" w:rsidRDefault="008F00FD" w:rsidP="008F00FD">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Modification to “Frame delay” in clause 8</w:t>
      </w:r>
    </w:p>
    <w:p w14:paraId="63F1D092" w14:textId="3BADF834" w:rsidR="008F00FD" w:rsidRPr="00A94875" w:rsidRDefault="008F00FD" w:rsidP="008F00FD">
      <w:pPr>
        <w:spacing w:after="120"/>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Updates to clauses 2 and 3, and to the Bibliography</w:t>
      </w:r>
    </w:p>
    <w:p w14:paraId="063E3716" w14:textId="5170714D" w:rsidR="006944F8" w:rsidRPr="00A94875" w:rsidRDefault="006944F8" w:rsidP="006944F8">
      <w:pPr>
        <w:spacing w:after="120"/>
        <w:rPr>
          <w:rFonts w:asciiTheme="majorBidi" w:hAnsiTheme="majorBidi" w:cstheme="majorBidi"/>
          <w:bCs/>
          <w:lang w:val="en-GB" w:eastAsia="ko-KR"/>
        </w:rPr>
      </w:pPr>
      <w:r w:rsidRPr="00A94875">
        <w:rPr>
          <w:rFonts w:asciiTheme="majorBidi" w:hAnsiTheme="majorBidi" w:cstheme="majorBidi"/>
          <w:b/>
          <w:bCs/>
          <w:lang w:val="en-GB" w:eastAsia="ko-KR"/>
        </w:rPr>
        <w:t>ITU-T G.8021/Y.1341 “Characteristics of Ethernet transport network equipment functional blocks”</w:t>
      </w:r>
      <w:r w:rsidRPr="00A94875">
        <w:rPr>
          <w:rFonts w:asciiTheme="majorBidi" w:hAnsiTheme="majorBidi" w:cstheme="majorBidi"/>
          <w:bCs/>
          <w:lang w:val="en-GB" w:eastAsia="ko-KR"/>
        </w:rPr>
        <w:t xml:space="preserve"> specifies both the functional components and the methodology that </w:t>
      </w:r>
      <w:proofErr w:type="gramStart"/>
      <w:r w:rsidRPr="00A94875">
        <w:rPr>
          <w:rFonts w:asciiTheme="majorBidi" w:hAnsiTheme="majorBidi" w:cstheme="majorBidi"/>
          <w:bCs/>
          <w:lang w:val="en-GB" w:eastAsia="ko-KR"/>
        </w:rPr>
        <w:t>should be used</w:t>
      </w:r>
      <w:proofErr w:type="gramEnd"/>
      <w:r w:rsidRPr="00A94875">
        <w:rPr>
          <w:rFonts w:asciiTheme="majorBidi" w:hAnsiTheme="majorBidi" w:cstheme="majorBidi"/>
          <w:bCs/>
          <w:lang w:val="en-GB" w:eastAsia="ko-KR"/>
        </w:rPr>
        <w:t xml:space="preserve"> in order to specify the Ethernet transport network functionality of network elements; it does not specify individual Ethernet transport network equipment.</w:t>
      </w:r>
    </w:p>
    <w:p w14:paraId="1BD40AE1" w14:textId="30D80DF1" w:rsidR="006944F8" w:rsidRPr="00A94875" w:rsidRDefault="006944F8" w:rsidP="006944F8">
      <w:pPr>
        <w:spacing w:after="120"/>
        <w:rPr>
          <w:rFonts w:asciiTheme="majorBidi" w:hAnsiTheme="majorBidi" w:cstheme="majorBidi"/>
          <w:bCs/>
          <w:lang w:val="en-GB" w:eastAsia="ko-KR"/>
        </w:rPr>
      </w:pPr>
      <w:r w:rsidRPr="00A94875">
        <w:rPr>
          <w:rFonts w:asciiTheme="majorBidi" w:hAnsiTheme="majorBidi" w:cstheme="majorBidi"/>
          <w:b/>
          <w:bCs/>
          <w:lang w:val="en-GB" w:eastAsia="ko-KR"/>
        </w:rPr>
        <w:t xml:space="preserve">ITU-T G.8023 “Characteristics of equipment functional blocks supporting Ethernet physical layer and </w:t>
      </w:r>
      <w:proofErr w:type="spellStart"/>
      <w:r w:rsidRPr="00A94875">
        <w:rPr>
          <w:rFonts w:asciiTheme="majorBidi" w:hAnsiTheme="majorBidi" w:cstheme="majorBidi"/>
          <w:b/>
          <w:bCs/>
          <w:lang w:val="en-GB" w:eastAsia="ko-KR"/>
        </w:rPr>
        <w:t>FlexE</w:t>
      </w:r>
      <w:proofErr w:type="spellEnd"/>
      <w:r w:rsidRPr="00A94875">
        <w:rPr>
          <w:rFonts w:asciiTheme="majorBidi" w:hAnsiTheme="majorBidi" w:cstheme="majorBidi"/>
          <w:b/>
          <w:bCs/>
          <w:lang w:val="en-GB" w:eastAsia="ko-KR"/>
        </w:rPr>
        <w:t xml:space="preserve"> interfaces”</w:t>
      </w:r>
      <w:r w:rsidRPr="00A94875">
        <w:rPr>
          <w:rFonts w:asciiTheme="majorBidi" w:hAnsiTheme="majorBidi" w:cstheme="majorBidi"/>
          <w:bCs/>
          <w:lang w:val="en-GB" w:eastAsia="ko-KR"/>
        </w:rPr>
        <w:t xml:space="preserve"> </w:t>
      </w:r>
      <w:r w:rsidR="00754978" w:rsidRPr="00A94875">
        <w:rPr>
          <w:rFonts w:asciiTheme="majorBidi" w:hAnsiTheme="majorBidi" w:cstheme="majorBidi"/>
          <w:bCs/>
          <w:lang w:val="en-GB" w:eastAsia="ko-KR"/>
        </w:rPr>
        <w:t xml:space="preserve">(under approval) </w:t>
      </w:r>
      <w:r w:rsidRPr="00A94875">
        <w:rPr>
          <w:rFonts w:asciiTheme="majorBidi" w:hAnsiTheme="majorBidi" w:cstheme="majorBidi"/>
          <w:bCs/>
          <w:lang w:val="en-GB" w:eastAsia="ko-KR"/>
        </w:rPr>
        <w:t xml:space="preserve">specifies both the functional components and the </w:t>
      </w:r>
      <w:r w:rsidRPr="00A94875">
        <w:rPr>
          <w:rFonts w:asciiTheme="majorBidi" w:hAnsiTheme="majorBidi" w:cstheme="majorBidi"/>
          <w:bCs/>
          <w:lang w:val="en-GB" w:eastAsia="ko-KR"/>
        </w:rPr>
        <w:lastRenderedPageBreak/>
        <w:t xml:space="preserve">methodology that </w:t>
      </w:r>
      <w:proofErr w:type="gramStart"/>
      <w:r w:rsidRPr="00A94875">
        <w:rPr>
          <w:rFonts w:asciiTheme="majorBidi" w:hAnsiTheme="majorBidi" w:cstheme="majorBidi"/>
          <w:bCs/>
          <w:lang w:val="en-GB" w:eastAsia="ko-KR"/>
        </w:rPr>
        <w:t>should be used</w:t>
      </w:r>
      <w:proofErr w:type="gramEnd"/>
      <w:r w:rsidRPr="00A94875">
        <w:rPr>
          <w:rFonts w:asciiTheme="majorBidi" w:hAnsiTheme="majorBidi" w:cstheme="majorBidi"/>
          <w:bCs/>
          <w:lang w:val="en-GB" w:eastAsia="ko-KR"/>
        </w:rPr>
        <w:t xml:space="preserve"> in order to specify the Ethernet physical layer and Flex Ethernet interfaces.</w:t>
      </w:r>
    </w:p>
    <w:p w14:paraId="30B222F2" w14:textId="77777777" w:rsidR="006944F8" w:rsidRPr="00A94875" w:rsidRDefault="006944F8" w:rsidP="006944F8">
      <w:pPr>
        <w:spacing w:after="120"/>
        <w:rPr>
          <w:rFonts w:asciiTheme="majorBidi" w:hAnsiTheme="majorBidi" w:cstheme="majorBidi"/>
          <w:bCs/>
          <w:lang w:val="en-GB" w:eastAsia="ko-KR"/>
        </w:rPr>
      </w:pPr>
      <w:r w:rsidRPr="00A94875">
        <w:rPr>
          <w:rFonts w:asciiTheme="majorBidi" w:hAnsiTheme="majorBidi" w:cstheme="majorBidi"/>
          <w:b/>
          <w:bCs/>
          <w:lang w:val="en-GB" w:eastAsia="ko-KR"/>
        </w:rPr>
        <w:t>ITU-T G.8031/Y.1342 (2015) Amd.1 “Ethernet linear protection switching- Amendment 1”</w:t>
      </w:r>
      <w:r w:rsidRPr="00A94875">
        <w:rPr>
          <w:rFonts w:asciiTheme="majorBidi" w:hAnsiTheme="majorBidi" w:cstheme="majorBidi"/>
          <w:bCs/>
          <w:lang w:val="en-GB" w:eastAsia="ko-KR"/>
        </w:rPr>
        <w:t xml:space="preserve"> describes the specifics of linear protection switching for Ethernet VLAN signals. Included are details pertaining to ETH linear protection characteristics, architectures and the automatic protection switching (APS) protocol. The protection scheme considered in this Recommendation is:</w:t>
      </w:r>
    </w:p>
    <w:p w14:paraId="3CF36326" w14:textId="77777777" w:rsidR="006944F8" w:rsidRPr="00A94875" w:rsidRDefault="006944F8" w:rsidP="006944F8">
      <w:pPr>
        <w:spacing w:after="120"/>
        <w:ind w:left="567"/>
        <w:rPr>
          <w:rFonts w:asciiTheme="majorBidi" w:hAnsiTheme="majorBidi" w:cstheme="majorBidi"/>
          <w:bCs/>
          <w:lang w:val="en-GB" w:eastAsia="ko-KR"/>
        </w:rPr>
      </w:pPr>
      <w:r w:rsidRPr="00A94875">
        <w:rPr>
          <w:rFonts w:asciiTheme="majorBidi" w:hAnsiTheme="majorBidi" w:cstheme="majorBidi"/>
          <w:bCs/>
          <w:lang w:val="en-GB" w:eastAsia="ko-KR"/>
        </w:rPr>
        <w:t>–</w:t>
      </w:r>
      <w:r w:rsidRPr="00A94875">
        <w:rPr>
          <w:rFonts w:asciiTheme="majorBidi" w:hAnsiTheme="majorBidi" w:cstheme="majorBidi"/>
          <w:bCs/>
          <w:lang w:val="en-GB" w:eastAsia="ko-KR"/>
        </w:rPr>
        <w:tab/>
        <w:t>VLAN-based Ethernet subnetwork connection linear protection with sublayer monitoring.</w:t>
      </w:r>
    </w:p>
    <w:p w14:paraId="118719D9" w14:textId="7966D042" w:rsidR="00C7693A" w:rsidRPr="00A94875" w:rsidRDefault="00C7693A" w:rsidP="006944F8">
      <w:pPr>
        <w:spacing w:before="240"/>
        <w:rPr>
          <w:b/>
          <w:sz w:val="22"/>
          <w:szCs w:val="22"/>
          <w:lang w:val="en-GB"/>
        </w:rPr>
      </w:pPr>
      <w:r w:rsidRPr="00A94875">
        <w:rPr>
          <w:b/>
          <w:sz w:val="22"/>
          <w:szCs w:val="22"/>
          <w:lang w:val="en-GB"/>
        </w:rPr>
        <w:t>I.1.8</w:t>
      </w:r>
      <w:r w:rsidRPr="00A94875">
        <w:rPr>
          <w:b/>
          <w:sz w:val="22"/>
          <w:szCs w:val="22"/>
          <w:lang w:val="en-GB"/>
        </w:rPr>
        <w:tab/>
        <w:t>MPLS over transport networks</w:t>
      </w:r>
    </w:p>
    <w:p w14:paraId="29267DBB" w14:textId="602E9757" w:rsidR="00991D83" w:rsidRPr="00A94875" w:rsidRDefault="00991D83" w:rsidP="00991D83">
      <w:pPr>
        <w:rPr>
          <w:sz w:val="22"/>
          <w:szCs w:val="22"/>
          <w:lang w:val="en-GB"/>
        </w:rPr>
      </w:pPr>
      <w:r w:rsidRPr="00A94875">
        <w:rPr>
          <w:b/>
          <w:sz w:val="22"/>
          <w:szCs w:val="22"/>
          <w:lang w:val="en-GB"/>
        </w:rPr>
        <w:t>ITU-T G.8121/Y.1381 (revised) “Characteristics of MPLS-TP equipment functional blocks”</w:t>
      </w:r>
      <w:r w:rsidRPr="00A94875">
        <w:rPr>
          <w:sz w:val="22"/>
          <w:szCs w:val="22"/>
          <w:lang w:val="en-GB"/>
        </w:rPr>
        <w:t xml:space="preserve"> (under approval) specifies both the functional components and the methodology that should be used in order to specify multi-protocol label switching – transport profile (MPLS-TP) layer network functionality of network elements; it does not specify individual MPLS-TP network equipment as such.</w:t>
      </w:r>
    </w:p>
    <w:p w14:paraId="7670C197" w14:textId="0C55155C" w:rsidR="00F567E1" w:rsidRPr="00A94875" w:rsidRDefault="00F567E1" w:rsidP="00F567E1">
      <w:pPr>
        <w:rPr>
          <w:sz w:val="22"/>
          <w:szCs w:val="22"/>
          <w:lang w:val="en-GB"/>
        </w:rPr>
      </w:pPr>
      <w:proofErr w:type="gramStart"/>
      <w:r w:rsidRPr="00A94875">
        <w:rPr>
          <w:b/>
          <w:sz w:val="22"/>
          <w:szCs w:val="22"/>
          <w:lang w:val="en-GB"/>
        </w:rPr>
        <w:t>ITU-T G.8121.1/Y.1381.1 (revised) “Characteristics of MPLS-TP equipment functional blocks supporting ITU T G.8113.1/Y.1372.1 OAM mechanisms”</w:t>
      </w:r>
      <w:r w:rsidRPr="00A94875">
        <w:rPr>
          <w:sz w:val="22"/>
          <w:szCs w:val="22"/>
          <w:lang w:val="en-GB"/>
        </w:rPr>
        <w:t xml:space="preserve"> (under approval) specifies both the functional components and the methodology that should be used in order to specify multi-protocol label switching – transport profile (MPLS-TP) layer network functionality of network elements based on the protocol neutral constructs defined in Recommendation ITU-T G.8121 and on the tools defined in Recommendation ITU T G.8113.1/Y.1372.1.</w:t>
      </w:r>
      <w:proofErr w:type="gramEnd"/>
    </w:p>
    <w:p w14:paraId="37211369" w14:textId="2A98BFE7" w:rsidR="000F2B43" w:rsidRPr="00A94875" w:rsidRDefault="000F2B43" w:rsidP="000F2B43">
      <w:pPr>
        <w:rPr>
          <w:b/>
          <w:sz w:val="22"/>
          <w:szCs w:val="22"/>
          <w:lang w:val="en-GB"/>
        </w:rPr>
      </w:pPr>
      <w:proofErr w:type="gramStart"/>
      <w:r w:rsidRPr="00A94875">
        <w:rPr>
          <w:b/>
          <w:sz w:val="22"/>
          <w:szCs w:val="22"/>
          <w:lang w:val="en-GB"/>
        </w:rPr>
        <w:t>ITU-T G.8121.2/Y.1381.2 (revised) “Characteristics of MPLS-TP equipment functional blocks supporting ITU T G.8113.2/Y.1372.2 OAM mechanisms”</w:t>
      </w:r>
      <w:r w:rsidRPr="00A94875">
        <w:rPr>
          <w:sz w:val="22"/>
          <w:szCs w:val="22"/>
          <w:lang w:val="en-GB"/>
        </w:rPr>
        <w:t xml:space="preserve"> (under approval) specifies both the functional components and the methodology that should be used in order to specify multi-protocol label switching – transport profile (MPLS-TP) layer network functionality of network elements based on the protocol neutral constructs defined in Recommendation ITU T G.8121/Y.1381 and on the tools defined in Recommendation ITU T G.8113.2/Y.1372.2.</w:t>
      </w:r>
      <w:proofErr w:type="gramEnd"/>
    </w:p>
    <w:p w14:paraId="0B357097" w14:textId="0D7A5549" w:rsidR="00C7693A" w:rsidRPr="00A94875" w:rsidRDefault="00C7693A" w:rsidP="00C7693A">
      <w:pPr>
        <w:rPr>
          <w:sz w:val="22"/>
          <w:szCs w:val="22"/>
          <w:lang w:val="en-GB"/>
        </w:rPr>
      </w:pPr>
      <w:r w:rsidRPr="00A94875">
        <w:rPr>
          <w:b/>
          <w:sz w:val="22"/>
          <w:szCs w:val="22"/>
          <w:lang w:val="en-GB"/>
        </w:rPr>
        <w:t xml:space="preserve">ITU-T G.8131 Amd.3 “Linear protection switching for MPLS transport profile - Amendment 3” </w:t>
      </w:r>
      <w:r w:rsidRPr="00A94875">
        <w:rPr>
          <w:sz w:val="22"/>
          <w:szCs w:val="22"/>
          <w:lang w:val="en-GB"/>
        </w:rPr>
        <w:t>(under approval) provides updates on the following:</w:t>
      </w:r>
    </w:p>
    <w:p w14:paraId="1C2CFB7E" w14:textId="77777777" w:rsidR="00C7693A" w:rsidRPr="00A94875" w:rsidRDefault="00C7693A" w:rsidP="00C7693A">
      <w:pPr>
        <w:rPr>
          <w:sz w:val="22"/>
          <w:szCs w:val="22"/>
          <w:lang w:val="en-GB"/>
        </w:rPr>
      </w:pPr>
      <w:r w:rsidRPr="00A94875">
        <w:rPr>
          <w:sz w:val="22"/>
          <w:szCs w:val="22"/>
          <w:lang w:val="en-GB"/>
        </w:rPr>
        <w:t>–</w:t>
      </w:r>
      <w:r w:rsidRPr="00A94875">
        <w:rPr>
          <w:sz w:val="22"/>
          <w:szCs w:val="22"/>
          <w:lang w:val="en-GB"/>
        </w:rPr>
        <w:tab/>
        <w:t>Initialization behaviour,</w:t>
      </w:r>
    </w:p>
    <w:p w14:paraId="04B8D1D1" w14:textId="77777777" w:rsidR="00C7693A" w:rsidRPr="00A94875" w:rsidRDefault="00C7693A" w:rsidP="00C7693A">
      <w:pPr>
        <w:rPr>
          <w:sz w:val="22"/>
          <w:szCs w:val="22"/>
          <w:lang w:val="en-GB"/>
        </w:rPr>
      </w:pPr>
      <w:r w:rsidRPr="00A94875">
        <w:rPr>
          <w:sz w:val="22"/>
          <w:szCs w:val="22"/>
          <w:lang w:val="en-GB"/>
        </w:rPr>
        <w:t>–</w:t>
      </w:r>
      <w:r w:rsidRPr="00A94875">
        <w:rPr>
          <w:sz w:val="22"/>
          <w:szCs w:val="22"/>
          <w:lang w:val="en-GB"/>
        </w:rPr>
        <w:tab/>
        <w:t>State transition modification, and</w:t>
      </w:r>
    </w:p>
    <w:p w14:paraId="67E1FDEA" w14:textId="4155E584" w:rsidR="00C7693A" w:rsidRPr="00A94875" w:rsidRDefault="00C7693A" w:rsidP="00C7693A">
      <w:pPr>
        <w:rPr>
          <w:sz w:val="22"/>
          <w:szCs w:val="22"/>
          <w:lang w:val="en-GB"/>
        </w:rPr>
      </w:pPr>
      <w:r w:rsidRPr="00A94875">
        <w:rPr>
          <w:sz w:val="22"/>
          <w:szCs w:val="22"/>
          <w:lang w:val="en-GB"/>
        </w:rPr>
        <w:t>–</w:t>
      </w:r>
      <w:r w:rsidRPr="00A94875">
        <w:rPr>
          <w:sz w:val="22"/>
          <w:szCs w:val="22"/>
          <w:lang w:val="en-GB"/>
        </w:rPr>
        <w:tab/>
        <w:t xml:space="preserve">Operation related to </w:t>
      </w:r>
      <w:proofErr w:type="gramStart"/>
      <w:r w:rsidRPr="00A94875">
        <w:rPr>
          <w:sz w:val="22"/>
          <w:szCs w:val="22"/>
          <w:lang w:val="en-GB"/>
        </w:rPr>
        <w:t>state transition table lookup</w:t>
      </w:r>
      <w:proofErr w:type="gramEnd"/>
      <w:r w:rsidRPr="00A94875">
        <w:rPr>
          <w:sz w:val="22"/>
          <w:szCs w:val="22"/>
          <w:lang w:val="en-GB"/>
        </w:rPr>
        <w:t>.</w:t>
      </w:r>
    </w:p>
    <w:p w14:paraId="602F7C59" w14:textId="26010E1C" w:rsidR="006944F8" w:rsidRPr="00A94875" w:rsidRDefault="006944F8" w:rsidP="006944F8">
      <w:pPr>
        <w:spacing w:before="240"/>
        <w:rPr>
          <w:b/>
          <w:sz w:val="22"/>
          <w:szCs w:val="22"/>
          <w:lang w:val="en-GB"/>
        </w:rPr>
      </w:pPr>
      <w:r w:rsidRPr="00A94875">
        <w:rPr>
          <w:b/>
          <w:sz w:val="22"/>
          <w:szCs w:val="22"/>
          <w:lang w:val="en-GB"/>
        </w:rPr>
        <w:t>I.1.9</w:t>
      </w:r>
      <w:r w:rsidRPr="00A94875">
        <w:rPr>
          <w:b/>
          <w:sz w:val="22"/>
          <w:szCs w:val="22"/>
          <w:lang w:val="en-GB"/>
        </w:rPr>
        <w:tab/>
        <w:t>Synchronization and timing</w:t>
      </w:r>
    </w:p>
    <w:p w14:paraId="19E55F70" w14:textId="4714B81D" w:rsidR="006B5A79" w:rsidRPr="00A94875" w:rsidRDefault="006B5A79" w:rsidP="006B5A79">
      <w:pPr>
        <w:rPr>
          <w:rFonts w:asciiTheme="majorBidi" w:hAnsiTheme="majorBidi" w:cstheme="majorBidi"/>
          <w:b/>
          <w:lang w:val="en-GB"/>
        </w:rPr>
      </w:pPr>
      <w:r w:rsidRPr="00A94875">
        <w:rPr>
          <w:rFonts w:asciiTheme="majorBidi" w:hAnsiTheme="majorBidi" w:cstheme="majorBidi"/>
          <w:b/>
          <w:lang w:val="en-GB"/>
        </w:rPr>
        <w:t>ITU-T G.7721 (revised) “Management requirement and information model for synchronization”</w:t>
      </w:r>
      <w:r w:rsidRPr="00A94875">
        <w:rPr>
          <w:rFonts w:asciiTheme="majorBidi" w:hAnsiTheme="majorBidi" w:cstheme="majorBidi"/>
          <w:lang w:val="en-GB"/>
        </w:rPr>
        <w:t xml:space="preserve"> (under approval) provides the management requirements and a protocol-neutral management information model for managing network elements and network of synchronization.</w:t>
      </w:r>
    </w:p>
    <w:p w14:paraId="11BB7D41" w14:textId="5BA3118E" w:rsidR="008F0A10" w:rsidRPr="00A94875" w:rsidRDefault="008F0A10" w:rsidP="008F0A10">
      <w:pPr>
        <w:rPr>
          <w:rFonts w:asciiTheme="majorBidi" w:hAnsiTheme="majorBidi" w:cstheme="majorBidi"/>
          <w:lang w:val="en-GB"/>
        </w:rPr>
      </w:pPr>
      <w:r w:rsidRPr="00A94875">
        <w:rPr>
          <w:rFonts w:asciiTheme="majorBidi" w:hAnsiTheme="majorBidi" w:cstheme="majorBidi"/>
          <w:b/>
          <w:lang w:val="en-GB"/>
        </w:rPr>
        <w:t>ITU-T G.8260 (2015) Amd.2 “Definitions and terminology for synchronization in packet networks: Amendment 2”</w:t>
      </w:r>
      <w:r w:rsidRPr="00A94875">
        <w:rPr>
          <w:rFonts w:asciiTheme="majorBidi" w:hAnsiTheme="majorBidi" w:cstheme="majorBidi"/>
          <w:lang w:val="en-GB"/>
        </w:rPr>
        <w:t xml:space="preserve"> (under approval) provides the following update:</w:t>
      </w:r>
    </w:p>
    <w:p w14:paraId="60C0D8AA" w14:textId="77777777" w:rsidR="008F0A10" w:rsidRPr="00A94875" w:rsidRDefault="008F0A10" w:rsidP="008F0A10">
      <w:pPr>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Added definition of relative time error in clause 3.1.24</w:t>
      </w:r>
    </w:p>
    <w:p w14:paraId="6144D87C" w14:textId="77777777" w:rsidR="008F0A10" w:rsidRPr="00A94875" w:rsidRDefault="008F0A10" w:rsidP="008F0A10">
      <w:pPr>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Addition of clause I.3.1.4 to Appendix I describing packet selection windows</w:t>
      </w:r>
    </w:p>
    <w:p w14:paraId="3C2FA87B" w14:textId="766B699A" w:rsidR="008F0A10" w:rsidRPr="00A94875" w:rsidRDefault="008F0A10" w:rsidP="008F0A10">
      <w:pPr>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Modification to clause I.5 to align with terminology in clause I.3.1.4.</w:t>
      </w:r>
    </w:p>
    <w:p w14:paraId="06F72ED7" w14:textId="05167860" w:rsidR="008B2715" w:rsidRPr="00A94875" w:rsidRDefault="008B2715" w:rsidP="008B2715">
      <w:pPr>
        <w:rPr>
          <w:rFonts w:asciiTheme="majorBidi" w:hAnsiTheme="majorBidi" w:cstheme="majorBidi"/>
          <w:b/>
          <w:lang w:val="en-GB"/>
        </w:rPr>
      </w:pPr>
      <w:r w:rsidRPr="00A94875">
        <w:rPr>
          <w:rFonts w:asciiTheme="majorBidi" w:hAnsiTheme="majorBidi" w:cstheme="majorBidi"/>
          <w:b/>
          <w:lang w:val="en-GB"/>
        </w:rPr>
        <w:t xml:space="preserve">ITU-T G.8262 (revised) “Timing characteristics of synchronous equipment slave clock” </w:t>
      </w:r>
      <w:r w:rsidRPr="00A94875">
        <w:rPr>
          <w:rFonts w:asciiTheme="majorBidi" w:hAnsiTheme="majorBidi" w:cstheme="majorBidi"/>
          <w:lang w:val="en-GB"/>
        </w:rPr>
        <w:t>(under approval) outlines requirements for timing devices used in synchronizing network equipment that uses the physical layer to deliver frequency synchronization. This Recommendation defines the requirements for clocks, e.g., bandwidth, frequency accuracy, holdover and noise generation.</w:t>
      </w:r>
    </w:p>
    <w:p w14:paraId="3E273695" w14:textId="3E3329EE" w:rsidR="00484D60" w:rsidRPr="00A94875" w:rsidRDefault="00484D60" w:rsidP="00484D60">
      <w:pPr>
        <w:rPr>
          <w:rFonts w:asciiTheme="majorBidi" w:hAnsiTheme="majorBidi" w:cstheme="majorBidi"/>
          <w:b/>
          <w:lang w:val="en-GB"/>
        </w:rPr>
      </w:pPr>
      <w:r w:rsidRPr="00A94875">
        <w:rPr>
          <w:rFonts w:asciiTheme="majorBidi" w:hAnsiTheme="majorBidi" w:cstheme="majorBidi"/>
          <w:b/>
          <w:lang w:val="en-GB"/>
        </w:rPr>
        <w:t>ITU-T G.8262.1/Y.1362.1 “Timing characteristics of enhanced synchronous equipment slave clock”</w:t>
      </w:r>
      <w:r w:rsidRPr="00A94875">
        <w:rPr>
          <w:rFonts w:asciiTheme="majorBidi" w:hAnsiTheme="majorBidi" w:cstheme="majorBidi"/>
          <w:lang w:val="en-GB"/>
        </w:rPr>
        <w:t xml:space="preserve"> (under approval) outlines requirements for timing devices used in synchronizing network equipment that uses the physical layer to deliver frequency synchronization. This Recommendation </w:t>
      </w:r>
      <w:r w:rsidRPr="00A94875">
        <w:rPr>
          <w:rFonts w:asciiTheme="majorBidi" w:hAnsiTheme="majorBidi" w:cstheme="majorBidi"/>
          <w:lang w:val="en-GB"/>
        </w:rPr>
        <w:lastRenderedPageBreak/>
        <w:t>defines the requirements for clocks, e.g., bandwidth, frequency accuracy, holdover and noise generation.</w:t>
      </w:r>
    </w:p>
    <w:p w14:paraId="18C2507B" w14:textId="5AFD2FFF"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G.8264/Y.1364 (2017) Amd.1 “Distribution of timing information through packet networks - Amendment 1”</w:t>
      </w:r>
      <w:r w:rsidR="001F0C31" w:rsidRPr="00A94875">
        <w:rPr>
          <w:rFonts w:asciiTheme="majorBidi" w:hAnsiTheme="majorBidi" w:cstheme="majorBidi"/>
          <w:lang w:val="en-GB"/>
        </w:rPr>
        <w:t xml:space="preserve"> makes changes </w:t>
      </w:r>
      <w:r w:rsidRPr="00A94875">
        <w:rPr>
          <w:rFonts w:asciiTheme="majorBidi" w:hAnsiTheme="majorBidi" w:cstheme="majorBidi"/>
          <w:lang w:val="en-GB"/>
        </w:rPr>
        <w:t>to incorporate the Enhanced Primary Reference Clock (</w:t>
      </w:r>
      <w:proofErr w:type="spellStart"/>
      <w:r w:rsidRPr="00A94875">
        <w:rPr>
          <w:rFonts w:asciiTheme="majorBidi" w:hAnsiTheme="majorBidi" w:cstheme="majorBidi"/>
          <w:lang w:val="en-GB"/>
        </w:rPr>
        <w:t>ePRC</w:t>
      </w:r>
      <w:proofErr w:type="spellEnd"/>
      <w:r w:rsidRPr="00A94875">
        <w:rPr>
          <w:rFonts w:asciiTheme="majorBidi" w:hAnsiTheme="majorBidi" w:cstheme="majorBidi"/>
          <w:lang w:val="en-GB"/>
        </w:rPr>
        <w:t>) into the tables of SSM codes for Synchronous Ethernet.</w:t>
      </w:r>
    </w:p>
    <w:p w14:paraId="7196329B"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G.8266/Y.1376 (2016) Amd.1 “Timing characteristics of telecom grandmaster clocks for frequency synchronization - Amendment 1”</w:t>
      </w:r>
      <w:r w:rsidRPr="00A94875">
        <w:rPr>
          <w:rFonts w:asciiTheme="majorBidi" w:hAnsiTheme="majorBidi" w:cstheme="majorBidi"/>
          <w:lang w:val="en-GB"/>
        </w:rPr>
        <w:t xml:space="preserve"> provides the following updates:</w:t>
      </w:r>
    </w:p>
    <w:p w14:paraId="2A205FCB"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Changes the scope to include the GM with embedded PRTC</w:t>
      </w:r>
    </w:p>
    <w:p w14:paraId="3707AF69"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Changes Clause 8.1 to account for the GM with embedded PRTC</w:t>
      </w:r>
    </w:p>
    <w:p w14:paraId="3CE11F9E"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Replaces text and provides additional material to Appendix I.</w:t>
      </w:r>
    </w:p>
    <w:p w14:paraId="2386CD63" w14:textId="0C5A8653"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G.8271 (2017) Amd.1 “Time and phase synchronization aspects of telecommunication networks - Amendment 1”</w:t>
      </w:r>
      <w:r w:rsidRPr="00A94875">
        <w:rPr>
          <w:rFonts w:asciiTheme="majorBidi" w:hAnsiTheme="majorBidi" w:cstheme="majorBidi"/>
          <w:bCs/>
          <w:lang w:val="en-GB"/>
        </w:rPr>
        <w:t xml:space="preserve"> provides the following update:</w:t>
      </w:r>
    </w:p>
    <w:p w14:paraId="05821267"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Addition to Appendix IV on network asymmetry.</w:t>
      </w:r>
    </w:p>
    <w:p w14:paraId="036CEC28"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
          <w:bCs/>
          <w:lang w:val="en-GB"/>
        </w:rPr>
        <w:t xml:space="preserve">ITU-T G.8271 </w:t>
      </w:r>
      <w:proofErr w:type="spellStart"/>
      <w:r w:rsidRPr="00A94875">
        <w:rPr>
          <w:rFonts w:asciiTheme="majorBidi" w:hAnsiTheme="majorBidi" w:cstheme="majorBidi"/>
          <w:b/>
          <w:bCs/>
          <w:lang w:val="en-GB"/>
        </w:rPr>
        <w:t>Amd</w:t>
      </w:r>
      <w:proofErr w:type="spellEnd"/>
      <w:r w:rsidRPr="00A94875">
        <w:rPr>
          <w:rFonts w:asciiTheme="majorBidi" w:hAnsiTheme="majorBidi" w:cstheme="majorBidi"/>
          <w:b/>
          <w:bCs/>
          <w:lang w:val="en-GB"/>
        </w:rPr>
        <w:t xml:space="preserve"> 2 “Time and phase synchronization aspects of packet networks: Amendment 2”</w:t>
      </w:r>
      <w:r w:rsidRPr="00A94875">
        <w:rPr>
          <w:rFonts w:asciiTheme="majorBidi" w:hAnsiTheme="majorBidi" w:cstheme="majorBidi"/>
          <w:bCs/>
          <w:lang w:val="en-GB"/>
        </w:rPr>
        <w:t xml:space="preserve"> (under approval) provides the following updates:</w:t>
      </w:r>
    </w:p>
    <w:p w14:paraId="04AC6B63"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Added abbreviations and acronyms</w:t>
      </w:r>
    </w:p>
    <w:p w14:paraId="65A078EC"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Replaced Tables 1 and 2</w:t>
      </w:r>
    </w:p>
    <w:p w14:paraId="584BEC45"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Enhanced description of FCS field in Annex A.1.3.2</w:t>
      </w:r>
    </w:p>
    <w:p w14:paraId="73B3FA8A"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Replaced Table A.7</w:t>
      </w:r>
    </w:p>
    <w:p w14:paraId="5A9F7A6A"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Added text to clause I.7.2</w:t>
      </w:r>
    </w:p>
    <w:p w14:paraId="33281F22"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Replaced Table II.1</w:t>
      </w:r>
    </w:p>
    <w:p w14:paraId="253F2109"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Replaced Table II.2</w:t>
      </w:r>
    </w:p>
    <w:p w14:paraId="01E32D44"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Added references to the Bibliography.</w:t>
      </w:r>
    </w:p>
    <w:p w14:paraId="6A08BF2D" w14:textId="467F12C2"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G.8271.1/Y.1366.1 (2017) Amd.1 “Network limits for time synchronization in Packet networks - Amendment 1”</w:t>
      </w:r>
      <w:r w:rsidRPr="00A94875">
        <w:rPr>
          <w:rFonts w:asciiTheme="majorBidi" w:hAnsiTheme="majorBidi" w:cstheme="majorBidi"/>
          <w:bCs/>
          <w:lang w:val="en-GB"/>
        </w:rPr>
        <w:t xml:space="preserve"> provides the following updates:</w:t>
      </w:r>
    </w:p>
    <w:p w14:paraId="6C9AFF4E"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Changes to clause 7 (Network Limits)</w:t>
      </w:r>
    </w:p>
    <w:p w14:paraId="11414B00"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Minor enhancements to Appendix III</w:t>
      </w:r>
    </w:p>
    <w:p w14:paraId="10E6F5A0"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Amendment to Appendix V</w:t>
      </w:r>
    </w:p>
    <w:p w14:paraId="0769BE90"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Replacement of Appendix VII</w:t>
      </w:r>
    </w:p>
    <w:p w14:paraId="7EC06011"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Replacement of Figure IX.1</w:t>
      </w:r>
    </w:p>
    <w:p w14:paraId="35327080"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Addition of new Appendix X</w:t>
      </w:r>
    </w:p>
    <w:p w14:paraId="6B12AFF2"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Addition of new Appendix XI</w:t>
      </w:r>
    </w:p>
    <w:p w14:paraId="46F4C1C3"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Addition of a Bibliography.</w:t>
      </w:r>
    </w:p>
    <w:p w14:paraId="36BA3094" w14:textId="004BF4B9"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G.8271.2/Y.1366.2 (2017) Amd.1 “Network limits for time synchronization in packet networks with partial timing support from the network - Amendment 1”</w:t>
      </w:r>
      <w:r w:rsidRPr="00A94875">
        <w:rPr>
          <w:rFonts w:asciiTheme="majorBidi" w:hAnsiTheme="majorBidi" w:cstheme="majorBidi"/>
          <w:lang w:val="en-GB"/>
        </w:rPr>
        <w:t xml:space="preserve"> </w:t>
      </w:r>
      <w:r w:rsidR="003E0D98" w:rsidRPr="00A94875">
        <w:rPr>
          <w:rFonts w:asciiTheme="majorBidi" w:hAnsiTheme="majorBidi" w:cstheme="majorBidi"/>
          <w:lang w:val="en-GB"/>
        </w:rPr>
        <w:t xml:space="preserve">(under approval) </w:t>
      </w:r>
      <w:r w:rsidRPr="00A94875">
        <w:rPr>
          <w:rFonts w:asciiTheme="majorBidi" w:hAnsiTheme="majorBidi" w:cstheme="majorBidi"/>
          <w:lang w:val="en-GB"/>
        </w:rPr>
        <w:t>provides the following updates:</w:t>
      </w:r>
    </w:p>
    <w:p w14:paraId="1FE67655" w14:textId="77777777" w:rsidR="006944F8" w:rsidRPr="00A94875" w:rsidRDefault="006944F8" w:rsidP="006944F8">
      <w:pPr>
        <w:spacing w:before="60"/>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Addition of new acronyms</w:t>
      </w:r>
    </w:p>
    <w:p w14:paraId="6756692D" w14:textId="77777777" w:rsidR="006944F8" w:rsidRPr="00A94875" w:rsidRDefault="006944F8" w:rsidP="006944F8">
      <w:pPr>
        <w:spacing w:before="60"/>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Addition of note to clause 7</w:t>
      </w:r>
    </w:p>
    <w:p w14:paraId="790DDC6E" w14:textId="77777777" w:rsidR="006944F8" w:rsidRPr="00A94875" w:rsidRDefault="006944F8" w:rsidP="006944F8">
      <w:pPr>
        <w:spacing w:before="60"/>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Revision of sub-clause 7.3</w:t>
      </w:r>
    </w:p>
    <w:p w14:paraId="23CE562F" w14:textId="77777777" w:rsidR="006944F8" w:rsidRPr="00A94875" w:rsidRDefault="006944F8" w:rsidP="006944F8">
      <w:pPr>
        <w:spacing w:before="60"/>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Addition of sub-clause 7.4</w:t>
      </w:r>
    </w:p>
    <w:p w14:paraId="3DCD040B" w14:textId="77777777" w:rsidR="006944F8" w:rsidRPr="00A94875" w:rsidRDefault="006944F8" w:rsidP="006944F8">
      <w:pPr>
        <w:spacing w:before="60"/>
        <w:ind w:left="567"/>
        <w:rPr>
          <w:rFonts w:asciiTheme="majorBidi" w:hAnsiTheme="majorBidi" w:cstheme="majorBidi"/>
          <w:lang w:val="en-GB"/>
        </w:rPr>
      </w:pPr>
      <w:r w:rsidRPr="00A94875">
        <w:rPr>
          <w:rFonts w:asciiTheme="majorBidi" w:hAnsiTheme="majorBidi" w:cstheme="majorBidi"/>
          <w:lang w:val="en-GB"/>
        </w:rPr>
        <w:lastRenderedPageBreak/>
        <w:t>−</w:t>
      </w:r>
      <w:r w:rsidRPr="00A94875">
        <w:rPr>
          <w:rFonts w:asciiTheme="majorBidi" w:hAnsiTheme="majorBidi" w:cstheme="majorBidi"/>
          <w:lang w:val="en-GB"/>
        </w:rPr>
        <w:tab/>
        <w:t>Revision of Appendix I</w:t>
      </w:r>
    </w:p>
    <w:p w14:paraId="7D20F1F5" w14:textId="77777777" w:rsidR="006944F8" w:rsidRPr="00A94875" w:rsidRDefault="006944F8" w:rsidP="006944F8">
      <w:pPr>
        <w:spacing w:before="60"/>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Revision of Appendix II.</w:t>
      </w:r>
    </w:p>
    <w:p w14:paraId="5BCA659C"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
          <w:bCs/>
          <w:lang w:val="en-GB"/>
        </w:rPr>
        <w:t xml:space="preserve">ITU-T G.8271.2 Amd.2 “Network limits </w:t>
      </w:r>
      <w:proofErr w:type="gramStart"/>
      <w:r w:rsidRPr="00A94875">
        <w:rPr>
          <w:rFonts w:asciiTheme="majorBidi" w:hAnsiTheme="majorBidi" w:cstheme="majorBidi"/>
          <w:b/>
          <w:bCs/>
          <w:lang w:val="en-GB"/>
        </w:rPr>
        <w:t>for time synchronization in packet networks with partial timing support from the network</w:t>
      </w:r>
      <w:proofErr w:type="gramEnd"/>
      <w:r w:rsidRPr="00A94875">
        <w:rPr>
          <w:rFonts w:asciiTheme="majorBidi" w:hAnsiTheme="majorBidi" w:cstheme="majorBidi"/>
          <w:b/>
          <w:bCs/>
          <w:lang w:val="en-GB"/>
        </w:rPr>
        <w:t>: Amendment 2”</w:t>
      </w:r>
      <w:r w:rsidRPr="00A94875">
        <w:rPr>
          <w:rFonts w:asciiTheme="majorBidi" w:hAnsiTheme="majorBidi" w:cstheme="majorBidi"/>
          <w:bCs/>
          <w:lang w:val="en-GB"/>
        </w:rPr>
        <w:t xml:space="preserve"> (under approval) provides the following updates:</w:t>
      </w:r>
    </w:p>
    <w:p w14:paraId="7EA90894"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Replacement of Figure 2</w:t>
      </w:r>
    </w:p>
    <w:p w14:paraId="35BB2016"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Addition of text to clauses 7.3.1.1 and 7.3.2.1</w:t>
      </w:r>
    </w:p>
    <w:p w14:paraId="66CAAB74"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Revision of clauses 7.4.1 and 7.4.2</w:t>
      </w:r>
    </w:p>
    <w:p w14:paraId="08207B94"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Replacement of Figures I.2 and I.4</w:t>
      </w:r>
    </w:p>
    <w:p w14:paraId="61318899"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Revision of clauses I.3 and I.6</w:t>
      </w:r>
    </w:p>
    <w:p w14:paraId="44523963" w14:textId="77777777" w:rsidR="00A37EB4" w:rsidRPr="00A94875" w:rsidRDefault="00A37EB4" w:rsidP="00A37EB4">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Addition of new Appendix IV.</w:t>
      </w:r>
    </w:p>
    <w:p w14:paraId="4B8981ED" w14:textId="7BD2BF6C" w:rsidR="00787ADE" w:rsidRPr="00A94875" w:rsidRDefault="00787ADE" w:rsidP="00787ADE">
      <w:pPr>
        <w:rPr>
          <w:rFonts w:asciiTheme="majorBidi" w:hAnsiTheme="majorBidi" w:cstheme="majorBidi"/>
          <w:b/>
          <w:lang w:val="en-GB"/>
        </w:rPr>
      </w:pPr>
      <w:r w:rsidRPr="00A94875">
        <w:rPr>
          <w:rFonts w:asciiTheme="majorBidi" w:hAnsiTheme="majorBidi" w:cstheme="majorBidi"/>
          <w:b/>
          <w:lang w:val="en-GB"/>
        </w:rPr>
        <w:t>ITU-T G.8272 (revised) “Timing characteristics of primary reference time clocks”</w:t>
      </w:r>
      <w:r w:rsidRPr="00A94875">
        <w:rPr>
          <w:rFonts w:asciiTheme="majorBidi" w:hAnsiTheme="majorBidi" w:cstheme="majorBidi"/>
          <w:lang w:val="en-GB"/>
        </w:rPr>
        <w:t xml:space="preserve"> (under approval) specifies the requirements for primary reference time clocks (PRTCs) suitable for time, phase and frequency synchronization in packet networks. It defines the error allowed at the time output of the PRTC. These requirements apply under the normal environmental conditions specified for the equipment.</w:t>
      </w:r>
    </w:p>
    <w:p w14:paraId="73EF4DA5" w14:textId="5EB7AD00"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G.8273/Y.1368 “Framework of phase and time clocks”</w:t>
      </w:r>
      <w:r w:rsidRPr="00A94875">
        <w:rPr>
          <w:rFonts w:asciiTheme="majorBidi" w:hAnsiTheme="majorBidi" w:cstheme="majorBidi"/>
          <w:lang w:val="en-GB"/>
        </w:rPr>
        <w:t xml:space="preserve"> is a framework Recommendation for phase and time clocks for devices used in synchronizing network equipment that operate in the network architecture defined in Recommendations ITU-T G.8271, ITU-T G.8275 and the ITU-T G.8271.x series of Recommendations.</w:t>
      </w:r>
    </w:p>
    <w:p w14:paraId="4774C51F" w14:textId="3289EBF1" w:rsidR="0080160A" w:rsidRPr="00A94875" w:rsidRDefault="0080160A" w:rsidP="0080160A">
      <w:pPr>
        <w:rPr>
          <w:rFonts w:asciiTheme="majorBidi" w:hAnsiTheme="majorBidi" w:cstheme="majorBidi"/>
          <w:lang w:val="en-GB"/>
        </w:rPr>
      </w:pPr>
      <w:r w:rsidRPr="00A94875">
        <w:rPr>
          <w:rFonts w:asciiTheme="majorBidi" w:hAnsiTheme="majorBidi" w:cstheme="majorBidi"/>
          <w:b/>
          <w:lang w:val="en-GB"/>
        </w:rPr>
        <w:t>ITU-T G.8273.2/Y.1368.2 Amd.2 “Timing characteristics of telecom boundary clocks and telecom time slave clocks - Amendment 2”</w:t>
      </w:r>
      <w:r w:rsidRPr="00A94875">
        <w:rPr>
          <w:rFonts w:asciiTheme="majorBidi" w:hAnsiTheme="majorBidi" w:cstheme="majorBidi"/>
          <w:lang w:val="en-GB"/>
        </w:rPr>
        <w:t xml:space="preserve"> (under approval) replaces text in the Scope, in clauses 2, 4, 7.1, 7.1.1, 7.1.2, 7.4.1.2, C.2.4.1.2, and in Annex </w:t>
      </w:r>
      <w:proofErr w:type="gramStart"/>
      <w:r w:rsidRPr="00A94875">
        <w:rPr>
          <w:rFonts w:asciiTheme="majorBidi" w:hAnsiTheme="majorBidi" w:cstheme="majorBidi"/>
          <w:lang w:val="en-GB"/>
        </w:rPr>
        <w:t>B .</w:t>
      </w:r>
      <w:proofErr w:type="gramEnd"/>
      <w:r w:rsidRPr="00A94875">
        <w:rPr>
          <w:rFonts w:asciiTheme="majorBidi" w:hAnsiTheme="majorBidi" w:cstheme="majorBidi"/>
          <w:lang w:val="en-GB"/>
        </w:rPr>
        <w:t xml:space="preserve"> It adds Annex D. It replaces text in Appendices </w:t>
      </w:r>
      <w:proofErr w:type="gramStart"/>
      <w:r w:rsidRPr="00A94875">
        <w:rPr>
          <w:rFonts w:asciiTheme="majorBidi" w:hAnsiTheme="majorBidi" w:cstheme="majorBidi"/>
          <w:lang w:val="en-GB"/>
        </w:rPr>
        <w:t>I, II, and V.</w:t>
      </w:r>
      <w:proofErr w:type="gramEnd"/>
      <w:r w:rsidRPr="00A94875">
        <w:rPr>
          <w:rFonts w:asciiTheme="majorBidi" w:hAnsiTheme="majorBidi" w:cstheme="majorBidi"/>
          <w:lang w:val="en-GB"/>
        </w:rPr>
        <w:t xml:space="preserve"> It replaces text, table and figure in Appendix III and VI.</w:t>
      </w:r>
    </w:p>
    <w:p w14:paraId="702D4B4C" w14:textId="2F626A72" w:rsidR="00A62007" w:rsidRPr="00A94875" w:rsidRDefault="00A62007" w:rsidP="00A62007">
      <w:pPr>
        <w:rPr>
          <w:rFonts w:asciiTheme="majorBidi" w:hAnsiTheme="majorBidi" w:cstheme="majorBidi"/>
          <w:lang w:val="en-GB"/>
        </w:rPr>
      </w:pPr>
      <w:r w:rsidRPr="00A94875">
        <w:rPr>
          <w:rFonts w:asciiTheme="majorBidi" w:hAnsiTheme="majorBidi" w:cstheme="majorBidi"/>
          <w:b/>
          <w:lang w:val="en-GB"/>
        </w:rPr>
        <w:t>ITU-T G.8273.3/Y.1368.3 Amd.1 “Timing characteristics of telecom transparent clocks - Amendment 1”</w:t>
      </w:r>
      <w:r w:rsidRPr="00A94875">
        <w:rPr>
          <w:rFonts w:asciiTheme="majorBidi" w:hAnsiTheme="majorBidi" w:cstheme="majorBidi"/>
          <w:lang w:val="en-GB"/>
        </w:rPr>
        <w:t xml:space="preserve"> (under approval) changes the notes in clauses 7.1.1, 7.1.2 and 7.13. It also adds Appendix III.</w:t>
      </w:r>
    </w:p>
    <w:p w14:paraId="715417AE" w14:textId="15522ADA" w:rsidR="00BC58A6" w:rsidRPr="00A94875" w:rsidRDefault="00BC58A6" w:rsidP="00BC58A6">
      <w:pPr>
        <w:rPr>
          <w:rFonts w:asciiTheme="majorBidi" w:hAnsiTheme="majorBidi" w:cstheme="majorBidi"/>
          <w:bCs/>
          <w:lang w:val="en-GB"/>
        </w:rPr>
      </w:pPr>
      <w:r w:rsidRPr="00A94875">
        <w:rPr>
          <w:rFonts w:asciiTheme="majorBidi" w:hAnsiTheme="majorBidi" w:cstheme="majorBidi"/>
          <w:b/>
          <w:bCs/>
          <w:lang w:val="en-GB"/>
        </w:rPr>
        <w:t>ITU-T G.8275/Y.1369 Amd.1 “Architecture and requirements for packet-based time and phase distribution: Amendment 1”</w:t>
      </w:r>
      <w:r w:rsidRPr="00A94875">
        <w:rPr>
          <w:rFonts w:asciiTheme="majorBidi" w:hAnsiTheme="majorBidi" w:cstheme="majorBidi"/>
          <w:bCs/>
          <w:lang w:val="en-GB"/>
        </w:rPr>
        <w:t xml:space="preserve"> (under approval) provides the following updates:</w:t>
      </w:r>
    </w:p>
    <w:p w14:paraId="421D54F0" w14:textId="77777777" w:rsidR="00BC58A6" w:rsidRPr="00A94875" w:rsidRDefault="00BC58A6" w:rsidP="00BC58A6">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 to Acronyms</w:t>
      </w:r>
    </w:p>
    <w:p w14:paraId="7A505639" w14:textId="77777777" w:rsidR="00BC58A6" w:rsidRPr="00A94875" w:rsidRDefault="00BC58A6" w:rsidP="00BC58A6">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 to Bibliography</w:t>
      </w:r>
    </w:p>
    <w:p w14:paraId="7708BD24" w14:textId="77777777" w:rsidR="00BC58A6" w:rsidRPr="00A94875" w:rsidRDefault="00BC58A6" w:rsidP="00BC58A6">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Update Appendix III, Generic IWF PTP clock</w:t>
      </w:r>
    </w:p>
    <w:p w14:paraId="254D18C6" w14:textId="77777777" w:rsidR="00BC58A6" w:rsidRPr="00A94875" w:rsidRDefault="00BC58A6" w:rsidP="00BC58A6">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 new Appendix V, Deployment Examples and the Use of Partially Aware Clock Types</w:t>
      </w:r>
    </w:p>
    <w:p w14:paraId="73966E57" w14:textId="19BC1FCD" w:rsidR="00BC58A6" w:rsidRPr="00A94875" w:rsidRDefault="00BC58A6" w:rsidP="00BC58A6">
      <w:pPr>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 xml:space="preserve">Add new Appendix VI, </w:t>
      </w:r>
      <w:proofErr w:type="spellStart"/>
      <w:r w:rsidRPr="00A94875">
        <w:rPr>
          <w:rFonts w:asciiTheme="majorBidi" w:hAnsiTheme="majorBidi" w:cstheme="majorBidi"/>
          <w:bCs/>
          <w:lang w:val="en-GB"/>
        </w:rPr>
        <w:t>cnPRTC</w:t>
      </w:r>
      <w:proofErr w:type="spellEnd"/>
      <w:r w:rsidRPr="00A94875">
        <w:rPr>
          <w:rFonts w:asciiTheme="majorBidi" w:hAnsiTheme="majorBidi" w:cstheme="majorBidi"/>
          <w:bCs/>
          <w:lang w:val="en-GB"/>
        </w:rPr>
        <w:t xml:space="preserve"> functional architecture.</w:t>
      </w:r>
    </w:p>
    <w:p w14:paraId="3E82A6B5" w14:textId="30637BF0"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 xml:space="preserve">ITU-T G.8275.1/Y.1369.1 (2016) Amd.2 “Precision </w:t>
      </w:r>
      <w:proofErr w:type="gramStart"/>
      <w:r w:rsidRPr="00A94875">
        <w:rPr>
          <w:rFonts w:asciiTheme="majorBidi" w:hAnsiTheme="majorBidi" w:cstheme="majorBidi"/>
          <w:b/>
          <w:bCs/>
          <w:lang w:val="en-GB"/>
        </w:rPr>
        <w:t>time protocol telecom profile</w:t>
      </w:r>
      <w:proofErr w:type="gramEnd"/>
      <w:r w:rsidRPr="00A94875">
        <w:rPr>
          <w:rFonts w:asciiTheme="majorBidi" w:hAnsiTheme="majorBidi" w:cstheme="majorBidi"/>
          <w:b/>
          <w:bCs/>
          <w:lang w:val="en-GB"/>
        </w:rPr>
        <w:t xml:space="preserve"> for phase/time synchronization with full timing support from the network: Amendment 2”</w:t>
      </w:r>
      <w:r w:rsidRPr="00A94875">
        <w:rPr>
          <w:rFonts w:asciiTheme="majorBidi" w:hAnsiTheme="majorBidi" w:cstheme="majorBidi"/>
          <w:bCs/>
          <w:lang w:val="en-GB"/>
        </w:rPr>
        <w:t xml:space="preserve"> provides the following updates:</w:t>
      </w:r>
    </w:p>
    <w:p w14:paraId="354239A8"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Change Annex C to reference G.8275 Annex B</w:t>
      </w:r>
    </w:p>
    <w:p w14:paraId="48AABBF2"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Correct some settings in Tables V.2 and V.3</w:t>
      </w:r>
    </w:p>
    <w:p w14:paraId="58F90B8E"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 xml:space="preserve">Clarify the requirements on the T-TSC when it </w:t>
      </w:r>
      <w:proofErr w:type="gramStart"/>
      <w:r w:rsidRPr="00A94875">
        <w:rPr>
          <w:rFonts w:asciiTheme="majorBidi" w:hAnsiTheme="majorBidi" w:cstheme="majorBidi"/>
          <w:bCs/>
          <w:lang w:val="en-GB"/>
        </w:rPr>
        <w:t>is embedded</w:t>
      </w:r>
      <w:proofErr w:type="gramEnd"/>
      <w:r w:rsidRPr="00A94875">
        <w:rPr>
          <w:rFonts w:asciiTheme="majorBidi" w:hAnsiTheme="majorBidi" w:cstheme="majorBidi"/>
          <w:bCs/>
          <w:lang w:val="en-GB"/>
        </w:rPr>
        <w:t xml:space="preserve"> in the end application</w:t>
      </w:r>
    </w:p>
    <w:p w14:paraId="653D1BDA" w14:textId="77777777" w:rsidR="006944F8" w:rsidRPr="00A94875" w:rsidRDefault="006944F8" w:rsidP="006944F8">
      <w:pPr>
        <w:ind w:left="567"/>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Add an example to Appendix XII.</w:t>
      </w:r>
    </w:p>
    <w:p w14:paraId="74626F28"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lastRenderedPageBreak/>
        <w:t>ITU-T G.8275.2/Y.1369.2 (2016) Amd.2 “Precision time protocol telecom profile for phase/time synchronization with partial timing support from the network - Amendment 2”</w:t>
      </w:r>
      <w:r w:rsidRPr="00A94875">
        <w:rPr>
          <w:rFonts w:asciiTheme="majorBidi" w:hAnsiTheme="majorBidi" w:cstheme="majorBidi"/>
          <w:lang w:val="en-GB"/>
        </w:rPr>
        <w:t xml:space="preserve"> provides the following updates:</w:t>
      </w:r>
    </w:p>
    <w:p w14:paraId="7F4F401F" w14:textId="77777777" w:rsidR="006944F8" w:rsidRPr="00A94875" w:rsidRDefault="006944F8" w:rsidP="006944F8">
      <w:pPr>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Added new acronym to clause 4: T-BC-A</w:t>
      </w:r>
    </w:p>
    <w:p w14:paraId="1E5BE95D" w14:textId="77777777" w:rsidR="006944F8" w:rsidRPr="00A94875" w:rsidRDefault="006944F8" w:rsidP="006944F8">
      <w:pPr>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Added and replaced text in clause 5 related to addition of T-BC-A</w:t>
      </w:r>
    </w:p>
    <w:p w14:paraId="47145141" w14:textId="77777777" w:rsidR="006944F8" w:rsidRPr="00A94875" w:rsidRDefault="006944F8" w:rsidP="006944F8">
      <w:pPr>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Added and replaced text in clause 6.2.3 related to T-BC-A addition and reference to “local time reference”, including changes to Table 1</w:t>
      </w:r>
    </w:p>
    <w:p w14:paraId="717DF47D" w14:textId="77777777" w:rsidR="006944F8" w:rsidRPr="00A94875" w:rsidRDefault="006944F8" w:rsidP="006944F8">
      <w:pPr>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Changed text in clause 6.6</w:t>
      </w:r>
    </w:p>
    <w:p w14:paraId="0819635D" w14:textId="77777777" w:rsidR="006944F8" w:rsidRPr="00A94875" w:rsidRDefault="006944F8" w:rsidP="006944F8">
      <w:pPr>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Added references to T-BC-A in clauses 6.7.1 and 6.7.4</w:t>
      </w:r>
    </w:p>
    <w:p w14:paraId="51059551" w14:textId="77777777" w:rsidR="006944F8" w:rsidRPr="00A94875" w:rsidRDefault="006944F8" w:rsidP="006944F8">
      <w:pPr>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Added T-BC-A reference and “local time reference” to clauses 6.7.6 and 6.7.7</w:t>
      </w:r>
    </w:p>
    <w:p w14:paraId="5E3E168C" w14:textId="77777777" w:rsidR="006944F8" w:rsidRPr="00A94875" w:rsidRDefault="006944F8" w:rsidP="006944F8">
      <w:pPr>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New material and edits to clause 6.8 including T-BC-A references</w:t>
      </w:r>
    </w:p>
    <w:p w14:paraId="0EF3D5B3" w14:textId="77777777" w:rsidR="006944F8" w:rsidRPr="00A94875" w:rsidRDefault="006944F8" w:rsidP="006944F8">
      <w:pPr>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Added references to T-BC-A in Appendix I and Appendix III</w:t>
      </w:r>
    </w:p>
    <w:p w14:paraId="3B59E987" w14:textId="77777777" w:rsidR="006944F8" w:rsidRPr="00A94875" w:rsidRDefault="006944F8" w:rsidP="006944F8">
      <w:pPr>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Added “local time reference” to Appendix II</w:t>
      </w:r>
    </w:p>
    <w:p w14:paraId="0360AE0C" w14:textId="77777777" w:rsidR="006944F8" w:rsidRPr="00A94875" w:rsidRDefault="006944F8" w:rsidP="006944F8">
      <w:pPr>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 xml:space="preserve">Added and replaced material in Appendix IV </w:t>
      </w:r>
    </w:p>
    <w:p w14:paraId="2F01B935" w14:textId="77777777" w:rsidR="006944F8" w:rsidRPr="00A94875" w:rsidRDefault="006944F8" w:rsidP="006944F8">
      <w:pPr>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New material added to Appendix V related to PTSF</w:t>
      </w:r>
    </w:p>
    <w:p w14:paraId="702AFE97" w14:textId="60390EF8" w:rsidR="006944F8" w:rsidRPr="00A94875" w:rsidRDefault="006944F8" w:rsidP="006944F8">
      <w:pPr>
        <w:ind w:left="567"/>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t>Added new Appendix VIII on PTSF-</w:t>
      </w:r>
      <w:proofErr w:type="spellStart"/>
      <w:r w:rsidRPr="00A94875">
        <w:rPr>
          <w:rFonts w:asciiTheme="majorBidi" w:hAnsiTheme="majorBidi" w:cstheme="majorBidi"/>
          <w:lang w:val="en-GB"/>
        </w:rPr>
        <w:t>lossSync</w:t>
      </w:r>
      <w:proofErr w:type="spellEnd"/>
      <w:r w:rsidRPr="00A94875">
        <w:rPr>
          <w:rFonts w:asciiTheme="majorBidi" w:hAnsiTheme="majorBidi" w:cstheme="majorBidi"/>
          <w:lang w:val="en-GB"/>
        </w:rPr>
        <w:t>.</w:t>
      </w:r>
    </w:p>
    <w:p w14:paraId="147630B3" w14:textId="3F846AB6" w:rsidR="0094538E" w:rsidRPr="00A94875" w:rsidRDefault="0094538E" w:rsidP="0094538E">
      <w:pPr>
        <w:rPr>
          <w:rFonts w:asciiTheme="majorBidi" w:hAnsiTheme="majorBidi" w:cstheme="majorBidi"/>
          <w:lang w:val="en-GB"/>
        </w:rPr>
      </w:pPr>
      <w:r w:rsidRPr="00A94875">
        <w:rPr>
          <w:rFonts w:asciiTheme="majorBidi" w:hAnsiTheme="majorBidi" w:cstheme="majorBidi"/>
          <w:b/>
          <w:lang w:val="en-GB"/>
        </w:rPr>
        <w:t xml:space="preserve">ITU-T </w:t>
      </w:r>
      <w:proofErr w:type="spellStart"/>
      <w:r w:rsidRPr="00A94875">
        <w:rPr>
          <w:rFonts w:asciiTheme="majorBidi" w:hAnsiTheme="majorBidi" w:cstheme="majorBidi"/>
          <w:b/>
          <w:lang w:val="en-GB"/>
        </w:rPr>
        <w:t>G.Suppl.sim</w:t>
      </w:r>
      <w:proofErr w:type="spellEnd"/>
      <w:r w:rsidRPr="00A94875">
        <w:rPr>
          <w:rFonts w:asciiTheme="majorBidi" w:hAnsiTheme="majorBidi" w:cstheme="majorBidi"/>
          <w:b/>
          <w:lang w:val="en-GB"/>
        </w:rPr>
        <w:t xml:space="preserve"> “Simulations of Transport of Time over Packet Networks”</w:t>
      </w:r>
      <w:r w:rsidRPr="00A94875">
        <w:rPr>
          <w:rFonts w:asciiTheme="majorBidi" w:hAnsiTheme="majorBidi" w:cstheme="majorBidi"/>
          <w:lang w:val="en-GB"/>
        </w:rPr>
        <w:t xml:space="preserve"> describes the mathematical modelling and simulation analyses to support the development of ITU-T Recommendations on the transport of time over packet networks. The main purpose of this Supplement is to document this work, as it forms the basis for the requirements in the relevant Recommendations. Both time-domain and frequency domain models and analyses </w:t>
      </w:r>
      <w:proofErr w:type="gramStart"/>
      <w:r w:rsidRPr="00A94875">
        <w:rPr>
          <w:rFonts w:asciiTheme="majorBidi" w:hAnsiTheme="majorBidi" w:cstheme="majorBidi"/>
          <w:lang w:val="en-GB"/>
        </w:rPr>
        <w:t>are described</w:t>
      </w:r>
      <w:proofErr w:type="gramEnd"/>
      <w:r w:rsidRPr="00A94875">
        <w:rPr>
          <w:rFonts w:asciiTheme="majorBidi" w:hAnsiTheme="majorBidi" w:cstheme="majorBidi"/>
          <w:lang w:val="en-GB"/>
        </w:rPr>
        <w:t>.</w:t>
      </w:r>
    </w:p>
    <w:p w14:paraId="08002BD8" w14:textId="15370EEF" w:rsidR="0094538E" w:rsidRPr="00A94875" w:rsidRDefault="0094538E" w:rsidP="0094538E">
      <w:pPr>
        <w:rPr>
          <w:rFonts w:asciiTheme="majorBidi" w:hAnsiTheme="majorBidi" w:cstheme="majorBidi"/>
          <w:lang w:val="en-GB"/>
        </w:rPr>
      </w:pPr>
      <w:r w:rsidRPr="00A94875">
        <w:rPr>
          <w:rFonts w:asciiTheme="majorBidi" w:hAnsiTheme="majorBidi" w:cstheme="majorBidi"/>
          <w:lang w:val="en-GB"/>
        </w:rPr>
        <w:t xml:space="preserve">Since </w:t>
      </w:r>
      <w:proofErr w:type="spellStart"/>
      <w:r w:rsidRPr="00A94875">
        <w:rPr>
          <w:rFonts w:asciiTheme="majorBidi" w:hAnsiTheme="majorBidi" w:cstheme="majorBidi"/>
          <w:lang w:val="en-GB"/>
        </w:rPr>
        <w:t>SyncE</w:t>
      </w:r>
      <w:proofErr w:type="spellEnd"/>
      <w:r w:rsidRPr="00A94875">
        <w:rPr>
          <w:rFonts w:asciiTheme="majorBidi" w:hAnsiTheme="majorBidi" w:cstheme="majorBidi"/>
          <w:lang w:val="en-GB"/>
        </w:rPr>
        <w:t xml:space="preserve"> </w:t>
      </w:r>
      <w:proofErr w:type="gramStart"/>
      <w:r w:rsidRPr="00A94875">
        <w:rPr>
          <w:rFonts w:asciiTheme="majorBidi" w:hAnsiTheme="majorBidi" w:cstheme="majorBidi"/>
          <w:lang w:val="en-GB"/>
        </w:rPr>
        <w:t>noise</w:t>
      </w:r>
      <w:proofErr w:type="gramEnd"/>
      <w:r w:rsidRPr="00A94875">
        <w:rPr>
          <w:rFonts w:asciiTheme="majorBidi" w:hAnsiTheme="majorBidi" w:cstheme="majorBidi"/>
          <w:lang w:val="en-GB"/>
        </w:rPr>
        <w:t xml:space="preserve"> accumulation results are needed as input to the simulation of time error accumulation, models and simulation analyses for </w:t>
      </w:r>
      <w:proofErr w:type="spellStart"/>
      <w:r w:rsidRPr="00A94875">
        <w:rPr>
          <w:rFonts w:asciiTheme="majorBidi" w:hAnsiTheme="majorBidi" w:cstheme="majorBidi"/>
          <w:lang w:val="en-GB"/>
        </w:rPr>
        <w:t>SyncE</w:t>
      </w:r>
      <w:proofErr w:type="spellEnd"/>
      <w:r w:rsidRPr="00A94875">
        <w:rPr>
          <w:rFonts w:asciiTheme="majorBidi" w:hAnsiTheme="majorBidi" w:cstheme="majorBidi"/>
          <w:lang w:val="en-GB"/>
        </w:rPr>
        <w:t xml:space="preserve"> noise generation and accumulation are also described. The modelling and simulation work described here is limited to steady-state behaviour, non-enhanced clocks, </w:t>
      </w:r>
      <w:proofErr w:type="gramStart"/>
      <w:r w:rsidRPr="00A94875">
        <w:rPr>
          <w:rFonts w:asciiTheme="majorBidi" w:hAnsiTheme="majorBidi" w:cstheme="majorBidi"/>
          <w:lang w:val="en-GB"/>
        </w:rPr>
        <w:t>full</w:t>
      </w:r>
      <w:proofErr w:type="gramEnd"/>
      <w:r w:rsidRPr="00A94875">
        <w:rPr>
          <w:rFonts w:asciiTheme="majorBidi" w:hAnsiTheme="majorBidi" w:cstheme="majorBidi"/>
          <w:lang w:val="en-GB"/>
        </w:rPr>
        <w:t xml:space="preserve">-timing support from the network, and frequency provided by the physical layer by </w:t>
      </w:r>
      <w:proofErr w:type="spellStart"/>
      <w:r w:rsidRPr="00A94875">
        <w:rPr>
          <w:rFonts w:asciiTheme="majorBidi" w:hAnsiTheme="majorBidi" w:cstheme="majorBidi"/>
          <w:lang w:val="en-GB"/>
        </w:rPr>
        <w:t>SyncE</w:t>
      </w:r>
      <w:proofErr w:type="spellEnd"/>
      <w:r w:rsidRPr="00A94875">
        <w:rPr>
          <w:rFonts w:asciiTheme="majorBidi" w:hAnsiTheme="majorBidi" w:cstheme="majorBidi"/>
          <w:lang w:val="en-GB"/>
        </w:rPr>
        <w:t>. Simulation cases that do not have these limitations are for further study.</w:t>
      </w:r>
    </w:p>
    <w:p w14:paraId="3C75ECFA" w14:textId="77777777" w:rsidR="006944F8" w:rsidRPr="00A94875" w:rsidRDefault="006944F8" w:rsidP="00026FA5">
      <w:pPr>
        <w:keepNext/>
        <w:keepLines/>
        <w:spacing w:before="240"/>
        <w:rPr>
          <w:b/>
          <w:sz w:val="22"/>
          <w:szCs w:val="22"/>
          <w:lang w:val="en-GB"/>
        </w:rPr>
      </w:pPr>
      <w:r w:rsidRPr="00A94875">
        <w:rPr>
          <w:b/>
          <w:sz w:val="22"/>
          <w:szCs w:val="22"/>
          <w:lang w:val="en-GB"/>
        </w:rPr>
        <w:t>I.1.10</w:t>
      </w:r>
      <w:r w:rsidRPr="00A94875">
        <w:rPr>
          <w:b/>
          <w:sz w:val="22"/>
          <w:szCs w:val="22"/>
          <w:lang w:val="en-GB"/>
        </w:rPr>
        <w:tab/>
        <w:t>Cable</w:t>
      </w:r>
      <w:bookmarkEnd w:id="215"/>
    </w:p>
    <w:p w14:paraId="1311120F" w14:textId="77777777" w:rsidR="006944F8" w:rsidRPr="00A94875" w:rsidRDefault="006944F8" w:rsidP="00026FA5">
      <w:pPr>
        <w:keepNext/>
        <w:keepLines/>
        <w:rPr>
          <w:rFonts w:asciiTheme="majorBidi" w:hAnsiTheme="majorBidi" w:cstheme="majorBidi"/>
          <w:lang w:val="en-GB"/>
        </w:rPr>
      </w:pPr>
      <w:r w:rsidRPr="00A94875">
        <w:rPr>
          <w:rFonts w:asciiTheme="majorBidi" w:hAnsiTheme="majorBidi" w:cstheme="majorBidi"/>
          <w:b/>
          <w:lang w:val="en-GB"/>
        </w:rPr>
        <w:t>ITU-T J.207 (revised) “Specification for integrated broadcast and broadband digital television application control framework”</w:t>
      </w:r>
      <w:r w:rsidRPr="00A94875">
        <w:rPr>
          <w:rFonts w:asciiTheme="majorBidi" w:hAnsiTheme="majorBidi" w:cstheme="majorBidi"/>
          <w:lang w:val="en-GB"/>
        </w:rPr>
        <w:t xml:space="preserve"> provides guidance for administrations and entities who intend to provide integrated broadcast-broadband digital television (DTV) services in the development of integrated broadcast-broadband system solutions. This Recommendation also defines high-level application programming interfaces (APIs) needed to implement an application control framework for DTV-enabled devices. This framework is responsible for managing, integrating and controlling the interactive content and applications available through DTV services installed by the end user or embedded by the device manufacturer and providing a unified execution environment for them.</w:t>
      </w:r>
    </w:p>
    <w:p w14:paraId="10EE77C2"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J.297 (revised) “Requirements and functional specification of cable set top box for 4K ultra high definition television”</w:t>
      </w:r>
      <w:r w:rsidRPr="00A94875">
        <w:rPr>
          <w:rFonts w:asciiTheme="majorBidi" w:hAnsiTheme="majorBidi" w:cstheme="majorBidi"/>
          <w:lang w:val="en-GB"/>
        </w:rPr>
        <w:t xml:space="preserve"> adds Multiplex method for TLV and channel bonding in functional specification part and new function HDR for 4K ultra high definition service as well as several editorial modifications and updates in Appendix.</w:t>
      </w:r>
    </w:p>
    <w:p w14:paraId="27750AB2" w14:textId="77777777" w:rsidR="006944F8" w:rsidRPr="00A94875" w:rsidRDefault="006944F8" w:rsidP="006944F8">
      <w:pPr>
        <w:rPr>
          <w:rFonts w:asciiTheme="majorBidi" w:hAnsiTheme="majorBidi" w:cstheme="majorBidi"/>
          <w:b/>
          <w:highlight w:val="yellow"/>
          <w:lang w:val="en-GB"/>
        </w:rPr>
      </w:pPr>
      <w:r w:rsidRPr="00A94875">
        <w:rPr>
          <w:rFonts w:asciiTheme="majorBidi" w:hAnsiTheme="majorBidi" w:cstheme="majorBidi"/>
          <w:b/>
          <w:lang w:val="en-GB"/>
        </w:rPr>
        <w:t>ITU-T J.382 (revised) “Advanced digital downstream transmission systems for television, sound and data services for cable distribution”</w:t>
      </w:r>
      <w:r w:rsidRPr="00A94875">
        <w:rPr>
          <w:rFonts w:asciiTheme="majorBidi" w:hAnsiTheme="majorBidi" w:cstheme="majorBidi"/>
          <w:lang w:val="en-GB"/>
        </w:rPr>
        <w:t xml:space="preserve"> provides specifications that should be considered for advanced digital cable downstream transmission technologies to provide high spectral efficiency </w:t>
      </w:r>
      <w:r w:rsidRPr="00A94875">
        <w:rPr>
          <w:rFonts w:asciiTheme="majorBidi" w:hAnsiTheme="majorBidi" w:cstheme="majorBidi"/>
          <w:lang w:val="en-GB"/>
        </w:rPr>
        <w:lastRenderedPageBreak/>
        <w:t>schemes saving transmission resources for downstream in hybrid fibre coax (HFC) based networks. This Recommendation covers the common definition of framing structure, channel coding and modulation for television, sound and data services including high quality broadcast and multicast services distributed through HFC based networks.</w:t>
      </w:r>
    </w:p>
    <w:p w14:paraId="50281180" w14:textId="77777777" w:rsidR="006944F8" w:rsidRPr="00A94875" w:rsidRDefault="006944F8" w:rsidP="006944F8">
      <w:pPr>
        <w:rPr>
          <w:rFonts w:asciiTheme="majorBidi" w:hAnsiTheme="majorBidi" w:cstheme="majorBidi"/>
          <w:bCs/>
          <w:highlight w:val="yellow"/>
          <w:lang w:val="en-GB"/>
        </w:rPr>
      </w:pPr>
      <w:r w:rsidRPr="00A94875">
        <w:rPr>
          <w:rFonts w:asciiTheme="majorBidi" w:hAnsiTheme="majorBidi" w:cstheme="majorBidi"/>
          <w:b/>
          <w:bCs/>
          <w:lang w:val="en-GB"/>
        </w:rPr>
        <w:t>ITU-T J.1107 “Architecture and specification for Radio over IP transmission systems”</w:t>
      </w:r>
      <w:r w:rsidRPr="00A94875">
        <w:rPr>
          <w:rFonts w:asciiTheme="majorBidi" w:hAnsiTheme="majorBidi" w:cstheme="majorBidi"/>
          <w:lang w:val="en-GB"/>
        </w:rPr>
        <w:t xml:space="preserve"> </w:t>
      </w:r>
      <w:r w:rsidRPr="00A94875">
        <w:rPr>
          <w:rFonts w:asciiTheme="majorBidi" w:hAnsiTheme="majorBidi" w:cstheme="majorBidi"/>
          <w:bCs/>
          <w:lang w:val="en-GB"/>
        </w:rPr>
        <w:t xml:space="preserve">provide a cost-effective adaptable solution for HFC-based cable TV network devices in optic-based cable TV network. The purpose of </w:t>
      </w:r>
      <w:proofErr w:type="spellStart"/>
      <w:r w:rsidRPr="00A94875">
        <w:rPr>
          <w:rFonts w:asciiTheme="majorBidi" w:hAnsiTheme="majorBidi" w:cstheme="majorBidi"/>
          <w:bCs/>
          <w:lang w:val="en-GB"/>
        </w:rPr>
        <w:t>RoIP</w:t>
      </w:r>
      <w:proofErr w:type="spellEnd"/>
      <w:r w:rsidRPr="00A94875">
        <w:rPr>
          <w:rFonts w:asciiTheme="majorBidi" w:hAnsiTheme="majorBidi" w:cstheme="majorBidi"/>
          <w:bCs/>
          <w:lang w:val="en-GB"/>
        </w:rPr>
        <w:t xml:space="preserve"> system is to transmit Data </w:t>
      </w:r>
      <w:proofErr w:type="gramStart"/>
      <w:r w:rsidRPr="00A94875">
        <w:rPr>
          <w:rFonts w:asciiTheme="majorBidi" w:hAnsiTheme="majorBidi" w:cstheme="majorBidi"/>
          <w:bCs/>
          <w:lang w:val="en-GB"/>
        </w:rPr>
        <w:t>Over</w:t>
      </w:r>
      <w:proofErr w:type="gramEnd"/>
      <w:r w:rsidRPr="00A94875">
        <w:rPr>
          <w:rFonts w:asciiTheme="majorBidi" w:hAnsiTheme="majorBidi" w:cstheme="majorBidi"/>
          <w:bCs/>
          <w:lang w:val="en-GB"/>
        </w:rPr>
        <w:t xml:space="preserve"> Cable Service Interface Specifications (DOCSIS) based Up Stream (US) RF signal of Cable Modem (CM) to Cable Modem Termination System (CMTS) through IP transmission in optic-based cable TV network.</w:t>
      </w:r>
    </w:p>
    <w:p w14:paraId="2C34363D" w14:textId="77777777" w:rsidR="006944F8" w:rsidRPr="00A94875" w:rsidRDefault="006944F8" w:rsidP="006944F8">
      <w:pPr>
        <w:spacing w:before="240"/>
        <w:rPr>
          <w:b/>
          <w:sz w:val="22"/>
          <w:szCs w:val="22"/>
          <w:lang w:val="en-GB"/>
        </w:rPr>
      </w:pPr>
      <w:bookmarkStart w:id="220" w:name="_Toc480527893"/>
      <w:r w:rsidRPr="00A94875">
        <w:rPr>
          <w:b/>
          <w:sz w:val="22"/>
          <w:szCs w:val="22"/>
          <w:lang w:val="en-GB"/>
        </w:rPr>
        <w:t>I.2.2</w:t>
      </w:r>
      <w:r w:rsidRPr="00A94875">
        <w:rPr>
          <w:b/>
          <w:sz w:val="22"/>
          <w:szCs w:val="22"/>
          <w:lang w:val="en-GB"/>
        </w:rPr>
        <w:tab/>
      </w:r>
      <w:bookmarkEnd w:id="220"/>
      <w:r w:rsidRPr="00A94875">
        <w:rPr>
          <w:b/>
          <w:sz w:val="22"/>
          <w:szCs w:val="22"/>
          <w:lang w:val="en-GB"/>
        </w:rPr>
        <w:t>Smart ubiquitous networks, next-generation networks evolution, and future networks</w:t>
      </w:r>
    </w:p>
    <w:p w14:paraId="6A119AB9" w14:textId="67475785" w:rsidR="006944F8" w:rsidRPr="00A94875" w:rsidRDefault="006944F8" w:rsidP="006944F8">
      <w:pPr>
        <w:pStyle w:val="NormalWeb"/>
        <w:spacing w:before="120" w:beforeAutospacing="0" w:after="0" w:afterAutospacing="0"/>
        <w:rPr>
          <w:rFonts w:asciiTheme="majorBidi" w:hAnsiTheme="majorBidi" w:cstheme="majorBidi"/>
          <w:bCs/>
          <w:szCs w:val="20"/>
          <w:highlight w:val="yellow"/>
          <w:lang w:val="en-GB" w:eastAsia="en-US"/>
        </w:rPr>
      </w:pPr>
      <w:r w:rsidRPr="00A94875">
        <w:rPr>
          <w:rFonts w:asciiTheme="majorBidi" w:hAnsiTheme="majorBidi" w:cstheme="majorBidi"/>
          <w:b/>
          <w:bCs/>
          <w:szCs w:val="20"/>
          <w:lang w:val="en-GB" w:eastAsia="en-US"/>
        </w:rPr>
        <w:t>ITU-T Q.850 (revised) “Usage of cause and location in the Digital Subscriber Signalling System No. 1 and the Signalling System No. 7 ISDN user part”</w:t>
      </w:r>
      <w:r w:rsidR="00CB3D15" w:rsidRPr="00A94875">
        <w:rPr>
          <w:rFonts w:asciiTheme="majorBidi" w:hAnsiTheme="majorBidi" w:cstheme="majorBidi"/>
          <w:bCs/>
          <w:szCs w:val="20"/>
          <w:lang w:val="en-GB" w:eastAsia="en-US"/>
        </w:rPr>
        <w:t xml:space="preserve"> </w:t>
      </w:r>
      <w:r w:rsidRPr="00A94875">
        <w:rPr>
          <w:rFonts w:asciiTheme="majorBidi" w:hAnsiTheme="majorBidi" w:cstheme="majorBidi"/>
          <w:bCs/>
          <w:szCs w:val="20"/>
          <w:lang w:val="en-GB" w:eastAsia="en-US"/>
        </w:rPr>
        <w:t>defines the format, encoding and semantics of cause information elements/parameters and the usage of the location field, in the Digital Subscriber Signalling System No. 1 and the Signalling System No. 7 ISDN User Part.</w:t>
      </w:r>
    </w:p>
    <w:p w14:paraId="40699FDF" w14:textId="427E0FA9" w:rsidR="006944F8" w:rsidRPr="00A94875" w:rsidRDefault="006944F8" w:rsidP="006944F8">
      <w:pPr>
        <w:pStyle w:val="NormalWeb"/>
        <w:spacing w:before="120" w:beforeAutospacing="0" w:after="0" w:afterAutospacing="0"/>
        <w:rPr>
          <w:rFonts w:asciiTheme="majorBidi" w:hAnsiTheme="majorBidi" w:cstheme="majorBidi"/>
          <w:szCs w:val="20"/>
          <w:highlight w:val="yellow"/>
          <w:lang w:val="en-GB" w:eastAsia="en-US"/>
        </w:rPr>
      </w:pPr>
      <w:r w:rsidRPr="00A94875">
        <w:rPr>
          <w:rFonts w:asciiTheme="majorBidi" w:hAnsiTheme="majorBidi" w:cstheme="majorBidi"/>
          <w:b/>
          <w:szCs w:val="20"/>
          <w:lang w:val="en-GB" w:eastAsia="en-US"/>
        </w:rPr>
        <w:t>ITU-T Q.3405 “IPv6 protocol procedures for broadband services”</w:t>
      </w:r>
      <w:r w:rsidR="00CB3D15" w:rsidRPr="00A94875">
        <w:rPr>
          <w:rFonts w:asciiTheme="majorBidi" w:hAnsiTheme="majorBidi" w:cstheme="majorBidi"/>
          <w:szCs w:val="20"/>
          <w:lang w:val="en-GB" w:eastAsia="en-US"/>
        </w:rPr>
        <w:t xml:space="preserve"> </w:t>
      </w:r>
      <w:r w:rsidRPr="00A94875">
        <w:rPr>
          <w:rFonts w:asciiTheme="majorBidi" w:hAnsiTheme="majorBidi" w:cstheme="majorBidi"/>
          <w:szCs w:val="20"/>
          <w:lang w:val="en-GB" w:eastAsia="en-US"/>
        </w:rPr>
        <w:t xml:space="preserve">identifies the IPv6 protocol </w:t>
      </w:r>
      <w:proofErr w:type="gramStart"/>
      <w:r w:rsidRPr="00A94875">
        <w:rPr>
          <w:rFonts w:asciiTheme="majorBidi" w:hAnsiTheme="majorBidi" w:cstheme="majorBidi"/>
          <w:szCs w:val="20"/>
          <w:lang w:val="en-GB" w:eastAsia="en-US"/>
        </w:rPr>
        <w:t>procedures which</w:t>
      </w:r>
      <w:proofErr w:type="gramEnd"/>
      <w:r w:rsidRPr="00A94875">
        <w:rPr>
          <w:rFonts w:asciiTheme="majorBidi" w:hAnsiTheme="majorBidi" w:cstheme="majorBidi"/>
          <w:szCs w:val="20"/>
          <w:lang w:val="en-GB" w:eastAsia="en-US"/>
        </w:rPr>
        <w:t xml:space="preserve"> support broadband services with IPv6 transition. The protocol procedures </w:t>
      </w:r>
      <w:proofErr w:type="gramStart"/>
      <w:r w:rsidRPr="00A94875">
        <w:rPr>
          <w:rFonts w:asciiTheme="majorBidi" w:hAnsiTheme="majorBidi" w:cstheme="majorBidi"/>
          <w:szCs w:val="20"/>
          <w:lang w:val="en-GB" w:eastAsia="en-US"/>
        </w:rPr>
        <w:t>are specified</w:t>
      </w:r>
      <w:proofErr w:type="gramEnd"/>
      <w:r w:rsidRPr="00A94875">
        <w:rPr>
          <w:rFonts w:asciiTheme="majorBidi" w:hAnsiTheme="majorBidi" w:cstheme="majorBidi"/>
          <w:szCs w:val="20"/>
          <w:lang w:val="en-GB" w:eastAsia="en-US"/>
        </w:rPr>
        <w:t xml:space="preserve"> according to three basic IPv6 transition modes, including dual stack, tunnelling and translation.</w:t>
      </w:r>
    </w:p>
    <w:p w14:paraId="2F2700BC" w14:textId="4D58CEB5" w:rsidR="006944F8" w:rsidRPr="00A94875" w:rsidRDefault="006944F8" w:rsidP="006944F8">
      <w:pPr>
        <w:pStyle w:val="NormalWeb"/>
        <w:spacing w:before="120" w:beforeAutospacing="0" w:after="0" w:afterAutospacing="0"/>
        <w:rPr>
          <w:rFonts w:asciiTheme="majorBidi" w:hAnsiTheme="majorBidi" w:cstheme="majorBidi"/>
          <w:szCs w:val="20"/>
          <w:highlight w:val="yellow"/>
          <w:lang w:val="en-GB" w:eastAsia="en-US"/>
        </w:rPr>
      </w:pPr>
      <w:r w:rsidRPr="00A94875">
        <w:rPr>
          <w:rFonts w:asciiTheme="majorBidi" w:hAnsiTheme="majorBidi" w:cstheme="majorBidi"/>
          <w:b/>
          <w:szCs w:val="20"/>
          <w:lang w:val="en-GB" w:eastAsia="en-US"/>
        </w:rPr>
        <w:t>ITU-T Q.3641 “IMS references to Release 11 for communication between IMS and NGN Networks in order to support the end-to-end service interoperability”</w:t>
      </w:r>
      <w:r w:rsidR="00CB3D15" w:rsidRPr="00A94875">
        <w:rPr>
          <w:rFonts w:asciiTheme="majorBidi" w:hAnsiTheme="majorBidi" w:cstheme="majorBidi"/>
          <w:szCs w:val="20"/>
          <w:lang w:val="en-GB" w:eastAsia="en-US"/>
        </w:rPr>
        <w:t xml:space="preserve"> </w:t>
      </w:r>
      <w:r w:rsidRPr="00A94875">
        <w:rPr>
          <w:rFonts w:asciiTheme="majorBidi" w:hAnsiTheme="majorBidi" w:cstheme="majorBidi"/>
          <w:szCs w:val="20"/>
          <w:lang w:val="en-GB" w:eastAsia="en-US"/>
        </w:rPr>
        <w:t xml:space="preserve">identifies the IMS IP-Multimedia Subsystem specifications </w:t>
      </w:r>
      <w:proofErr w:type="gramStart"/>
      <w:r w:rsidRPr="00A94875">
        <w:rPr>
          <w:rFonts w:asciiTheme="majorBidi" w:hAnsiTheme="majorBidi" w:cstheme="majorBidi"/>
          <w:szCs w:val="20"/>
          <w:lang w:val="en-GB" w:eastAsia="en-US"/>
        </w:rPr>
        <w:t>for the "ETSI Release 11" as base for the communication between IMS and NGN Network in order to support end-to-end service interoperability</w:t>
      </w:r>
      <w:proofErr w:type="gramEnd"/>
      <w:r w:rsidRPr="00A94875">
        <w:rPr>
          <w:rFonts w:asciiTheme="majorBidi" w:hAnsiTheme="majorBidi" w:cstheme="majorBidi"/>
          <w:szCs w:val="20"/>
          <w:lang w:val="en-GB" w:eastAsia="en-US"/>
        </w:rPr>
        <w:t>.</w:t>
      </w:r>
    </w:p>
    <w:p w14:paraId="0653F428" w14:textId="1D668CCB" w:rsidR="006944F8" w:rsidRPr="00A94875" w:rsidRDefault="006944F8" w:rsidP="006944F8">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
          <w:bCs/>
          <w:szCs w:val="20"/>
          <w:lang w:val="en-GB" w:eastAsia="en-US"/>
        </w:rPr>
        <w:t xml:space="preserve">ITU-T Q.3717 </w:t>
      </w:r>
      <w:proofErr w:type="gramStart"/>
      <w:r w:rsidRPr="00A94875">
        <w:rPr>
          <w:rFonts w:asciiTheme="majorBidi" w:hAnsiTheme="majorBidi" w:cstheme="majorBidi"/>
          <w:b/>
          <w:bCs/>
          <w:szCs w:val="20"/>
          <w:lang w:val="en-GB" w:eastAsia="en-US"/>
        </w:rPr>
        <w:t>“ Signalling</w:t>
      </w:r>
      <w:proofErr w:type="gramEnd"/>
      <w:r w:rsidRPr="00A94875">
        <w:rPr>
          <w:rFonts w:asciiTheme="majorBidi" w:hAnsiTheme="majorBidi" w:cstheme="majorBidi"/>
          <w:b/>
          <w:bCs/>
          <w:szCs w:val="20"/>
          <w:lang w:val="en-GB" w:eastAsia="en-US"/>
        </w:rPr>
        <w:t xml:space="preserve"> requirements for automatic management of IP address pool by SDN technologies on BNG”</w:t>
      </w:r>
      <w:r w:rsidR="00CB3D15" w:rsidRPr="00A94875">
        <w:rPr>
          <w:rFonts w:asciiTheme="majorBidi" w:hAnsiTheme="majorBidi" w:cstheme="majorBidi"/>
          <w:bCs/>
          <w:szCs w:val="20"/>
          <w:lang w:val="en-GB" w:eastAsia="en-US"/>
        </w:rPr>
        <w:t xml:space="preserve"> </w:t>
      </w:r>
      <w:r w:rsidRPr="00A94875">
        <w:rPr>
          <w:rFonts w:asciiTheme="majorBidi" w:hAnsiTheme="majorBidi" w:cstheme="majorBidi"/>
          <w:bCs/>
          <w:szCs w:val="20"/>
          <w:lang w:val="en-GB" w:eastAsia="en-US"/>
        </w:rPr>
        <w:t xml:space="preserve">describes the signalling requirements for the implementation of automatic management and efficient utilization of IP address resources using software defined networking technologies on broadband network gateways. The signalling is used to automatically implement </w:t>
      </w:r>
      <w:proofErr w:type="gramStart"/>
      <w:r w:rsidRPr="00A94875">
        <w:rPr>
          <w:rFonts w:asciiTheme="majorBidi" w:hAnsiTheme="majorBidi" w:cstheme="majorBidi"/>
          <w:bCs/>
          <w:szCs w:val="20"/>
          <w:lang w:val="en-GB" w:eastAsia="en-US"/>
        </w:rPr>
        <w:t>allocation,</w:t>
      </w:r>
      <w:proofErr w:type="gramEnd"/>
      <w:r w:rsidRPr="00A94875">
        <w:rPr>
          <w:rFonts w:asciiTheme="majorBidi" w:hAnsiTheme="majorBidi" w:cstheme="majorBidi"/>
          <w:bCs/>
          <w:szCs w:val="20"/>
          <w:lang w:val="en-GB" w:eastAsia="en-US"/>
        </w:rPr>
        <w:t xml:space="preserve"> monitor and reclaim of IP address resources.</w:t>
      </w:r>
    </w:p>
    <w:p w14:paraId="5DCA5D6C" w14:textId="4CD92BF7" w:rsidR="006944F8" w:rsidRPr="00A94875" w:rsidRDefault="006944F8" w:rsidP="006944F8">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
          <w:bCs/>
          <w:szCs w:val="20"/>
          <w:lang w:val="en-GB" w:eastAsia="en-US"/>
        </w:rPr>
        <w:t>ITU-T Q.3718 “Signalling requirements of the Sew interface for Virtual Data Center”</w:t>
      </w:r>
      <w:r w:rsidRPr="00A94875">
        <w:rPr>
          <w:rFonts w:asciiTheme="majorBidi" w:hAnsiTheme="majorBidi" w:cstheme="majorBidi"/>
          <w:bCs/>
          <w:szCs w:val="20"/>
          <w:lang w:val="en-GB" w:eastAsia="en-US"/>
        </w:rPr>
        <w:t xml:space="preserve"> focuses on the inter-domain Sew </w:t>
      </w:r>
      <w:proofErr w:type="gramStart"/>
      <w:r w:rsidRPr="00A94875">
        <w:rPr>
          <w:rFonts w:asciiTheme="majorBidi" w:hAnsiTheme="majorBidi" w:cstheme="majorBidi"/>
          <w:bCs/>
          <w:szCs w:val="20"/>
          <w:lang w:val="en-GB" w:eastAsia="en-US"/>
        </w:rPr>
        <w:t>interface which</w:t>
      </w:r>
      <w:proofErr w:type="gramEnd"/>
      <w:r w:rsidRPr="00A94875">
        <w:rPr>
          <w:rFonts w:asciiTheme="majorBidi" w:hAnsiTheme="majorBidi" w:cstheme="majorBidi"/>
          <w:bCs/>
          <w:szCs w:val="20"/>
          <w:lang w:val="en-GB" w:eastAsia="en-US"/>
        </w:rPr>
        <w:t xml:space="preserve"> is standardized to allow for multiple control entities within Virtual Data Center (VDC). In VDC, the SDN control entities exchanges the control plane related information with each other through the Sew interface.</w:t>
      </w:r>
    </w:p>
    <w:p w14:paraId="25F06073" w14:textId="77777777" w:rsidR="00267E96" w:rsidRPr="00A94875" w:rsidRDefault="00267E96" w:rsidP="00267E96">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
          <w:bCs/>
          <w:szCs w:val="20"/>
          <w:lang w:val="en-GB" w:eastAsia="en-US"/>
        </w:rPr>
        <w:t>ITU-T X.609.6 “Managed P2P communications: Content distribution signalling requirements"</w:t>
      </w:r>
      <w:r w:rsidRPr="00A94875">
        <w:rPr>
          <w:rFonts w:asciiTheme="majorBidi" w:hAnsiTheme="majorBidi" w:cstheme="majorBidi"/>
          <w:bCs/>
          <w:szCs w:val="20"/>
          <w:lang w:val="en-GB" w:eastAsia="en-US"/>
        </w:rPr>
        <w:t xml:space="preserve"> (under approval) specifies signalling requirements for content distribution services over managed P2P overlay network that is specified in ITU-T X.609. Content distribution over a managed P2P network provides flexible content management over existing overlay networks </w:t>
      </w:r>
      <w:proofErr w:type="gramStart"/>
      <w:r w:rsidRPr="00A94875">
        <w:rPr>
          <w:rFonts w:asciiTheme="majorBidi" w:hAnsiTheme="majorBidi" w:cstheme="majorBidi"/>
          <w:bCs/>
          <w:szCs w:val="20"/>
          <w:lang w:val="en-GB" w:eastAsia="en-US"/>
        </w:rPr>
        <w:t>and also</w:t>
      </w:r>
      <w:proofErr w:type="gramEnd"/>
      <w:r w:rsidRPr="00A94875">
        <w:rPr>
          <w:rFonts w:asciiTheme="majorBidi" w:hAnsiTheme="majorBidi" w:cstheme="majorBidi"/>
          <w:bCs/>
          <w:szCs w:val="20"/>
          <w:lang w:val="en-GB" w:eastAsia="en-US"/>
        </w:rPr>
        <w:t xml:space="preserve"> it enables contents providers to control accessing the overlay network. That is, the content provider can update the content to </w:t>
      </w:r>
      <w:proofErr w:type="gramStart"/>
      <w:r w:rsidRPr="00A94875">
        <w:rPr>
          <w:rFonts w:asciiTheme="majorBidi" w:hAnsiTheme="majorBidi" w:cstheme="majorBidi"/>
          <w:bCs/>
          <w:szCs w:val="20"/>
          <w:lang w:val="en-GB" w:eastAsia="en-US"/>
        </w:rPr>
        <w:t>be distributed</w:t>
      </w:r>
      <w:proofErr w:type="gramEnd"/>
      <w:r w:rsidRPr="00A94875">
        <w:rPr>
          <w:rFonts w:asciiTheme="majorBidi" w:hAnsiTheme="majorBidi" w:cstheme="majorBidi"/>
          <w:bCs/>
          <w:szCs w:val="20"/>
          <w:lang w:val="en-GB" w:eastAsia="en-US"/>
        </w:rPr>
        <w:t xml:space="preserve"> over an overlay network anytime, and every update will be applied to all peers in the overlay network. This Recommendation lists requirements for the related reference points that are defined in Recommendation ITU-T X.609 for providing content distribution services, and </w:t>
      </w:r>
      <w:proofErr w:type="gramStart"/>
      <w:r w:rsidRPr="00A94875">
        <w:rPr>
          <w:rFonts w:asciiTheme="majorBidi" w:hAnsiTheme="majorBidi" w:cstheme="majorBidi"/>
          <w:bCs/>
          <w:szCs w:val="20"/>
          <w:lang w:val="en-GB" w:eastAsia="en-US"/>
        </w:rPr>
        <w:t>it also</w:t>
      </w:r>
      <w:proofErr w:type="gramEnd"/>
      <w:r w:rsidRPr="00A94875">
        <w:rPr>
          <w:rFonts w:asciiTheme="majorBidi" w:hAnsiTheme="majorBidi" w:cstheme="majorBidi"/>
          <w:bCs/>
          <w:szCs w:val="20"/>
          <w:lang w:val="en-GB" w:eastAsia="en-US"/>
        </w:rPr>
        <w:t xml:space="preserve"> describes high-level procedures for content distribution service over managed P2P architecture and roles of the managed P2P components for the service.</w:t>
      </w:r>
    </w:p>
    <w:p w14:paraId="42788E1A" w14:textId="79159C3C" w:rsidR="00267E96" w:rsidRPr="00A94875" w:rsidRDefault="00267E96" w:rsidP="006944F8">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
          <w:bCs/>
          <w:szCs w:val="20"/>
          <w:lang w:val="en-GB" w:eastAsia="en-US"/>
        </w:rPr>
        <w:t>ITU-T X.609.7 “Managed P2P communications: Content distribution peer protocol"</w:t>
      </w:r>
      <w:r w:rsidRPr="00A94875">
        <w:rPr>
          <w:rFonts w:asciiTheme="majorBidi" w:hAnsiTheme="majorBidi" w:cstheme="majorBidi"/>
          <w:bCs/>
          <w:szCs w:val="20"/>
          <w:lang w:val="en-GB" w:eastAsia="en-US"/>
        </w:rPr>
        <w:t xml:space="preserve"> (under approval) specifies a content distribution peer protocol (CDPP) that runs on the interface among entities of managed P2P communications. CDPP </w:t>
      </w:r>
      <w:proofErr w:type="gramStart"/>
      <w:r w:rsidRPr="00A94875">
        <w:rPr>
          <w:rFonts w:asciiTheme="majorBidi" w:hAnsiTheme="majorBidi" w:cstheme="majorBidi"/>
          <w:bCs/>
          <w:szCs w:val="20"/>
          <w:lang w:val="en-GB" w:eastAsia="en-US"/>
        </w:rPr>
        <w:t>is used</w:t>
      </w:r>
      <w:proofErr w:type="gramEnd"/>
      <w:r w:rsidRPr="00A94875">
        <w:rPr>
          <w:rFonts w:asciiTheme="majorBidi" w:hAnsiTheme="majorBidi" w:cstheme="majorBidi"/>
          <w:bCs/>
          <w:szCs w:val="20"/>
          <w:lang w:val="en-GB" w:eastAsia="en-US"/>
        </w:rPr>
        <w:t xml:space="preserve"> to distribute one or more contents to a number of peers. Content distribution over traditional P2P communications has incurred various issues such as distribution of illegal content, uncontrollable participation, and synchronized distribution of the updated contents. Different from the content distribution over the traditional P2P </w:t>
      </w:r>
      <w:proofErr w:type="gramStart"/>
      <w:r w:rsidRPr="00A94875">
        <w:rPr>
          <w:rFonts w:asciiTheme="majorBidi" w:hAnsiTheme="majorBidi" w:cstheme="majorBidi"/>
          <w:bCs/>
          <w:szCs w:val="20"/>
          <w:lang w:val="en-GB" w:eastAsia="en-US"/>
        </w:rPr>
        <w:t>communications which</w:t>
      </w:r>
      <w:proofErr w:type="gramEnd"/>
      <w:r w:rsidRPr="00A94875">
        <w:rPr>
          <w:rFonts w:asciiTheme="majorBidi" w:hAnsiTheme="majorBidi" w:cstheme="majorBidi"/>
          <w:bCs/>
          <w:szCs w:val="20"/>
          <w:lang w:val="en-GB" w:eastAsia="en-US"/>
        </w:rPr>
        <w:t xml:space="preserve"> is not capable of providing manageability, the content distribution over </w:t>
      </w:r>
      <w:r w:rsidRPr="00A94875">
        <w:rPr>
          <w:rFonts w:asciiTheme="majorBidi" w:hAnsiTheme="majorBidi" w:cstheme="majorBidi"/>
          <w:bCs/>
          <w:szCs w:val="20"/>
          <w:lang w:val="en-GB" w:eastAsia="en-US"/>
        </w:rPr>
        <w:lastRenderedPageBreak/>
        <w:t xml:space="preserve">managed P2P communications can be managed by content provider or service provider. In the content distribution over managed P2P communications, as an example, participation in an overlay network </w:t>
      </w:r>
      <w:proofErr w:type="gramStart"/>
      <w:r w:rsidRPr="00A94875">
        <w:rPr>
          <w:rFonts w:asciiTheme="majorBidi" w:hAnsiTheme="majorBidi" w:cstheme="majorBidi"/>
          <w:bCs/>
          <w:szCs w:val="20"/>
          <w:lang w:val="en-GB" w:eastAsia="en-US"/>
        </w:rPr>
        <w:t>can be controlled</w:t>
      </w:r>
      <w:proofErr w:type="gramEnd"/>
      <w:r w:rsidRPr="00A94875">
        <w:rPr>
          <w:rFonts w:asciiTheme="majorBidi" w:hAnsiTheme="majorBidi" w:cstheme="majorBidi"/>
          <w:bCs/>
          <w:szCs w:val="20"/>
          <w:lang w:val="en-GB" w:eastAsia="en-US"/>
        </w:rPr>
        <w:t xml:space="preserve"> so that only predefined peers can join the overlay network and distribute contents each other. In addition, content to </w:t>
      </w:r>
      <w:proofErr w:type="gramStart"/>
      <w:r w:rsidRPr="00A94875">
        <w:rPr>
          <w:rFonts w:asciiTheme="majorBidi" w:hAnsiTheme="majorBidi" w:cstheme="majorBidi"/>
          <w:bCs/>
          <w:szCs w:val="20"/>
          <w:lang w:val="en-GB" w:eastAsia="en-US"/>
        </w:rPr>
        <w:t>be distributed</w:t>
      </w:r>
      <w:proofErr w:type="gramEnd"/>
      <w:r w:rsidRPr="00A94875">
        <w:rPr>
          <w:rFonts w:asciiTheme="majorBidi" w:hAnsiTheme="majorBidi" w:cstheme="majorBidi"/>
          <w:bCs/>
          <w:szCs w:val="20"/>
          <w:lang w:val="en-GB" w:eastAsia="en-US"/>
        </w:rPr>
        <w:t xml:space="preserve"> over an overlay network can be updated anytime, and every update will be applied to all peers in the overlay network. The protocol is capable of managing content distribution under control of content provider or service provider. This Recommendation provides protocol operations, and message formats for content distribution over managed P2P network.</w:t>
      </w:r>
    </w:p>
    <w:p w14:paraId="376EEF99" w14:textId="18070EA5" w:rsidR="006944F8" w:rsidRPr="00A94875" w:rsidRDefault="006944F8" w:rsidP="006944F8">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
          <w:bCs/>
          <w:szCs w:val="20"/>
          <w:lang w:val="en-GB" w:eastAsia="en-US"/>
        </w:rPr>
        <w:t>ITU-T Y.2072 “Framework of Energy Sharing and Trading Platform”</w:t>
      </w:r>
      <w:r w:rsidRPr="00A94875">
        <w:rPr>
          <w:rFonts w:asciiTheme="majorBidi" w:hAnsiTheme="majorBidi" w:cstheme="majorBidi"/>
          <w:bCs/>
          <w:szCs w:val="20"/>
          <w:lang w:val="en-GB" w:eastAsia="en-US"/>
        </w:rPr>
        <w:t xml:space="preserve"> provides a framework of energy sharing and trading platform for integrated control and management considering energy production, storage and consumption. After identifying key characteristics and core technologies of the platform, it specifies requirements taking into account the energy value chain comprising various stakeholders. Then, it provides architectural overview specifying related interfaces and functional blocks. </w:t>
      </w:r>
      <w:proofErr w:type="gramStart"/>
      <w:r w:rsidRPr="00A94875">
        <w:rPr>
          <w:rFonts w:asciiTheme="majorBidi" w:hAnsiTheme="majorBidi" w:cstheme="majorBidi"/>
          <w:bCs/>
          <w:szCs w:val="20"/>
          <w:lang w:val="en-GB" w:eastAsia="en-US"/>
        </w:rPr>
        <w:t>Finally</w:t>
      </w:r>
      <w:proofErr w:type="gramEnd"/>
      <w:r w:rsidRPr="00A94875">
        <w:rPr>
          <w:rFonts w:asciiTheme="majorBidi" w:hAnsiTheme="majorBidi" w:cstheme="majorBidi"/>
          <w:bCs/>
          <w:szCs w:val="20"/>
          <w:lang w:val="en-GB" w:eastAsia="en-US"/>
        </w:rPr>
        <w:t xml:space="preserve"> mechanisms for energy information exchange to support integrated control and management services on the energy sharing and trading platform are described.</w:t>
      </w:r>
    </w:p>
    <w:p w14:paraId="38F99E53" w14:textId="0D5B0020" w:rsidR="00CB14DA" w:rsidRPr="00A94875" w:rsidRDefault="00CB14DA" w:rsidP="00CB14DA">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
          <w:bCs/>
          <w:szCs w:val="20"/>
          <w:lang w:val="en-GB" w:eastAsia="en-US"/>
        </w:rPr>
        <w:t>ITU-T Y.2323 “</w:t>
      </w:r>
      <w:r w:rsidR="00574A30" w:rsidRPr="00A94875">
        <w:rPr>
          <w:rFonts w:asciiTheme="majorBidi" w:hAnsiTheme="majorBidi" w:cstheme="majorBidi"/>
          <w:b/>
          <w:bCs/>
          <w:szCs w:val="20"/>
          <w:lang w:val="en-GB" w:eastAsia="en-US"/>
        </w:rPr>
        <w:t>Requirements and capabilities of orchestration in next generation network evolution</w:t>
      </w:r>
      <w:r w:rsidRPr="00A94875">
        <w:rPr>
          <w:rFonts w:asciiTheme="majorBidi" w:hAnsiTheme="majorBidi" w:cstheme="majorBidi"/>
          <w:b/>
          <w:bCs/>
          <w:szCs w:val="20"/>
          <w:lang w:val="en-GB" w:eastAsia="en-US"/>
        </w:rPr>
        <w:t>”</w:t>
      </w:r>
      <w:r w:rsidRPr="00A94875">
        <w:rPr>
          <w:rFonts w:asciiTheme="majorBidi" w:hAnsiTheme="majorBidi" w:cstheme="majorBidi"/>
          <w:bCs/>
          <w:szCs w:val="20"/>
          <w:lang w:val="en-GB" w:eastAsia="en-US"/>
        </w:rPr>
        <w:t xml:space="preserve"> (under approval) </w:t>
      </w:r>
      <w:r w:rsidR="00574A30" w:rsidRPr="00A94875">
        <w:rPr>
          <w:rFonts w:asciiTheme="majorBidi" w:hAnsiTheme="majorBidi" w:cstheme="majorBidi"/>
          <w:bCs/>
          <w:szCs w:val="20"/>
          <w:lang w:val="en-GB" w:eastAsia="en-US"/>
        </w:rPr>
        <w:t xml:space="preserve">provides the scenarios of the orchestration in </w:t>
      </w:r>
      <w:proofErr w:type="spellStart"/>
      <w:r w:rsidR="00574A30" w:rsidRPr="00A94875">
        <w:rPr>
          <w:rFonts w:asciiTheme="majorBidi" w:hAnsiTheme="majorBidi" w:cstheme="majorBidi"/>
          <w:bCs/>
          <w:szCs w:val="20"/>
          <w:lang w:val="en-GB" w:eastAsia="en-US"/>
        </w:rPr>
        <w:t>NGNe</w:t>
      </w:r>
      <w:proofErr w:type="spellEnd"/>
      <w:r w:rsidR="00574A30" w:rsidRPr="00A94875">
        <w:rPr>
          <w:rFonts w:asciiTheme="majorBidi" w:hAnsiTheme="majorBidi" w:cstheme="majorBidi"/>
          <w:bCs/>
          <w:szCs w:val="20"/>
          <w:lang w:val="en-GB" w:eastAsia="en-US"/>
        </w:rPr>
        <w:t xml:space="preserve">, specifies the general requirements of the orchestration in </w:t>
      </w:r>
      <w:proofErr w:type="spellStart"/>
      <w:r w:rsidR="00574A30" w:rsidRPr="00A94875">
        <w:rPr>
          <w:rFonts w:asciiTheme="majorBidi" w:hAnsiTheme="majorBidi" w:cstheme="majorBidi"/>
          <w:bCs/>
          <w:szCs w:val="20"/>
          <w:lang w:val="en-GB" w:eastAsia="en-US"/>
        </w:rPr>
        <w:t>NGNe</w:t>
      </w:r>
      <w:proofErr w:type="spellEnd"/>
      <w:r w:rsidR="00574A30" w:rsidRPr="00A94875">
        <w:rPr>
          <w:rFonts w:asciiTheme="majorBidi" w:hAnsiTheme="majorBidi" w:cstheme="majorBidi"/>
          <w:bCs/>
          <w:szCs w:val="20"/>
          <w:lang w:val="en-GB" w:eastAsia="en-US"/>
        </w:rPr>
        <w:t>, and also introduces its capabilities from the perspective of NGN evolution and the coordination of NGNs and the networks implemented by SDN and NFV technologies</w:t>
      </w:r>
      <w:r w:rsidRPr="00A94875">
        <w:rPr>
          <w:rFonts w:asciiTheme="majorBidi" w:hAnsiTheme="majorBidi" w:cstheme="majorBidi"/>
          <w:bCs/>
          <w:szCs w:val="20"/>
          <w:lang w:val="en-GB" w:eastAsia="en-US"/>
        </w:rPr>
        <w:t>.</w:t>
      </w:r>
    </w:p>
    <w:p w14:paraId="771B1EFF" w14:textId="53FDF540" w:rsidR="005B00D7" w:rsidRPr="00A94875" w:rsidRDefault="005B00D7" w:rsidP="00690DCA">
      <w:pPr>
        <w:pStyle w:val="NormalWeb"/>
        <w:spacing w:before="120" w:beforeAutospacing="0" w:after="120" w:afterAutospacing="0"/>
        <w:rPr>
          <w:rFonts w:asciiTheme="majorBidi" w:hAnsiTheme="majorBidi" w:cstheme="majorBidi"/>
          <w:b/>
          <w:bCs/>
          <w:szCs w:val="20"/>
          <w:lang w:val="en-GB" w:eastAsia="en-US"/>
        </w:rPr>
      </w:pPr>
      <w:r w:rsidRPr="00A94875">
        <w:rPr>
          <w:rFonts w:asciiTheme="majorBidi" w:hAnsiTheme="majorBidi" w:cstheme="majorBidi"/>
          <w:b/>
          <w:bCs/>
          <w:szCs w:val="20"/>
          <w:lang w:val="en-GB" w:eastAsia="en-US"/>
        </w:rPr>
        <w:t>ITU-T Y.2242 “</w:t>
      </w:r>
      <w:r w:rsidR="00690DCA" w:rsidRPr="00A94875">
        <w:rPr>
          <w:rFonts w:asciiTheme="majorBidi" w:hAnsiTheme="majorBidi" w:cstheme="majorBidi"/>
          <w:b/>
          <w:bCs/>
          <w:szCs w:val="20"/>
          <w:lang w:val="en-GB" w:eastAsia="en-US"/>
        </w:rPr>
        <w:t>Service function chaining in mobile network</w:t>
      </w:r>
      <w:r w:rsidRPr="00A94875">
        <w:rPr>
          <w:rFonts w:asciiTheme="majorBidi" w:hAnsiTheme="majorBidi" w:cstheme="majorBidi"/>
          <w:b/>
          <w:bCs/>
          <w:szCs w:val="20"/>
          <w:lang w:val="en-GB" w:eastAsia="en-US"/>
        </w:rPr>
        <w:t>”</w:t>
      </w:r>
      <w:r w:rsidRPr="00A94875">
        <w:rPr>
          <w:rFonts w:asciiTheme="majorBidi" w:hAnsiTheme="majorBidi" w:cstheme="majorBidi"/>
          <w:bCs/>
          <w:szCs w:val="20"/>
          <w:lang w:val="en-GB" w:eastAsia="en-US"/>
        </w:rPr>
        <w:t xml:space="preserve"> (under approval) </w:t>
      </w:r>
      <w:r w:rsidR="00690DCA" w:rsidRPr="00A94875">
        <w:rPr>
          <w:rFonts w:asciiTheme="majorBidi" w:hAnsiTheme="majorBidi" w:cstheme="majorBidi"/>
          <w:bCs/>
          <w:szCs w:val="20"/>
          <w:lang w:val="en-GB" w:eastAsia="en-US"/>
        </w:rPr>
        <w:t xml:space="preserve">specifies a way to coordinate existing and ongoing works on service function chaining in mobile network (specified in [IETF RFC7665][IETF RFC 8300] and [b-ONF TS-027]) by introducing a chain orchestrator as a new entity. The Recommendation also covers the case when relevant network functions </w:t>
      </w:r>
      <w:proofErr w:type="gramStart"/>
      <w:r w:rsidR="00690DCA" w:rsidRPr="00A94875">
        <w:rPr>
          <w:rFonts w:asciiTheme="majorBidi" w:hAnsiTheme="majorBidi" w:cstheme="majorBidi"/>
          <w:bCs/>
          <w:szCs w:val="20"/>
          <w:lang w:val="en-GB" w:eastAsia="en-US"/>
        </w:rPr>
        <w:t>are virtualized</w:t>
      </w:r>
      <w:proofErr w:type="gramEnd"/>
      <w:r w:rsidR="00690DCA" w:rsidRPr="00A94875">
        <w:rPr>
          <w:rFonts w:asciiTheme="majorBidi" w:hAnsiTheme="majorBidi" w:cstheme="majorBidi"/>
          <w:bCs/>
          <w:szCs w:val="20"/>
          <w:lang w:val="en-GB" w:eastAsia="en-US"/>
        </w:rPr>
        <w:t>. The objective of this document is to describe the requirements, architecture, functional entities, reference points and information flows of service function chaining in mobile networks</w:t>
      </w:r>
      <w:proofErr w:type="gramStart"/>
      <w:r w:rsidR="00690DCA" w:rsidRPr="00A94875">
        <w:rPr>
          <w:rFonts w:asciiTheme="majorBidi" w:hAnsiTheme="majorBidi" w:cstheme="majorBidi"/>
          <w:bCs/>
          <w:szCs w:val="20"/>
          <w:lang w:val="en-GB" w:eastAsia="en-US"/>
        </w:rPr>
        <w:t>.</w:t>
      </w:r>
      <w:r w:rsidRPr="00A94875">
        <w:rPr>
          <w:rFonts w:asciiTheme="majorBidi" w:hAnsiTheme="majorBidi" w:cstheme="majorBidi"/>
          <w:bCs/>
          <w:szCs w:val="20"/>
          <w:lang w:val="en-GB" w:eastAsia="en-US"/>
        </w:rPr>
        <w:t>.</w:t>
      </w:r>
      <w:proofErr w:type="gramEnd"/>
    </w:p>
    <w:p w14:paraId="35EA819F" w14:textId="6BB0C24E" w:rsidR="006944F8" w:rsidRPr="00A94875" w:rsidRDefault="006944F8" w:rsidP="006944F8">
      <w:pPr>
        <w:pStyle w:val="NormalWeb"/>
        <w:spacing w:before="120" w:beforeAutospacing="0" w:after="0" w:afterAutospacing="0"/>
        <w:rPr>
          <w:rFonts w:asciiTheme="majorBidi" w:hAnsiTheme="majorBidi" w:cstheme="majorBidi"/>
          <w:bCs/>
          <w:szCs w:val="20"/>
          <w:highlight w:val="yellow"/>
          <w:lang w:val="en-GB" w:eastAsia="en-US"/>
        </w:rPr>
      </w:pPr>
      <w:r w:rsidRPr="00A94875">
        <w:rPr>
          <w:rFonts w:asciiTheme="majorBidi" w:hAnsiTheme="majorBidi" w:cstheme="majorBidi"/>
          <w:b/>
          <w:bCs/>
          <w:szCs w:val="20"/>
          <w:lang w:val="en-GB" w:eastAsia="en-US"/>
        </w:rPr>
        <w:t>ITU-T Y.2305 “Unified management of Content Delivery Networks”</w:t>
      </w:r>
      <w:r w:rsidRPr="00A94875">
        <w:rPr>
          <w:rFonts w:asciiTheme="majorBidi" w:hAnsiTheme="majorBidi" w:cstheme="majorBidi"/>
          <w:bCs/>
          <w:szCs w:val="20"/>
          <w:lang w:val="en-GB" w:eastAsia="en-US"/>
        </w:rPr>
        <w:t xml:space="preserve"> specifies requirements, mechanisms, security considerations for unified management of multiple Content Delivery Networks (CDNs), in order to support simple and optimized interconnection between different CDNs. This Recommendation provides a technical solution of ‘CDN manager’ with capabilities of content synchronization, user’s request routing, and other related unified management functionalities, to build up a global content delivery network.</w:t>
      </w:r>
    </w:p>
    <w:p w14:paraId="007B7DB8" w14:textId="77777777" w:rsidR="006944F8" w:rsidRPr="00A94875" w:rsidRDefault="006944F8"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ITU-T Y.2619 “Operation, administration, and maintenance functions and mechanisms for Public packet Telecommunication Data Network (PTDN)”</w:t>
      </w:r>
      <w:r w:rsidRPr="00A94875">
        <w:rPr>
          <w:rFonts w:asciiTheme="majorBidi" w:hAnsiTheme="majorBidi" w:cstheme="majorBidi"/>
          <w:szCs w:val="20"/>
          <w:lang w:val="en-GB" w:eastAsia="en-US"/>
        </w:rPr>
        <w:t xml:space="preserve"> specifies maintenance entities, OAM functions, and common OAM mechanisms in PTDN. It also defines OAM mechanisms, functions, and encapsulation specific to connectionless mode and connection-oriented mode. In the Annex, some examples of encapsulation for OAM messages in different planes are given.</w:t>
      </w:r>
    </w:p>
    <w:p w14:paraId="294A1D62" w14:textId="77777777" w:rsidR="00267E96" w:rsidRPr="00A94875" w:rsidRDefault="00267E96" w:rsidP="00267E96">
      <w:pPr>
        <w:pStyle w:val="NormalWeb"/>
        <w:spacing w:before="120" w:beforeAutospacing="0" w:after="12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ITU-T Y.2323 “Requirements and capabilities of orchestration in next generation network evolution”</w:t>
      </w:r>
      <w:r w:rsidRPr="00A94875">
        <w:rPr>
          <w:rFonts w:asciiTheme="majorBidi" w:hAnsiTheme="majorBidi" w:cstheme="majorBidi"/>
          <w:szCs w:val="20"/>
          <w:lang w:val="en-GB" w:eastAsia="en-US"/>
        </w:rPr>
        <w:t xml:space="preserve"> (under approval) provides the scenarios of the orchestration in </w:t>
      </w:r>
      <w:proofErr w:type="spellStart"/>
      <w:r w:rsidRPr="00A94875">
        <w:rPr>
          <w:rFonts w:asciiTheme="majorBidi" w:hAnsiTheme="majorBidi" w:cstheme="majorBidi"/>
          <w:szCs w:val="20"/>
          <w:lang w:val="en-GB" w:eastAsia="en-US"/>
        </w:rPr>
        <w:t>NGNe</w:t>
      </w:r>
      <w:proofErr w:type="spellEnd"/>
      <w:r w:rsidRPr="00A94875">
        <w:rPr>
          <w:rFonts w:asciiTheme="majorBidi" w:hAnsiTheme="majorBidi" w:cstheme="majorBidi"/>
          <w:szCs w:val="20"/>
          <w:lang w:val="en-GB" w:eastAsia="en-US"/>
        </w:rPr>
        <w:t xml:space="preserve">, specifies the general requirements of the orchestration in </w:t>
      </w:r>
      <w:proofErr w:type="spellStart"/>
      <w:r w:rsidRPr="00A94875">
        <w:rPr>
          <w:rFonts w:asciiTheme="majorBidi" w:hAnsiTheme="majorBidi" w:cstheme="majorBidi"/>
          <w:szCs w:val="20"/>
          <w:lang w:val="en-GB" w:eastAsia="en-US"/>
        </w:rPr>
        <w:t>NGNe</w:t>
      </w:r>
      <w:proofErr w:type="spellEnd"/>
      <w:r w:rsidRPr="00A94875">
        <w:rPr>
          <w:rFonts w:asciiTheme="majorBidi" w:hAnsiTheme="majorBidi" w:cstheme="majorBidi"/>
          <w:szCs w:val="20"/>
          <w:lang w:val="en-GB" w:eastAsia="en-US"/>
        </w:rPr>
        <w:t>, and also introduces its capabilities from the perspective of NGN evolution and the coordination of NGNs and the networks implemented by SDN and NFV technologies.</w:t>
      </w:r>
    </w:p>
    <w:p w14:paraId="1C929DDD" w14:textId="5F1AE775" w:rsidR="006944F8" w:rsidRPr="00A94875" w:rsidRDefault="006944F8"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ITU-T Y.2814 “Mobility management framework over reconfigurable networks</w:t>
      </w:r>
      <w:r w:rsidRPr="00A94875">
        <w:rPr>
          <w:rFonts w:asciiTheme="majorBidi" w:hAnsiTheme="majorBidi" w:cstheme="majorBidi"/>
          <w:bCs/>
          <w:szCs w:val="20"/>
          <w:lang w:val="en-GB" w:eastAsia="en-US"/>
        </w:rPr>
        <w:t xml:space="preserve">” </w:t>
      </w:r>
      <w:r w:rsidRPr="00A94875">
        <w:rPr>
          <w:rFonts w:asciiTheme="majorBidi" w:hAnsiTheme="majorBidi" w:cstheme="majorBidi"/>
          <w:szCs w:val="20"/>
          <w:lang w:val="en-GB" w:eastAsia="en-US"/>
        </w:rPr>
        <w:t xml:space="preserve">focuses on application-driven mobility management of user devices, related functions and services, to improve user’s quality of experience in the evolving reconfigurable network environment. This Recommendation describes requirements, functional architecture, information flows and service scenarios to specify the </w:t>
      </w:r>
      <w:proofErr w:type="gramStart"/>
      <w:r w:rsidRPr="00A94875">
        <w:rPr>
          <w:rFonts w:asciiTheme="majorBidi" w:hAnsiTheme="majorBidi" w:cstheme="majorBidi"/>
          <w:szCs w:val="20"/>
          <w:lang w:val="en-GB" w:eastAsia="en-US"/>
        </w:rPr>
        <w:t>target mobility management framework</w:t>
      </w:r>
      <w:proofErr w:type="gramEnd"/>
      <w:r w:rsidRPr="00A94875">
        <w:rPr>
          <w:rFonts w:asciiTheme="majorBidi" w:hAnsiTheme="majorBidi" w:cstheme="majorBidi"/>
          <w:szCs w:val="20"/>
          <w:lang w:val="en-GB" w:eastAsia="en-US"/>
        </w:rPr>
        <w:t>.</w:t>
      </w:r>
    </w:p>
    <w:p w14:paraId="262E6566" w14:textId="4FBE5AE4" w:rsidR="00A31C8C" w:rsidRPr="00A94875" w:rsidRDefault="00A31C8C"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ITU-T Y.2815 “Mobility supporting architecture for mobile Peer to Peer service in heterogeneous wireless networks”</w:t>
      </w:r>
      <w:r w:rsidRPr="00A94875">
        <w:rPr>
          <w:rFonts w:asciiTheme="majorBidi" w:hAnsiTheme="majorBidi" w:cstheme="majorBidi"/>
          <w:szCs w:val="20"/>
          <w:lang w:val="en-GB" w:eastAsia="en-US"/>
        </w:rPr>
        <w:t xml:space="preserve"> (under approval) specifies the mobility supporting architecture </w:t>
      </w:r>
      <w:r w:rsidRPr="00A94875">
        <w:rPr>
          <w:rFonts w:asciiTheme="majorBidi" w:hAnsiTheme="majorBidi" w:cstheme="majorBidi"/>
          <w:szCs w:val="20"/>
          <w:lang w:val="en-GB" w:eastAsia="en-US"/>
        </w:rPr>
        <w:lastRenderedPageBreak/>
        <w:t>required for mobile P2P services in heterogeneous networks including cellular networks, WiMAX and WLAN. It covers the aspects related to functional requirements, and architecture, high-level information flows and security considerations for mobile P2P users.</w:t>
      </w:r>
    </w:p>
    <w:p w14:paraId="481A69A9" w14:textId="46B61CE5" w:rsidR="00521110" w:rsidRPr="00A94875" w:rsidRDefault="00521110" w:rsidP="00521110">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ITU-T Y.Suppl.51 “</w:t>
      </w:r>
      <w:r w:rsidR="00545A32" w:rsidRPr="00A94875">
        <w:rPr>
          <w:rFonts w:asciiTheme="majorBidi" w:hAnsiTheme="majorBidi" w:cstheme="majorBidi"/>
          <w:b/>
          <w:szCs w:val="20"/>
          <w:lang w:val="en-GB" w:eastAsia="en-US"/>
        </w:rPr>
        <w:t>Device Independent Screen-free service models and scenarios</w:t>
      </w:r>
      <w:r w:rsidRPr="00A94875">
        <w:rPr>
          <w:rFonts w:asciiTheme="majorBidi" w:hAnsiTheme="majorBidi" w:cstheme="majorBidi"/>
          <w:b/>
          <w:szCs w:val="20"/>
          <w:lang w:val="en-GB" w:eastAsia="en-US"/>
        </w:rPr>
        <w:t>”</w:t>
      </w:r>
      <w:r w:rsidRPr="00A94875">
        <w:rPr>
          <w:rFonts w:asciiTheme="majorBidi" w:hAnsiTheme="majorBidi" w:cstheme="majorBidi"/>
          <w:szCs w:val="20"/>
          <w:lang w:val="en-GB" w:eastAsia="en-US"/>
        </w:rPr>
        <w:t xml:space="preserve"> </w:t>
      </w:r>
      <w:r w:rsidR="00545A32" w:rsidRPr="00A94875">
        <w:rPr>
          <w:rFonts w:asciiTheme="majorBidi" w:hAnsiTheme="majorBidi" w:cstheme="majorBidi"/>
          <w:szCs w:val="20"/>
          <w:lang w:val="en-GB" w:eastAsia="en-US"/>
        </w:rPr>
        <w:t xml:space="preserve">describes service models and scenarios for device independent screen-free service based on FMC (Fixed Mobile Convergence). This Supplement uses the features defined on Y.2720 sup.14, </w:t>
      </w:r>
      <w:proofErr w:type="spellStart"/>
      <w:r w:rsidR="00545A32" w:rsidRPr="00A94875">
        <w:rPr>
          <w:rFonts w:asciiTheme="majorBidi" w:hAnsiTheme="majorBidi" w:cstheme="majorBidi"/>
          <w:szCs w:val="20"/>
          <w:lang w:val="en-GB" w:eastAsia="en-US"/>
        </w:rPr>
        <w:t>Y.sof</w:t>
      </w:r>
      <w:proofErr w:type="spellEnd"/>
      <w:r w:rsidR="00545A32" w:rsidRPr="00A94875">
        <w:rPr>
          <w:rFonts w:asciiTheme="majorBidi" w:hAnsiTheme="majorBidi" w:cstheme="majorBidi"/>
          <w:szCs w:val="20"/>
          <w:lang w:val="en-GB" w:eastAsia="en-US"/>
        </w:rPr>
        <w:t xml:space="preserve"> (Supplementary service scenarios for fixed-mobile convergence)</w:t>
      </w:r>
      <w:r w:rsidRPr="00A94875">
        <w:rPr>
          <w:rFonts w:asciiTheme="majorBidi" w:hAnsiTheme="majorBidi" w:cstheme="majorBidi"/>
          <w:szCs w:val="20"/>
          <w:lang w:val="en-GB" w:eastAsia="en-US"/>
        </w:rPr>
        <w:t>.</w:t>
      </w:r>
    </w:p>
    <w:p w14:paraId="3FBEEC98" w14:textId="77777777" w:rsidR="006944F8" w:rsidRPr="00A94875" w:rsidRDefault="006944F8" w:rsidP="006944F8">
      <w:pPr>
        <w:spacing w:before="240"/>
        <w:rPr>
          <w:b/>
          <w:sz w:val="22"/>
          <w:szCs w:val="22"/>
          <w:lang w:val="en-GB"/>
        </w:rPr>
      </w:pPr>
      <w:bookmarkStart w:id="221" w:name="_Toc480527894"/>
      <w:r w:rsidRPr="00A94875">
        <w:rPr>
          <w:b/>
          <w:sz w:val="22"/>
          <w:szCs w:val="22"/>
          <w:lang w:val="en-GB"/>
        </w:rPr>
        <w:t>I.2.3</w:t>
      </w:r>
      <w:r w:rsidRPr="00A94875">
        <w:rPr>
          <w:b/>
          <w:sz w:val="22"/>
          <w:szCs w:val="22"/>
          <w:lang w:val="en-GB"/>
        </w:rPr>
        <w:tab/>
        <w:t>IMT-2020/5G networks</w:t>
      </w:r>
    </w:p>
    <w:p w14:paraId="1A87693C" w14:textId="77777777" w:rsidR="006944F8" w:rsidRPr="00A94875" w:rsidRDefault="006944F8" w:rsidP="006944F8">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
          <w:bCs/>
          <w:lang w:val="en-GB"/>
        </w:rPr>
        <w:t xml:space="preserve">ITU-T Y.3102 “Framework of the IMT-2020 network” </w:t>
      </w:r>
      <w:r w:rsidRPr="00A94875">
        <w:rPr>
          <w:rFonts w:asciiTheme="majorBidi" w:hAnsiTheme="majorBidi" w:cstheme="majorBidi"/>
          <w:bCs/>
          <w:lang w:val="en-GB"/>
        </w:rPr>
        <w:t xml:space="preserve">provides the framework for overall non-radio aspects of the IMT-2020 network. Following an introduction to the key features of the IMT-2020 network, architectural design considerations and framework of the IMT-2020 network </w:t>
      </w:r>
      <w:proofErr w:type="gramStart"/>
      <w:r w:rsidRPr="00A94875">
        <w:rPr>
          <w:rFonts w:asciiTheme="majorBidi" w:hAnsiTheme="majorBidi" w:cstheme="majorBidi"/>
          <w:bCs/>
          <w:lang w:val="en-GB"/>
        </w:rPr>
        <w:t>are provided</w:t>
      </w:r>
      <w:proofErr w:type="gramEnd"/>
      <w:r w:rsidRPr="00A94875">
        <w:rPr>
          <w:rFonts w:asciiTheme="majorBidi" w:hAnsiTheme="majorBidi" w:cstheme="majorBidi"/>
          <w:bCs/>
          <w:lang w:val="en-GB"/>
        </w:rPr>
        <w:t>.</w:t>
      </w:r>
    </w:p>
    <w:p w14:paraId="57DCF511" w14:textId="103BB8E2" w:rsidR="006944F8" w:rsidRPr="00A94875" w:rsidRDefault="006944F8" w:rsidP="006944F8">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
          <w:bCs/>
          <w:lang w:val="en-GB"/>
        </w:rPr>
        <w:t>ITU-T Y.3103 “Business Role-based Models in IMT-2020”</w:t>
      </w:r>
      <w:r w:rsidRPr="00A94875">
        <w:rPr>
          <w:rFonts w:asciiTheme="majorBidi" w:hAnsiTheme="majorBidi" w:cstheme="majorBidi"/>
          <w:bCs/>
          <w:lang w:val="en-GB"/>
        </w:rPr>
        <w:t xml:space="preserve"> describes business roles, business role-based models and best practice use cases in IMT-2020 from different relevant perspectives. It </w:t>
      </w:r>
      <w:proofErr w:type="gramStart"/>
      <w:r w:rsidRPr="00A94875">
        <w:rPr>
          <w:rFonts w:asciiTheme="majorBidi" w:hAnsiTheme="majorBidi" w:cstheme="majorBidi"/>
          <w:bCs/>
          <w:lang w:val="en-GB"/>
        </w:rPr>
        <w:t>can be used</w:t>
      </w:r>
      <w:proofErr w:type="gramEnd"/>
      <w:r w:rsidRPr="00A94875">
        <w:rPr>
          <w:rFonts w:asciiTheme="majorBidi" w:hAnsiTheme="majorBidi" w:cstheme="majorBidi"/>
          <w:bCs/>
          <w:lang w:val="en-GB"/>
        </w:rPr>
        <w:t xml:space="preserve"> as a guideline for further IMT-2020 studies from business point of view as well as for deployment and operation of IMT-2020 networks.</w:t>
      </w:r>
    </w:p>
    <w:p w14:paraId="5E3066E1" w14:textId="2EA5BFF8" w:rsidR="001758DE" w:rsidRPr="00A94875" w:rsidRDefault="001758DE" w:rsidP="001758DE">
      <w:pPr>
        <w:pStyle w:val="NormalWeb"/>
        <w:spacing w:before="120" w:beforeAutospacing="0" w:after="120" w:afterAutospacing="0"/>
        <w:rPr>
          <w:rFonts w:asciiTheme="majorBidi" w:hAnsiTheme="majorBidi" w:cstheme="majorBidi"/>
          <w:bCs/>
          <w:lang w:val="en-GB"/>
        </w:rPr>
      </w:pPr>
      <w:r w:rsidRPr="00A94875">
        <w:rPr>
          <w:rFonts w:asciiTheme="majorBidi" w:hAnsiTheme="majorBidi" w:cstheme="majorBidi"/>
          <w:b/>
          <w:bCs/>
          <w:lang w:val="en-GB"/>
        </w:rPr>
        <w:t>ITU-T Y.3104 “Architecture of the IMT-2020 network”</w:t>
      </w:r>
      <w:r w:rsidRPr="00A94875">
        <w:rPr>
          <w:rFonts w:asciiTheme="majorBidi" w:hAnsiTheme="majorBidi" w:cstheme="majorBidi"/>
          <w:bCs/>
          <w:lang w:val="en-GB"/>
        </w:rPr>
        <w:t xml:space="preserve"> (under approval) provides the architecture of the IMT-2020 network from a functional perspective. An architecture reference model of the IMT-2020 network and procedures of the IMT-2020 network basic services [ITU-T Y.3102] </w:t>
      </w:r>
      <w:proofErr w:type="gramStart"/>
      <w:r w:rsidRPr="00A94875">
        <w:rPr>
          <w:rFonts w:asciiTheme="majorBidi" w:hAnsiTheme="majorBidi" w:cstheme="majorBidi"/>
          <w:bCs/>
          <w:lang w:val="en-GB"/>
        </w:rPr>
        <w:t>are specified</w:t>
      </w:r>
      <w:proofErr w:type="gramEnd"/>
      <w:r w:rsidRPr="00A94875">
        <w:rPr>
          <w:rFonts w:asciiTheme="majorBidi" w:hAnsiTheme="majorBidi" w:cstheme="majorBidi"/>
          <w:bCs/>
          <w:lang w:val="en-GB"/>
        </w:rPr>
        <w:t>.</w:t>
      </w:r>
    </w:p>
    <w:p w14:paraId="583441D1" w14:textId="1717F012" w:rsidR="002078CC" w:rsidRPr="00A94875" w:rsidRDefault="002078CC" w:rsidP="009F0C2E">
      <w:pPr>
        <w:pStyle w:val="NormalWeb"/>
        <w:spacing w:before="120" w:beforeAutospacing="0" w:after="120" w:afterAutospacing="0"/>
        <w:rPr>
          <w:rFonts w:asciiTheme="majorBidi" w:hAnsiTheme="majorBidi" w:cstheme="majorBidi"/>
          <w:b/>
          <w:bCs/>
          <w:lang w:val="en-GB"/>
        </w:rPr>
      </w:pPr>
      <w:r w:rsidRPr="00A94875">
        <w:rPr>
          <w:rFonts w:asciiTheme="majorBidi" w:hAnsiTheme="majorBidi" w:cstheme="majorBidi"/>
          <w:b/>
          <w:bCs/>
          <w:lang w:val="en-GB"/>
        </w:rPr>
        <w:t>ITU-T Y.3105 “</w:t>
      </w:r>
      <w:r w:rsidR="009F0C2E" w:rsidRPr="00A94875">
        <w:rPr>
          <w:rFonts w:asciiTheme="majorBidi" w:hAnsiTheme="majorBidi" w:cstheme="majorBidi"/>
          <w:b/>
          <w:bCs/>
          <w:lang w:val="en-GB"/>
        </w:rPr>
        <w:t>Requirements of capability exposure in the IMT-2020 network</w:t>
      </w:r>
      <w:r w:rsidRPr="00A94875">
        <w:rPr>
          <w:rFonts w:asciiTheme="majorBidi" w:hAnsiTheme="majorBidi" w:cstheme="majorBidi"/>
          <w:b/>
          <w:bCs/>
          <w:lang w:val="en-GB"/>
        </w:rPr>
        <w:t>”</w:t>
      </w:r>
      <w:r w:rsidRPr="00A94875">
        <w:rPr>
          <w:rFonts w:asciiTheme="majorBidi" w:hAnsiTheme="majorBidi" w:cstheme="majorBidi"/>
          <w:bCs/>
          <w:lang w:val="en-GB"/>
        </w:rPr>
        <w:t xml:space="preserve"> (under approval) </w:t>
      </w:r>
      <w:r w:rsidR="009F0C2E" w:rsidRPr="00A94875">
        <w:rPr>
          <w:rFonts w:asciiTheme="majorBidi" w:hAnsiTheme="majorBidi" w:cstheme="majorBidi"/>
          <w:bCs/>
          <w:lang w:val="en-GB"/>
        </w:rPr>
        <w:t xml:space="preserve">identifies requirements of capability exposure in the IMT-2020 network. In particular, it provides at first an overview and general aspects of capability exposure in the IMT-2020 network, and then identifies requirements for the following key network capabilities: network slicing management, edge computing, network data analytics, fixed and mobile convergence, and </w:t>
      </w:r>
      <w:proofErr w:type="spellStart"/>
      <w:r w:rsidR="009F0C2E" w:rsidRPr="00A94875">
        <w:rPr>
          <w:rFonts w:asciiTheme="majorBidi" w:hAnsiTheme="majorBidi" w:cstheme="majorBidi"/>
          <w:bCs/>
          <w:lang w:val="en-GB"/>
        </w:rPr>
        <w:t>QoS</w:t>
      </w:r>
      <w:proofErr w:type="spellEnd"/>
      <w:r w:rsidR="009F0C2E" w:rsidRPr="00A94875">
        <w:rPr>
          <w:rFonts w:asciiTheme="majorBidi" w:hAnsiTheme="majorBidi" w:cstheme="majorBidi"/>
          <w:bCs/>
          <w:lang w:val="en-GB"/>
        </w:rPr>
        <w:t xml:space="preserve"> capabilities. Related scenarios of capability exposure in the IMT-2020 network </w:t>
      </w:r>
      <w:proofErr w:type="gramStart"/>
      <w:r w:rsidR="009F0C2E" w:rsidRPr="00A94875">
        <w:rPr>
          <w:rFonts w:asciiTheme="majorBidi" w:hAnsiTheme="majorBidi" w:cstheme="majorBidi"/>
          <w:bCs/>
          <w:lang w:val="en-GB"/>
        </w:rPr>
        <w:t>are provided</w:t>
      </w:r>
      <w:proofErr w:type="gramEnd"/>
      <w:r w:rsidR="009F0C2E" w:rsidRPr="00A94875">
        <w:rPr>
          <w:rFonts w:asciiTheme="majorBidi" w:hAnsiTheme="majorBidi" w:cstheme="majorBidi"/>
          <w:bCs/>
          <w:lang w:val="en-GB"/>
        </w:rPr>
        <w:t xml:space="preserve"> in Appendix.</w:t>
      </w:r>
    </w:p>
    <w:p w14:paraId="52B277F3" w14:textId="741D3B2C" w:rsidR="006944F8" w:rsidRPr="00A94875" w:rsidRDefault="006944F8" w:rsidP="006944F8">
      <w:pPr>
        <w:pStyle w:val="NormalWeb"/>
        <w:spacing w:before="120" w:beforeAutospacing="0" w:after="0" w:afterAutospacing="0"/>
        <w:rPr>
          <w:rFonts w:asciiTheme="majorBidi" w:hAnsiTheme="majorBidi" w:cstheme="majorBidi"/>
          <w:highlight w:val="yellow"/>
          <w:lang w:val="en-GB"/>
        </w:rPr>
      </w:pPr>
      <w:r w:rsidRPr="00A94875">
        <w:rPr>
          <w:rFonts w:asciiTheme="majorBidi" w:hAnsiTheme="majorBidi" w:cstheme="majorBidi"/>
          <w:b/>
          <w:lang w:val="en-GB"/>
        </w:rPr>
        <w:t xml:space="preserve">ITU-T Y.3112 </w:t>
      </w:r>
      <w:r w:rsidR="003400E1" w:rsidRPr="00A94875">
        <w:rPr>
          <w:rFonts w:asciiTheme="majorBidi" w:hAnsiTheme="majorBidi" w:cstheme="majorBidi"/>
          <w:b/>
          <w:lang w:val="en-GB"/>
        </w:rPr>
        <w:t xml:space="preserve">(revised) </w:t>
      </w:r>
      <w:r w:rsidRPr="00A94875">
        <w:rPr>
          <w:rFonts w:asciiTheme="majorBidi" w:hAnsiTheme="majorBidi" w:cstheme="majorBidi"/>
          <w:b/>
          <w:lang w:val="en-GB"/>
        </w:rPr>
        <w:t>“</w:t>
      </w:r>
      <w:r w:rsidR="003400E1" w:rsidRPr="00A94875">
        <w:rPr>
          <w:rFonts w:asciiTheme="majorBidi" w:hAnsiTheme="majorBidi" w:cstheme="majorBidi"/>
          <w:b/>
          <w:lang w:val="en-GB"/>
        </w:rPr>
        <w:t>Framework for the support of Multiple Network Slicing in the IMT-2020 network</w:t>
      </w:r>
      <w:r w:rsidRPr="00A94875">
        <w:rPr>
          <w:rFonts w:asciiTheme="majorBidi" w:hAnsiTheme="majorBidi" w:cstheme="majorBidi"/>
          <w:b/>
          <w:lang w:val="en-GB"/>
        </w:rPr>
        <w:t>”</w:t>
      </w:r>
      <w:r w:rsidRPr="00A94875">
        <w:rPr>
          <w:rFonts w:asciiTheme="majorBidi" w:hAnsiTheme="majorBidi" w:cstheme="majorBidi"/>
          <w:bCs/>
          <w:lang w:val="en-GB"/>
        </w:rPr>
        <w:t xml:space="preserve"> </w:t>
      </w:r>
      <w:r w:rsidR="000B3827" w:rsidRPr="00A94875">
        <w:rPr>
          <w:rFonts w:asciiTheme="majorBidi" w:hAnsiTheme="majorBidi" w:cstheme="majorBidi"/>
          <w:bCs/>
          <w:lang w:val="en-GB"/>
        </w:rPr>
        <w:t xml:space="preserve">(under approval) </w:t>
      </w:r>
      <w:r w:rsidRPr="00A94875">
        <w:rPr>
          <w:rFonts w:asciiTheme="majorBidi" w:hAnsiTheme="majorBidi" w:cstheme="majorBidi"/>
          <w:lang w:val="en-GB"/>
        </w:rPr>
        <w:t xml:space="preserve">describes the concept of network slicing and use cases of multiple network slicing. The multiple network slicing enables a single device </w:t>
      </w:r>
      <w:proofErr w:type="gramStart"/>
      <w:r w:rsidRPr="00A94875">
        <w:rPr>
          <w:rFonts w:asciiTheme="majorBidi" w:hAnsiTheme="majorBidi" w:cstheme="majorBidi"/>
          <w:lang w:val="en-GB"/>
        </w:rPr>
        <w:t>to simultaneously connect</w:t>
      </w:r>
      <w:proofErr w:type="gramEnd"/>
      <w:r w:rsidRPr="00A94875">
        <w:rPr>
          <w:rFonts w:asciiTheme="majorBidi" w:hAnsiTheme="majorBidi" w:cstheme="majorBidi"/>
          <w:lang w:val="en-GB"/>
        </w:rPr>
        <w:t xml:space="preserve"> to different network slices. The use case describes the slice service type for indicating a specific network slice and the slice user group for precisely representing the network slice in terms of performance requirements and business models. This Recommendation also specifies the high-level requirements and high-level architecture for multiple network slicing in IMT-2020 network.</w:t>
      </w:r>
    </w:p>
    <w:p w14:paraId="23B078E6" w14:textId="73974C7A" w:rsidR="006944F8" w:rsidRPr="00A94875" w:rsidRDefault="006944F8" w:rsidP="003400E1">
      <w:pPr>
        <w:pStyle w:val="NormalWeb"/>
        <w:spacing w:before="120" w:beforeAutospacing="0" w:after="120" w:afterAutospacing="0"/>
        <w:rPr>
          <w:rFonts w:asciiTheme="majorBidi" w:hAnsiTheme="majorBidi" w:cstheme="majorBidi"/>
          <w:lang w:val="en-GB"/>
        </w:rPr>
      </w:pPr>
      <w:r w:rsidRPr="00A94875">
        <w:rPr>
          <w:rFonts w:asciiTheme="majorBidi" w:hAnsiTheme="majorBidi" w:cstheme="majorBidi"/>
          <w:b/>
          <w:lang w:val="en-GB"/>
        </w:rPr>
        <w:t xml:space="preserve">ITU-T Y.3170 “Requirements of machine learning based </w:t>
      </w:r>
      <w:proofErr w:type="spellStart"/>
      <w:r w:rsidRPr="00A94875">
        <w:rPr>
          <w:rFonts w:asciiTheme="majorBidi" w:hAnsiTheme="majorBidi" w:cstheme="majorBidi"/>
          <w:b/>
          <w:lang w:val="en-GB"/>
        </w:rPr>
        <w:t>QoS</w:t>
      </w:r>
      <w:proofErr w:type="spellEnd"/>
      <w:r w:rsidRPr="00A94875">
        <w:rPr>
          <w:rFonts w:asciiTheme="majorBidi" w:hAnsiTheme="majorBidi" w:cstheme="majorBidi"/>
          <w:b/>
          <w:lang w:val="en-GB"/>
        </w:rPr>
        <w:t xml:space="preserve"> assurance for IMT-2020 network”</w:t>
      </w:r>
      <w:r w:rsidRPr="00A94875">
        <w:rPr>
          <w:rFonts w:asciiTheme="majorBidi" w:hAnsiTheme="majorBidi" w:cstheme="majorBidi"/>
          <w:lang w:val="en-GB"/>
        </w:rPr>
        <w:t xml:space="preserve"> </w:t>
      </w:r>
      <w:r w:rsidR="003400E1" w:rsidRPr="00A94875">
        <w:rPr>
          <w:rFonts w:asciiTheme="majorBidi" w:hAnsiTheme="majorBidi" w:cstheme="majorBidi"/>
          <w:lang w:val="en-GB"/>
        </w:rPr>
        <w:t xml:space="preserve">describes the concept of network slicing and use cases of multiple network slicing in the IMT-2020 network. Multiple network slicing is a type of network slicing to enabling a single device </w:t>
      </w:r>
      <w:proofErr w:type="gramStart"/>
      <w:r w:rsidR="003400E1" w:rsidRPr="00A94875">
        <w:rPr>
          <w:rFonts w:asciiTheme="majorBidi" w:hAnsiTheme="majorBidi" w:cstheme="majorBidi"/>
          <w:lang w:val="en-GB"/>
        </w:rPr>
        <w:t>to simultaneously connect</w:t>
      </w:r>
      <w:proofErr w:type="gramEnd"/>
      <w:r w:rsidR="003400E1" w:rsidRPr="00A94875">
        <w:rPr>
          <w:rFonts w:asciiTheme="majorBidi" w:hAnsiTheme="majorBidi" w:cstheme="majorBidi"/>
          <w:lang w:val="en-GB"/>
        </w:rPr>
        <w:t xml:space="preserve"> to different network slices. The use cases introduce the slice service type for indicating a specific network slice and the slice user group for precisely representing the network slice in terms of performance aspects and business aspects. This Recommendation also specifies high-level requirements and framework for multiple network slicing in the IMT-2020 network.</w:t>
      </w:r>
    </w:p>
    <w:p w14:paraId="1FECE119" w14:textId="6480AC2F" w:rsidR="007C519F" w:rsidRPr="00A94875" w:rsidRDefault="007C519F" w:rsidP="007C519F">
      <w:pPr>
        <w:pStyle w:val="NormalWeb"/>
        <w:spacing w:before="120" w:beforeAutospacing="0" w:after="120" w:afterAutospacing="0"/>
        <w:rPr>
          <w:rFonts w:asciiTheme="majorBidi" w:hAnsiTheme="majorBidi" w:cstheme="majorBidi"/>
          <w:b/>
          <w:szCs w:val="20"/>
          <w:lang w:val="en-GB" w:eastAsia="en-US"/>
        </w:rPr>
      </w:pPr>
      <w:r w:rsidRPr="00A94875">
        <w:rPr>
          <w:rFonts w:asciiTheme="majorBidi" w:hAnsiTheme="majorBidi" w:cstheme="majorBidi"/>
          <w:b/>
          <w:szCs w:val="20"/>
          <w:lang w:val="en-GB" w:eastAsia="en-US"/>
        </w:rPr>
        <w:t>ITU-T Y.3324 “</w:t>
      </w:r>
      <w:r w:rsidR="008D3B69" w:rsidRPr="00A94875">
        <w:rPr>
          <w:rFonts w:asciiTheme="majorBidi" w:hAnsiTheme="majorBidi" w:cstheme="majorBidi"/>
          <w:b/>
          <w:szCs w:val="20"/>
          <w:lang w:val="en-GB" w:eastAsia="en-US"/>
        </w:rPr>
        <w:t>Requirements and Architectural Framework for Autonomic Management and Control of IMT-2020 Networks</w:t>
      </w:r>
      <w:r w:rsidRPr="00A94875">
        <w:rPr>
          <w:rFonts w:asciiTheme="majorBidi" w:hAnsiTheme="majorBidi" w:cstheme="majorBidi"/>
          <w:b/>
          <w:szCs w:val="20"/>
          <w:lang w:val="en-GB" w:eastAsia="en-US"/>
        </w:rPr>
        <w:t>”</w:t>
      </w:r>
      <w:r w:rsidRPr="00A94875">
        <w:rPr>
          <w:rFonts w:asciiTheme="majorBidi" w:hAnsiTheme="majorBidi" w:cstheme="majorBidi"/>
          <w:szCs w:val="20"/>
          <w:lang w:val="en-GB" w:eastAsia="en-US"/>
        </w:rPr>
        <w:t xml:space="preserve"> (under approval) </w:t>
      </w:r>
      <w:r w:rsidR="008D3B69" w:rsidRPr="00A94875">
        <w:rPr>
          <w:rFonts w:asciiTheme="majorBidi" w:hAnsiTheme="majorBidi" w:cstheme="majorBidi"/>
          <w:szCs w:val="20"/>
          <w:lang w:val="en-GB" w:eastAsia="en-US"/>
        </w:rPr>
        <w:t>specifies high-level and functional requirements and architecture of Autonomic Management and Control (AMC) for IMT-2020 networks. It also specifies interworking reference points between AMC and IMT-2020 management and orchestration architecture, and legacy NMS/OSS. In Appendix I, it describes a use case to realize the AMC architecture through ETSI GANA reference model</w:t>
      </w:r>
      <w:r w:rsidRPr="00A94875">
        <w:rPr>
          <w:rFonts w:asciiTheme="majorBidi" w:hAnsiTheme="majorBidi" w:cstheme="majorBidi"/>
          <w:szCs w:val="20"/>
          <w:lang w:val="en-GB" w:eastAsia="en-US"/>
        </w:rPr>
        <w:t>.</w:t>
      </w:r>
    </w:p>
    <w:p w14:paraId="441ADE4E" w14:textId="3EA375D9" w:rsidR="006944F8" w:rsidRPr="00A94875" w:rsidRDefault="006944F8"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lastRenderedPageBreak/>
        <w:t>ITU-T Q.5001 “Signalling requirements and architecture of intelligent edge computing”</w:t>
      </w:r>
      <w:r w:rsidR="00783514" w:rsidRPr="00A94875">
        <w:rPr>
          <w:rFonts w:asciiTheme="majorBidi" w:hAnsiTheme="majorBidi" w:cstheme="majorBidi"/>
          <w:szCs w:val="20"/>
          <w:lang w:val="en-GB" w:eastAsia="en-US"/>
        </w:rPr>
        <w:t xml:space="preserve"> </w:t>
      </w:r>
      <w:r w:rsidRPr="00A94875">
        <w:rPr>
          <w:rFonts w:asciiTheme="majorBidi" w:hAnsiTheme="majorBidi" w:cstheme="majorBidi"/>
          <w:szCs w:val="20"/>
          <w:lang w:val="en-GB" w:eastAsia="en-US"/>
        </w:rPr>
        <w:t>defines the intelligent edge computing. It is applicable to collect, store, and process data reliably in the intelligent edge computing, especially to support mission critical services. Thus, the main functionality of intelligent edge computing is collecting, processing, analysing the data and providing the values based on intelligent data processing. This Recommendation specifies use cases, signalling requirements and an architecture of intelligent edge computing.</w:t>
      </w:r>
    </w:p>
    <w:p w14:paraId="0D6A5F7B" w14:textId="7571A326" w:rsidR="00843696" w:rsidRPr="00A94875" w:rsidRDefault="00843696" w:rsidP="00843696">
      <w:pPr>
        <w:pStyle w:val="NormalWeb"/>
        <w:spacing w:before="120" w:beforeAutospacing="0" w:after="0" w:afterAutospacing="0"/>
        <w:rPr>
          <w:rFonts w:asciiTheme="majorBidi" w:hAnsiTheme="majorBidi" w:cstheme="majorBidi"/>
          <w:lang w:val="en-GB"/>
        </w:rPr>
      </w:pPr>
      <w:r w:rsidRPr="00A94875">
        <w:rPr>
          <w:rFonts w:asciiTheme="majorBidi" w:hAnsiTheme="majorBidi" w:cstheme="majorBidi"/>
          <w:b/>
          <w:lang w:val="en-GB"/>
        </w:rPr>
        <w:t xml:space="preserve">ITU-T G.sup.5GP “5G Wireless </w:t>
      </w:r>
      <w:proofErr w:type="spellStart"/>
      <w:r w:rsidRPr="00A94875">
        <w:rPr>
          <w:rFonts w:asciiTheme="majorBidi" w:hAnsiTheme="majorBidi" w:cstheme="majorBidi"/>
          <w:b/>
          <w:lang w:val="en-GB"/>
        </w:rPr>
        <w:t>Fronthaul</w:t>
      </w:r>
      <w:proofErr w:type="spellEnd"/>
      <w:r w:rsidRPr="00A94875">
        <w:rPr>
          <w:rFonts w:asciiTheme="majorBidi" w:hAnsiTheme="majorBidi" w:cstheme="majorBidi"/>
          <w:b/>
          <w:lang w:val="en-GB"/>
        </w:rPr>
        <w:t xml:space="preserve"> Requirements in a PON Context” </w:t>
      </w:r>
      <w:r w:rsidRPr="00A94875">
        <w:rPr>
          <w:rFonts w:asciiTheme="majorBidi" w:hAnsiTheme="majorBidi" w:cstheme="majorBidi"/>
          <w:lang w:val="en-GB"/>
        </w:rPr>
        <w:t xml:space="preserve">enumerates the various requirements arising from 5G wireless systems, concentrating on the </w:t>
      </w:r>
      <w:proofErr w:type="spellStart"/>
      <w:r w:rsidRPr="00A94875">
        <w:rPr>
          <w:rFonts w:asciiTheme="majorBidi" w:hAnsiTheme="majorBidi" w:cstheme="majorBidi"/>
          <w:lang w:val="en-GB"/>
        </w:rPr>
        <w:t>fronthaul</w:t>
      </w:r>
      <w:proofErr w:type="spellEnd"/>
      <w:r w:rsidRPr="00A94875">
        <w:rPr>
          <w:rFonts w:asciiTheme="majorBidi" w:hAnsiTheme="majorBidi" w:cstheme="majorBidi"/>
          <w:lang w:val="en-GB"/>
        </w:rPr>
        <w:t xml:space="preserve"> portion of the network, and considers how they compare with current and future optical access transport systems. Practical passive optical network solutions to serve the 5G </w:t>
      </w:r>
      <w:proofErr w:type="spellStart"/>
      <w:r w:rsidRPr="00A94875">
        <w:rPr>
          <w:rFonts w:asciiTheme="majorBidi" w:hAnsiTheme="majorBidi" w:cstheme="majorBidi"/>
          <w:lang w:val="en-GB"/>
        </w:rPr>
        <w:t>fronthaul</w:t>
      </w:r>
      <w:proofErr w:type="spellEnd"/>
      <w:r w:rsidRPr="00A94875">
        <w:rPr>
          <w:rFonts w:asciiTheme="majorBidi" w:hAnsiTheme="majorBidi" w:cstheme="majorBidi"/>
          <w:lang w:val="en-GB"/>
        </w:rPr>
        <w:t xml:space="preserve"> application </w:t>
      </w:r>
      <w:proofErr w:type="gramStart"/>
      <w:r w:rsidRPr="00A94875">
        <w:rPr>
          <w:rFonts w:asciiTheme="majorBidi" w:hAnsiTheme="majorBidi" w:cstheme="majorBidi"/>
          <w:lang w:val="en-GB"/>
        </w:rPr>
        <w:t>are hypothesized</w:t>
      </w:r>
      <w:proofErr w:type="gramEnd"/>
      <w:r w:rsidRPr="00A94875">
        <w:rPr>
          <w:rFonts w:asciiTheme="majorBidi" w:hAnsiTheme="majorBidi" w:cstheme="majorBidi"/>
          <w:lang w:val="en-GB"/>
        </w:rPr>
        <w:t>.</w:t>
      </w:r>
    </w:p>
    <w:p w14:paraId="55CF2C81" w14:textId="78CA8C04" w:rsidR="006944F8" w:rsidRPr="00A94875" w:rsidRDefault="006944F8" w:rsidP="006944F8">
      <w:pPr>
        <w:pStyle w:val="NormalWeb"/>
        <w:spacing w:before="120" w:beforeAutospacing="0" w:after="120" w:afterAutospacing="0"/>
        <w:rPr>
          <w:rFonts w:asciiTheme="majorBidi" w:hAnsiTheme="majorBidi" w:cstheme="majorBidi"/>
          <w:lang w:val="en-GB"/>
        </w:rPr>
      </w:pPr>
      <w:r w:rsidRPr="00A94875">
        <w:rPr>
          <w:rFonts w:asciiTheme="majorBidi" w:hAnsiTheme="majorBidi" w:cstheme="majorBidi"/>
          <w:b/>
          <w:lang w:val="en-GB"/>
        </w:rPr>
        <w:t xml:space="preserve">ITU-T Y.Suppl.47 to Y.3070-series “Information-Centric Networking – Overview, Standardization Gaps and Proof-of-Concept” </w:t>
      </w:r>
      <w:r w:rsidRPr="00A94875">
        <w:rPr>
          <w:rFonts w:asciiTheme="majorBidi" w:hAnsiTheme="majorBidi" w:cstheme="majorBidi"/>
          <w:lang w:val="en-GB"/>
        </w:rPr>
        <w:t xml:space="preserve">provides the overview of information-centric networking and describes the fifteen standardization gaps and five proof-of-concept investigated by ITU-T Focus Group on IMT-2020 (FG IMT-2020) during 2015-2016. It </w:t>
      </w:r>
      <w:proofErr w:type="gramStart"/>
      <w:r w:rsidRPr="00A94875">
        <w:rPr>
          <w:rFonts w:asciiTheme="majorBidi" w:hAnsiTheme="majorBidi" w:cstheme="majorBidi"/>
          <w:lang w:val="en-GB"/>
        </w:rPr>
        <w:t>is based</w:t>
      </w:r>
      <w:proofErr w:type="gramEnd"/>
      <w:r w:rsidRPr="00A94875">
        <w:rPr>
          <w:rFonts w:asciiTheme="majorBidi" w:hAnsiTheme="majorBidi" w:cstheme="majorBidi"/>
          <w:lang w:val="en-GB"/>
        </w:rPr>
        <w:t xml:space="preserve"> on the ICN related contents of the two final output documents of FG IMT-2020 [b-FG IMT-2020 Gaps] [b-FG IMT-2020 ICN </w:t>
      </w:r>
      <w:proofErr w:type="spellStart"/>
      <w:r w:rsidRPr="00A94875">
        <w:rPr>
          <w:rFonts w:asciiTheme="majorBidi" w:hAnsiTheme="majorBidi" w:cstheme="majorBidi"/>
          <w:lang w:val="en-GB"/>
        </w:rPr>
        <w:t>PoC</w:t>
      </w:r>
      <w:proofErr w:type="spellEnd"/>
      <w:r w:rsidRPr="00A94875">
        <w:rPr>
          <w:rFonts w:asciiTheme="majorBidi" w:hAnsiTheme="majorBidi" w:cstheme="majorBidi"/>
          <w:lang w:val="en-GB"/>
        </w:rPr>
        <w:t>].</w:t>
      </w:r>
    </w:p>
    <w:p w14:paraId="07EB265C" w14:textId="77777777" w:rsidR="006944F8" w:rsidRPr="00A94875" w:rsidRDefault="006944F8" w:rsidP="006944F8">
      <w:pPr>
        <w:pStyle w:val="NormalWeb"/>
        <w:spacing w:before="120" w:beforeAutospacing="0" w:after="0" w:afterAutospacing="0"/>
        <w:rPr>
          <w:rFonts w:asciiTheme="majorBidi" w:hAnsiTheme="majorBidi" w:cstheme="majorBidi"/>
          <w:highlight w:val="yellow"/>
          <w:lang w:val="en-GB"/>
        </w:rPr>
      </w:pPr>
      <w:r w:rsidRPr="00A94875">
        <w:rPr>
          <w:rFonts w:asciiTheme="majorBidi" w:hAnsiTheme="majorBidi" w:cstheme="majorBidi"/>
          <w:b/>
          <w:lang w:val="en-GB"/>
        </w:rPr>
        <w:t>ITU-T Y.Suppl.48 to Y.3070-series “Proof-of-Concept for Data Service using Information Centric Networking in IMT-2020”</w:t>
      </w:r>
      <w:r w:rsidRPr="00A94875">
        <w:rPr>
          <w:rFonts w:asciiTheme="majorBidi" w:hAnsiTheme="majorBidi" w:cstheme="majorBidi"/>
          <w:lang w:val="en-GB"/>
        </w:rPr>
        <w:t xml:space="preserve"> specifies a proof-of-concept for a service that provides named data such as Internet of Things (</w:t>
      </w:r>
      <w:proofErr w:type="spellStart"/>
      <w:r w:rsidRPr="00A94875">
        <w:rPr>
          <w:rFonts w:asciiTheme="majorBidi" w:hAnsiTheme="majorBidi" w:cstheme="majorBidi"/>
          <w:lang w:val="en-GB"/>
        </w:rPr>
        <w:t>IoT</w:t>
      </w:r>
      <w:proofErr w:type="spellEnd"/>
      <w:r w:rsidRPr="00A94875">
        <w:rPr>
          <w:rFonts w:asciiTheme="majorBidi" w:hAnsiTheme="majorBidi" w:cstheme="majorBidi"/>
          <w:lang w:val="en-GB"/>
        </w:rPr>
        <w:t xml:space="preserve">) named data by information centric networking in IMT-2020. In the Supplement, an enhanced name resolution system </w:t>
      </w:r>
      <w:proofErr w:type="gramStart"/>
      <w:r w:rsidRPr="00A94875">
        <w:rPr>
          <w:rFonts w:asciiTheme="majorBidi" w:hAnsiTheme="majorBidi" w:cstheme="majorBidi"/>
          <w:lang w:val="en-GB"/>
        </w:rPr>
        <w:t>is implemented</w:t>
      </w:r>
      <w:proofErr w:type="gramEnd"/>
      <w:r w:rsidRPr="00A94875">
        <w:rPr>
          <w:rFonts w:asciiTheme="majorBidi" w:hAnsiTheme="majorBidi" w:cstheme="majorBidi"/>
          <w:lang w:val="en-GB"/>
        </w:rPr>
        <w:t xml:space="preserve"> based on distance-constrained containers to resolve from names to addresses more efficiently.</w:t>
      </w:r>
    </w:p>
    <w:p w14:paraId="632B5490" w14:textId="2F3FA059" w:rsidR="006944F8" w:rsidRPr="00A94875" w:rsidRDefault="006944F8" w:rsidP="006944F8">
      <w:pPr>
        <w:pStyle w:val="NormalWeb"/>
        <w:spacing w:before="120" w:beforeAutospacing="0" w:after="0" w:afterAutospacing="0"/>
        <w:rPr>
          <w:rFonts w:asciiTheme="majorBidi" w:hAnsiTheme="majorBidi" w:cstheme="majorBidi"/>
          <w:lang w:val="en-GB"/>
        </w:rPr>
      </w:pPr>
      <w:r w:rsidRPr="00A94875">
        <w:rPr>
          <w:rFonts w:asciiTheme="majorBidi" w:hAnsiTheme="majorBidi" w:cstheme="majorBidi"/>
          <w:b/>
          <w:lang w:val="en-GB"/>
        </w:rPr>
        <w:t>Technical Report GSTR-TN5G “Transport network support of IMT-2020/5G”</w:t>
      </w:r>
      <w:r w:rsidRPr="00A94875">
        <w:rPr>
          <w:rFonts w:asciiTheme="majorBidi" w:hAnsiTheme="majorBidi" w:cstheme="majorBidi"/>
          <w:lang w:val="en-GB"/>
        </w:rPr>
        <w:t xml:space="preserve"> documents a reference model for the IMT 2020/5G transport network and a set of deployment scenarios. It captures requirements on transport networks in order to support IMT 2020/5G networks and provides details on the interfaces between the IMT 2020/5G entities and the transport network. The support of IMT 2020/5G network slicing (data plane and control plane) and Control/Management interfaces </w:t>
      </w:r>
      <w:proofErr w:type="gramStart"/>
      <w:r w:rsidRPr="00A94875">
        <w:rPr>
          <w:rFonts w:asciiTheme="majorBidi" w:hAnsiTheme="majorBidi" w:cstheme="majorBidi"/>
          <w:lang w:val="en-GB"/>
        </w:rPr>
        <w:t>are also described</w:t>
      </w:r>
      <w:proofErr w:type="gramEnd"/>
      <w:r w:rsidRPr="00A94875">
        <w:rPr>
          <w:rFonts w:asciiTheme="majorBidi" w:hAnsiTheme="majorBidi" w:cstheme="majorBidi"/>
          <w:lang w:val="en-GB"/>
        </w:rPr>
        <w:t>.</w:t>
      </w:r>
    </w:p>
    <w:p w14:paraId="36F753B2" w14:textId="04B1919A" w:rsidR="00B37743" w:rsidRPr="00A94875" w:rsidRDefault="00B37743" w:rsidP="00B37743">
      <w:pPr>
        <w:pStyle w:val="NormalWeb"/>
        <w:spacing w:before="120" w:beforeAutospacing="0" w:after="0" w:afterAutospacing="0"/>
        <w:rPr>
          <w:rFonts w:asciiTheme="majorBidi" w:hAnsiTheme="majorBidi" w:cstheme="majorBidi"/>
          <w:highlight w:val="yellow"/>
          <w:lang w:val="en-GB"/>
        </w:rPr>
      </w:pPr>
      <w:r w:rsidRPr="00A94875">
        <w:rPr>
          <w:rFonts w:asciiTheme="majorBidi" w:hAnsiTheme="majorBidi" w:cstheme="majorBidi"/>
          <w:b/>
          <w:lang w:val="en-GB"/>
        </w:rPr>
        <w:t>ITU-T Technical Report “Transport network support of IMT-2020/5G”</w:t>
      </w:r>
      <w:r w:rsidRPr="00A94875">
        <w:rPr>
          <w:rFonts w:asciiTheme="majorBidi" w:hAnsiTheme="majorBidi" w:cstheme="majorBidi"/>
          <w:lang w:val="en-GB"/>
        </w:rPr>
        <w:t xml:space="preserve"> documents a reference model of IMT 2020/5G network and a set of deployment scenarios. It documents requirements on transport networks in order to support IMT 2020/5G networks, particularly at interfaces between IMT 2020/5G entities and transport networks. Aspects of transport network support include network slicing (data plane and control plane), synchronization, and Control/Management.</w:t>
      </w:r>
    </w:p>
    <w:p w14:paraId="1057FA8C" w14:textId="77777777" w:rsidR="006944F8" w:rsidRPr="00A94875" w:rsidRDefault="006944F8" w:rsidP="006944F8">
      <w:pPr>
        <w:spacing w:before="240"/>
        <w:rPr>
          <w:b/>
          <w:sz w:val="22"/>
          <w:szCs w:val="22"/>
          <w:lang w:val="en-GB"/>
        </w:rPr>
      </w:pPr>
      <w:r w:rsidRPr="00A94875">
        <w:rPr>
          <w:b/>
          <w:sz w:val="22"/>
          <w:szCs w:val="22"/>
          <w:lang w:val="en-GB"/>
        </w:rPr>
        <w:t>I.2.4</w:t>
      </w:r>
      <w:r w:rsidRPr="00A94875">
        <w:rPr>
          <w:b/>
          <w:sz w:val="22"/>
          <w:szCs w:val="22"/>
          <w:lang w:val="en-GB"/>
        </w:rPr>
        <w:tab/>
        <w:t>Home networking</w:t>
      </w:r>
    </w:p>
    <w:p w14:paraId="1A33855C" w14:textId="77777777" w:rsidR="006944F8" w:rsidRPr="00A94875" w:rsidRDefault="006944F8" w:rsidP="006944F8">
      <w:pPr>
        <w:rPr>
          <w:rFonts w:asciiTheme="majorBidi" w:hAnsiTheme="majorBidi" w:cstheme="majorBidi"/>
          <w:b/>
          <w:bCs/>
          <w:lang w:val="en-GB"/>
        </w:rPr>
      </w:pPr>
      <w:r w:rsidRPr="00A94875">
        <w:rPr>
          <w:rFonts w:asciiTheme="majorBidi" w:hAnsiTheme="majorBidi" w:cstheme="majorBidi"/>
          <w:b/>
          <w:bCs/>
          <w:lang w:val="en-GB"/>
        </w:rPr>
        <w:t>ITU-T G.9958 “Generic architecture of home networks for energy management”</w:t>
      </w:r>
      <w:r w:rsidRPr="00A94875">
        <w:rPr>
          <w:rFonts w:asciiTheme="majorBidi" w:hAnsiTheme="majorBidi" w:cstheme="majorBidi"/>
          <w:bCs/>
          <w:lang w:val="en-GB"/>
        </w:rPr>
        <w:t xml:space="preserve"> specifies functional definitions of components and networks to provide energy management services in home. It also specifies home network configurations and requirements for these services.</w:t>
      </w:r>
    </w:p>
    <w:p w14:paraId="37E36810" w14:textId="53F46B3D" w:rsidR="00DE10D4" w:rsidRPr="00A94875" w:rsidRDefault="00DE10D4" w:rsidP="00DE10D4">
      <w:pPr>
        <w:rPr>
          <w:rFonts w:asciiTheme="majorBidi" w:hAnsiTheme="majorBidi" w:cstheme="majorBidi"/>
          <w:bCs/>
          <w:lang w:val="en-GB"/>
        </w:rPr>
      </w:pPr>
      <w:r w:rsidRPr="00A94875">
        <w:rPr>
          <w:rFonts w:asciiTheme="majorBidi" w:hAnsiTheme="majorBidi" w:cstheme="majorBidi"/>
          <w:b/>
          <w:bCs/>
          <w:lang w:val="en-GB"/>
        </w:rPr>
        <w:t>ITU-T G.9960 (revised) “Unified high-speed wire-line based home networking transceivers - System architecture and physical layer specification”</w:t>
      </w:r>
      <w:r w:rsidRPr="00A94875">
        <w:rPr>
          <w:rFonts w:asciiTheme="majorBidi" w:hAnsiTheme="majorBidi" w:cstheme="majorBidi"/>
          <w:bCs/>
          <w:lang w:val="en-GB"/>
        </w:rPr>
        <w:t xml:space="preserve"> (under approval) specifies the system architecture and physical (PHY) layer for wireline-based home networking transceivers which are capable of operating over premises' wiring, including inside telephone wiring, coaxial cable, and power-line wiring. It complements the data link layer (DLL) specification in Recommendation ITU-T G.9961, and the power spectral density (PSD) specification in Recommendation ITU-T G.9964.</w:t>
      </w:r>
    </w:p>
    <w:p w14:paraId="683B6A7B" w14:textId="39A1EC34" w:rsidR="00DB540E" w:rsidRPr="00A94875" w:rsidRDefault="00DB540E" w:rsidP="00DB540E">
      <w:pPr>
        <w:rPr>
          <w:rFonts w:asciiTheme="majorBidi" w:hAnsiTheme="majorBidi" w:cstheme="majorBidi"/>
          <w:bCs/>
          <w:lang w:val="en-GB"/>
        </w:rPr>
      </w:pPr>
      <w:r w:rsidRPr="00A94875">
        <w:rPr>
          <w:rFonts w:asciiTheme="majorBidi" w:hAnsiTheme="majorBidi" w:cstheme="majorBidi"/>
          <w:b/>
          <w:bCs/>
          <w:lang w:val="en-GB"/>
        </w:rPr>
        <w:t>ITU-T G.9961 (revised) “Unified high-speed wireline-based home networking transceivers –  Data link layer specification”</w:t>
      </w:r>
      <w:r w:rsidRPr="00A94875">
        <w:rPr>
          <w:rFonts w:asciiTheme="majorBidi" w:hAnsiTheme="majorBidi" w:cstheme="majorBidi"/>
          <w:bCs/>
          <w:lang w:val="en-GB"/>
        </w:rPr>
        <w:t xml:space="preserve"> (under approval) specifies the data link layer (DLL) for wireline-based home networking transceivers capable of operating over premises wiring including inside telephone wiring, coaxial cable, and power-line wiring. It complements the system architecture and </w:t>
      </w:r>
      <w:r w:rsidRPr="00A94875">
        <w:rPr>
          <w:rFonts w:asciiTheme="majorBidi" w:hAnsiTheme="majorBidi" w:cstheme="majorBidi"/>
          <w:bCs/>
          <w:lang w:val="en-GB"/>
        </w:rPr>
        <w:lastRenderedPageBreak/>
        <w:t>physical (PHY) layer specification in Recommendation ITU-T G.9960, and the power spectral density (PSD) specification in Recommendation ITU-T G.9964.</w:t>
      </w:r>
    </w:p>
    <w:p w14:paraId="458FCC40" w14:textId="22426578"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 xml:space="preserve">ITU-T G.9961 (2015) Amd.3 “Unified high-speed wire-line based home networking transceivers - Data link layer specification: Amendment 3” </w:t>
      </w:r>
      <w:r w:rsidRPr="00A94875">
        <w:rPr>
          <w:rFonts w:asciiTheme="majorBidi" w:hAnsiTheme="majorBidi" w:cstheme="majorBidi"/>
          <w:bCs/>
          <w:lang w:val="en-GB"/>
        </w:rPr>
        <w:t>includes the addition of new capabilities to the Layer 2 configuration and management protocol (LCMP) and to the neighbouring domain interference mitigation (NDIM) mechanism. It also provides alignment of this Recommendation to new Recommendation ITU-T G.9978 on secure admission in G.hn-based networks.</w:t>
      </w:r>
    </w:p>
    <w:p w14:paraId="389B8513"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G.9961 (2015) Amd.4 “Unified high-speed wire-line based home networking transceivers - Data link layer specification: Amendment 4”</w:t>
      </w:r>
      <w:r w:rsidRPr="00A94875">
        <w:rPr>
          <w:rFonts w:asciiTheme="majorBidi" w:hAnsiTheme="majorBidi" w:cstheme="majorBidi"/>
          <w:bCs/>
          <w:lang w:val="en-GB"/>
        </w:rPr>
        <w:t xml:space="preserve"> includes a new </w:t>
      </w:r>
      <w:proofErr w:type="gramStart"/>
      <w:r w:rsidRPr="00A94875">
        <w:rPr>
          <w:rFonts w:asciiTheme="majorBidi" w:hAnsiTheme="majorBidi" w:cstheme="majorBidi"/>
          <w:bCs/>
          <w:lang w:val="en-GB"/>
        </w:rPr>
        <w:t>management message compression mechanism</w:t>
      </w:r>
      <w:proofErr w:type="gramEnd"/>
      <w:r w:rsidRPr="00A94875">
        <w:rPr>
          <w:rFonts w:asciiTheme="majorBidi" w:hAnsiTheme="majorBidi" w:cstheme="majorBidi"/>
          <w:bCs/>
          <w:lang w:val="en-GB"/>
        </w:rPr>
        <w:t xml:space="preserve"> to minimize the length of these messages to reduce overhead. It also includes some additional capabilities for low power modes.</w:t>
      </w:r>
    </w:p>
    <w:p w14:paraId="61A56B5A" w14:textId="409C5772" w:rsidR="00993523" w:rsidRPr="00A94875" w:rsidRDefault="00993523" w:rsidP="00993523">
      <w:pPr>
        <w:rPr>
          <w:rFonts w:asciiTheme="majorBidi" w:hAnsiTheme="majorBidi" w:cstheme="majorBidi"/>
          <w:bCs/>
          <w:lang w:val="en-GB"/>
        </w:rPr>
      </w:pPr>
      <w:r w:rsidRPr="00A94875">
        <w:rPr>
          <w:rFonts w:asciiTheme="majorBidi" w:hAnsiTheme="majorBidi" w:cstheme="majorBidi"/>
          <w:b/>
          <w:bCs/>
          <w:lang w:val="en-GB"/>
        </w:rPr>
        <w:t>ITU-T G.9962 (revised) “Unified high-speed wire-line based home networking transceivers – Management specification”</w:t>
      </w:r>
      <w:r w:rsidRPr="00A94875">
        <w:rPr>
          <w:rFonts w:asciiTheme="majorBidi" w:hAnsiTheme="majorBidi" w:cstheme="majorBidi"/>
          <w:bCs/>
          <w:lang w:val="en-GB"/>
        </w:rPr>
        <w:t xml:space="preserve"> (under approval) specifies the physical and data link layer management for the ITU T G.996x series home networking transceiver specifications. It defines common management parameters and protocols for all ITU-T G.996x-series Recommendations for the purpose of device configuration, status and performance management, fault monitoring and diagnostics. It also provides management functionalities to coordinate multiple domains. It includes support for LCMP communication through the L1 and L6 interfaces.</w:t>
      </w:r>
    </w:p>
    <w:p w14:paraId="48D392CB" w14:textId="609838F9" w:rsidR="002F500B" w:rsidRPr="00A94875" w:rsidRDefault="002F500B" w:rsidP="002F500B">
      <w:pPr>
        <w:rPr>
          <w:rFonts w:asciiTheme="majorBidi" w:hAnsiTheme="majorBidi" w:cstheme="majorBidi"/>
          <w:b/>
          <w:bCs/>
          <w:lang w:val="en-GB"/>
        </w:rPr>
      </w:pPr>
      <w:r w:rsidRPr="00A94875">
        <w:rPr>
          <w:rFonts w:asciiTheme="majorBidi" w:hAnsiTheme="majorBidi" w:cstheme="majorBidi"/>
          <w:b/>
          <w:bCs/>
          <w:lang w:val="en-GB"/>
        </w:rPr>
        <w:t>ITU-T G.9963 (revised) “Unified high-speed wireline-based home networking transceivers – Multiple input/multiple output specification”</w:t>
      </w:r>
      <w:r w:rsidRPr="00A94875">
        <w:rPr>
          <w:rFonts w:asciiTheme="majorBidi" w:hAnsiTheme="majorBidi" w:cstheme="majorBidi"/>
          <w:bCs/>
          <w:lang w:val="en-GB"/>
        </w:rPr>
        <w:t xml:space="preserve"> (under approval) specifies the additions and modifications to Recommendations ITU T G.9960 and ITU-T G.9961 that are needed for a multiple input multiple output (MIMO) home networking transceiver capable of operating over premises power-line wiring. MIMO transceivers are able to transmit and receive over three power-line conductors (phase, neutral and ground). This Recommendation also specifies the means by which transceivers that comply with ITU-T G.9960, ITU T G.9961 and ITU-T G.9963 interoperate when used on the same wires.</w:t>
      </w:r>
    </w:p>
    <w:p w14:paraId="414CEADE" w14:textId="6DC22D03" w:rsidR="006944F8" w:rsidRPr="00A94875" w:rsidRDefault="006944F8" w:rsidP="006944F8">
      <w:pPr>
        <w:rPr>
          <w:rFonts w:asciiTheme="majorBidi" w:hAnsiTheme="majorBidi" w:cstheme="majorBidi"/>
          <w:lang w:val="en-GB"/>
        </w:rPr>
      </w:pPr>
      <w:r w:rsidRPr="00A94875">
        <w:rPr>
          <w:rFonts w:asciiTheme="majorBidi" w:hAnsiTheme="majorBidi" w:cstheme="majorBidi"/>
          <w:b/>
          <w:bCs/>
          <w:lang w:val="en-GB"/>
        </w:rPr>
        <w:t xml:space="preserve">ITU-T G.9978 </w:t>
      </w:r>
      <w:r w:rsidR="00EF4259" w:rsidRPr="00A94875">
        <w:rPr>
          <w:rFonts w:asciiTheme="majorBidi" w:hAnsiTheme="majorBidi" w:cstheme="majorBidi"/>
          <w:b/>
          <w:bCs/>
          <w:lang w:val="en-GB"/>
        </w:rPr>
        <w:t xml:space="preserve">(revised) </w:t>
      </w:r>
      <w:r w:rsidRPr="00A94875">
        <w:rPr>
          <w:rFonts w:asciiTheme="majorBidi" w:hAnsiTheme="majorBidi" w:cstheme="majorBidi"/>
          <w:b/>
          <w:bCs/>
          <w:lang w:val="en-GB"/>
        </w:rPr>
        <w:t>“Secure admission in G.hn network”</w:t>
      </w:r>
      <w:r w:rsidRPr="00A94875">
        <w:rPr>
          <w:rFonts w:asciiTheme="majorBidi" w:hAnsiTheme="majorBidi" w:cstheme="majorBidi"/>
          <w:bCs/>
          <w:lang w:val="en-GB"/>
        </w:rPr>
        <w:t xml:space="preserve"> </w:t>
      </w:r>
      <w:r w:rsidR="00EF4259" w:rsidRPr="00A94875">
        <w:rPr>
          <w:rFonts w:asciiTheme="majorBidi" w:hAnsiTheme="majorBidi" w:cstheme="majorBidi"/>
          <w:bCs/>
          <w:lang w:val="en-GB"/>
        </w:rPr>
        <w:t xml:space="preserve">(under approval) </w:t>
      </w:r>
      <w:r w:rsidR="00EF4259" w:rsidRPr="00A94875">
        <w:rPr>
          <w:rFonts w:asciiTheme="majorBidi" w:hAnsiTheme="majorBidi" w:cstheme="majorBidi"/>
          <w:lang w:val="en-GB"/>
        </w:rPr>
        <w:t>specifies the various secure admission methods for a node to enter a G.hn domain, including media access control (MAC) authorization-based secure admission, generic pairing, auto-pairing and passphrase-based secure admission. This latest revision includes new use cases</w:t>
      </w:r>
      <w:r w:rsidRPr="00A94875">
        <w:rPr>
          <w:rFonts w:asciiTheme="majorBidi" w:hAnsiTheme="majorBidi" w:cstheme="majorBidi"/>
          <w:lang w:val="en-GB"/>
        </w:rPr>
        <w:t>.</w:t>
      </w:r>
    </w:p>
    <w:p w14:paraId="1D026B84" w14:textId="66E7ADD6" w:rsidR="00EA233B" w:rsidRPr="00A94875" w:rsidRDefault="00EA233B" w:rsidP="00EA233B">
      <w:pPr>
        <w:rPr>
          <w:rFonts w:asciiTheme="majorBidi" w:hAnsiTheme="majorBidi" w:cstheme="majorBidi"/>
          <w:lang w:val="en-GB"/>
        </w:rPr>
      </w:pPr>
      <w:r w:rsidRPr="00A94875">
        <w:rPr>
          <w:rFonts w:asciiTheme="majorBidi" w:hAnsiTheme="majorBidi" w:cstheme="majorBidi"/>
          <w:b/>
          <w:lang w:val="en-GB"/>
        </w:rPr>
        <w:t>ITU-T G.9979 (revised) “Implementation of the generic mechanism in the IEEE 1905.1a-2014 Standard to include applicable ITU-T Recommendations”</w:t>
      </w:r>
      <w:r w:rsidRPr="00A94875">
        <w:rPr>
          <w:rFonts w:asciiTheme="majorBidi" w:hAnsiTheme="majorBidi" w:cstheme="majorBidi"/>
          <w:lang w:val="en-GB"/>
        </w:rPr>
        <w:t xml:space="preserve"> (under approval) specifies the necessary details for including network transceivers defined in ITU-T Recommendations as supported home networking technologies under the abstraction layer defined by IEEE 1905 technology.</w:t>
      </w:r>
    </w:p>
    <w:p w14:paraId="6104EADE" w14:textId="5E09B33C" w:rsidR="00806950" w:rsidRPr="00A94875" w:rsidRDefault="00806950" w:rsidP="00806950">
      <w:pPr>
        <w:rPr>
          <w:rFonts w:asciiTheme="majorBidi" w:hAnsiTheme="majorBidi" w:cstheme="majorBidi"/>
          <w:lang w:val="en-GB"/>
        </w:rPr>
      </w:pPr>
      <w:r w:rsidRPr="00A94875">
        <w:rPr>
          <w:rFonts w:asciiTheme="majorBidi" w:hAnsiTheme="majorBidi" w:cstheme="majorBidi"/>
          <w:b/>
          <w:lang w:val="en-GB"/>
        </w:rPr>
        <w:t>ITU-T G.9991 “High speed indoor visible light communication transceiver – System architecture, physical layer and data link layer specification”</w:t>
      </w:r>
      <w:r w:rsidRPr="00A94875">
        <w:rPr>
          <w:rFonts w:asciiTheme="majorBidi" w:hAnsiTheme="majorBidi" w:cstheme="majorBidi"/>
          <w:lang w:val="en-GB"/>
        </w:rPr>
        <w:t xml:space="preserve"> (under approval) specifies the system architecture, physical (PHY) layer and data link layer (DLL) for high-speed indoor optical wireless communication transceiver using visible light.</w:t>
      </w:r>
    </w:p>
    <w:p w14:paraId="352DDC64" w14:textId="7D135F38" w:rsidR="005204C5" w:rsidRPr="00A94875" w:rsidRDefault="005204C5" w:rsidP="005204C5">
      <w:pPr>
        <w:rPr>
          <w:rFonts w:asciiTheme="majorBidi" w:hAnsiTheme="majorBidi" w:cstheme="majorBidi"/>
          <w:lang w:val="en-GB"/>
        </w:rPr>
      </w:pPr>
      <w:r w:rsidRPr="00A94875">
        <w:rPr>
          <w:rFonts w:asciiTheme="majorBidi" w:hAnsiTheme="majorBidi" w:cstheme="majorBidi"/>
          <w:b/>
          <w:lang w:val="en-GB"/>
        </w:rPr>
        <w:t>ITU-T G.9992 “Indoor optical camera communication transceiver – System architecture, physical layer and data link layer specification”</w:t>
      </w:r>
      <w:r w:rsidRPr="00A94875">
        <w:rPr>
          <w:rFonts w:asciiTheme="majorBidi" w:hAnsiTheme="majorBidi" w:cstheme="majorBidi"/>
          <w:lang w:val="en-GB"/>
        </w:rPr>
        <w:t xml:space="preserve"> (under approval) specifies the system architecture, physical (PHY) layer and data link layer (DLL) for indoor optical camera communication transceiver.</w:t>
      </w:r>
    </w:p>
    <w:p w14:paraId="45AB7D60" w14:textId="77777777" w:rsidR="0004500A" w:rsidRDefault="0004500A">
      <w:pPr>
        <w:tabs>
          <w:tab w:val="clear" w:pos="794"/>
          <w:tab w:val="clear" w:pos="1191"/>
          <w:tab w:val="clear" w:pos="1588"/>
          <w:tab w:val="clear" w:pos="1985"/>
        </w:tabs>
        <w:overflowPunct/>
        <w:autoSpaceDE/>
        <w:autoSpaceDN/>
        <w:adjustRightInd/>
        <w:spacing w:before="0"/>
        <w:textAlignment w:val="auto"/>
        <w:rPr>
          <w:b/>
          <w:sz w:val="22"/>
          <w:szCs w:val="22"/>
          <w:lang w:val="en-GB"/>
        </w:rPr>
      </w:pPr>
      <w:r>
        <w:rPr>
          <w:b/>
          <w:sz w:val="22"/>
          <w:szCs w:val="22"/>
          <w:lang w:val="en-GB"/>
        </w:rPr>
        <w:br w:type="page"/>
      </w:r>
    </w:p>
    <w:p w14:paraId="3EDB0CA2" w14:textId="53DC4E0F" w:rsidR="006944F8" w:rsidRPr="00A94875" w:rsidRDefault="006944F8" w:rsidP="006944F8">
      <w:pPr>
        <w:spacing w:before="240"/>
        <w:rPr>
          <w:b/>
          <w:sz w:val="22"/>
          <w:szCs w:val="22"/>
          <w:lang w:val="en-GB"/>
        </w:rPr>
      </w:pPr>
      <w:r w:rsidRPr="00A94875">
        <w:rPr>
          <w:b/>
          <w:sz w:val="22"/>
          <w:szCs w:val="22"/>
          <w:lang w:val="en-GB"/>
        </w:rPr>
        <w:lastRenderedPageBreak/>
        <w:t>I.2.5</w:t>
      </w:r>
      <w:r w:rsidRPr="00A94875">
        <w:rPr>
          <w:b/>
          <w:sz w:val="22"/>
          <w:szCs w:val="22"/>
          <w:lang w:val="en-GB"/>
        </w:rPr>
        <w:tab/>
        <w:t>Smart Grid</w:t>
      </w:r>
    </w:p>
    <w:p w14:paraId="74806F5A" w14:textId="77777777" w:rsidR="006944F8" w:rsidRPr="00A94875" w:rsidRDefault="006944F8" w:rsidP="006944F8">
      <w:pPr>
        <w:pStyle w:val="NormalWeb"/>
        <w:spacing w:before="240" w:beforeAutospacing="0" w:after="120" w:afterAutospacing="0"/>
        <w:rPr>
          <w:rFonts w:asciiTheme="majorBidi" w:hAnsiTheme="majorBidi" w:cstheme="majorBidi"/>
          <w:b/>
          <w:szCs w:val="20"/>
          <w:lang w:val="en-GB" w:eastAsia="en-US"/>
        </w:rPr>
      </w:pPr>
      <w:r w:rsidRPr="00A94875">
        <w:rPr>
          <w:rFonts w:asciiTheme="majorBidi" w:hAnsiTheme="majorBidi" w:cstheme="majorBidi"/>
          <w:b/>
          <w:szCs w:val="20"/>
          <w:lang w:val="en-GB" w:eastAsia="en-US"/>
        </w:rPr>
        <w:t xml:space="preserve">ITU-T G.9958 (03/2018) “Generic architecture of home networks for energy management” </w:t>
      </w:r>
      <w:r w:rsidRPr="00A94875">
        <w:rPr>
          <w:rFonts w:asciiTheme="majorBidi" w:hAnsiTheme="majorBidi" w:cstheme="majorBidi"/>
          <w:szCs w:val="20"/>
          <w:lang w:val="en-GB" w:eastAsia="en-US"/>
        </w:rPr>
        <w:t>specifies functional definitions of components and networks to provide energy management services in home. It also specifies home network configurations and requirements for these services.</w:t>
      </w:r>
    </w:p>
    <w:p w14:paraId="7E3CBAFD" w14:textId="77777777" w:rsidR="006944F8" w:rsidRPr="00A94875" w:rsidRDefault="006944F8" w:rsidP="006944F8">
      <w:pPr>
        <w:spacing w:before="240"/>
        <w:rPr>
          <w:b/>
          <w:sz w:val="22"/>
          <w:szCs w:val="22"/>
          <w:lang w:val="en-GB"/>
        </w:rPr>
      </w:pPr>
      <w:r w:rsidRPr="00A94875">
        <w:rPr>
          <w:b/>
          <w:sz w:val="22"/>
          <w:szCs w:val="22"/>
          <w:lang w:val="en-GB"/>
        </w:rPr>
        <w:t>I.2.6</w:t>
      </w:r>
      <w:r w:rsidRPr="00A94875">
        <w:rPr>
          <w:b/>
          <w:sz w:val="22"/>
          <w:szCs w:val="22"/>
          <w:lang w:val="en-GB"/>
        </w:rPr>
        <w:tab/>
        <w:t>Software-defined networking</w:t>
      </w:r>
      <w:bookmarkEnd w:id="221"/>
    </w:p>
    <w:p w14:paraId="7ADE804E" w14:textId="77777777" w:rsidR="006944F8" w:rsidRPr="00A94875" w:rsidRDefault="006944F8" w:rsidP="006944F8">
      <w:pPr>
        <w:pStyle w:val="NormalWeb"/>
        <w:spacing w:before="120" w:beforeAutospacing="0" w:after="12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 xml:space="preserve">ITU-T Q.3717 “Signalling requirements for automatic management of IP address pool by SDN technologies on BNG” </w:t>
      </w:r>
      <w:r w:rsidRPr="00A94875">
        <w:rPr>
          <w:rFonts w:asciiTheme="majorBidi" w:hAnsiTheme="majorBidi" w:cstheme="majorBidi"/>
          <w:szCs w:val="20"/>
          <w:lang w:val="en-GB" w:eastAsia="en-US"/>
        </w:rPr>
        <w:t xml:space="preserve">(under approval) describes the signalling requirements for the implementation of automatic management and efficient utilization of IP address resources using software defined networking technologies on broadband network gateways. The signalling is used to automatically implement </w:t>
      </w:r>
      <w:proofErr w:type="gramStart"/>
      <w:r w:rsidRPr="00A94875">
        <w:rPr>
          <w:rFonts w:asciiTheme="majorBidi" w:hAnsiTheme="majorBidi" w:cstheme="majorBidi"/>
          <w:szCs w:val="20"/>
          <w:lang w:val="en-GB" w:eastAsia="en-US"/>
        </w:rPr>
        <w:t>allocation,</w:t>
      </w:r>
      <w:proofErr w:type="gramEnd"/>
      <w:r w:rsidRPr="00A94875">
        <w:rPr>
          <w:rFonts w:asciiTheme="majorBidi" w:hAnsiTheme="majorBidi" w:cstheme="majorBidi"/>
          <w:szCs w:val="20"/>
          <w:lang w:val="en-GB" w:eastAsia="en-US"/>
        </w:rPr>
        <w:t xml:space="preserve"> monitor and reclaim of IP address resources.</w:t>
      </w:r>
    </w:p>
    <w:p w14:paraId="44ED2F0A" w14:textId="77777777" w:rsidR="006944F8" w:rsidRPr="00A94875" w:rsidRDefault="006944F8" w:rsidP="006944F8">
      <w:pPr>
        <w:pStyle w:val="NormalWeb"/>
        <w:spacing w:before="120" w:beforeAutospacing="0" w:after="120" w:afterAutospacing="0"/>
        <w:rPr>
          <w:rFonts w:asciiTheme="majorBidi" w:hAnsiTheme="majorBidi" w:cstheme="majorBidi"/>
          <w:szCs w:val="20"/>
          <w:highlight w:val="yellow"/>
          <w:lang w:val="en-GB" w:eastAsia="en-US"/>
        </w:rPr>
      </w:pPr>
      <w:r w:rsidRPr="00A94875">
        <w:rPr>
          <w:rFonts w:asciiTheme="majorBidi" w:hAnsiTheme="majorBidi" w:cstheme="majorBidi"/>
          <w:b/>
          <w:szCs w:val="20"/>
          <w:lang w:val="en-GB" w:eastAsia="en-US"/>
        </w:rPr>
        <w:t>ITU-T Q.3718 “Signalling requirements of the Sew interface for Virtual Data Center”</w:t>
      </w:r>
      <w:r w:rsidRPr="00A94875">
        <w:rPr>
          <w:rFonts w:asciiTheme="majorBidi" w:hAnsiTheme="majorBidi" w:cstheme="majorBidi"/>
          <w:szCs w:val="20"/>
          <w:lang w:val="en-GB" w:eastAsia="en-US"/>
        </w:rPr>
        <w:t xml:space="preserve"> (under approval) focuses on the inter-domain Sew </w:t>
      </w:r>
      <w:proofErr w:type="gramStart"/>
      <w:r w:rsidRPr="00A94875">
        <w:rPr>
          <w:rFonts w:asciiTheme="majorBidi" w:hAnsiTheme="majorBidi" w:cstheme="majorBidi"/>
          <w:szCs w:val="20"/>
          <w:lang w:val="en-GB" w:eastAsia="en-US"/>
        </w:rPr>
        <w:t>interface which</w:t>
      </w:r>
      <w:proofErr w:type="gramEnd"/>
      <w:r w:rsidRPr="00A94875">
        <w:rPr>
          <w:rFonts w:asciiTheme="majorBidi" w:hAnsiTheme="majorBidi" w:cstheme="majorBidi"/>
          <w:szCs w:val="20"/>
          <w:lang w:val="en-GB" w:eastAsia="en-US"/>
        </w:rPr>
        <w:t xml:space="preserve"> is standardized to allow for multiple control entities within Virtual Data Center (VDC). In VDC, the SDN control entities exchanges the control plane related information with each other through the Sew interface.</w:t>
      </w:r>
    </w:p>
    <w:p w14:paraId="5A327277" w14:textId="77777777" w:rsidR="006944F8" w:rsidRPr="00A94875" w:rsidRDefault="006944F8" w:rsidP="006944F8">
      <w:pPr>
        <w:spacing w:before="240"/>
        <w:rPr>
          <w:b/>
          <w:sz w:val="22"/>
          <w:szCs w:val="22"/>
          <w:lang w:val="en-GB"/>
        </w:rPr>
      </w:pPr>
      <w:bookmarkStart w:id="222" w:name="_Toc480527895"/>
      <w:r w:rsidRPr="00A94875">
        <w:rPr>
          <w:b/>
          <w:sz w:val="22"/>
          <w:szCs w:val="22"/>
          <w:lang w:val="en-GB"/>
        </w:rPr>
        <w:t>I.2.7</w:t>
      </w:r>
      <w:r w:rsidRPr="00A94875">
        <w:rPr>
          <w:b/>
          <w:sz w:val="22"/>
          <w:szCs w:val="22"/>
          <w:lang w:val="en-GB"/>
        </w:rPr>
        <w:tab/>
        <w:t>Cloud computing</w:t>
      </w:r>
      <w:bookmarkEnd w:id="222"/>
    </w:p>
    <w:p w14:paraId="5C5E2548"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szCs w:val="24"/>
          <w:lang w:val="en-GB"/>
        </w:rPr>
        <w:t>ITU-T Y.3505 “Cloud computing - Overview and functional requirements for data storage federation”</w:t>
      </w:r>
      <w:r w:rsidRPr="00A94875">
        <w:rPr>
          <w:rFonts w:asciiTheme="majorBidi" w:hAnsiTheme="majorBidi" w:cstheme="majorBidi"/>
          <w:szCs w:val="24"/>
          <w:lang w:val="en-GB"/>
        </w:rPr>
        <w:t xml:space="preserve"> provides overview and functional requirements of data storage federation. Data storage federation provides a single virtual volume from multiple data sources in heterogeneous storages. In this Recommendation, configuration for logical </w:t>
      </w:r>
      <w:proofErr w:type="gramStart"/>
      <w:r w:rsidRPr="00A94875">
        <w:rPr>
          <w:rFonts w:asciiTheme="majorBidi" w:hAnsiTheme="majorBidi" w:cstheme="majorBidi"/>
          <w:szCs w:val="24"/>
          <w:lang w:val="en-GB"/>
        </w:rPr>
        <w:t>components,</w:t>
      </w:r>
      <w:proofErr w:type="gramEnd"/>
      <w:r w:rsidRPr="00A94875">
        <w:rPr>
          <w:rFonts w:asciiTheme="majorBidi" w:hAnsiTheme="majorBidi" w:cstheme="majorBidi"/>
          <w:szCs w:val="24"/>
          <w:lang w:val="en-GB"/>
        </w:rPr>
        <w:t xml:space="preserve"> and ecosystem of data storage federation as well as cloud computing based data storage federation are introduced for data storage federation. Functional requirements </w:t>
      </w:r>
      <w:proofErr w:type="gramStart"/>
      <w:r w:rsidRPr="00A94875">
        <w:rPr>
          <w:rFonts w:asciiTheme="majorBidi" w:hAnsiTheme="majorBidi" w:cstheme="majorBidi"/>
          <w:szCs w:val="24"/>
          <w:lang w:val="en-GB"/>
        </w:rPr>
        <w:t>are derived</w:t>
      </w:r>
      <w:proofErr w:type="gramEnd"/>
      <w:r w:rsidRPr="00A94875">
        <w:rPr>
          <w:rFonts w:asciiTheme="majorBidi" w:hAnsiTheme="majorBidi" w:cstheme="majorBidi"/>
          <w:szCs w:val="24"/>
          <w:lang w:val="en-GB"/>
        </w:rPr>
        <w:t xml:space="preserve"> from use cases.</w:t>
      </w:r>
    </w:p>
    <w:p w14:paraId="22C92422" w14:textId="1F1A7316"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szCs w:val="24"/>
          <w:lang w:val="en-GB"/>
        </w:rPr>
        <w:t>ITU-T Y.3506 “Cloud computing - Functional requirements for cloud service brokerage”</w:t>
      </w:r>
      <w:r w:rsidRPr="00A94875">
        <w:rPr>
          <w:rFonts w:asciiTheme="majorBidi" w:hAnsiTheme="majorBidi" w:cstheme="majorBidi"/>
          <w:szCs w:val="24"/>
          <w:lang w:val="en-GB"/>
        </w:rPr>
        <w:t xml:space="preserve"> provides functional requirements of cloud service brokerage. To provide functional requirements for the cloud service brokerage, this Recommendation specifies the overview including service model and configuration of the cloud service brokerage. Various use cases </w:t>
      </w:r>
      <w:proofErr w:type="gramStart"/>
      <w:r w:rsidRPr="00A94875">
        <w:rPr>
          <w:rFonts w:asciiTheme="majorBidi" w:hAnsiTheme="majorBidi" w:cstheme="majorBidi"/>
          <w:szCs w:val="24"/>
          <w:lang w:val="en-GB"/>
        </w:rPr>
        <w:t>are also identified</w:t>
      </w:r>
      <w:proofErr w:type="gramEnd"/>
      <w:r w:rsidRPr="00A94875">
        <w:rPr>
          <w:rFonts w:asciiTheme="majorBidi" w:hAnsiTheme="majorBidi" w:cstheme="majorBidi"/>
          <w:szCs w:val="24"/>
          <w:lang w:val="en-GB"/>
        </w:rPr>
        <w:t xml:space="preserve"> to derive the functional requirements.</w:t>
      </w:r>
    </w:p>
    <w:p w14:paraId="21E36390" w14:textId="7B22E59C" w:rsidR="00002222" w:rsidRPr="00A94875" w:rsidRDefault="00002222" w:rsidP="0049751F">
      <w:pPr>
        <w:rPr>
          <w:rFonts w:asciiTheme="majorBidi" w:hAnsiTheme="majorBidi" w:cstheme="majorBidi"/>
          <w:szCs w:val="24"/>
          <w:lang w:val="en-GB"/>
        </w:rPr>
      </w:pPr>
      <w:r w:rsidRPr="00A94875">
        <w:rPr>
          <w:rFonts w:asciiTheme="majorBidi" w:hAnsiTheme="majorBidi" w:cstheme="majorBidi"/>
          <w:b/>
          <w:szCs w:val="24"/>
          <w:lang w:val="en-GB"/>
        </w:rPr>
        <w:t>ITU-T Y.3507 “</w:t>
      </w:r>
      <w:r w:rsidR="0049751F" w:rsidRPr="00A94875">
        <w:rPr>
          <w:rFonts w:asciiTheme="majorBidi" w:hAnsiTheme="majorBidi" w:cstheme="majorBidi"/>
          <w:b/>
          <w:szCs w:val="24"/>
          <w:lang w:val="en-GB"/>
        </w:rPr>
        <w:t>Cloud computing – Functional requirements of physical machine</w:t>
      </w:r>
      <w:r w:rsidRPr="00A94875">
        <w:rPr>
          <w:rFonts w:asciiTheme="majorBidi" w:hAnsiTheme="majorBidi" w:cstheme="majorBidi"/>
          <w:b/>
          <w:szCs w:val="24"/>
          <w:lang w:val="en-GB"/>
        </w:rPr>
        <w:t>”</w:t>
      </w:r>
      <w:r w:rsidRPr="00A94875">
        <w:rPr>
          <w:rFonts w:asciiTheme="majorBidi" w:hAnsiTheme="majorBidi" w:cstheme="majorBidi"/>
          <w:szCs w:val="24"/>
          <w:lang w:val="en-GB"/>
        </w:rPr>
        <w:t xml:space="preserve"> (under approval) </w:t>
      </w:r>
      <w:r w:rsidR="0049751F" w:rsidRPr="00A94875">
        <w:rPr>
          <w:rFonts w:asciiTheme="majorBidi" w:hAnsiTheme="majorBidi" w:cstheme="majorBidi"/>
          <w:szCs w:val="24"/>
          <w:lang w:val="en-GB"/>
        </w:rPr>
        <w:t xml:space="preserve">provides the introduction of physical machine with physical machine components, physical machine types, virtualizations in physical machine as well as the scalability of components in physical machine. </w:t>
      </w:r>
      <w:proofErr w:type="gramStart"/>
      <w:r w:rsidR="0049751F" w:rsidRPr="00A94875">
        <w:rPr>
          <w:rFonts w:asciiTheme="majorBidi" w:hAnsiTheme="majorBidi" w:cstheme="majorBidi"/>
          <w:szCs w:val="24"/>
          <w:lang w:val="en-GB"/>
        </w:rPr>
        <w:t>Also</w:t>
      </w:r>
      <w:proofErr w:type="gramEnd"/>
      <w:r w:rsidR="0049751F" w:rsidRPr="00A94875">
        <w:rPr>
          <w:rFonts w:asciiTheme="majorBidi" w:hAnsiTheme="majorBidi" w:cstheme="majorBidi"/>
          <w:szCs w:val="24"/>
          <w:lang w:val="en-GB"/>
        </w:rPr>
        <w:t xml:space="preserve">, the Recommendation provides functional requirements for physical machine derived from various use cases are described in Appendix. The relationship with other related specifications developed in other SDOs </w:t>
      </w:r>
      <w:proofErr w:type="gramStart"/>
      <w:r w:rsidR="0049751F" w:rsidRPr="00A94875">
        <w:rPr>
          <w:rFonts w:asciiTheme="majorBidi" w:hAnsiTheme="majorBidi" w:cstheme="majorBidi"/>
          <w:szCs w:val="24"/>
          <w:lang w:val="en-GB"/>
        </w:rPr>
        <w:t>has also been introduced</w:t>
      </w:r>
      <w:proofErr w:type="gramEnd"/>
      <w:r w:rsidR="0049751F" w:rsidRPr="00A94875">
        <w:rPr>
          <w:rFonts w:asciiTheme="majorBidi" w:hAnsiTheme="majorBidi" w:cstheme="majorBidi"/>
          <w:szCs w:val="24"/>
          <w:lang w:val="en-GB"/>
        </w:rPr>
        <w:t xml:space="preserve"> as Appendix.</w:t>
      </w:r>
    </w:p>
    <w:p w14:paraId="04DE06CE" w14:textId="274279FB" w:rsidR="00273213" w:rsidRPr="00A94875" w:rsidRDefault="00273213" w:rsidP="00344CDC">
      <w:pPr>
        <w:rPr>
          <w:rFonts w:asciiTheme="majorBidi" w:hAnsiTheme="majorBidi" w:cstheme="majorBidi"/>
          <w:szCs w:val="24"/>
          <w:lang w:val="en-GB"/>
        </w:rPr>
      </w:pPr>
      <w:r w:rsidRPr="00A94875">
        <w:rPr>
          <w:rFonts w:asciiTheme="majorBidi" w:hAnsiTheme="majorBidi" w:cstheme="majorBidi"/>
          <w:b/>
          <w:szCs w:val="24"/>
          <w:lang w:val="en-GB"/>
        </w:rPr>
        <w:t>ITU-T Y.3517 “</w:t>
      </w:r>
      <w:r w:rsidR="00344CDC" w:rsidRPr="00A94875">
        <w:rPr>
          <w:rFonts w:asciiTheme="majorBidi" w:hAnsiTheme="majorBidi" w:cstheme="majorBidi"/>
          <w:b/>
          <w:szCs w:val="24"/>
          <w:lang w:val="en-GB"/>
        </w:rPr>
        <w:t>Cloud computing - Overview of inter-cloud trust management</w:t>
      </w:r>
      <w:r w:rsidRPr="00A94875">
        <w:rPr>
          <w:rFonts w:asciiTheme="majorBidi" w:hAnsiTheme="majorBidi" w:cstheme="majorBidi"/>
          <w:b/>
          <w:szCs w:val="24"/>
          <w:lang w:val="en-GB"/>
        </w:rPr>
        <w:t>”</w:t>
      </w:r>
      <w:r w:rsidRPr="00A94875">
        <w:rPr>
          <w:rFonts w:asciiTheme="majorBidi" w:hAnsiTheme="majorBidi" w:cstheme="majorBidi"/>
          <w:szCs w:val="24"/>
          <w:lang w:val="en-GB"/>
        </w:rPr>
        <w:t xml:space="preserve"> (under approval) </w:t>
      </w:r>
      <w:r w:rsidR="00344CDC" w:rsidRPr="00A94875">
        <w:rPr>
          <w:rFonts w:asciiTheme="majorBidi" w:hAnsiTheme="majorBidi" w:cstheme="majorBidi"/>
          <w:szCs w:val="24"/>
          <w:lang w:val="en-GB"/>
        </w:rPr>
        <w:t>provides an overview of inter-cloud trust management by specifying isolation and security management mechanism, inter-cloud trust management model, reputation-based trust management in inter-cloud environment, cloud service evaluation framework and the relationship with cloud computing reference architecture. It also provides requirements for inter-cloud trust management derived from the corresponding use cases</w:t>
      </w:r>
      <w:r w:rsidRPr="00A94875">
        <w:rPr>
          <w:rFonts w:asciiTheme="majorBidi" w:hAnsiTheme="majorBidi" w:cstheme="majorBidi"/>
          <w:szCs w:val="24"/>
          <w:lang w:val="en-GB"/>
        </w:rPr>
        <w:t>.</w:t>
      </w:r>
    </w:p>
    <w:p w14:paraId="3977DA51" w14:textId="04F0B1B3" w:rsidR="00107B8C" w:rsidRPr="00A94875" w:rsidRDefault="00107B8C" w:rsidP="00401B95">
      <w:pPr>
        <w:rPr>
          <w:rFonts w:asciiTheme="majorBidi" w:hAnsiTheme="majorBidi" w:cstheme="majorBidi"/>
          <w:szCs w:val="24"/>
          <w:lang w:val="en-GB"/>
        </w:rPr>
      </w:pPr>
      <w:r w:rsidRPr="00A94875">
        <w:rPr>
          <w:rFonts w:asciiTheme="majorBidi" w:hAnsiTheme="majorBidi" w:cstheme="majorBidi"/>
          <w:b/>
          <w:szCs w:val="24"/>
          <w:lang w:val="en-GB"/>
        </w:rPr>
        <w:t>ITU-T Y.3518 “</w:t>
      </w:r>
      <w:r w:rsidR="00401B95" w:rsidRPr="00A94875">
        <w:rPr>
          <w:rFonts w:asciiTheme="majorBidi" w:hAnsiTheme="majorBidi" w:cstheme="majorBidi"/>
          <w:b/>
          <w:szCs w:val="24"/>
          <w:lang w:val="en-GB"/>
        </w:rPr>
        <w:t>Cloud computing - Functional requirements of inter-cloud data management</w:t>
      </w:r>
      <w:r w:rsidRPr="00A94875">
        <w:rPr>
          <w:rFonts w:asciiTheme="majorBidi" w:hAnsiTheme="majorBidi" w:cstheme="majorBidi"/>
          <w:b/>
          <w:szCs w:val="24"/>
          <w:lang w:val="en-GB"/>
        </w:rPr>
        <w:t>”</w:t>
      </w:r>
      <w:r w:rsidRPr="00A94875">
        <w:rPr>
          <w:rFonts w:asciiTheme="majorBidi" w:hAnsiTheme="majorBidi" w:cstheme="majorBidi"/>
          <w:szCs w:val="24"/>
          <w:lang w:val="en-GB"/>
        </w:rPr>
        <w:t xml:space="preserve"> (under approval) </w:t>
      </w:r>
      <w:r w:rsidR="00401B95" w:rsidRPr="00A94875">
        <w:rPr>
          <w:lang w:val="en-GB"/>
        </w:rPr>
        <w:t xml:space="preserve">provides the overview of inter-cloud data management and its functional requirements. It describes the typical use cases and specifies the functional requirements on three aspects, ranging from inter-cloud data policy, inter-cloud data isolation and protection, inter-cloud data management </w:t>
      </w:r>
      <w:proofErr w:type="gramStart"/>
      <w:r w:rsidR="00401B95" w:rsidRPr="00A94875">
        <w:rPr>
          <w:lang w:val="en-GB"/>
        </w:rPr>
        <w:t>which</w:t>
      </w:r>
      <w:proofErr w:type="gramEnd"/>
      <w:r w:rsidR="00401B95" w:rsidRPr="00A94875">
        <w:rPr>
          <w:lang w:val="en-GB"/>
        </w:rPr>
        <w:t xml:space="preserve"> are derived from the corresponding use cases</w:t>
      </w:r>
      <w:r w:rsidRPr="00A94875">
        <w:rPr>
          <w:rFonts w:asciiTheme="majorBidi" w:hAnsiTheme="majorBidi" w:cstheme="majorBidi"/>
          <w:szCs w:val="24"/>
          <w:lang w:val="en-GB"/>
        </w:rPr>
        <w:t>.</w:t>
      </w:r>
    </w:p>
    <w:p w14:paraId="5EBF1605" w14:textId="60FE0FFA" w:rsidR="001F5E41" w:rsidRPr="00A94875" w:rsidRDefault="001F5E41" w:rsidP="001F5E41">
      <w:pPr>
        <w:rPr>
          <w:rFonts w:asciiTheme="majorBidi" w:hAnsiTheme="majorBidi" w:cstheme="majorBidi"/>
          <w:b/>
          <w:szCs w:val="24"/>
          <w:lang w:val="en-GB"/>
        </w:rPr>
      </w:pPr>
      <w:r w:rsidRPr="00A94875">
        <w:rPr>
          <w:rFonts w:asciiTheme="majorBidi" w:hAnsiTheme="majorBidi" w:cstheme="majorBidi"/>
          <w:b/>
          <w:szCs w:val="24"/>
          <w:lang w:val="en-GB"/>
        </w:rPr>
        <w:t>ITU-T Y.Suppl.49 “ITU-T Y.3500-series – Supplement on Cloud Computing standardization roadmap”</w:t>
      </w:r>
      <w:r w:rsidRPr="00A94875">
        <w:rPr>
          <w:rFonts w:asciiTheme="majorBidi" w:hAnsiTheme="majorBidi" w:cstheme="majorBidi"/>
          <w:szCs w:val="24"/>
          <w:lang w:val="en-GB"/>
        </w:rPr>
        <w:t xml:space="preserve"> </w:t>
      </w:r>
      <w:r w:rsidR="00957819" w:rsidRPr="00A94875">
        <w:rPr>
          <w:rFonts w:asciiTheme="majorBidi" w:hAnsiTheme="majorBidi" w:cstheme="majorBidi"/>
          <w:szCs w:val="24"/>
          <w:lang w:val="en-GB"/>
        </w:rPr>
        <w:t xml:space="preserve">provide the summary of cloud computing related deliverables in ITU-T SGs and other </w:t>
      </w:r>
      <w:r w:rsidR="00957819" w:rsidRPr="00A94875">
        <w:rPr>
          <w:rFonts w:asciiTheme="majorBidi" w:hAnsiTheme="majorBidi" w:cstheme="majorBidi"/>
          <w:szCs w:val="24"/>
          <w:lang w:val="en-GB"/>
        </w:rPr>
        <w:lastRenderedPageBreak/>
        <w:t>SDOs. For this purpose, it is necessary to collect all the information from ITU and other SDOs including their understanding of cloud computing and relation with cloud computing of their works</w:t>
      </w:r>
      <w:r w:rsidRPr="00A94875">
        <w:rPr>
          <w:rFonts w:asciiTheme="majorBidi" w:hAnsiTheme="majorBidi" w:cstheme="majorBidi"/>
          <w:szCs w:val="24"/>
          <w:lang w:val="en-GB"/>
        </w:rPr>
        <w:t>.</w:t>
      </w:r>
    </w:p>
    <w:p w14:paraId="197BF230" w14:textId="77777777" w:rsidR="006944F8" w:rsidRPr="00A94875" w:rsidRDefault="006944F8" w:rsidP="006944F8">
      <w:pPr>
        <w:spacing w:before="240"/>
        <w:rPr>
          <w:b/>
          <w:sz w:val="22"/>
          <w:szCs w:val="22"/>
          <w:lang w:val="en-GB"/>
        </w:rPr>
      </w:pPr>
      <w:r w:rsidRPr="00A94875">
        <w:rPr>
          <w:b/>
          <w:sz w:val="22"/>
          <w:szCs w:val="22"/>
          <w:lang w:val="en-GB"/>
        </w:rPr>
        <w:t>I.2.8</w:t>
      </w:r>
      <w:r w:rsidRPr="00A94875">
        <w:rPr>
          <w:b/>
          <w:sz w:val="22"/>
          <w:szCs w:val="22"/>
          <w:lang w:val="en-GB"/>
        </w:rPr>
        <w:tab/>
        <w:t>Big data</w:t>
      </w:r>
    </w:p>
    <w:p w14:paraId="60BE776D" w14:textId="70D2FA61" w:rsidR="007D053E" w:rsidRPr="00A94875" w:rsidRDefault="007D053E" w:rsidP="00512956">
      <w:pPr>
        <w:rPr>
          <w:bCs/>
          <w:lang w:val="en-GB"/>
        </w:rPr>
      </w:pPr>
      <w:r w:rsidRPr="00A94875">
        <w:rPr>
          <w:b/>
          <w:bCs/>
          <w:lang w:val="en-GB"/>
        </w:rPr>
        <w:t>ITU-T Y.3519 “</w:t>
      </w:r>
      <w:r w:rsidR="00512956" w:rsidRPr="00A94875">
        <w:rPr>
          <w:b/>
          <w:bCs/>
          <w:lang w:val="en-GB"/>
        </w:rPr>
        <w:t>Cloud computing - Functional architecture of big data as a service</w:t>
      </w:r>
      <w:r w:rsidRPr="00A94875">
        <w:rPr>
          <w:b/>
          <w:bCs/>
          <w:lang w:val="en-GB"/>
        </w:rPr>
        <w:t>”</w:t>
      </w:r>
      <w:r w:rsidRPr="00A94875">
        <w:rPr>
          <w:bCs/>
          <w:lang w:val="en-GB"/>
        </w:rPr>
        <w:t xml:space="preserve"> (under approval)</w:t>
      </w:r>
      <w:r w:rsidRPr="00A94875">
        <w:rPr>
          <w:b/>
          <w:bCs/>
          <w:lang w:val="en-GB"/>
        </w:rPr>
        <w:t xml:space="preserve"> </w:t>
      </w:r>
      <w:r w:rsidR="00512956" w:rsidRPr="00A94875">
        <w:rPr>
          <w:bCs/>
          <w:lang w:val="en-GB"/>
        </w:rPr>
        <w:t>describes the functional architecture for big data as a service (</w:t>
      </w:r>
      <w:proofErr w:type="spellStart"/>
      <w:r w:rsidR="00512956" w:rsidRPr="00A94875">
        <w:rPr>
          <w:bCs/>
          <w:lang w:val="en-GB"/>
        </w:rPr>
        <w:t>BDaaS</w:t>
      </w:r>
      <w:proofErr w:type="spellEnd"/>
      <w:r w:rsidR="00512956" w:rsidRPr="00A94875">
        <w:rPr>
          <w:bCs/>
          <w:lang w:val="en-GB"/>
        </w:rPr>
        <w:t xml:space="preserve">). The functional architecture is defined </w:t>
      </w:r>
      <w:proofErr w:type="gramStart"/>
      <w:r w:rsidR="00512956" w:rsidRPr="00A94875">
        <w:rPr>
          <w:bCs/>
          <w:lang w:val="en-GB"/>
        </w:rPr>
        <w:t>on the basis of</w:t>
      </w:r>
      <w:proofErr w:type="gramEnd"/>
      <w:r w:rsidR="00512956" w:rsidRPr="00A94875">
        <w:rPr>
          <w:bCs/>
          <w:lang w:val="en-GB"/>
        </w:rPr>
        <w:t xml:space="preserve"> the analysis of requirements and activities of cloud computing based big data described in ITU-T Y.3600. Following the methodology of ITU-T Y.3502, the </w:t>
      </w:r>
      <w:proofErr w:type="spellStart"/>
      <w:r w:rsidR="00512956" w:rsidRPr="00A94875">
        <w:rPr>
          <w:bCs/>
          <w:lang w:val="en-GB"/>
        </w:rPr>
        <w:t>BDaaS</w:t>
      </w:r>
      <w:proofErr w:type="spellEnd"/>
      <w:r w:rsidR="00512956" w:rsidRPr="00A94875">
        <w:rPr>
          <w:bCs/>
          <w:lang w:val="en-GB"/>
        </w:rPr>
        <w:t xml:space="preserve"> functional architecture is described from a set of functional components and </w:t>
      </w:r>
      <w:proofErr w:type="gramStart"/>
      <w:r w:rsidR="00512956" w:rsidRPr="00A94875">
        <w:rPr>
          <w:bCs/>
          <w:lang w:val="en-GB"/>
        </w:rPr>
        <w:t>cross-cutting</w:t>
      </w:r>
      <w:proofErr w:type="gramEnd"/>
      <w:r w:rsidR="00512956" w:rsidRPr="00A94875">
        <w:rPr>
          <w:bCs/>
          <w:lang w:val="en-GB"/>
        </w:rPr>
        <w:t xml:space="preserve"> aspects. The specified functional components consist of sets of functions that are required to perform the </w:t>
      </w:r>
      <w:proofErr w:type="spellStart"/>
      <w:r w:rsidR="00512956" w:rsidRPr="00A94875">
        <w:rPr>
          <w:bCs/>
          <w:lang w:val="en-GB"/>
        </w:rPr>
        <w:t>BDaaS</w:t>
      </w:r>
      <w:proofErr w:type="spellEnd"/>
      <w:r w:rsidR="00512956" w:rsidRPr="00A94875">
        <w:rPr>
          <w:bCs/>
          <w:lang w:val="en-GB"/>
        </w:rPr>
        <w:t xml:space="preserve"> activities for the roles and sub-roles described in ITU-T Y.3600.</w:t>
      </w:r>
    </w:p>
    <w:p w14:paraId="4306DA01" w14:textId="2C7D5060" w:rsidR="006944F8" w:rsidRPr="00A94875" w:rsidRDefault="006944F8" w:rsidP="006944F8">
      <w:pPr>
        <w:rPr>
          <w:lang w:val="en-GB"/>
        </w:rPr>
      </w:pPr>
      <w:r w:rsidRPr="00A94875">
        <w:rPr>
          <w:b/>
          <w:bCs/>
          <w:lang w:val="en-GB"/>
        </w:rPr>
        <w:t xml:space="preserve">ITU-T Y.3601 “Big data - framework and requirements for data exchange” </w:t>
      </w:r>
      <w:r w:rsidRPr="00A94875">
        <w:rPr>
          <w:lang w:val="en-GB"/>
        </w:rPr>
        <w:t xml:space="preserve">provides framework to exchange big data. Big data exchange has multiple processes consist of data import and data export within big data ecosystem. Big data exchange </w:t>
      </w:r>
      <w:proofErr w:type="gramStart"/>
      <w:r w:rsidRPr="00A94875">
        <w:rPr>
          <w:lang w:val="en-GB"/>
        </w:rPr>
        <w:t>is used</w:t>
      </w:r>
      <w:proofErr w:type="gramEnd"/>
      <w:r w:rsidRPr="00A94875">
        <w:rPr>
          <w:lang w:val="en-GB"/>
        </w:rPr>
        <w:t xml:space="preserve"> for exchanging data of multiple types and multiple formats from data source to data target. In this Recommendation, direct and intermediary exchange patters </w:t>
      </w:r>
      <w:proofErr w:type="gramStart"/>
      <w:r w:rsidRPr="00A94875">
        <w:rPr>
          <w:lang w:val="en-GB"/>
        </w:rPr>
        <w:t>are introduced</w:t>
      </w:r>
      <w:proofErr w:type="gramEnd"/>
      <w:r w:rsidRPr="00A94875">
        <w:rPr>
          <w:lang w:val="en-GB"/>
        </w:rPr>
        <w:t xml:space="preserve"> for big data exchange. </w:t>
      </w:r>
      <w:proofErr w:type="gramStart"/>
      <w:r w:rsidRPr="00A94875">
        <w:rPr>
          <w:lang w:val="en-GB"/>
        </w:rPr>
        <w:t>Also</w:t>
      </w:r>
      <w:proofErr w:type="gramEnd"/>
      <w:r w:rsidRPr="00A94875">
        <w:rPr>
          <w:lang w:val="en-GB"/>
        </w:rPr>
        <w:t xml:space="preserve">, for big data exchange, the extended activities of big data ecosystem are provided. Functional requirements </w:t>
      </w:r>
      <w:proofErr w:type="gramStart"/>
      <w:r w:rsidRPr="00A94875">
        <w:rPr>
          <w:lang w:val="en-GB"/>
        </w:rPr>
        <w:t>are derived</w:t>
      </w:r>
      <w:proofErr w:type="gramEnd"/>
      <w:r w:rsidRPr="00A94875">
        <w:rPr>
          <w:lang w:val="en-GB"/>
        </w:rPr>
        <w:t xml:space="preserve"> from use cases. In </w:t>
      </w:r>
      <w:proofErr w:type="gramStart"/>
      <w:r w:rsidRPr="00A94875">
        <w:rPr>
          <w:lang w:val="en-GB"/>
        </w:rPr>
        <w:t>addition</w:t>
      </w:r>
      <w:proofErr w:type="gramEnd"/>
      <w:r w:rsidRPr="00A94875">
        <w:rPr>
          <w:lang w:val="en-GB"/>
        </w:rPr>
        <w:t xml:space="preserve"> this Recommendation provides a description of the activities for the support of big data exchange by extending the activities defined in Recommendation ITU-T Y.3600.</w:t>
      </w:r>
    </w:p>
    <w:p w14:paraId="5C881FAC" w14:textId="2F8665D8" w:rsidR="00F73FC0" w:rsidRPr="00A94875" w:rsidRDefault="00F73FC0" w:rsidP="00A43B61">
      <w:pPr>
        <w:rPr>
          <w:lang w:val="en-GB"/>
        </w:rPr>
      </w:pPr>
      <w:r w:rsidRPr="00A94875">
        <w:rPr>
          <w:b/>
          <w:lang w:val="en-GB"/>
        </w:rPr>
        <w:t>ITU-T Y.3602 “</w:t>
      </w:r>
      <w:r w:rsidR="00A43B61" w:rsidRPr="00A94875">
        <w:rPr>
          <w:b/>
          <w:lang w:val="en-GB"/>
        </w:rPr>
        <w:t>Big data – Functional requirements for data provenance</w:t>
      </w:r>
      <w:r w:rsidRPr="00A94875">
        <w:rPr>
          <w:b/>
          <w:lang w:val="en-GB"/>
        </w:rPr>
        <w:t>”</w:t>
      </w:r>
      <w:r w:rsidRPr="00A94875">
        <w:rPr>
          <w:lang w:val="en-GB"/>
        </w:rPr>
        <w:t xml:space="preserve"> (under approval) </w:t>
      </w:r>
      <w:r w:rsidR="00A43B61" w:rsidRPr="00A94875">
        <w:rPr>
          <w:lang w:val="en-GB"/>
        </w:rPr>
        <w:t xml:space="preserve">describes a model and operations for big data provenance. </w:t>
      </w:r>
      <w:proofErr w:type="gramStart"/>
      <w:r w:rsidR="00A43B61" w:rsidRPr="00A94875">
        <w:rPr>
          <w:lang w:val="en-GB"/>
        </w:rPr>
        <w:t>Also</w:t>
      </w:r>
      <w:proofErr w:type="gramEnd"/>
      <w:r w:rsidR="00A43B61" w:rsidRPr="00A94875">
        <w:rPr>
          <w:lang w:val="en-GB"/>
        </w:rPr>
        <w:t>, this Recommendation provides the functional requirements for big data service provider (BDSP) to manage big data provenance</w:t>
      </w:r>
      <w:r w:rsidRPr="00A94875">
        <w:rPr>
          <w:lang w:val="en-GB"/>
        </w:rPr>
        <w:t>.</w:t>
      </w:r>
    </w:p>
    <w:p w14:paraId="09732AE1" w14:textId="7C75472E" w:rsidR="00B60A2E" w:rsidRPr="00A94875" w:rsidRDefault="00B60A2E" w:rsidP="00B60A2E">
      <w:pPr>
        <w:rPr>
          <w:lang w:val="en-GB"/>
        </w:rPr>
      </w:pPr>
      <w:r w:rsidRPr="00A94875">
        <w:rPr>
          <w:b/>
          <w:lang w:val="en-GB"/>
        </w:rPr>
        <w:t>ITU-T Y.3651 “</w:t>
      </w:r>
      <w:r w:rsidR="00BF7779" w:rsidRPr="00A94875">
        <w:rPr>
          <w:b/>
          <w:lang w:val="en-GB"/>
        </w:rPr>
        <w:t>Big-data-driven networking – mobile network traffic management and planning</w:t>
      </w:r>
      <w:r w:rsidRPr="00A94875">
        <w:rPr>
          <w:b/>
          <w:lang w:val="en-GB"/>
        </w:rPr>
        <w:t>”</w:t>
      </w:r>
      <w:r w:rsidRPr="00A94875">
        <w:rPr>
          <w:lang w:val="en-GB"/>
        </w:rPr>
        <w:t xml:space="preserve"> (under approval) </w:t>
      </w:r>
      <w:r w:rsidR="00BF7779" w:rsidRPr="00A94875">
        <w:rPr>
          <w:lang w:val="en-GB"/>
        </w:rPr>
        <w:t xml:space="preserve">specifies some technology aspects related to big-data-driven networking – mobile network traffic management and planning. The research of this Recommendation </w:t>
      </w:r>
      <w:proofErr w:type="gramStart"/>
      <w:r w:rsidR="00BF7779" w:rsidRPr="00A94875">
        <w:rPr>
          <w:lang w:val="en-GB"/>
        </w:rPr>
        <w:t>includes:</w:t>
      </w:r>
      <w:proofErr w:type="gramEnd"/>
      <w:r w:rsidR="00BF7779" w:rsidRPr="00A94875">
        <w:rPr>
          <w:lang w:val="en-GB"/>
        </w:rPr>
        <w:t xml:space="preserve"> requirements, framework, reference points, performance aspects and security considerations of big-data-driven networking – mobile network traffic management and planning</w:t>
      </w:r>
      <w:r w:rsidRPr="00A94875">
        <w:rPr>
          <w:lang w:val="en-GB"/>
        </w:rPr>
        <w:t>.</w:t>
      </w:r>
    </w:p>
    <w:p w14:paraId="54833865" w14:textId="1BBE74E8" w:rsidR="007C48D8" w:rsidRPr="00A94875" w:rsidRDefault="007C48D8" w:rsidP="007C48D8">
      <w:pPr>
        <w:rPr>
          <w:lang w:val="en-GB"/>
        </w:rPr>
      </w:pPr>
      <w:proofErr w:type="gramStart"/>
      <w:r w:rsidRPr="00A94875">
        <w:rPr>
          <w:b/>
          <w:lang w:val="en-GB"/>
        </w:rPr>
        <w:t>ITU-T Y.Suppl.50 “</w:t>
      </w:r>
      <w:r w:rsidR="00493815" w:rsidRPr="00A94875">
        <w:rPr>
          <w:b/>
          <w:lang w:val="en-GB"/>
        </w:rPr>
        <w:t>Use case and application scenario of big data driven networking</w:t>
      </w:r>
      <w:r w:rsidRPr="00A94875">
        <w:rPr>
          <w:b/>
          <w:lang w:val="en-GB"/>
        </w:rPr>
        <w:t>”</w:t>
      </w:r>
      <w:r w:rsidRPr="00A94875">
        <w:rPr>
          <w:lang w:val="en-GB"/>
        </w:rPr>
        <w:t xml:space="preserve"> </w:t>
      </w:r>
      <w:r w:rsidR="00493815" w:rsidRPr="00A94875">
        <w:rPr>
          <w:lang w:val="en-GB"/>
        </w:rPr>
        <w:t xml:space="preserve">present a set of use cases and several scenarios supported by big data driven networking including: 1) network management; 2) network active maintenance; 3) network optimization; 4) network operation; 5) network attack prevention; 6) root cause tracking of </w:t>
      </w:r>
      <w:proofErr w:type="spellStart"/>
      <w:r w:rsidR="00493815" w:rsidRPr="00A94875">
        <w:rPr>
          <w:lang w:val="en-GB"/>
        </w:rPr>
        <w:t>QoS</w:t>
      </w:r>
      <w:proofErr w:type="spellEnd"/>
      <w:r w:rsidR="00493815" w:rsidRPr="00A94875">
        <w:rPr>
          <w:lang w:val="en-GB"/>
        </w:rPr>
        <w:t xml:space="preserve">; 7) </w:t>
      </w:r>
      <w:proofErr w:type="spellStart"/>
      <w:r w:rsidR="00493815" w:rsidRPr="00A94875">
        <w:rPr>
          <w:lang w:val="en-GB"/>
        </w:rPr>
        <w:t>QoE</w:t>
      </w:r>
      <w:proofErr w:type="spellEnd"/>
      <w:r w:rsidR="00493815" w:rsidRPr="00A94875">
        <w:rPr>
          <w:lang w:val="en-GB"/>
        </w:rPr>
        <w:t xml:space="preserve"> improvement; 8) resource management; 9) network planning and design; 10) traffic engineering; 11) cross layer design; 12) content delivery network.</w:t>
      </w:r>
      <w:proofErr w:type="gramEnd"/>
      <w:r w:rsidR="00493815" w:rsidRPr="00A94875">
        <w:rPr>
          <w:lang w:val="en-GB"/>
        </w:rPr>
        <w:t xml:space="preserve"> 13) NAT devices detection; 14) </w:t>
      </w:r>
      <w:proofErr w:type="spellStart"/>
      <w:r w:rsidR="00493815" w:rsidRPr="00A94875">
        <w:rPr>
          <w:lang w:val="en-GB"/>
        </w:rPr>
        <w:t>bDDN</w:t>
      </w:r>
      <w:proofErr w:type="spellEnd"/>
      <w:r w:rsidR="00493815" w:rsidRPr="00A94875">
        <w:rPr>
          <w:lang w:val="en-GB"/>
        </w:rPr>
        <w:t xml:space="preserve"> in future network; 15) </w:t>
      </w:r>
      <w:proofErr w:type="spellStart"/>
      <w:r w:rsidR="00493815" w:rsidRPr="00A94875">
        <w:rPr>
          <w:lang w:val="en-GB"/>
        </w:rPr>
        <w:t>bDDN</w:t>
      </w:r>
      <w:proofErr w:type="spellEnd"/>
      <w:r w:rsidR="00493815" w:rsidRPr="00A94875">
        <w:rPr>
          <w:lang w:val="en-GB"/>
        </w:rPr>
        <w:t xml:space="preserve"> in data centre network; and 16) </w:t>
      </w:r>
      <w:proofErr w:type="spellStart"/>
      <w:r w:rsidR="00493815" w:rsidRPr="00A94875">
        <w:rPr>
          <w:lang w:val="en-GB"/>
        </w:rPr>
        <w:t>bDDN</w:t>
      </w:r>
      <w:proofErr w:type="spellEnd"/>
      <w:r w:rsidR="00493815" w:rsidRPr="00A94875">
        <w:rPr>
          <w:lang w:val="en-GB"/>
        </w:rPr>
        <w:t xml:space="preserve"> in industrial Internet.</w:t>
      </w:r>
    </w:p>
    <w:p w14:paraId="78E62589" w14:textId="77777777" w:rsidR="006944F8" w:rsidRPr="00A94875" w:rsidRDefault="006944F8" w:rsidP="006944F8">
      <w:pPr>
        <w:spacing w:before="240"/>
        <w:rPr>
          <w:b/>
          <w:sz w:val="22"/>
          <w:szCs w:val="22"/>
          <w:lang w:val="en-GB"/>
        </w:rPr>
      </w:pPr>
      <w:r w:rsidRPr="00A94875">
        <w:rPr>
          <w:b/>
          <w:sz w:val="22"/>
          <w:szCs w:val="22"/>
          <w:lang w:val="en-GB"/>
        </w:rPr>
        <w:t>I.2.9</w:t>
      </w:r>
      <w:r w:rsidRPr="00A94875">
        <w:rPr>
          <w:b/>
          <w:sz w:val="22"/>
          <w:szCs w:val="22"/>
          <w:lang w:val="en-GB"/>
        </w:rPr>
        <w:tab/>
        <w:t>Network Management</w:t>
      </w:r>
    </w:p>
    <w:p w14:paraId="303AFC6B"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M.3372 “Requirements for resource management in cloud-aware telecommunication management system”</w:t>
      </w:r>
      <w:r w:rsidRPr="00A94875">
        <w:rPr>
          <w:rFonts w:asciiTheme="majorBidi" w:hAnsiTheme="majorBidi" w:cstheme="majorBidi"/>
          <w:lang w:val="en-GB"/>
        </w:rPr>
        <w:t xml:space="preserve"> introduces a functional framework and functional requirements for resource management in cloud-aware telecommunication management system. It provides the composition of the functional framework, and the functions of each component in the framework. In this Recommendation, the general background and the </w:t>
      </w:r>
      <w:proofErr w:type="gramStart"/>
      <w:r w:rsidRPr="00A94875">
        <w:rPr>
          <w:rFonts w:asciiTheme="majorBidi" w:hAnsiTheme="majorBidi" w:cstheme="majorBidi"/>
          <w:lang w:val="en-GB"/>
        </w:rPr>
        <w:t>current status</w:t>
      </w:r>
      <w:proofErr w:type="gramEnd"/>
      <w:r w:rsidRPr="00A94875">
        <w:rPr>
          <w:rFonts w:asciiTheme="majorBidi" w:hAnsiTheme="majorBidi" w:cstheme="majorBidi"/>
          <w:lang w:val="en-GB"/>
        </w:rPr>
        <w:t xml:space="preserve"> of the cloud computing management are also analysed. </w:t>
      </w:r>
      <w:proofErr w:type="gramStart"/>
      <w:r w:rsidRPr="00A94875">
        <w:rPr>
          <w:rFonts w:asciiTheme="majorBidi" w:hAnsiTheme="majorBidi" w:cstheme="majorBidi"/>
          <w:lang w:val="en-GB"/>
        </w:rPr>
        <w:t>And</w:t>
      </w:r>
      <w:proofErr w:type="gramEnd"/>
      <w:r w:rsidRPr="00A94875">
        <w:rPr>
          <w:rFonts w:asciiTheme="majorBidi" w:hAnsiTheme="majorBidi" w:cstheme="majorBidi"/>
          <w:lang w:val="en-GB"/>
        </w:rPr>
        <w:t xml:space="preserve"> the benefit of introducing functional framework and functional requirements of resource management in cloud-aware telecommunication management system is explained.</w:t>
      </w:r>
    </w:p>
    <w:p w14:paraId="61F27441" w14:textId="44D79E2F"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Y.2814 “Mobility management framework over reconfigurable networks”</w:t>
      </w:r>
      <w:r w:rsidRPr="00A94875">
        <w:rPr>
          <w:rFonts w:asciiTheme="majorBidi" w:hAnsiTheme="majorBidi" w:cstheme="majorBidi"/>
          <w:lang w:val="en-GB"/>
        </w:rPr>
        <w:t xml:space="preserve"> focuses on application-driven mobility management of user devices, related functions and services, to improve user’s quality of experience in the evolving reconfigurable network environment. The important issues on this Recommendation include:</w:t>
      </w:r>
    </w:p>
    <w:p w14:paraId="2D62C438" w14:textId="77777777" w:rsidR="006944F8" w:rsidRPr="00A94875" w:rsidRDefault="006944F8" w:rsidP="009261B2">
      <w:pPr>
        <w:pStyle w:val="ListParagraph"/>
        <w:numPr>
          <w:ilvl w:val="0"/>
          <w:numId w:val="25"/>
        </w:numPr>
        <w:rPr>
          <w:rFonts w:asciiTheme="majorBidi" w:hAnsiTheme="majorBidi" w:cstheme="majorBidi"/>
          <w:sz w:val="24"/>
          <w:szCs w:val="24"/>
          <w:lang w:val="en-GB"/>
        </w:rPr>
      </w:pPr>
      <w:r w:rsidRPr="00A94875">
        <w:rPr>
          <w:rFonts w:asciiTheme="majorBidi" w:hAnsiTheme="majorBidi" w:cstheme="majorBidi"/>
          <w:sz w:val="24"/>
          <w:szCs w:val="24"/>
          <w:lang w:val="en-GB"/>
        </w:rPr>
        <w:lastRenderedPageBreak/>
        <w:t>Enhanced management on location, handover and connection over reconfigurable networks;</w:t>
      </w:r>
    </w:p>
    <w:p w14:paraId="410E73AE" w14:textId="77777777" w:rsidR="006944F8" w:rsidRPr="00A94875" w:rsidRDefault="006944F8" w:rsidP="009261B2">
      <w:pPr>
        <w:pStyle w:val="ListParagraph"/>
        <w:numPr>
          <w:ilvl w:val="0"/>
          <w:numId w:val="25"/>
        </w:numPr>
        <w:rPr>
          <w:rFonts w:asciiTheme="majorBidi" w:hAnsiTheme="majorBidi" w:cstheme="majorBidi"/>
          <w:sz w:val="24"/>
          <w:szCs w:val="24"/>
          <w:lang w:val="en-GB"/>
        </w:rPr>
      </w:pPr>
      <w:r w:rsidRPr="00A94875">
        <w:rPr>
          <w:rFonts w:asciiTheme="majorBidi" w:hAnsiTheme="majorBidi" w:cstheme="majorBidi"/>
          <w:sz w:val="24"/>
          <w:szCs w:val="24"/>
          <w:lang w:val="en-GB"/>
        </w:rPr>
        <w:t>Application based mobility management orchestration for automation and optimization;</w:t>
      </w:r>
    </w:p>
    <w:p w14:paraId="6278C428" w14:textId="77777777" w:rsidR="006944F8" w:rsidRPr="00A94875" w:rsidRDefault="006944F8" w:rsidP="009261B2">
      <w:pPr>
        <w:pStyle w:val="ListParagraph"/>
        <w:numPr>
          <w:ilvl w:val="0"/>
          <w:numId w:val="25"/>
        </w:numPr>
        <w:rPr>
          <w:rFonts w:asciiTheme="majorBidi" w:hAnsiTheme="majorBidi" w:cstheme="majorBidi"/>
          <w:sz w:val="24"/>
          <w:szCs w:val="24"/>
          <w:lang w:val="en-GB"/>
        </w:rPr>
      </w:pPr>
      <w:r w:rsidRPr="00A94875">
        <w:rPr>
          <w:rFonts w:asciiTheme="majorBidi" w:hAnsiTheme="majorBidi" w:cstheme="majorBidi"/>
          <w:sz w:val="24"/>
          <w:szCs w:val="24"/>
          <w:lang w:val="en-GB"/>
        </w:rPr>
        <w:t>Open interface supporting mobility of applications and services deployed on this framework.</w:t>
      </w:r>
    </w:p>
    <w:p w14:paraId="4E0A2C97" w14:textId="77777777" w:rsidR="006944F8" w:rsidRPr="00A94875" w:rsidRDefault="006944F8" w:rsidP="006944F8">
      <w:pPr>
        <w:rPr>
          <w:rFonts w:asciiTheme="majorBidi" w:hAnsiTheme="majorBidi" w:cstheme="majorBidi"/>
          <w:highlight w:val="yellow"/>
          <w:lang w:val="en-GB"/>
        </w:rPr>
      </w:pPr>
      <w:r w:rsidRPr="00A94875">
        <w:rPr>
          <w:rFonts w:asciiTheme="majorBidi" w:hAnsiTheme="majorBidi" w:cstheme="majorBidi"/>
          <w:lang w:val="en-GB"/>
        </w:rPr>
        <w:t xml:space="preserve">This Recommendation describes requirements, functional architecture, information flows and service scenarios to specify the </w:t>
      </w:r>
      <w:proofErr w:type="gramStart"/>
      <w:r w:rsidRPr="00A94875">
        <w:rPr>
          <w:rFonts w:asciiTheme="majorBidi" w:hAnsiTheme="majorBidi" w:cstheme="majorBidi"/>
          <w:lang w:val="en-GB"/>
        </w:rPr>
        <w:t>target mobility management framework</w:t>
      </w:r>
      <w:proofErr w:type="gramEnd"/>
      <w:r w:rsidRPr="00A94875">
        <w:rPr>
          <w:rFonts w:asciiTheme="majorBidi" w:hAnsiTheme="majorBidi" w:cstheme="majorBidi"/>
          <w:lang w:val="en-GB"/>
        </w:rPr>
        <w:t>.</w:t>
      </w:r>
    </w:p>
    <w:p w14:paraId="775D7292" w14:textId="77777777" w:rsidR="006944F8" w:rsidRPr="00A94875" w:rsidRDefault="006944F8" w:rsidP="006944F8">
      <w:pPr>
        <w:spacing w:before="240"/>
        <w:rPr>
          <w:b/>
          <w:sz w:val="22"/>
          <w:szCs w:val="22"/>
          <w:lang w:val="en-GB"/>
        </w:rPr>
      </w:pPr>
      <w:r w:rsidRPr="00A94875">
        <w:rPr>
          <w:b/>
          <w:sz w:val="22"/>
          <w:szCs w:val="22"/>
          <w:lang w:val="en-GB"/>
        </w:rPr>
        <w:t>I.3.1</w:t>
      </w:r>
      <w:r w:rsidRPr="00A94875">
        <w:rPr>
          <w:b/>
          <w:sz w:val="22"/>
          <w:szCs w:val="22"/>
          <w:lang w:val="en-GB"/>
        </w:rPr>
        <w:tab/>
        <w:t>Video and image coding</w:t>
      </w:r>
    </w:p>
    <w:p w14:paraId="57014373" w14:textId="77777777" w:rsidR="006944F8" w:rsidRPr="00A94875" w:rsidRDefault="006944F8" w:rsidP="006944F8">
      <w:pPr>
        <w:rPr>
          <w:rFonts w:asciiTheme="majorBidi" w:hAnsiTheme="majorBidi" w:cstheme="majorBidi"/>
          <w:bCs/>
          <w:szCs w:val="24"/>
          <w:lang w:val="en-GB"/>
        </w:rPr>
      </w:pPr>
      <w:r w:rsidRPr="00A94875">
        <w:rPr>
          <w:rFonts w:asciiTheme="majorBidi" w:hAnsiTheme="majorBidi" w:cstheme="majorBidi"/>
          <w:b/>
          <w:bCs/>
          <w:szCs w:val="24"/>
          <w:lang w:val="en-GB"/>
        </w:rPr>
        <w:t>ITU-T H.222.0 (</w:t>
      </w:r>
      <w:proofErr w:type="gramStart"/>
      <w:r w:rsidRPr="00A94875">
        <w:rPr>
          <w:rFonts w:asciiTheme="majorBidi" w:hAnsiTheme="majorBidi" w:cstheme="majorBidi"/>
          <w:b/>
          <w:bCs/>
          <w:szCs w:val="24"/>
          <w:lang w:val="en-GB"/>
        </w:rPr>
        <w:t>7th</w:t>
      </w:r>
      <w:proofErr w:type="gramEnd"/>
      <w:r w:rsidRPr="00A94875">
        <w:rPr>
          <w:rFonts w:asciiTheme="majorBidi" w:hAnsiTheme="majorBidi" w:cstheme="majorBidi"/>
          <w:b/>
          <w:bCs/>
          <w:szCs w:val="24"/>
          <w:lang w:val="en-GB"/>
        </w:rPr>
        <w:t xml:space="preserve"> Ed.) </w:t>
      </w:r>
      <w:proofErr w:type="gramStart"/>
      <w:r w:rsidRPr="00A94875">
        <w:rPr>
          <w:rFonts w:asciiTheme="majorBidi" w:hAnsiTheme="majorBidi" w:cstheme="majorBidi"/>
          <w:b/>
          <w:bCs/>
          <w:szCs w:val="24"/>
          <w:lang w:val="en-GB"/>
        </w:rPr>
        <w:t>“Information technology - Generic coding of moving pictures and associated audio information: Systems”</w:t>
      </w:r>
      <w:r w:rsidRPr="00A94875">
        <w:rPr>
          <w:rFonts w:asciiTheme="majorBidi" w:hAnsiTheme="majorBidi" w:cstheme="majorBidi"/>
          <w:bCs/>
          <w:szCs w:val="24"/>
          <w:lang w:val="en-GB"/>
        </w:rPr>
        <w:t xml:space="preserve"> incorporates the 6th edition, the published Amd.1 "Ultra-low latency and 4k and higher resolution support for transport of JPEG 2000 video", the draft Amd.2 "Carriage of timed metadata for media orchestration (MORE) and sample variants over MPEG-2 TS" and the draft Amd.3 "Carriage of HEVC Tiles over MPEG-2 Systems".</w:t>
      </w:r>
      <w:proofErr w:type="gramEnd"/>
      <w:r w:rsidRPr="00A94875">
        <w:rPr>
          <w:rFonts w:asciiTheme="majorBidi" w:hAnsiTheme="majorBidi" w:cstheme="majorBidi"/>
          <w:bCs/>
          <w:szCs w:val="24"/>
          <w:lang w:val="en-GB"/>
        </w:rPr>
        <w:t xml:space="preserve"> With respect to the previous edition, the 7th edition</w:t>
      </w:r>
    </w:p>
    <w:p w14:paraId="668568B8" w14:textId="77777777" w:rsidR="006944F8" w:rsidRPr="00A94875" w:rsidRDefault="006944F8" w:rsidP="006944F8">
      <w:pPr>
        <w:rPr>
          <w:rFonts w:asciiTheme="majorBidi" w:hAnsiTheme="majorBidi" w:cstheme="majorBidi"/>
          <w:bCs/>
          <w:szCs w:val="24"/>
          <w:lang w:val="en-GB"/>
        </w:rPr>
      </w:pPr>
      <w:r w:rsidRPr="00A94875">
        <w:rPr>
          <w:rFonts w:asciiTheme="majorBidi" w:hAnsiTheme="majorBidi" w:cstheme="majorBidi"/>
          <w:bCs/>
          <w:szCs w:val="24"/>
          <w:lang w:val="en-GB"/>
        </w:rPr>
        <w:t>–</w:t>
      </w:r>
      <w:r w:rsidRPr="00A94875">
        <w:rPr>
          <w:rFonts w:asciiTheme="majorBidi" w:hAnsiTheme="majorBidi" w:cstheme="majorBidi"/>
          <w:bCs/>
          <w:szCs w:val="24"/>
          <w:lang w:val="en-GB"/>
        </w:rPr>
        <w:tab/>
        <w:t>fixes interoperability issues in the transport of JPEG 2000 Part 1 (Rec. ITU-T T.800 | ISO/IEC 15444-1),</w:t>
      </w:r>
    </w:p>
    <w:p w14:paraId="270F41CC" w14:textId="77777777" w:rsidR="006944F8" w:rsidRPr="00A94875" w:rsidRDefault="006944F8" w:rsidP="006944F8">
      <w:pPr>
        <w:rPr>
          <w:rFonts w:asciiTheme="majorBidi" w:hAnsiTheme="majorBidi" w:cstheme="majorBidi"/>
          <w:bCs/>
          <w:szCs w:val="24"/>
          <w:lang w:val="en-GB"/>
        </w:rPr>
      </w:pPr>
      <w:r w:rsidRPr="00A94875">
        <w:rPr>
          <w:rFonts w:asciiTheme="majorBidi" w:hAnsiTheme="majorBidi" w:cstheme="majorBidi"/>
          <w:bCs/>
          <w:szCs w:val="24"/>
          <w:lang w:val="en-GB"/>
        </w:rPr>
        <w:t>–</w:t>
      </w:r>
      <w:r w:rsidRPr="00A94875">
        <w:rPr>
          <w:rFonts w:asciiTheme="majorBidi" w:hAnsiTheme="majorBidi" w:cstheme="majorBidi"/>
          <w:bCs/>
          <w:szCs w:val="24"/>
          <w:lang w:val="en-GB"/>
        </w:rPr>
        <w:tab/>
        <w:t>adds support for JPEG 2000 Ultra-Low Latency (ULL) encoding and support for higher resolutions (4K or higher) of JPEG 2000 video,</w:t>
      </w:r>
    </w:p>
    <w:p w14:paraId="0F5BF89E" w14:textId="77777777" w:rsidR="006944F8" w:rsidRPr="00A94875" w:rsidRDefault="006944F8" w:rsidP="006944F8">
      <w:pPr>
        <w:rPr>
          <w:rFonts w:asciiTheme="majorBidi" w:hAnsiTheme="majorBidi" w:cstheme="majorBidi"/>
          <w:bCs/>
          <w:szCs w:val="24"/>
          <w:lang w:val="en-GB"/>
        </w:rPr>
      </w:pPr>
      <w:r w:rsidRPr="00A94875">
        <w:rPr>
          <w:rFonts w:asciiTheme="majorBidi" w:hAnsiTheme="majorBidi" w:cstheme="majorBidi"/>
          <w:bCs/>
          <w:szCs w:val="24"/>
          <w:lang w:val="en-GB"/>
        </w:rPr>
        <w:t>–</w:t>
      </w:r>
      <w:r w:rsidRPr="00A94875">
        <w:rPr>
          <w:rFonts w:asciiTheme="majorBidi" w:hAnsiTheme="majorBidi" w:cstheme="majorBidi"/>
          <w:bCs/>
          <w:szCs w:val="24"/>
          <w:lang w:val="en-GB"/>
        </w:rPr>
        <w:tab/>
        <w:t>adds support for the carriage of timed metadata for media orchestration (MORE) as defined in ISO/IEC 23001-13,</w:t>
      </w:r>
    </w:p>
    <w:p w14:paraId="565D8024" w14:textId="77777777" w:rsidR="006944F8" w:rsidRPr="00A94875" w:rsidRDefault="006944F8" w:rsidP="006944F8">
      <w:pPr>
        <w:rPr>
          <w:rFonts w:asciiTheme="majorBidi" w:hAnsiTheme="majorBidi" w:cstheme="majorBidi"/>
          <w:bCs/>
          <w:szCs w:val="24"/>
          <w:lang w:val="en-GB"/>
        </w:rPr>
      </w:pPr>
      <w:r w:rsidRPr="00A94875">
        <w:rPr>
          <w:rFonts w:asciiTheme="majorBidi" w:hAnsiTheme="majorBidi" w:cstheme="majorBidi"/>
          <w:bCs/>
          <w:szCs w:val="24"/>
          <w:lang w:val="en-GB"/>
        </w:rPr>
        <w:t>–</w:t>
      </w:r>
      <w:r w:rsidRPr="00A94875">
        <w:rPr>
          <w:rFonts w:asciiTheme="majorBidi" w:hAnsiTheme="majorBidi" w:cstheme="majorBidi"/>
          <w:bCs/>
          <w:szCs w:val="24"/>
          <w:lang w:val="en-GB"/>
        </w:rPr>
        <w:tab/>
        <w:t>adds support for the transport of sample variants as defined in ISO/IEC 23001-12 (2nd edition),</w:t>
      </w:r>
    </w:p>
    <w:p w14:paraId="5C09CE80" w14:textId="77777777" w:rsidR="006944F8" w:rsidRPr="00A94875" w:rsidRDefault="006944F8" w:rsidP="006944F8">
      <w:pPr>
        <w:rPr>
          <w:rFonts w:asciiTheme="majorBidi" w:hAnsiTheme="majorBidi" w:cstheme="majorBidi"/>
          <w:bCs/>
          <w:szCs w:val="24"/>
          <w:lang w:val="en-GB"/>
        </w:rPr>
      </w:pPr>
      <w:r w:rsidRPr="00A94875">
        <w:rPr>
          <w:rFonts w:asciiTheme="majorBidi" w:hAnsiTheme="majorBidi" w:cstheme="majorBidi"/>
          <w:bCs/>
          <w:szCs w:val="24"/>
          <w:lang w:val="en-GB"/>
        </w:rPr>
        <w:t>–</w:t>
      </w:r>
      <w:r w:rsidRPr="00A94875">
        <w:rPr>
          <w:rFonts w:asciiTheme="majorBidi" w:hAnsiTheme="majorBidi" w:cstheme="majorBidi"/>
          <w:bCs/>
          <w:szCs w:val="24"/>
          <w:lang w:val="en-GB"/>
        </w:rPr>
        <w:tab/>
        <w:t xml:space="preserve">adds support for the transport of </w:t>
      </w:r>
      <w:proofErr w:type="spellStart"/>
      <w:r w:rsidRPr="00A94875">
        <w:rPr>
          <w:rFonts w:asciiTheme="majorBidi" w:hAnsiTheme="majorBidi" w:cstheme="majorBidi"/>
          <w:bCs/>
          <w:szCs w:val="24"/>
          <w:lang w:val="en-GB"/>
        </w:rPr>
        <w:t>substreams</w:t>
      </w:r>
      <w:proofErr w:type="spellEnd"/>
      <w:r w:rsidRPr="00A94875">
        <w:rPr>
          <w:rFonts w:asciiTheme="majorBidi" w:hAnsiTheme="majorBidi" w:cstheme="majorBidi"/>
          <w:bCs/>
          <w:szCs w:val="24"/>
          <w:lang w:val="en-GB"/>
        </w:rPr>
        <w:t xml:space="preserve"> containing HEVC (Rec. ITU-T H.264 | ISO/IEC 23008-2) Motion Constrained Tile Sets and</w:t>
      </w:r>
    </w:p>
    <w:p w14:paraId="7F43F424" w14:textId="77777777" w:rsidR="006944F8" w:rsidRPr="00A94875" w:rsidRDefault="006944F8" w:rsidP="006944F8">
      <w:pPr>
        <w:rPr>
          <w:rFonts w:asciiTheme="majorBidi" w:hAnsiTheme="majorBidi" w:cstheme="majorBidi"/>
          <w:bCs/>
          <w:szCs w:val="24"/>
          <w:highlight w:val="yellow"/>
          <w:lang w:val="en-GB"/>
        </w:rPr>
      </w:pPr>
      <w:r w:rsidRPr="00A94875">
        <w:rPr>
          <w:rFonts w:asciiTheme="majorBidi" w:hAnsiTheme="majorBidi" w:cstheme="majorBidi"/>
          <w:bCs/>
          <w:szCs w:val="24"/>
          <w:lang w:val="en-GB"/>
        </w:rPr>
        <w:t>–</w:t>
      </w:r>
      <w:r w:rsidRPr="00A94875">
        <w:rPr>
          <w:rFonts w:asciiTheme="majorBidi" w:hAnsiTheme="majorBidi" w:cstheme="majorBidi"/>
          <w:bCs/>
          <w:szCs w:val="24"/>
          <w:lang w:val="en-GB"/>
        </w:rPr>
        <w:tab/>
        <w:t>resolves an ambiguity in the specification of the semantics of the HEVC video descriptor.</w:t>
      </w:r>
    </w:p>
    <w:p w14:paraId="6CF9FBA4" w14:textId="53EE692A"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H.265.1 V3 “Conformance specification for ITU-T H.265 high efficiency video coding”</w:t>
      </w:r>
      <w:r w:rsidR="00783514" w:rsidRPr="00A94875">
        <w:rPr>
          <w:rFonts w:asciiTheme="majorBidi" w:hAnsiTheme="majorBidi" w:cstheme="majorBidi"/>
          <w:lang w:val="en-GB"/>
        </w:rPr>
        <w:t xml:space="preserve"> </w:t>
      </w:r>
      <w:r w:rsidRPr="00A94875">
        <w:rPr>
          <w:rFonts w:asciiTheme="majorBidi" w:hAnsiTheme="majorBidi" w:cstheme="majorBidi"/>
          <w:lang w:val="en-GB"/>
        </w:rPr>
        <w:t xml:space="preserve">specifies tests for (non-exhaustive) testing to verify whether </w:t>
      </w:r>
      <w:proofErr w:type="spellStart"/>
      <w:r w:rsidRPr="00A94875">
        <w:rPr>
          <w:rFonts w:asciiTheme="majorBidi" w:hAnsiTheme="majorBidi" w:cstheme="majorBidi"/>
          <w:lang w:val="en-GB"/>
        </w:rPr>
        <w:t>bitstreams</w:t>
      </w:r>
      <w:proofErr w:type="spellEnd"/>
      <w:r w:rsidRPr="00A94875">
        <w:rPr>
          <w:rFonts w:asciiTheme="majorBidi" w:hAnsiTheme="majorBidi" w:cstheme="majorBidi"/>
          <w:lang w:val="en-GB"/>
        </w:rPr>
        <w:t xml:space="preserve"> and decoders meet the normative requirements specified in ITU T H.265 | ISO/IEC 23008-2 high efficiency video coding (HEVC). The </w:t>
      </w:r>
      <w:proofErr w:type="spellStart"/>
      <w:r w:rsidRPr="00A94875">
        <w:rPr>
          <w:rFonts w:asciiTheme="majorBidi" w:hAnsiTheme="majorBidi" w:cstheme="majorBidi"/>
          <w:lang w:val="en-GB"/>
        </w:rPr>
        <w:t>bitstreams</w:t>
      </w:r>
      <w:proofErr w:type="spellEnd"/>
      <w:r w:rsidRPr="00A94875">
        <w:rPr>
          <w:rFonts w:asciiTheme="majorBidi" w:hAnsiTheme="majorBidi" w:cstheme="majorBidi"/>
          <w:lang w:val="en-GB"/>
        </w:rPr>
        <w:t xml:space="preserve"> provided with this document correspond to the 02/2018 (V5) edition of Rec. ITU-T H.265. The V3 edition adds tests for the screen content coding (SCC) extensions and non-intra high throughput profiles.</w:t>
      </w:r>
    </w:p>
    <w:p w14:paraId="4D37B871"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 xml:space="preserve">ITU-T T.88 Amd.4 “Information technology - </w:t>
      </w:r>
      <w:proofErr w:type="spellStart"/>
      <w:r w:rsidRPr="00A94875">
        <w:rPr>
          <w:rFonts w:asciiTheme="majorBidi" w:hAnsiTheme="majorBidi" w:cstheme="majorBidi"/>
          <w:b/>
          <w:lang w:val="en-GB"/>
        </w:rPr>
        <w:t>Lossy</w:t>
      </w:r>
      <w:proofErr w:type="spellEnd"/>
      <w:r w:rsidRPr="00A94875">
        <w:rPr>
          <w:rFonts w:asciiTheme="majorBidi" w:hAnsiTheme="majorBidi" w:cstheme="majorBidi"/>
          <w:b/>
          <w:lang w:val="en-GB"/>
        </w:rPr>
        <w:t>/lossless coding of bi-level images”</w:t>
      </w:r>
      <w:r w:rsidRPr="00A94875">
        <w:rPr>
          <w:rFonts w:asciiTheme="majorBidi" w:hAnsiTheme="majorBidi" w:cstheme="majorBidi"/>
          <w:lang w:val="en-GB"/>
        </w:rPr>
        <w:t xml:space="preserve"> commonly known as JBIG2, defines a coding method for bi-level images (e.g. black and white printed matter). These are images consisting of a single rectangular bit plane, with each pixel taking on one of just two possible colours. Multiple colours are to be handled using an appropriate </w:t>
      </w:r>
      <w:proofErr w:type="gramStart"/>
      <w:r w:rsidRPr="00A94875">
        <w:rPr>
          <w:rFonts w:asciiTheme="majorBidi" w:hAnsiTheme="majorBidi" w:cstheme="majorBidi"/>
          <w:lang w:val="en-GB"/>
        </w:rPr>
        <w:t>higher level</w:t>
      </w:r>
      <w:proofErr w:type="gramEnd"/>
      <w:r w:rsidRPr="00A94875">
        <w:rPr>
          <w:rFonts w:asciiTheme="majorBidi" w:hAnsiTheme="majorBidi" w:cstheme="majorBidi"/>
          <w:lang w:val="en-GB"/>
        </w:rPr>
        <w:t xml:space="preserve"> standard such as Recommendation ITU-T T.44 | ISO/IEC 16485. This Recommendation | International Standard has been explicitly prepared for a </w:t>
      </w:r>
      <w:proofErr w:type="spellStart"/>
      <w:r w:rsidRPr="00A94875">
        <w:rPr>
          <w:rFonts w:asciiTheme="majorBidi" w:hAnsiTheme="majorBidi" w:cstheme="majorBidi"/>
          <w:lang w:val="en-GB"/>
        </w:rPr>
        <w:t>lossy</w:t>
      </w:r>
      <w:proofErr w:type="spellEnd"/>
      <w:r w:rsidRPr="00A94875">
        <w:rPr>
          <w:rFonts w:asciiTheme="majorBidi" w:hAnsiTheme="majorBidi" w:cstheme="majorBidi"/>
          <w:lang w:val="en-GB"/>
        </w:rPr>
        <w:t xml:space="preserve">, lossless, and </w:t>
      </w:r>
      <w:proofErr w:type="spellStart"/>
      <w:r w:rsidRPr="00A94875">
        <w:rPr>
          <w:rFonts w:asciiTheme="majorBidi" w:hAnsiTheme="majorBidi" w:cstheme="majorBidi"/>
          <w:lang w:val="en-GB"/>
        </w:rPr>
        <w:t>lossy</w:t>
      </w:r>
      <w:proofErr w:type="spellEnd"/>
      <w:r w:rsidRPr="00A94875">
        <w:rPr>
          <w:rFonts w:asciiTheme="majorBidi" w:hAnsiTheme="majorBidi" w:cstheme="majorBidi"/>
          <w:lang w:val="en-GB"/>
        </w:rPr>
        <w:t xml:space="preserve">-to-lossless image compression. This revision includes integration of the previously approved amendments 1 through 3 and the addition of specification of a verification test procedure for JBIG2 encoders and decoders (which </w:t>
      </w:r>
      <w:proofErr w:type="gramStart"/>
      <w:r w:rsidRPr="00A94875">
        <w:rPr>
          <w:rFonts w:asciiTheme="majorBidi" w:hAnsiTheme="majorBidi" w:cstheme="majorBidi"/>
          <w:lang w:val="en-GB"/>
        </w:rPr>
        <w:t>was processed</w:t>
      </w:r>
      <w:proofErr w:type="gramEnd"/>
      <w:r w:rsidRPr="00A94875">
        <w:rPr>
          <w:rFonts w:asciiTheme="majorBidi" w:hAnsiTheme="majorBidi" w:cstheme="majorBidi"/>
          <w:lang w:val="en-GB"/>
        </w:rPr>
        <w:t xml:space="preserve"> in the ISO/IEC approval process as Amendment 4).</w:t>
      </w:r>
    </w:p>
    <w:p w14:paraId="6DAB963F" w14:textId="77777777" w:rsidR="006944F8" w:rsidRPr="00A94875" w:rsidRDefault="006944F8" w:rsidP="006944F8">
      <w:pPr>
        <w:spacing w:before="240"/>
        <w:rPr>
          <w:b/>
          <w:sz w:val="22"/>
          <w:szCs w:val="22"/>
          <w:lang w:val="en-GB"/>
        </w:rPr>
      </w:pPr>
      <w:bookmarkStart w:id="223" w:name="_Toc480527896"/>
      <w:r w:rsidRPr="00A94875">
        <w:rPr>
          <w:b/>
          <w:sz w:val="22"/>
          <w:szCs w:val="22"/>
          <w:lang w:val="en-GB"/>
        </w:rPr>
        <w:t>I.3.2</w:t>
      </w:r>
      <w:r w:rsidRPr="00A94875">
        <w:rPr>
          <w:b/>
          <w:sz w:val="22"/>
          <w:szCs w:val="22"/>
          <w:lang w:val="en-GB"/>
        </w:rPr>
        <w:tab/>
        <w:t>Intelligent, interoperable visual surveillance systems</w:t>
      </w:r>
      <w:bookmarkEnd w:id="223"/>
    </w:p>
    <w:p w14:paraId="6AAFEEDD"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H.626.3 “Architecture for visual surveillance system interworking”</w:t>
      </w:r>
      <w:r w:rsidRPr="00A94875">
        <w:rPr>
          <w:rFonts w:asciiTheme="majorBidi" w:hAnsiTheme="majorBidi" w:cstheme="majorBidi"/>
          <w:lang w:val="en-GB"/>
        </w:rPr>
        <w:t xml:space="preserve"> defines an architecture of visual surveillance system interworking. A visual surveillance system </w:t>
      </w:r>
      <w:proofErr w:type="gramStart"/>
      <w:r w:rsidRPr="00A94875">
        <w:rPr>
          <w:rFonts w:asciiTheme="majorBidi" w:hAnsiTheme="majorBidi" w:cstheme="majorBidi"/>
          <w:lang w:val="en-GB"/>
        </w:rPr>
        <w:t>is deployed</w:t>
      </w:r>
      <w:proofErr w:type="gramEnd"/>
      <w:r w:rsidRPr="00A94875">
        <w:rPr>
          <w:rFonts w:asciiTheme="majorBidi" w:hAnsiTheme="majorBidi" w:cstheme="majorBidi"/>
          <w:lang w:val="en-GB"/>
        </w:rPr>
        <w:t xml:space="preserve"> as a stand-alone and fully autonomous system, and the data and resource cannot be shared between different visual surveillance systems. The visual surveillance system interworking mechanism enables the communication among the different visual surveillance systems, and this interworking mechanism can realize the cross-system sharing of the data and resource. This Recommendation </w:t>
      </w:r>
      <w:r w:rsidRPr="00A94875">
        <w:rPr>
          <w:rFonts w:asciiTheme="majorBidi" w:hAnsiTheme="majorBidi" w:cstheme="majorBidi"/>
          <w:lang w:val="en-GB"/>
        </w:rPr>
        <w:lastRenderedPageBreak/>
        <w:t>describes the architecture, entities, reference points, service control flows, and deployment models for visual surveillance system interworking.</w:t>
      </w:r>
    </w:p>
    <w:p w14:paraId="7A6B7769"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H.626.4 “Architecture for a point-to-point visual surveillance system”</w:t>
      </w:r>
      <w:r w:rsidRPr="00A94875">
        <w:rPr>
          <w:rFonts w:asciiTheme="majorBidi" w:hAnsiTheme="majorBidi" w:cstheme="majorBidi"/>
          <w:lang w:val="en-GB"/>
        </w:rPr>
        <w:t xml:space="preserve"> defines the architecture of a point-to-point (P2P) visual surveillance system, including the functional requirements, functional architecture, entities, service flows and interfaces. The P2P visual surveillance system is a </w:t>
      </w:r>
      <w:proofErr w:type="gramStart"/>
      <w:r w:rsidRPr="00A94875">
        <w:rPr>
          <w:rFonts w:asciiTheme="majorBidi" w:hAnsiTheme="majorBidi" w:cstheme="majorBidi"/>
          <w:lang w:val="en-GB"/>
        </w:rPr>
        <w:t>kind of visual</w:t>
      </w:r>
      <w:proofErr w:type="gramEnd"/>
      <w:r w:rsidRPr="00A94875">
        <w:rPr>
          <w:rFonts w:asciiTheme="majorBidi" w:hAnsiTheme="majorBidi" w:cstheme="majorBidi"/>
          <w:lang w:val="en-GB"/>
        </w:rPr>
        <w:t xml:space="preserve"> surveillance system, which provides a solution for users to access video streams directly from the cameras through network, without transferring video streams by the visual surveillance platform.</w:t>
      </w:r>
    </w:p>
    <w:p w14:paraId="07D10344" w14:textId="77777777" w:rsidR="006944F8" w:rsidRPr="00A94875" w:rsidRDefault="006944F8" w:rsidP="006944F8">
      <w:pPr>
        <w:keepNext/>
        <w:keepLines/>
        <w:spacing w:before="240"/>
        <w:rPr>
          <w:b/>
          <w:sz w:val="22"/>
          <w:szCs w:val="22"/>
          <w:lang w:val="en-GB"/>
        </w:rPr>
      </w:pPr>
      <w:bookmarkStart w:id="224" w:name="_Toc480527898"/>
      <w:r w:rsidRPr="00A94875">
        <w:rPr>
          <w:b/>
          <w:sz w:val="22"/>
          <w:szCs w:val="22"/>
          <w:lang w:val="en-GB"/>
        </w:rPr>
        <w:t>I.3.3</w:t>
      </w:r>
      <w:r w:rsidRPr="00A94875">
        <w:rPr>
          <w:b/>
          <w:sz w:val="22"/>
          <w:szCs w:val="22"/>
          <w:lang w:val="en-GB"/>
        </w:rPr>
        <w:tab/>
        <w:t>IPTV and digital signage</w:t>
      </w:r>
      <w:bookmarkEnd w:id="224"/>
    </w:p>
    <w:p w14:paraId="7876EE96" w14:textId="77777777" w:rsidR="006944F8" w:rsidRPr="00A94875" w:rsidRDefault="006944F8" w:rsidP="006944F8">
      <w:pPr>
        <w:keepNext/>
        <w:keepLines/>
        <w:rPr>
          <w:rFonts w:asciiTheme="majorBidi" w:hAnsiTheme="majorBidi" w:cstheme="majorBidi"/>
          <w:bCs/>
          <w:highlight w:val="yellow"/>
          <w:lang w:val="en-GB"/>
        </w:rPr>
      </w:pPr>
      <w:r w:rsidRPr="00A94875">
        <w:rPr>
          <w:rFonts w:asciiTheme="majorBidi" w:hAnsiTheme="majorBidi" w:cstheme="majorBidi"/>
          <w:b/>
          <w:bCs/>
          <w:lang w:val="en-GB"/>
        </w:rPr>
        <w:t>ITU-T H.766 “</w:t>
      </w:r>
      <w:proofErr w:type="spellStart"/>
      <w:r w:rsidRPr="00A94875">
        <w:rPr>
          <w:rFonts w:asciiTheme="majorBidi" w:hAnsiTheme="majorBidi" w:cstheme="majorBidi"/>
          <w:b/>
          <w:bCs/>
          <w:lang w:val="en-GB"/>
        </w:rPr>
        <w:t>Lua</w:t>
      </w:r>
      <w:proofErr w:type="spellEnd"/>
      <w:r w:rsidRPr="00A94875">
        <w:rPr>
          <w:rFonts w:asciiTheme="majorBidi" w:hAnsiTheme="majorBidi" w:cstheme="majorBidi"/>
          <w:b/>
          <w:bCs/>
          <w:lang w:val="en-GB"/>
        </w:rPr>
        <w:t xml:space="preserve"> for IPTV services”</w:t>
      </w:r>
      <w:r w:rsidRPr="00A94875">
        <w:rPr>
          <w:rFonts w:asciiTheme="majorBidi" w:hAnsiTheme="majorBidi" w:cstheme="majorBidi"/>
          <w:bCs/>
          <w:lang w:val="en-GB"/>
        </w:rPr>
        <w:t xml:space="preserve"> defines </w:t>
      </w:r>
      <w:proofErr w:type="spellStart"/>
      <w:r w:rsidRPr="00A94875">
        <w:rPr>
          <w:rFonts w:asciiTheme="majorBidi" w:hAnsiTheme="majorBidi" w:cstheme="majorBidi"/>
          <w:bCs/>
          <w:lang w:val="en-GB"/>
        </w:rPr>
        <w:t>Lua</w:t>
      </w:r>
      <w:proofErr w:type="spellEnd"/>
      <w:r w:rsidRPr="00A94875">
        <w:rPr>
          <w:rFonts w:asciiTheme="majorBidi" w:hAnsiTheme="majorBidi" w:cstheme="majorBidi"/>
          <w:bCs/>
          <w:lang w:val="en-GB"/>
        </w:rPr>
        <w:t xml:space="preserve"> as one of standard multimedia application frameworks for IPTV services. </w:t>
      </w:r>
      <w:proofErr w:type="spellStart"/>
      <w:r w:rsidRPr="00A94875">
        <w:rPr>
          <w:rFonts w:asciiTheme="majorBidi" w:hAnsiTheme="majorBidi" w:cstheme="majorBidi"/>
          <w:bCs/>
          <w:lang w:val="en-GB"/>
        </w:rPr>
        <w:t>Lua</w:t>
      </w:r>
      <w:proofErr w:type="spellEnd"/>
      <w:r w:rsidRPr="00A94875">
        <w:rPr>
          <w:rFonts w:asciiTheme="majorBidi" w:hAnsiTheme="majorBidi" w:cstheme="majorBidi"/>
          <w:bCs/>
          <w:lang w:val="en-GB"/>
        </w:rPr>
        <w:t xml:space="preserve"> is an extension programming language designed to support general procedural programming with data description facilities. </w:t>
      </w:r>
      <w:proofErr w:type="spellStart"/>
      <w:r w:rsidRPr="00A94875">
        <w:rPr>
          <w:rFonts w:asciiTheme="majorBidi" w:hAnsiTheme="majorBidi" w:cstheme="majorBidi"/>
          <w:bCs/>
          <w:lang w:val="en-GB"/>
        </w:rPr>
        <w:t>Lua</w:t>
      </w:r>
      <w:proofErr w:type="spellEnd"/>
      <w:r w:rsidRPr="00A94875">
        <w:rPr>
          <w:rFonts w:asciiTheme="majorBidi" w:hAnsiTheme="majorBidi" w:cstheme="majorBidi"/>
          <w:bCs/>
          <w:lang w:val="en-GB"/>
        </w:rPr>
        <w:t xml:space="preserve"> is the scripting language for </w:t>
      </w:r>
      <w:proofErr w:type="spellStart"/>
      <w:r w:rsidRPr="00A94875">
        <w:rPr>
          <w:rFonts w:asciiTheme="majorBidi" w:hAnsiTheme="majorBidi" w:cstheme="majorBidi"/>
          <w:bCs/>
          <w:lang w:val="en-GB"/>
        </w:rPr>
        <w:t>Ginga</w:t>
      </w:r>
      <w:proofErr w:type="spellEnd"/>
      <w:r w:rsidRPr="00A94875">
        <w:rPr>
          <w:rFonts w:asciiTheme="majorBidi" w:hAnsiTheme="majorBidi" w:cstheme="majorBidi"/>
          <w:bCs/>
          <w:lang w:val="en-GB"/>
        </w:rPr>
        <w:t xml:space="preserve">-NCL [ITU-T H.761]. The </w:t>
      </w:r>
      <w:proofErr w:type="spellStart"/>
      <w:r w:rsidRPr="00A94875">
        <w:rPr>
          <w:rFonts w:asciiTheme="majorBidi" w:hAnsiTheme="majorBidi" w:cstheme="majorBidi"/>
          <w:bCs/>
          <w:lang w:val="en-GB"/>
        </w:rPr>
        <w:t>Lua</w:t>
      </w:r>
      <w:proofErr w:type="spellEnd"/>
      <w:r w:rsidRPr="00A94875">
        <w:rPr>
          <w:rFonts w:asciiTheme="majorBidi" w:hAnsiTheme="majorBidi" w:cstheme="majorBidi"/>
          <w:bCs/>
          <w:lang w:val="en-GB"/>
        </w:rPr>
        <w:t xml:space="preserve"> engine </w:t>
      </w:r>
      <w:proofErr w:type="gramStart"/>
      <w:r w:rsidRPr="00A94875">
        <w:rPr>
          <w:rFonts w:asciiTheme="majorBidi" w:hAnsiTheme="majorBidi" w:cstheme="majorBidi"/>
          <w:bCs/>
          <w:lang w:val="en-GB"/>
        </w:rPr>
        <w:t>is distributed</w:t>
      </w:r>
      <w:proofErr w:type="gramEnd"/>
      <w:r w:rsidRPr="00A94875">
        <w:rPr>
          <w:rFonts w:asciiTheme="majorBidi" w:hAnsiTheme="majorBidi" w:cstheme="majorBidi"/>
          <w:bCs/>
          <w:lang w:val="en-GB"/>
        </w:rPr>
        <w:t xml:space="preserve"> as free software under the MIT license. </w:t>
      </w:r>
      <w:proofErr w:type="spellStart"/>
      <w:r w:rsidRPr="00A94875">
        <w:rPr>
          <w:rFonts w:asciiTheme="majorBidi" w:hAnsiTheme="majorBidi" w:cstheme="majorBidi"/>
          <w:bCs/>
          <w:lang w:val="en-GB"/>
        </w:rPr>
        <w:t>Lua</w:t>
      </w:r>
      <w:proofErr w:type="spellEnd"/>
      <w:r w:rsidRPr="00A94875">
        <w:rPr>
          <w:rFonts w:asciiTheme="majorBidi" w:hAnsiTheme="majorBidi" w:cstheme="majorBidi"/>
          <w:bCs/>
          <w:lang w:val="en-GB"/>
        </w:rPr>
        <w:t xml:space="preserve"> for IPTV services </w:t>
      </w:r>
      <w:proofErr w:type="gramStart"/>
      <w:r w:rsidRPr="00A94875">
        <w:rPr>
          <w:rFonts w:asciiTheme="majorBidi" w:hAnsiTheme="majorBidi" w:cstheme="majorBidi"/>
          <w:bCs/>
          <w:lang w:val="en-GB"/>
        </w:rPr>
        <w:t>is structured</w:t>
      </w:r>
      <w:proofErr w:type="gramEnd"/>
      <w:r w:rsidRPr="00A94875">
        <w:rPr>
          <w:rFonts w:asciiTheme="majorBidi" w:hAnsiTheme="majorBidi" w:cstheme="majorBidi"/>
          <w:bCs/>
          <w:lang w:val="en-GB"/>
        </w:rPr>
        <w:t xml:space="preserve"> in two sets of application programming interfaces (APIs). </w:t>
      </w:r>
      <w:proofErr w:type="spellStart"/>
      <w:r w:rsidRPr="00A94875">
        <w:rPr>
          <w:rFonts w:asciiTheme="majorBidi" w:hAnsiTheme="majorBidi" w:cstheme="majorBidi"/>
          <w:bCs/>
          <w:lang w:val="en-GB"/>
        </w:rPr>
        <w:t>Lua</w:t>
      </w:r>
      <w:proofErr w:type="spellEnd"/>
      <w:r w:rsidRPr="00A94875">
        <w:rPr>
          <w:rFonts w:asciiTheme="majorBidi" w:hAnsiTheme="majorBidi" w:cstheme="majorBidi"/>
          <w:bCs/>
          <w:lang w:val="en-GB"/>
        </w:rPr>
        <w:t xml:space="preserve"> IPTV Core API is a basic, mandatory API that conforms with </w:t>
      </w:r>
      <w:proofErr w:type="spellStart"/>
      <w:r w:rsidRPr="00A94875">
        <w:rPr>
          <w:rFonts w:asciiTheme="majorBidi" w:hAnsiTheme="majorBidi" w:cstheme="majorBidi"/>
          <w:bCs/>
          <w:lang w:val="en-GB"/>
        </w:rPr>
        <w:t>Ginga</w:t>
      </w:r>
      <w:proofErr w:type="spellEnd"/>
      <w:r w:rsidRPr="00A94875">
        <w:rPr>
          <w:rFonts w:asciiTheme="majorBidi" w:hAnsiTheme="majorBidi" w:cstheme="majorBidi"/>
          <w:bCs/>
          <w:lang w:val="en-GB"/>
        </w:rPr>
        <w:t xml:space="preserve">-NCL [ITU-T H.761]. </w:t>
      </w:r>
      <w:proofErr w:type="spellStart"/>
      <w:r w:rsidRPr="00A94875">
        <w:rPr>
          <w:rFonts w:asciiTheme="majorBidi" w:hAnsiTheme="majorBidi" w:cstheme="majorBidi"/>
          <w:bCs/>
          <w:lang w:val="en-GB"/>
        </w:rPr>
        <w:t>Lua</w:t>
      </w:r>
      <w:proofErr w:type="spellEnd"/>
      <w:r w:rsidRPr="00A94875">
        <w:rPr>
          <w:rFonts w:asciiTheme="majorBidi" w:hAnsiTheme="majorBidi" w:cstheme="majorBidi"/>
          <w:bCs/>
          <w:lang w:val="en-GB"/>
        </w:rPr>
        <w:t xml:space="preserve"> IPTV Extended API includes enhanced functionality that a </w:t>
      </w:r>
      <w:proofErr w:type="spellStart"/>
      <w:r w:rsidRPr="00A94875">
        <w:rPr>
          <w:rFonts w:asciiTheme="majorBidi" w:hAnsiTheme="majorBidi" w:cstheme="majorBidi"/>
          <w:bCs/>
          <w:lang w:val="en-GB"/>
        </w:rPr>
        <w:t>Lua</w:t>
      </w:r>
      <w:proofErr w:type="spellEnd"/>
      <w:r w:rsidRPr="00A94875">
        <w:rPr>
          <w:rFonts w:asciiTheme="majorBidi" w:hAnsiTheme="majorBidi" w:cstheme="majorBidi"/>
          <w:bCs/>
          <w:lang w:val="en-GB"/>
        </w:rPr>
        <w:t xml:space="preserve"> implementation </w:t>
      </w:r>
      <w:proofErr w:type="gramStart"/>
      <w:r w:rsidRPr="00A94875">
        <w:rPr>
          <w:rFonts w:asciiTheme="majorBidi" w:hAnsiTheme="majorBidi" w:cstheme="majorBidi"/>
          <w:bCs/>
          <w:lang w:val="en-GB"/>
        </w:rPr>
        <w:t>is recommended</w:t>
      </w:r>
      <w:proofErr w:type="gramEnd"/>
      <w:r w:rsidRPr="00A94875">
        <w:rPr>
          <w:rFonts w:asciiTheme="majorBidi" w:hAnsiTheme="majorBidi" w:cstheme="majorBidi"/>
          <w:bCs/>
          <w:lang w:val="en-GB"/>
        </w:rPr>
        <w:t xml:space="preserve"> to support. This Recommendation defines </w:t>
      </w:r>
      <w:proofErr w:type="spellStart"/>
      <w:r w:rsidRPr="00A94875">
        <w:rPr>
          <w:rFonts w:asciiTheme="majorBidi" w:hAnsiTheme="majorBidi" w:cstheme="majorBidi"/>
          <w:bCs/>
          <w:lang w:val="en-GB"/>
        </w:rPr>
        <w:t>Lua</w:t>
      </w:r>
      <w:proofErr w:type="spellEnd"/>
      <w:r w:rsidRPr="00A94875">
        <w:rPr>
          <w:rFonts w:asciiTheme="majorBidi" w:hAnsiTheme="majorBidi" w:cstheme="majorBidi"/>
          <w:bCs/>
          <w:lang w:val="en-GB"/>
        </w:rPr>
        <w:t xml:space="preserve"> IPTV Core API and </w:t>
      </w:r>
      <w:proofErr w:type="spellStart"/>
      <w:r w:rsidRPr="00A94875">
        <w:rPr>
          <w:rFonts w:asciiTheme="majorBidi" w:hAnsiTheme="majorBidi" w:cstheme="majorBidi"/>
          <w:bCs/>
          <w:lang w:val="en-GB"/>
        </w:rPr>
        <w:t>Lua</w:t>
      </w:r>
      <w:proofErr w:type="spellEnd"/>
      <w:r w:rsidRPr="00A94875">
        <w:rPr>
          <w:rFonts w:asciiTheme="majorBidi" w:hAnsiTheme="majorBidi" w:cstheme="majorBidi"/>
          <w:bCs/>
          <w:lang w:val="en-GB"/>
        </w:rPr>
        <w:t xml:space="preserve"> IPTV Extended API. It includes an Annex with a reference manual for </w:t>
      </w:r>
      <w:proofErr w:type="spellStart"/>
      <w:r w:rsidRPr="00A94875">
        <w:rPr>
          <w:rFonts w:asciiTheme="majorBidi" w:hAnsiTheme="majorBidi" w:cstheme="majorBidi"/>
          <w:bCs/>
          <w:lang w:val="en-GB"/>
        </w:rPr>
        <w:t>Lua</w:t>
      </w:r>
      <w:proofErr w:type="spellEnd"/>
      <w:r w:rsidRPr="00A94875">
        <w:rPr>
          <w:rFonts w:asciiTheme="majorBidi" w:hAnsiTheme="majorBidi" w:cstheme="majorBidi"/>
          <w:bCs/>
          <w:lang w:val="en-GB"/>
        </w:rPr>
        <w:t xml:space="preserve"> 5.1 as well as an appendix with sample </w:t>
      </w:r>
      <w:proofErr w:type="spellStart"/>
      <w:r w:rsidRPr="00A94875">
        <w:rPr>
          <w:rFonts w:asciiTheme="majorBidi" w:hAnsiTheme="majorBidi" w:cstheme="majorBidi"/>
          <w:bCs/>
          <w:lang w:val="en-GB"/>
        </w:rPr>
        <w:t>Lua</w:t>
      </w:r>
      <w:proofErr w:type="spellEnd"/>
      <w:r w:rsidRPr="00A94875">
        <w:rPr>
          <w:rFonts w:asciiTheme="majorBidi" w:hAnsiTheme="majorBidi" w:cstheme="majorBidi"/>
          <w:bCs/>
          <w:lang w:val="en-GB"/>
        </w:rPr>
        <w:t xml:space="preserve"> code, which implements a simple health application.</w:t>
      </w:r>
    </w:p>
    <w:p w14:paraId="3F1DDBC6" w14:textId="3D2B2968" w:rsidR="00632EF3" w:rsidRPr="00A94875" w:rsidRDefault="00632EF3" w:rsidP="00632EF3">
      <w:pPr>
        <w:rPr>
          <w:rFonts w:asciiTheme="majorBidi" w:hAnsiTheme="majorBidi" w:cstheme="majorBidi"/>
          <w:b/>
          <w:lang w:val="en-GB"/>
        </w:rPr>
      </w:pPr>
      <w:r w:rsidRPr="00A94875">
        <w:rPr>
          <w:rFonts w:asciiTheme="majorBidi" w:hAnsiTheme="majorBidi" w:cstheme="majorBidi"/>
          <w:b/>
          <w:lang w:val="en-GB"/>
        </w:rPr>
        <w:t>ITU-T H.782 (V2) (revised) “Digital signage: Metadata”</w:t>
      </w:r>
      <w:r w:rsidRPr="00A94875">
        <w:rPr>
          <w:rFonts w:asciiTheme="majorBidi" w:hAnsiTheme="majorBidi" w:cstheme="majorBidi"/>
          <w:lang w:val="en-GB"/>
        </w:rPr>
        <w:t xml:space="preserve"> (under approval) specifies the data elements and structures of the metadata for digital signage services. The metadata describes information for contents, terminal devices, play logs, playlist schedule, screen layout, etc. </w:t>
      </w:r>
      <w:proofErr w:type="gramStart"/>
      <w:r w:rsidRPr="00A94875">
        <w:rPr>
          <w:rFonts w:asciiTheme="majorBidi" w:hAnsiTheme="majorBidi" w:cstheme="majorBidi"/>
          <w:lang w:val="en-GB"/>
        </w:rPr>
        <w:t>The metadata is handled by a digital signage server, a digital signage client, a content deliver server, and a content delivery client</w:t>
      </w:r>
      <w:proofErr w:type="gramEnd"/>
      <w:r w:rsidRPr="00A94875">
        <w:rPr>
          <w:rFonts w:asciiTheme="majorBidi" w:hAnsiTheme="majorBidi" w:cstheme="majorBidi"/>
          <w:lang w:val="en-GB"/>
        </w:rPr>
        <w:t xml:space="preserve">. It also specifies general information flows to describe how the metadata </w:t>
      </w:r>
      <w:proofErr w:type="gramStart"/>
      <w:r w:rsidRPr="00A94875">
        <w:rPr>
          <w:rFonts w:asciiTheme="majorBidi" w:hAnsiTheme="majorBidi" w:cstheme="majorBidi"/>
          <w:lang w:val="en-GB"/>
        </w:rPr>
        <w:t>are used</w:t>
      </w:r>
      <w:proofErr w:type="gramEnd"/>
      <w:r w:rsidRPr="00A94875">
        <w:rPr>
          <w:rFonts w:asciiTheme="majorBidi" w:hAnsiTheme="majorBidi" w:cstheme="majorBidi"/>
          <w:lang w:val="en-GB"/>
        </w:rPr>
        <w:t xml:space="preserve"> in the digital signage services. This revision updates the data types of elements/attributes of identifiers.  The update aims to widen applicability of the specifications at the price of easy XML validation.</w:t>
      </w:r>
    </w:p>
    <w:p w14:paraId="05ABFB1D" w14:textId="3F3E6111"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H.783 “Digital signage: Audience measurement services”</w:t>
      </w:r>
      <w:r w:rsidRPr="00A94875">
        <w:rPr>
          <w:rFonts w:asciiTheme="majorBidi" w:hAnsiTheme="majorBidi" w:cstheme="majorBidi"/>
          <w:lang w:val="en-GB"/>
        </w:rPr>
        <w:t xml:space="preserve"> specifies functional requirements, configuration and operations, and metadata for audience measurement services in digital signage. The configuration and operations </w:t>
      </w:r>
      <w:proofErr w:type="gramStart"/>
      <w:r w:rsidRPr="00A94875">
        <w:rPr>
          <w:rFonts w:asciiTheme="majorBidi" w:hAnsiTheme="majorBidi" w:cstheme="majorBidi"/>
          <w:lang w:val="en-GB"/>
        </w:rPr>
        <w:t>are processed</w:t>
      </w:r>
      <w:proofErr w:type="gramEnd"/>
      <w:r w:rsidRPr="00A94875">
        <w:rPr>
          <w:rFonts w:asciiTheme="majorBidi" w:hAnsiTheme="majorBidi" w:cstheme="majorBidi"/>
          <w:lang w:val="en-GB"/>
        </w:rPr>
        <w:t xml:space="preserve"> between audience measurement client and audience measurement aggregation. The metadata describes the detail data elements and structures on information used in the configuration and operations.</w:t>
      </w:r>
    </w:p>
    <w:p w14:paraId="571EB1ED" w14:textId="4578E4AA" w:rsidR="003F677C" w:rsidRPr="00A94875" w:rsidRDefault="003F677C" w:rsidP="003F677C">
      <w:pPr>
        <w:rPr>
          <w:rFonts w:asciiTheme="majorBidi" w:hAnsiTheme="majorBidi" w:cstheme="majorBidi"/>
          <w:lang w:val="en-GB"/>
        </w:rPr>
      </w:pPr>
      <w:r w:rsidRPr="00A94875">
        <w:rPr>
          <w:rFonts w:asciiTheme="majorBidi" w:hAnsiTheme="majorBidi" w:cstheme="majorBidi"/>
          <w:b/>
          <w:lang w:val="en-GB"/>
        </w:rPr>
        <w:t>ITU-T H.784 “Digital signage: Display device control interface”</w:t>
      </w:r>
      <w:r w:rsidRPr="00A94875">
        <w:rPr>
          <w:rFonts w:asciiTheme="majorBidi" w:hAnsiTheme="majorBidi" w:cstheme="majorBidi"/>
          <w:lang w:val="en-GB"/>
        </w:rPr>
        <w:t xml:space="preserve"> (under approval) addresses the </w:t>
      </w:r>
      <w:proofErr w:type="gramStart"/>
      <w:r w:rsidRPr="00A94875">
        <w:rPr>
          <w:rFonts w:asciiTheme="majorBidi" w:hAnsiTheme="majorBidi" w:cstheme="majorBidi"/>
          <w:lang w:val="en-GB"/>
        </w:rPr>
        <w:t>display device control interface</w:t>
      </w:r>
      <w:proofErr w:type="gramEnd"/>
      <w:r w:rsidRPr="00A94875">
        <w:rPr>
          <w:rFonts w:asciiTheme="majorBidi" w:hAnsiTheme="majorBidi" w:cstheme="majorBidi"/>
          <w:lang w:val="en-GB"/>
        </w:rPr>
        <w:t xml:space="preserve"> between the display device and the DS client. The Recommendation introduces an overview of the </w:t>
      </w:r>
      <w:proofErr w:type="gramStart"/>
      <w:r w:rsidRPr="00A94875">
        <w:rPr>
          <w:rFonts w:asciiTheme="majorBidi" w:hAnsiTheme="majorBidi" w:cstheme="majorBidi"/>
          <w:lang w:val="en-GB"/>
        </w:rPr>
        <w:t>display device control interface</w:t>
      </w:r>
      <w:proofErr w:type="gramEnd"/>
      <w:r w:rsidRPr="00A94875">
        <w:rPr>
          <w:rFonts w:asciiTheme="majorBidi" w:hAnsiTheme="majorBidi" w:cstheme="majorBidi"/>
          <w:lang w:val="en-GB"/>
        </w:rPr>
        <w:t xml:space="preserve"> and describes the functions and procedures for controlling and configuring the display device through the interface.</w:t>
      </w:r>
    </w:p>
    <w:p w14:paraId="31CD3C83"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H.785.1 “Digital signage: Service requirements and a reference model on information services in public places via an interoperable service platform”</w:t>
      </w:r>
      <w:r w:rsidRPr="00A94875">
        <w:rPr>
          <w:rFonts w:asciiTheme="majorBidi" w:hAnsiTheme="majorBidi" w:cstheme="majorBidi"/>
          <w:lang w:val="en-GB"/>
        </w:rPr>
        <w:t xml:space="preserve"> addresses high-level requirements, a reference model, push-based distribution methods and relevant metadata of DS services in public places via the interoperable service platform. The Recommendation </w:t>
      </w:r>
      <w:proofErr w:type="gramStart"/>
      <w:r w:rsidRPr="00A94875">
        <w:rPr>
          <w:rFonts w:asciiTheme="majorBidi" w:hAnsiTheme="majorBidi" w:cstheme="majorBidi"/>
          <w:lang w:val="en-GB"/>
        </w:rPr>
        <w:t>is expected</w:t>
      </w:r>
      <w:proofErr w:type="gramEnd"/>
      <w:r w:rsidRPr="00A94875">
        <w:rPr>
          <w:rFonts w:asciiTheme="majorBidi" w:hAnsiTheme="majorBidi" w:cstheme="majorBidi"/>
          <w:lang w:val="en-GB"/>
        </w:rPr>
        <w:t xml:space="preserve"> to enhance interoperability for DS services in public places as to efficient and effective system operation.</w:t>
      </w:r>
    </w:p>
    <w:p w14:paraId="2997312D" w14:textId="77777777" w:rsidR="006944F8" w:rsidRPr="00A94875" w:rsidRDefault="006944F8" w:rsidP="00E001D8">
      <w:pPr>
        <w:keepNext/>
        <w:keepLines/>
        <w:spacing w:before="240"/>
        <w:rPr>
          <w:b/>
          <w:sz w:val="22"/>
          <w:szCs w:val="22"/>
          <w:lang w:val="en-GB"/>
        </w:rPr>
      </w:pPr>
      <w:bookmarkStart w:id="225" w:name="_Toc480527900"/>
      <w:r w:rsidRPr="00A94875">
        <w:rPr>
          <w:b/>
          <w:sz w:val="22"/>
          <w:szCs w:val="22"/>
          <w:lang w:val="en-GB"/>
        </w:rPr>
        <w:lastRenderedPageBreak/>
        <w:t>I.3.4</w:t>
      </w:r>
      <w:r w:rsidRPr="00A94875">
        <w:rPr>
          <w:b/>
          <w:sz w:val="22"/>
          <w:szCs w:val="22"/>
          <w:lang w:val="en-GB"/>
        </w:rPr>
        <w:tab/>
        <w:t>Immersive live experience</w:t>
      </w:r>
    </w:p>
    <w:p w14:paraId="28465F0B" w14:textId="77777777" w:rsidR="006944F8" w:rsidRPr="00A94875" w:rsidRDefault="006944F8" w:rsidP="00E001D8">
      <w:pPr>
        <w:keepNext/>
        <w:keepLines/>
        <w:rPr>
          <w:rFonts w:asciiTheme="majorBidi" w:hAnsiTheme="majorBidi" w:cstheme="majorBidi"/>
          <w:bCs/>
          <w:lang w:val="en-GB"/>
        </w:rPr>
      </w:pPr>
      <w:r w:rsidRPr="00A94875">
        <w:rPr>
          <w:rFonts w:asciiTheme="majorBidi" w:hAnsiTheme="majorBidi" w:cstheme="majorBidi"/>
          <w:b/>
          <w:bCs/>
          <w:lang w:val="en-GB"/>
        </w:rPr>
        <w:t>ITU-T H.430.1 “Requirements for immersive live experience (ILE) services”</w:t>
      </w:r>
      <w:r w:rsidRPr="00A94875">
        <w:rPr>
          <w:rFonts w:asciiTheme="majorBidi" w:hAnsiTheme="majorBidi" w:cstheme="majorBidi"/>
          <w:bCs/>
          <w:lang w:val="en-GB"/>
        </w:rPr>
        <w:t xml:space="preserve"> provides the definition of Immersive Live Experience (ILE) and identifies general requirements and high-level functional requirements for ILE services, in order to clarify ILE services.</w:t>
      </w:r>
    </w:p>
    <w:p w14:paraId="2EB8FEB7"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H.430.2 “Architectural framework for immersive live experience (ILE) services”</w:t>
      </w:r>
      <w:r w:rsidRPr="00A94875">
        <w:rPr>
          <w:rFonts w:asciiTheme="majorBidi" w:hAnsiTheme="majorBidi" w:cstheme="majorBidi"/>
          <w:bCs/>
          <w:lang w:val="en-GB"/>
        </w:rPr>
        <w:t xml:space="preserve"> identifies general framework and high-level functional architecture for ILE services, in order to clarify ILE services and general functions of ILE systems. This Recommendation also provides the role model of ILE.</w:t>
      </w:r>
    </w:p>
    <w:p w14:paraId="0A108488"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H.430.3 “Service scenario of immersive live experience (ILE)”</w:t>
      </w:r>
      <w:r w:rsidRPr="00A94875">
        <w:rPr>
          <w:rFonts w:asciiTheme="majorBidi" w:hAnsiTheme="majorBidi" w:cstheme="majorBidi"/>
          <w:bCs/>
          <w:lang w:val="en-GB"/>
        </w:rPr>
        <w:t xml:space="preserve"> provides several service scenarios of ILE </w:t>
      </w:r>
      <w:proofErr w:type="gramStart"/>
      <w:r w:rsidRPr="00A94875">
        <w:rPr>
          <w:rFonts w:asciiTheme="majorBidi" w:hAnsiTheme="majorBidi" w:cstheme="majorBidi"/>
          <w:bCs/>
          <w:lang w:val="en-GB"/>
        </w:rPr>
        <w:t>and also</w:t>
      </w:r>
      <w:proofErr w:type="gramEnd"/>
      <w:r w:rsidRPr="00A94875">
        <w:rPr>
          <w:rFonts w:asciiTheme="majorBidi" w:hAnsiTheme="majorBidi" w:cstheme="majorBidi"/>
          <w:bCs/>
          <w:lang w:val="en-GB"/>
        </w:rPr>
        <w:t xml:space="preserve"> provides use cases as information, in order to clarify ILE services.</w:t>
      </w:r>
    </w:p>
    <w:p w14:paraId="36B904E9" w14:textId="77777777" w:rsidR="006944F8" w:rsidRPr="00A94875" w:rsidRDefault="006944F8" w:rsidP="006944F8">
      <w:pPr>
        <w:spacing w:before="240"/>
        <w:rPr>
          <w:b/>
          <w:sz w:val="22"/>
          <w:szCs w:val="22"/>
          <w:lang w:val="en-GB"/>
        </w:rPr>
      </w:pPr>
      <w:r w:rsidRPr="00A94875">
        <w:rPr>
          <w:b/>
          <w:sz w:val="22"/>
          <w:szCs w:val="22"/>
          <w:lang w:val="en-GB"/>
        </w:rPr>
        <w:t>I.3.5</w:t>
      </w:r>
      <w:r w:rsidRPr="00A94875">
        <w:rPr>
          <w:b/>
          <w:sz w:val="22"/>
          <w:szCs w:val="22"/>
          <w:lang w:val="en-GB"/>
        </w:rPr>
        <w:tab/>
        <w:t>Standards to assess quality of video communications and applications</w:t>
      </w:r>
    </w:p>
    <w:p w14:paraId="72FE3EA0" w14:textId="77777777" w:rsidR="006944F8" w:rsidRPr="00A94875" w:rsidRDefault="006944F8" w:rsidP="006944F8">
      <w:pPr>
        <w:widowControl w:val="0"/>
        <w:rPr>
          <w:rFonts w:asciiTheme="majorBidi" w:hAnsiTheme="majorBidi" w:cstheme="majorBidi"/>
          <w:highlight w:val="yellow"/>
          <w:lang w:val="en-GB"/>
        </w:rPr>
      </w:pPr>
      <w:r w:rsidRPr="00A94875">
        <w:rPr>
          <w:rFonts w:asciiTheme="majorBidi" w:hAnsiTheme="majorBidi" w:cstheme="majorBidi"/>
          <w:b/>
          <w:lang w:val="en-GB"/>
        </w:rPr>
        <w:t>ITU-T G.1070 (revised) “Opinion model for video-telephony applications”</w:t>
      </w:r>
      <w:r w:rsidRPr="00A94875">
        <w:rPr>
          <w:rFonts w:asciiTheme="majorBidi" w:hAnsiTheme="majorBidi" w:cstheme="majorBidi"/>
          <w:lang w:val="en-GB"/>
        </w:rPr>
        <w:t xml:space="preserve"> proposes an algorithm that estimates videophone quality for quality of experience (</w:t>
      </w:r>
      <w:proofErr w:type="spellStart"/>
      <w:r w:rsidRPr="00A94875">
        <w:rPr>
          <w:rFonts w:asciiTheme="majorBidi" w:hAnsiTheme="majorBidi" w:cstheme="majorBidi"/>
          <w:lang w:val="en-GB"/>
        </w:rPr>
        <w:t>QoE</w:t>
      </w:r>
      <w:proofErr w:type="spellEnd"/>
      <w:r w:rsidRPr="00A94875">
        <w:rPr>
          <w:rFonts w:asciiTheme="majorBidi" w:hAnsiTheme="majorBidi" w:cstheme="majorBidi"/>
          <w:lang w:val="en-GB"/>
        </w:rPr>
        <w:t>)/quality of service (</w:t>
      </w:r>
      <w:proofErr w:type="spellStart"/>
      <w:r w:rsidRPr="00A94875">
        <w:rPr>
          <w:rFonts w:asciiTheme="majorBidi" w:hAnsiTheme="majorBidi" w:cstheme="majorBidi"/>
          <w:lang w:val="en-GB"/>
        </w:rPr>
        <w:t>QoS</w:t>
      </w:r>
      <w:proofErr w:type="spellEnd"/>
      <w:r w:rsidRPr="00A94875">
        <w:rPr>
          <w:rFonts w:asciiTheme="majorBidi" w:hAnsiTheme="majorBidi" w:cstheme="majorBidi"/>
          <w:lang w:val="en-GB"/>
        </w:rPr>
        <w:t xml:space="preserve">) planners. </w:t>
      </w:r>
      <w:proofErr w:type="gramStart"/>
      <w:r w:rsidRPr="00A94875">
        <w:rPr>
          <w:rFonts w:asciiTheme="majorBidi" w:hAnsiTheme="majorBidi" w:cstheme="majorBidi"/>
          <w:lang w:val="en-GB"/>
        </w:rPr>
        <w:t xml:space="preserve">This model can be used by </w:t>
      </w:r>
      <w:proofErr w:type="spellStart"/>
      <w:r w:rsidRPr="00A94875">
        <w:rPr>
          <w:rFonts w:asciiTheme="majorBidi" w:hAnsiTheme="majorBidi" w:cstheme="majorBidi"/>
          <w:lang w:val="en-GB"/>
        </w:rPr>
        <w:t>QoE</w:t>
      </w:r>
      <w:proofErr w:type="spellEnd"/>
      <w:r w:rsidRPr="00A94875">
        <w:rPr>
          <w:rFonts w:asciiTheme="majorBidi" w:hAnsiTheme="majorBidi" w:cstheme="majorBidi"/>
          <w:lang w:val="en-GB"/>
        </w:rPr>
        <w:t>/</w:t>
      </w:r>
      <w:proofErr w:type="spellStart"/>
      <w:r w:rsidRPr="00A94875">
        <w:rPr>
          <w:rFonts w:asciiTheme="majorBidi" w:hAnsiTheme="majorBidi" w:cstheme="majorBidi"/>
          <w:lang w:val="en-GB"/>
        </w:rPr>
        <w:t>QoS</w:t>
      </w:r>
      <w:proofErr w:type="spellEnd"/>
      <w:r w:rsidRPr="00A94875">
        <w:rPr>
          <w:rFonts w:asciiTheme="majorBidi" w:hAnsiTheme="majorBidi" w:cstheme="majorBidi"/>
          <w:lang w:val="en-GB"/>
        </w:rPr>
        <w:t xml:space="preserve"> planners to help ensure that users will be satisfied with end-to-end service quality</w:t>
      </w:r>
      <w:proofErr w:type="gramEnd"/>
      <w:r w:rsidRPr="00A94875">
        <w:rPr>
          <w:rFonts w:asciiTheme="majorBidi" w:hAnsiTheme="majorBidi" w:cstheme="majorBidi"/>
          <w:lang w:val="en-GB"/>
        </w:rPr>
        <w:t xml:space="preserve">. The model provides estimates of multimedia quality that take interactivity into account and it </w:t>
      </w:r>
      <w:proofErr w:type="gramStart"/>
      <w:r w:rsidRPr="00A94875">
        <w:rPr>
          <w:rFonts w:asciiTheme="majorBidi" w:hAnsiTheme="majorBidi" w:cstheme="majorBidi"/>
          <w:lang w:val="en-GB"/>
        </w:rPr>
        <w:t>allows</w:t>
      </w:r>
      <w:proofErr w:type="gramEnd"/>
      <w:r w:rsidRPr="00A94875">
        <w:rPr>
          <w:rFonts w:asciiTheme="majorBidi" w:hAnsiTheme="majorBidi" w:cstheme="majorBidi"/>
          <w:lang w:val="en-GB"/>
        </w:rPr>
        <w:t xml:space="preserve"> planners to avoid under-engineering. The application of this Recommendation is limited to </w:t>
      </w:r>
      <w:proofErr w:type="spellStart"/>
      <w:r w:rsidRPr="00A94875">
        <w:rPr>
          <w:rFonts w:asciiTheme="majorBidi" w:hAnsiTheme="majorBidi" w:cstheme="majorBidi"/>
          <w:lang w:val="en-GB"/>
        </w:rPr>
        <w:t>QoE</w:t>
      </w:r>
      <w:proofErr w:type="spellEnd"/>
      <w:r w:rsidRPr="00A94875">
        <w:rPr>
          <w:rFonts w:asciiTheme="majorBidi" w:hAnsiTheme="majorBidi" w:cstheme="majorBidi"/>
          <w:lang w:val="en-GB"/>
        </w:rPr>
        <w:t>/</w:t>
      </w:r>
      <w:proofErr w:type="spellStart"/>
      <w:r w:rsidRPr="00A94875">
        <w:rPr>
          <w:rFonts w:asciiTheme="majorBidi" w:hAnsiTheme="majorBidi" w:cstheme="majorBidi"/>
          <w:lang w:val="en-GB"/>
        </w:rPr>
        <w:t>QoS</w:t>
      </w:r>
      <w:proofErr w:type="spellEnd"/>
      <w:r w:rsidRPr="00A94875">
        <w:rPr>
          <w:rFonts w:asciiTheme="majorBidi" w:hAnsiTheme="majorBidi" w:cstheme="majorBidi"/>
          <w:lang w:val="en-GB"/>
        </w:rPr>
        <w:t xml:space="preserve"> planning. Other applications such as quality benchmarking and monitoring are outside the scope of this Recommendation.</w:t>
      </w:r>
    </w:p>
    <w:p w14:paraId="1EB5741E"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P.809 “Subjective Evaluation Methods for Gaming Quality”</w:t>
      </w:r>
      <w:r w:rsidRPr="00A94875">
        <w:rPr>
          <w:rFonts w:asciiTheme="majorBidi" w:hAnsiTheme="majorBidi" w:cstheme="majorBidi"/>
          <w:lang w:val="en-GB"/>
        </w:rPr>
        <w:t xml:space="preserve"> presents guidelines for the conduction of subjective experiments for the Quality of Experience (</w:t>
      </w:r>
      <w:proofErr w:type="spellStart"/>
      <w:r w:rsidRPr="00A94875">
        <w:rPr>
          <w:rFonts w:asciiTheme="majorBidi" w:hAnsiTheme="majorBidi" w:cstheme="majorBidi"/>
          <w:lang w:val="en-GB"/>
        </w:rPr>
        <w:t>QoE</w:t>
      </w:r>
      <w:proofErr w:type="spellEnd"/>
      <w:r w:rsidRPr="00A94875">
        <w:rPr>
          <w:rFonts w:asciiTheme="majorBidi" w:hAnsiTheme="majorBidi" w:cstheme="majorBidi"/>
          <w:lang w:val="en-GB"/>
        </w:rPr>
        <w:t xml:space="preserve">) assessment of gaming services. First, an overview about gaming </w:t>
      </w:r>
      <w:proofErr w:type="spellStart"/>
      <w:r w:rsidRPr="00A94875">
        <w:rPr>
          <w:rFonts w:asciiTheme="majorBidi" w:hAnsiTheme="majorBidi" w:cstheme="majorBidi"/>
          <w:lang w:val="en-GB"/>
        </w:rPr>
        <w:t>QoE</w:t>
      </w:r>
      <w:proofErr w:type="spellEnd"/>
      <w:r w:rsidRPr="00A94875">
        <w:rPr>
          <w:rFonts w:asciiTheme="majorBidi" w:hAnsiTheme="majorBidi" w:cstheme="majorBidi"/>
          <w:lang w:val="en-GB"/>
        </w:rPr>
        <w:t xml:space="preserve"> features covering hedonic and pragmatic quality as well as the player experience </w:t>
      </w:r>
      <w:proofErr w:type="gramStart"/>
      <w:r w:rsidRPr="00A94875">
        <w:rPr>
          <w:rFonts w:asciiTheme="majorBidi" w:hAnsiTheme="majorBidi" w:cstheme="majorBidi"/>
          <w:lang w:val="en-GB"/>
        </w:rPr>
        <w:t>is given</w:t>
      </w:r>
      <w:proofErr w:type="gramEnd"/>
      <w:r w:rsidRPr="00A94875">
        <w:rPr>
          <w:rFonts w:asciiTheme="majorBidi" w:hAnsiTheme="majorBidi" w:cstheme="majorBidi"/>
          <w:lang w:val="en-GB"/>
        </w:rPr>
        <w:t xml:space="preserve">. Additionally, methods for two test paradigms, passive viewing-and-listening tests and interactive tests, </w:t>
      </w:r>
      <w:proofErr w:type="gramStart"/>
      <w:r w:rsidRPr="00A94875">
        <w:rPr>
          <w:rFonts w:asciiTheme="majorBidi" w:hAnsiTheme="majorBidi" w:cstheme="majorBidi"/>
          <w:lang w:val="en-GB"/>
        </w:rPr>
        <w:t>are described</w:t>
      </w:r>
      <w:proofErr w:type="gramEnd"/>
      <w:r w:rsidRPr="00A94875">
        <w:rPr>
          <w:rFonts w:asciiTheme="majorBidi" w:hAnsiTheme="majorBidi" w:cstheme="majorBidi"/>
          <w:lang w:val="en-GB"/>
        </w:rPr>
        <w:t xml:space="preserve"> including information about the test environment and test setup, participant instructions, selection of game materials and a list of available questionnaires for the assessment of several gaming </w:t>
      </w:r>
      <w:proofErr w:type="spellStart"/>
      <w:r w:rsidRPr="00A94875">
        <w:rPr>
          <w:rFonts w:asciiTheme="majorBidi" w:hAnsiTheme="majorBidi" w:cstheme="majorBidi"/>
          <w:lang w:val="en-GB"/>
        </w:rPr>
        <w:t>QoE</w:t>
      </w:r>
      <w:proofErr w:type="spellEnd"/>
      <w:r w:rsidRPr="00A94875">
        <w:rPr>
          <w:rFonts w:asciiTheme="majorBidi" w:hAnsiTheme="majorBidi" w:cstheme="majorBidi"/>
          <w:lang w:val="en-GB"/>
        </w:rPr>
        <w:t xml:space="preserve"> features such as flow and immersion.</w:t>
      </w:r>
    </w:p>
    <w:p w14:paraId="32345D45" w14:textId="77777777" w:rsidR="006944F8" w:rsidRPr="00A94875" w:rsidRDefault="006944F8" w:rsidP="006944F8">
      <w:pPr>
        <w:spacing w:before="240"/>
        <w:rPr>
          <w:b/>
          <w:sz w:val="22"/>
          <w:szCs w:val="22"/>
          <w:lang w:val="en-GB"/>
        </w:rPr>
      </w:pPr>
      <w:r w:rsidRPr="00A94875">
        <w:rPr>
          <w:b/>
          <w:sz w:val="22"/>
          <w:szCs w:val="22"/>
          <w:lang w:val="en-GB"/>
        </w:rPr>
        <w:t>I.3.6</w:t>
      </w:r>
      <w:r w:rsidRPr="00A94875">
        <w:rPr>
          <w:b/>
          <w:sz w:val="22"/>
          <w:szCs w:val="22"/>
          <w:lang w:val="en-GB"/>
        </w:rPr>
        <w:tab/>
        <w:t>New services and applications</w:t>
      </w:r>
      <w:bookmarkEnd w:id="225"/>
    </w:p>
    <w:p w14:paraId="1DEAE6A7"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F.743.5 “Framework and interfaces for multimedia content delivery network”</w:t>
      </w:r>
      <w:r w:rsidRPr="00A94875">
        <w:rPr>
          <w:rFonts w:asciiTheme="majorBidi" w:hAnsiTheme="majorBidi" w:cstheme="majorBidi"/>
          <w:bCs/>
          <w:lang w:val="en-GB"/>
        </w:rPr>
        <w:t xml:space="preserve"> identifies the problems when the content delivery network (CDN) technology and its related services are evolving from the traditional dedicated IPTV service to the converged multimedia service in an IP-based network environment. According to the prospect of design goals, this Recommendation defines a functional framework for multimedia CDN composed of four basic functional components with the connection of logical interfaces from the service point of view. As the initiation of multimedia CDN series of Recommendations, this Recommendation aims to define the fundamental components in a general CDN framework by analysing the tendency of development of CDN technology and multimedia services. With such Recommendation, it is beneficial for the CDN service provider and manufacturer to develop their CDN service and products to support more types of multimedia service in a more efficient way.</w:t>
      </w:r>
    </w:p>
    <w:p w14:paraId="579F4C30"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F.743.6 “Service requirements for next generation content delivery networks”</w:t>
      </w:r>
      <w:r w:rsidRPr="00A94875">
        <w:rPr>
          <w:rFonts w:asciiTheme="majorBidi" w:hAnsiTheme="majorBidi" w:cstheme="majorBidi"/>
          <w:bCs/>
          <w:lang w:val="en-GB"/>
        </w:rPr>
        <w:t xml:space="preserve"> describes the use cases, service requirements and challenges of the next generation CDN. Based on the existing modes analysis for bringing CDN to the edge described in Appendix I, a new reference architecture named Access </w:t>
      </w:r>
      <w:proofErr w:type="gramStart"/>
      <w:r w:rsidRPr="00A94875">
        <w:rPr>
          <w:rFonts w:asciiTheme="majorBidi" w:hAnsiTheme="majorBidi" w:cstheme="majorBidi"/>
          <w:bCs/>
          <w:lang w:val="en-GB"/>
        </w:rPr>
        <w:t>CDN which decouples common functions</w:t>
      </w:r>
      <w:proofErr w:type="gramEnd"/>
      <w:r w:rsidRPr="00A94875">
        <w:rPr>
          <w:rFonts w:asciiTheme="majorBidi" w:hAnsiTheme="majorBidi" w:cstheme="majorBidi"/>
          <w:bCs/>
          <w:lang w:val="en-GB"/>
        </w:rPr>
        <w:t xml:space="preserve"> and customized service is proposed. This architecture enlarges the CDN industry space from a closed-loop system to a decoupled open platform, and provides the opportunity for a win-win relationship between CDN service providers and operators.</w:t>
      </w:r>
    </w:p>
    <w:p w14:paraId="153ABE22"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F.746.7 “Metadata for intelligent question answering service”</w:t>
      </w:r>
      <w:r w:rsidRPr="00A94875">
        <w:rPr>
          <w:rFonts w:asciiTheme="majorBidi" w:hAnsiTheme="majorBidi" w:cstheme="majorBidi"/>
          <w:bCs/>
          <w:lang w:val="en-GB"/>
        </w:rPr>
        <w:t xml:space="preserve"> to define metadata for intelligent question answering service. This Recommendation defines the metadata to support </w:t>
      </w:r>
      <w:r w:rsidRPr="00A94875">
        <w:rPr>
          <w:rFonts w:asciiTheme="majorBidi" w:hAnsiTheme="majorBidi" w:cstheme="majorBidi"/>
          <w:bCs/>
          <w:lang w:val="en-GB"/>
        </w:rPr>
        <w:lastRenderedPageBreak/>
        <w:t xml:space="preserve">intelligent question answering service described in [ITU-T F.746.3]. The scope of this Recommendation </w:t>
      </w:r>
      <w:proofErr w:type="gramStart"/>
      <w:r w:rsidRPr="00A94875">
        <w:rPr>
          <w:rFonts w:asciiTheme="majorBidi" w:hAnsiTheme="majorBidi" w:cstheme="majorBidi"/>
          <w:bCs/>
          <w:lang w:val="en-GB"/>
        </w:rPr>
        <w:t>is focused</w:t>
      </w:r>
      <w:proofErr w:type="gramEnd"/>
      <w:r w:rsidRPr="00A94875">
        <w:rPr>
          <w:rFonts w:asciiTheme="majorBidi" w:hAnsiTheme="majorBidi" w:cstheme="majorBidi"/>
          <w:bCs/>
          <w:lang w:val="en-GB"/>
        </w:rPr>
        <w:t xml:space="preserve"> on describing metadata for different functional components in intelligent question answering (QA) system: natural language processing function, question analysis function, candidate answer generation function, answer inference/generation function, and input and output function. This Recommendation also describes the general information flows to describe how the metadata </w:t>
      </w:r>
      <w:proofErr w:type="gramStart"/>
      <w:r w:rsidRPr="00A94875">
        <w:rPr>
          <w:rFonts w:asciiTheme="majorBidi" w:hAnsiTheme="majorBidi" w:cstheme="majorBidi"/>
          <w:bCs/>
          <w:lang w:val="en-GB"/>
        </w:rPr>
        <w:t>are used</w:t>
      </w:r>
      <w:proofErr w:type="gramEnd"/>
      <w:r w:rsidRPr="00A94875">
        <w:rPr>
          <w:rFonts w:asciiTheme="majorBidi" w:hAnsiTheme="majorBidi" w:cstheme="majorBidi"/>
          <w:bCs/>
          <w:lang w:val="en-GB"/>
        </w:rPr>
        <w:t xml:space="preserve"> in the intelligent QA service. This Recommendation together with the existing standard “Intelligent question answering service framework” [ITU-T F.746.3] will support the future </w:t>
      </w:r>
      <w:proofErr w:type="gramStart"/>
      <w:r w:rsidRPr="00A94875">
        <w:rPr>
          <w:rFonts w:asciiTheme="majorBidi" w:hAnsiTheme="majorBidi" w:cstheme="majorBidi"/>
          <w:bCs/>
          <w:lang w:val="en-GB"/>
        </w:rPr>
        <w:t>systems which</w:t>
      </w:r>
      <w:proofErr w:type="gramEnd"/>
      <w:r w:rsidRPr="00A94875">
        <w:rPr>
          <w:rFonts w:asciiTheme="majorBidi" w:hAnsiTheme="majorBidi" w:cstheme="majorBidi"/>
          <w:bCs/>
          <w:lang w:val="en-GB"/>
        </w:rPr>
        <w:t xml:space="preserve"> are expected to be equipped with QA functions for advanced user experiences.</w:t>
      </w:r>
    </w:p>
    <w:p w14:paraId="099CD906"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F.746.8 “Requirements for unified status monitoring of networks and services”</w:t>
      </w:r>
      <w:r w:rsidRPr="00A94875">
        <w:rPr>
          <w:rFonts w:asciiTheme="majorBidi" w:hAnsiTheme="majorBidi" w:cstheme="majorBidi"/>
          <w:bCs/>
          <w:lang w:val="en-GB"/>
        </w:rPr>
        <w:t xml:space="preserve"> describes requirements and functional architecture for a unified status monitoring (USM) </w:t>
      </w:r>
      <w:proofErr w:type="gramStart"/>
      <w:r w:rsidRPr="00A94875">
        <w:rPr>
          <w:rFonts w:asciiTheme="majorBidi" w:hAnsiTheme="majorBidi" w:cstheme="majorBidi"/>
          <w:bCs/>
          <w:lang w:val="en-GB"/>
        </w:rPr>
        <w:t>system which</w:t>
      </w:r>
      <w:proofErr w:type="gramEnd"/>
      <w:r w:rsidRPr="00A94875">
        <w:rPr>
          <w:rFonts w:asciiTheme="majorBidi" w:hAnsiTheme="majorBidi" w:cstheme="majorBidi"/>
          <w:bCs/>
          <w:lang w:val="en-GB"/>
        </w:rPr>
        <w:t xml:space="preserve"> allows network providers and application service providers to get the status information they need. The USM system, which consists of a USM server and a set of USM agents, collects both static and dynamic status information from network providers and application service providers. It can also parse the status requests from network providers and application service providers, generate the status reports, and send the reports back to them.</w:t>
      </w:r>
    </w:p>
    <w:p w14:paraId="613E7745" w14:textId="77777777" w:rsidR="006944F8" w:rsidRPr="00A94875" w:rsidRDefault="006944F8" w:rsidP="006944F8">
      <w:pPr>
        <w:spacing w:before="240"/>
        <w:rPr>
          <w:b/>
          <w:sz w:val="22"/>
          <w:szCs w:val="22"/>
          <w:lang w:val="en-GB"/>
        </w:rPr>
      </w:pPr>
      <w:r w:rsidRPr="00A94875">
        <w:rPr>
          <w:b/>
          <w:sz w:val="22"/>
          <w:szCs w:val="22"/>
          <w:lang w:val="en-GB"/>
        </w:rPr>
        <w:t>I.4.1</w:t>
      </w:r>
      <w:r w:rsidRPr="00A94875">
        <w:rPr>
          <w:b/>
          <w:sz w:val="22"/>
          <w:szCs w:val="22"/>
          <w:lang w:val="en-GB"/>
        </w:rPr>
        <w:tab/>
        <w:t>Internet of Things and Smart City</w:t>
      </w:r>
    </w:p>
    <w:p w14:paraId="347285D5" w14:textId="77777777" w:rsidR="006944F8" w:rsidRPr="00A94875" w:rsidRDefault="006944F8" w:rsidP="006944F8">
      <w:pPr>
        <w:rPr>
          <w:bCs/>
          <w:lang w:val="en-GB"/>
        </w:rPr>
      </w:pPr>
      <w:r w:rsidRPr="00A94875">
        <w:rPr>
          <w:b/>
          <w:bCs/>
          <w:lang w:val="en-GB"/>
        </w:rPr>
        <w:t>ITU-T Y.4003 “Overview of smart manufacturing in the context of the industrial Internet of things”</w:t>
      </w:r>
      <w:r w:rsidRPr="00A94875">
        <w:rPr>
          <w:bCs/>
          <w:lang w:val="en-GB"/>
        </w:rPr>
        <w:t xml:space="preserve"> provides an overview of smart manufacturing in the context of the Industrial Internet of things (</w:t>
      </w:r>
      <w:proofErr w:type="spellStart"/>
      <w:r w:rsidRPr="00A94875">
        <w:rPr>
          <w:bCs/>
          <w:lang w:val="en-GB"/>
        </w:rPr>
        <w:t>IIoT</w:t>
      </w:r>
      <w:proofErr w:type="spellEnd"/>
      <w:r w:rsidRPr="00A94875">
        <w:rPr>
          <w:bCs/>
          <w:lang w:val="en-GB"/>
        </w:rPr>
        <w:t xml:space="preserve">). The Recommendation introduces at first smart manufacturing and </w:t>
      </w:r>
      <w:proofErr w:type="spellStart"/>
      <w:r w:rsidRPr="00A94875">
        <w:rPr>
          <w:bCs/>
          <w:lang w:val="en-GB"/>
        </w:rPr>
        <w:t>IIoT</w:t>
      </w:r>
      <w:proofErr w:type="spellEnd"/>
      <w:r w:rsidRPr="00A94875">
        <w:rPr>
          <w:bCs/>
          <w:lang w:val="en-GB"/>
        </w:rPr>
        <w:t>, including the smart manufacturing capabilities with respect to the Internet of things (</w:t>
      </w:r>
      <w:proofErr w:type="spellStart"/>
      <w:r w:rsidRPr="00A94875">
        <w:rPr>
          <w:bCs/>
          <w:lang w:val="en-GB"/>
        </w:rPr>
        <w:t>IoT</w:t>
      </w:r>
      <w:proofErr w:type="spellEnd"/>
      <w:r w:rsidRPr="00A94875">
        <w:rPr>
          <w:bCs/>
          <w:lang w:val="en-GB"/>
        </w:rPr>
        <w:t xml:space="preserve">) reference model [ITU-T Y.4000]. Then, with respect to smart manufacturing in the context of the </w:t>
      </w:r>
      <w:proofErr w:type="spellStart"/>
      <w:r w:rsidRPr="00A94875">
        <w:rPr>
          <w:bCs/>
          <w:lang w:val="en-GB"/>
        </w:rPr>
        <w:t>IIoT</w:t>
      </w:r>
      <w:proofErr w:type="spellEnd"/>
      <w:r w:rsidRPr="00A94875">
        <w:rPr>
          <w:bCs/>
          <w:lang w:val="en-GB"/>
        </w:rPr>
        <w:t>, it identifies fundamental system characteristics and high-level requirements, specifies a reference model and provides some use cases.</w:t>
      </w:r>
    </w:p>
    <w:p w14:paraId="28850835"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Y.4118 “Internet of Things requirements and technical capabilities for support of accounting and charging”</w:t>
      </w:r>
      <w:r w:rsidRPr="00A94875">
        <w:rPr>
          <w:rFonts w:asciiTheme="majorBidi" w:hAnsiTheme="majorBidi" w:cstheme="majorBidi"/>
          <w:bCs/>
          <w:szCs w:val="24"/>
          <w:lang w:val="en-GB"/>
        </w:rPr>
        <w:t xml:space="preserve"> </w:t>
      </w:r>
      <w:r w:rsidRPr="00A94875">
        <w:rPr>
          <w:rFonts w:asciiTheme="majorBidi" w:hAnsiTheme="majorBidi" w:cstheme="majorBidi"/>
          <w:szCs w:val="24"/>
          <w:lang w:val="en-GB"/>
        </w:rPr>
        <w:t xml:space="preserve">provides accounting and charging requirements for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as well as an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accounting and charging technical capability framework, in order to assist in the standardization of accounting and charging technical mechanisms for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and to facilitate the development of the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market. The Recommendation focuses on the network layer capabilities and service support and </w:t>
      </w:r>
      <w:proofErr w:type="gramStart"/>
      <w:r w:rsidRPr="00A94875">
        <w:rPr>
          <w:rFonts w:asciiTheme="majorBidi" w:hAnsiTheme="majorBidi" w:cstheme="majorBidi"/>
          <w:szCs w:val="24"/>
          <w:lang w:val="en-GB"/>
        </w:rPr>
        <w:t>application support layer capabilities</w:t>
      </w:r>
      <w:proofErr w:type="gramEnd"/>
      <w:r w:rsidRPr="00A94875">
        <w:rPr>
          <w:rFonts w:asciiTheme="majorBidi" w:hAnsiTheme="majorBidi" w:cstheme="majorBidi"/>
          <w:szCs w:val="24"/>
          <w:lang w:val="en-GB"/>
        </w:rPr>
        <w:t xml:space="preserve">, as well as business use cases applied to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The use cases, requirements and technical capability framework provided in this Recommendation are from a technical point view.</w:t>
      </w:r>
    </w:p>
    <w:p w14:paraId="1298AC34"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 xml:space="preserve">ITU-T Y.4119 “Requirements and capability framework for </w:t>
      </w:r>
      <w:proofErr w:type="spellStart"/>
      <w:r w:rsidRPr="00A94875">
        <w:rPr>
          <w:rFonts w:asciiTheme="majorBidi" w:hAnsiTheme="majorBidi" w:cstheme="majorBidi"/>
          <w:b/>
          <w:bCs/>
          <w:szCs w:val="24"/>
          <w:lang w:val="en-GB"/>
        </w:rPr>
        <w:t>IoT</w:t>
      </w:r>
      <w:proofErr w:type="spellEnd"/>
      <w:r w:rsidRPr="00A94875">
        <w:rPr>
          <w:rFonts w:asciiTheme="majorBidi" w:hAnsiTheme="majorBidi" w:cstheme="majorBidi"/>
          <w:b/>
          <w:bCs/>
          <w:szCs w:val="24"/>
          <w:lang w:val="en-GB"/>
        </w:rPr>
        <w:t>-based automotive emergency response system”</w:t>
      </w:r>
      <w:r w:rsidRPr="00A94875">
        <w:rPr>
          <w:rFonts w:asciiTheme="majorBidi" w:hAnsiTheme="majorBidi" w:cstheme="majorBidi"/>
          <w:szCs w:val="24"/>
          <w:lang w:val="en-GB"/>
        </w:rPr>
        <w:t xml:space="preserve"> provides an overview of an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-based automotive emergency response system (AERS), identifies requirements of the AERS for aftermarket devices, and provides a capability framework of the AERS.</w:t>
      </w:r>
    </w:p>
    <w:p w14:paraId="0612FD4B"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szCs w:val="24"/>
          <w:lang w:val="en-GB"/>
        </w:rPr>
        <w:t>ITU-T Y.4120 “Requirements of Internet of things applications for smart retail stores”</w:t>
      </w:r>
      <w:r w:rsidRPr="00A94875">
        <w:rPr>
          <w:rFonts w:asciiTheme="majorBidi" w:hAnsiTheme="majorBidi" w:cstheme="majorBidi"/>
          <w:szCs w:val="24"/>
          <w:lang w:val="en-GB"/>
        </w:rPr>
        <w:t xml:space="preserve"> provides requirements of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applications for smart retail stores. The usage of the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enables “smart retail stores”. The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can enable a safe and efficient </w:t>
      </w:r>
      <w:proofErr w:type="gramStart"/>
      <w:r w:rsidRPr="00A94875">
        <w:rPr>
          <w:rFonts w:asciiTheme="majorBidi" w:hAnsiTheme="majorBidi" w:cstheme="majorBidi"/>
          <w:szCs w:val="24"/>
          <w:lang w:val="en-GB"/>
        </w:rPr>
        <w:t>retail store management system</w:t>
      </w:r>
      <w:proofErr w:type="gramEnd"/>
      <w:r w:rsidRPr="00A94875">
        <w:rPr>
          <w:rFonts w:asciiTheme="majorBidi" w:hAnsiTheme="majorBidi" w:cstheme="majorBidi"/>
          <w:szCs w:val="24"/>
          <w:lang w:val="en-GB"/>
        </w:rPr>
        <w:t xml:space="preserve"> for non-stop operation (24 hours / 365 days): the collection and monitoring in real time of information related to the various kinds of equipment in stores may allow early detection of equipment failure and accurate prediction of equipment problems. For an effective usage of the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by retail store operators and store equipment providers, appropriate guidelines for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applications for smart retail stores are necessary.</w:t>
      </w:r>
    </w:p>
    <w:p w14:paraId="218BD4C7"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szCs w:val="24"/>
          <w:lang w:val="en-GB"/>
        </w:rPr>
        <w:t>ITU-T Y.4121 “Requirements of an Internet of Things enabled network for support of applications for global processes of the Earth”</w:t>
      </w:r>
      <w:r w:rsidRPr="00A94875">
        <w:rPr>
          <w:rFonts w:asciiTheme="majorBidi" w:hAnsiTheme="majorBidi" w:cstheme="majorBidi"/>
          <w:szCs w:val="24"/>
          <w:lang w:val="en-GB"/>
        </w:rPr>
        <w:t xml:space="preserve"> describes key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GP features, deployment schemes of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GP devices and requirements of the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GP network.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applications for global processes, such as advanced detection of natural disasters, present demanding requirements for real-time distributed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networks. Internet of Things for monitoring and study of Global Processes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w:t>
      </w:r>
      <w:r w:rsidRPr="00A94875">
        <w:rPr>
          <w:rFonts w:asciiTheme="majorBidi" w:hAnsiTheme="majorBidi" w:cstheme="majorBidi"/>
          <w:szCs w:val="24"/>
          <w:lang w:val="en-GB"/>
        </w:rPr>
        <w:lastRenderedPageBreak/>
        <w:t>GP) is an innovative concept that combines Internet of Things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devices distributed all over the world and one or more Control and Management </w:t>
      </w:r>
      <w:proofErr w:type="spellStart"/>
      <w:r w:rsidRPr="00A94875">
        <w:rPr>
          <w:rFonts w:asciiTheme="majorBidi" w:hAnsiTheme="majorBidi" w:cstheme="majorBidi"/>
          <w:szCs w:val="24"/>
          <w:lang w:val="en-GB"/>
        </w:rPr>
        <w:t>Centers</w:t>
      </w:r>
      <w:proofErr w:type="spellEnd"/>
      <w:r w:rsidRPr="00A94875">
        <w:rPr>
          <w:rFonts w:asciiTheme="majorBidi" w:hAnsiTheme="majorBidi" w:cstheme="majorBidi"/>
          <w:szCs w:val="24"/>
          <w:lang w:val="en-GB"/>
        </w:rPr>
        <w:t xml:space="preserve"> (CMCs) for monitoring of global natural and man-made processes. The key idea of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GP is consolidation in real-time of sensor data from different parts of the Earth, allowing enhanced disaster preparedness and development of advanced models of global processes. For example,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GP </w:t>
      </w:r>
      <w:proofErr w:type="gramStart"/>
      <w:r w:rsidRPr="00A94875">
        <w:rPr>
          <w:rFonts w:asciiTheme="majorBidi" w:hAnsiTheme="majorBidi" w:cstheme="majorBidi"/>
          <w:szCs w:val="24"/>
          <w:lang w:val="en-GB"/>
        </w:rPr>
        <w:t>can be used</w:t>
      </w:r>
      <w:proofErr w:type="gramEnd"/>
      <w:r w:rsidRPr="00A94875">
        <w:rPr>
          <w:rFonts w:asciiTheme="majorBidi" w:hAnsiTheme="majorBidi" w:cstheme="majorBidi"/>
          <w:szCs w:val="24"/>
          <w:lang w:val="en-GB"/>
        </w:rPr>
        <w:t xml:space="preserve"> to detect areas of possible occurrence of earthquakes, floods, wildfires, heat waves, etc.</w:t>
      </w:r>
    </w:p>
    <w:p w14:paraId="0C6EA86B"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szCs w:val="24"/>
          <w:lang w:val="en-GB"/>
        </w:rPr>
        <w:t>ITU-T Y.4415 “Architecture of web of objects based virtual home network”</w:t>
      </w:r>
      <w:r w:rsidRPr="00A94875">
        <w:rPr>
          <w:rFonts w:asciiTheme="majorBidi" w:hAnsiTheme="majorBidi" w:cstheme="majorBidi"/>
          <w:szCs w:val="24"/>
          <w:lang w:val="en-GB"/>
        </w:rPr>
        <w:t xml:space="preserve"> describes an architecture of </w:t>
      </w:r>
      <w:proofErr w:type="spellStart"/>
      <w:r w:rsidRPr="00A94875">
        <w:rPr>
          <w:rFonts w:asciiTheme="majorBidi" w:hAnsiTheme="majorBidi" w:cstheme="majorBidi"/>
          <w:szCs w:val="24"/>
          <w:lang w:val="en-GB"/>
        </w:rPr>
        <w:t>WoO</w:t>
      </w:r>
      <w:proofErr w:type="spellEnd"/>
      <w:r w:rsidRPr="00A94875">
        <w:rPr>
          <w:rFonts w:asciiTheme="majorBidi" w:hAnsiTheme="majorBidi" w:cstheme="majorBidi"/>
          <w:szCs w:val="24"/>
          <w:lang w:val="en-GB"/>
        </w:rPr>
        <w:t xml:space="preserve"> based VHN (WVHN) in accordance with [ITU-T H.622.2] and [ITU-T Y.4452]. The service capabilities and framework of virtual home network (VHN) </w:t>
      </w:r>
      <w:proofErr w:type="gramStart"/>
      <w:r w:rsidRPr="00A94875">
        <w:rPr>
          <w:rFonts w:asciiTheme="majorBidi" w:hAnsiTheme="majorBidi" w:cstheme="majorBidi"/>
          <w:szCs w:val="24"/>
          <w:lang w:val="en-GB"/>
        </w:rPr>
        <w:t>are identified</w:t>
      </w:r>
      <w:proofErr w:type="gramEnd"/>
      <w:r w:rsidRPr="00A94875">
        <w:rPr>
          <w:rFonts w:asciiTheme="majorBidi" w:hAnsiTheme="majorBidi" w:cstheme="majorBidi"/>
          <w:szCs w:val="24"/>
          <w:lang w:val="en-GB"/>
        </w:rPr>
        <w:t xml:space="preserve"> in the ITU-T Recommendation [ITU-T H.622.2]. [ITU-T Y.4452] identifies the functional framework of Web of Objects (</w:t>
      </w:r>
      <w:proofErr w:type="spellStart"/>
      <w:r w:rsidRPr="00A94875">
        <w:rPr>
          <w:rFonts w:asciiTheme="majorBidi" w:hAnsiTheme="majorBidi" w:cstheme="majorBidi"/>
          <w:szCs w:val="24"/>
          <w:lang w:val="en-GB"/>
        </w:rPr>
        <w:t>WoO</w:t>
      </w:r>
      <w:proofErr w:type="spellEnd"/>
      <w:r w:rsidRPr="00A94875">
        <w:rPr>
          <w:rFonts w:asciiTheme="majorBidi" w:hAnsiTheme="majorBidi" w:cstheme="majorBidi"/>
          <w:szCs w:val="24"/>
          <w:lang w:val="en-GB"/>
        </w:rPr>
        <w:t>) to deploy Internet of things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services in the World Wide Web environment.</w:t>
      </w:r>
    </w:p>
    <w:p w14:paraId="0C3FC759" w14:textId="77777777" w:rsidR="006944F8" w:rsidRPr="00A94875" w:rsidRDefault="006944F8" w:rsidP="006944F8">
      <w:pPr>
        <w:rPr>
          <w:rFonts w:asciiTheme="majorBidi" w:hAnsiTheme="majorBidi" w:cstheme="majorBidi"/>
          <w:szCs w:val="24"/>
          <w:lang w:val="en-GB"/>
        </w:rPr>
      </w:pPr>
      <w:proofErr w:type="gramStart"/>
      <w:r w:rsidRPr="00A94875">
        <w:rPr>
          <w:rFonts w:asciiTheme="majorBidi" w:hAnsiTheme="majorBidi" w:cstheme="majorBidi"/>
          <w:b/>
          <w:szCs w:val="24"/>
          <w:lang w:val="en-GB"/>
        </w:rPr>
        <w:t>ITU-T Y.4416 “Architecture of the Internet of things based on next generation network evolution”</w:t>
      </w:r>
      <w:r w:rsidRPr="00A94875">
        <w:rPr>
          <w:rFonts w:asciiTheme="majorBidi" w:hAnsiTheme="majorBidi" w:cstheme="majorBidi"/>
          <w:szCs w:val="24"/>
          <w:lang w:val="en-GB"/>
        </w:rPr>
        <w:t xml:space="preserve"> provides a description of the architecture of the Internet of things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based on next generation network evolution (</w:t>
      </w:r>
      <w:proofErr w:type="spellStart"/>
      <w:r w:rsidRPr="00A94875">
        <w:rPr>
          <w:rFonts w:asciiTheme="majorBidi" w:hAnsiTheme="majorBidi" w:cstheme="majorBidi"/>
          <w:szCs w:val="24"/>
          <w:lang w:val="en-GB"/>
        </w:rPr>
        <w:t>NGNe</w:t>
      </w:r>
      <w:proofErr w:type="spellEnd"/>
      <w:r w:rsidRPr="00A94875">
        <w:rPr>
          <w:rFonts w:asciiTheme="majorBidi" w:hAnsiTheme="majorBidi" w:cstheme="majorBidi"/>
          <w:szCs w:val="24"/>
          <w:lang w:val="en-GB"/>
        </w:rPr>
        <w:t xml:space="preserve">), taking account of the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reference model specified in Recommendation ITU-T Y.4000/Y.2060, the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common requirements specified in Recommendations ITU-T Y.4100/Y.2066, and the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functional framework and capabilities specified in Recommendation ITU-T Y.4401/Y.2068.</w:t>
      </w:r>
      <w:proofErr w:type="gramEnd"/>
      <w:r w:rsidRPr="00A94875">
        <w:rPr>
          <w:rFonts w:asciiTheme="majorBidi" w:hAnsiTheme="majorBidi" w:cstheme="majorBidi"/>
          <w:szCs w:val="24"/>
          <w:lang w:val="en-GB"/>
        </w:rPr>
        <w:t xml:space="preserve"> It describes extensions to </w:t>
      </w:r>
      <w:proofErr w:type="spellStart"/>
      <w:r w:rsidRPr="00A94875">
        <w:rPr>
          <w:rFonts w:asciiTheme="majorBidi" w:hAnsiTheme="majorBidi" w:cstheme="majorBidi"/>
          <w:szCs w:val="24"/>
          <w:lang w:val="en-GB"/>
        </w:rPr>
        <w:t>NGNe</w:t>
      </w:r>
      <w:proofErr w:type="spellEnd"/>
      <w:r w:rsidRPr="00A94875">
        <w:rPr>
          <w:rFonts w:asciiTheme="majorBidi" w:hAnsiTheme="majorBidi" w:cstheme="majorBidi"/>
          <w:szCs w:val="24"/>
          <w:lang w:val="en-GB"/>
        </w:rPr>
        <w:t xml:space="preserve"> functional entities, reference points and </w:t>
      </w:r>
      <w:proofErr w:type="spellStart"/>
      <w:r w:rsidRPr="00A94875">
        <w:rPr>
          <w:rFonts w:asciiTheme="majorBidi" w:hAnsiTheme="majorBidi" w:cstheme="majorBidi"/>
          <w:szCs w:val="24"/>
          <w:lang w:val="en-GB"/>
        </w:rPr>
        <w:t>NGNe</w:t>
      </w:r>
      <w:proofErr w:type="spellEnd"/>
      <w:r w:rsidRPr="00A94875">
        <w:rPr>
          <w:rFonts w:asciiTheme="majorBidi" w:hAnsiTheme="majorBidi" w:cstheme="majorBidi"/>
          <w:szCs w:val="24"/>
          <w:lang w:val="en-GB"/>
        </w:rPr>
        <w:t xml:space="preserve"> functional components, </w:t>
      </w:r>
      <w:proofErr w:type="gramStart"/>
      <w:r w:rsidRPr="00A94875">
        <w:rPr>
          <w:rFonts w:asciiTheme="majorBidi" w:hAnsiTheme="majorBidi" w:cstheme="majorBidi"/>
          <w:szCs w:val="24"/>
          <w:lang w:val="en-GB"/>
        </w:rPr>
        <w:t>and enhancement</w:t>
      </w:r>
      <w:proofErr w:type="gramEnd"/>
      <w:r w:rsidRPr="00A94875">
        <w:rPr>
          <w:rFonts w:asciiTheme="majorBidi" w:hAnsiTheme="majorBidi" w:cstheme="majorBidi"/>
          <w:szCs w:val="24"/>
          <w:lang w:val="en-GB"/>
        </w:rPr>
        <w:t xml:space="preserve"> to </w:t>
      </w:r>
      <w:proofErr w:type="spellStart"/>
      <w:r w:rsidRPr="00A94875">
        <w:rPr>
          <w:rFonts w:asciiTheme="majorBidi" w:hAnsiTheme="majorBidi" w:cstheme="majorBidi"/>
          <w:szCs w:val="24"/>
          <w:lang w:val="en-GB"/>
        </w:rPr>
        <w:t>NGNe</w:t>
      </w:r>
      <w:proofErr w:type="spellEnd"/>
      <w:r w:rsidRPr="00A94875">
        <w:rPr>
          <w:rFonts w:asciiTheme="majorBidi" w:hAnsiTheme="majorBidi" w:cstheme="majorBidi"/>
          <w:szCs w:val="24"/>
          <w:lang w:val="en-GB"/>
        </w:rPr>
        <w:t xml:space="preserve"> capabilities as described in ITU-T Y.2012, and other related Recommendations in order to support the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w:t>
      </w:r>
    </w:p>
    <w:p w14:paraId="05CF56D6"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szCs w:val="24"/>
          <w:lang w:val="en-GB"/>
        </w:rPr>
        <w:t xml:space="preserve">ITU-T Y.4417 “Framework of self-organization network in the </w:t>
      </w:r>
      <w:proofErr w:type="spellStart"/>
      <w:r w:rsidRPr="00A94875">
        <w:rPr>
          <w:rFonts w:asciiTheme="majorBidi" w:hAnsiTheme="majorBidi" w:cstheme="majorBidi"/>
          <w:b/>
          <w:szCs w:val="24"/>
          <w:lang w:val="en-GB"/>
        </w:rPr>
        <w:t>IoT</w:t>
      </w:r>
      <w:proofErr w:type="spellEnd"/>
      <w:r w:rsidRPr="00A94875">
        <w:rPr>
          <w:rFonts w:asciiTheme="majorBidi" w:hAnsiTheme="majorBidi" w:cstheme="majorBidi"/>
          <w:b/>
          <w:szCs w:val="24"/>
          <w:lang w:val="en-GB"/>
        </w:rPr>
        <w:t xml:space="preserve"> environments”</w:t>
      </w:r>
      <w:r w:rsidRPr="00A94875">
        <w:rPr>
          <w:rFonts w:asciiTheme="majorBidi" w:hAnsiTheme="majorBidi" w:cstheme="majorBidi"/>
          <w:szCs w:val="24"/>
          <w:lang w:val="en-GB"/>
        </w:rPr>
        <w:t xml:space="preserve"> specifies a framework of self-organization networking for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in an aspect of communications. ITU-T Y.4417 presents the concepts, characteristics, architectures, requirements, and functionalities of self-organization networking. Self-organization networking is an autonomous networking established by each device, where the device effectively interacts with its peers and performs self-control. In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environments, self-organization networking is required when the heterogeneous devices belong to infrastructure-unsupported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area networks.</w:t>
      </w:r>
    </w:p>
    <w:p w14:paraId="7E42F760"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szCs w:val="24"/>
          <w:lang w:val="en-GB"/>
        </w:rPr>
        <w:t>ITU-T Y.4418 “Functional architecture of gateway for Internet of things applications”</w:t>
      </w:r>
      <w:r w:rsidRPr="00A94875">
        <w:rPr>
          <w:rFonts w:asciiTheme="majorBidi" w:hAnsiTheme="majorBidi" w:cstheme="majorBidi"/>
          <w:szCs w:val="24"/>
          <w:lang w:val="en-GB"/>
        </w:rPr>
        <w:t xml:space="preserve"> provides the functional architecture of gateway for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applications, including the gateway's functional entities, relevant reference points and logical flows.</w:t>
      </w:r>
    </w:p>
    <w:p w14:paraId="6A192172"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Y.4456 “Requirements and Functional Architecture for Smart Parking Lot in Smart City</w:t>
      </w:r>
      <w:r w:rsidRPr="00A94875">
        <w:rPr>
          <w:rFonts w:asciiTheme="majorBidi" w:hAnsiTheme="majorBidi" w:cstheme="majorBidi"/>
          <w:szCs w:val="24"/>
          <w:lang w:val="en-GB"/>
        </w:rPr>
        <w:t>”</w:t>
      </w:r>
      <w:r w:rsidRPr="00A94875">
        <w:rPr>
          <w:rFonts w:asciiTheme="majorBidi" w:hAnsiTheme="majorBidi" w:cstheme="majorBidi"/>
          <w:b/>
          <w:bCs/>
          <w:szCs w:val="24"/>
          <w:lang w:val="en-GB"/>
        </w:rPr>
        <w:t xml:space="preserve"> </w:t>
      </w:r>
      <w:r w:rsidRPr="00A94875">
        <w:rPr>
          <w:rFonts w:asciiTheme="majorBidi" w:hAnsiTheme="majorBidi" w:cstheme="majorBidi"/>
          <w:szCs w:val="24"/>
          <w:lang w:val="en-GB"/>
        </w:rPr>
        <w:t>specifies requirements and functional architecture for Smart Parking Lot.</w:t>
      </w:r>
    </w:p>
    <w:p w14:paraId="6125111E"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szCs w:val="24"/>
          <w:lang w:val="en-GB"/>
        </w:rPr>
        <w:t>ITU-T Y.4457 “Architectural framework for transportation safety services”</w:t>
      </w:r>
      <w:r w:rsidRPr="00A94875">
        <w:rPr>
          <w:rFonts w:asciiTheme="majorBidi" w:hAnsiTheme="majorBidi" w:cstheme="majorBidi"/>
          <w:szCs w:val="24"/>
          <w:lang w:val="en-GB"/>
        </w:rPr>
        <w:t xml:space="preserve"> describes a </w:t>
      </w:r>
      <w:proofErr w:type="gramStart"/>
      <w:r w:rsidRPr="00A94875">
        <w:rPr>
          <w:rFonts w:asciiTheme="majorBidi" w:hAnsiTheme="majorBidi" w:cstheme="majorBidi"/>
          <w:szCs w:val="24"/>
          <w:lang w:val="en-GB"/>
        </w:rPr>
        <w:t>transportation safety management model</w:t>
      </w:r>
      <w:proofErr w:type="gramEnd"/>
      <w:r w:rsidRPr="00A94875">
        <w:rPr>
          <w:rFonts w:asciiTheme="majorBidi" w:hAnsiTheme="majorBidi" w:cstheme="majorBidi"/>
          <w:szCs w:val="24"/>
          <w:lang w:val="en-GB"/>
        </w:rPr>
        <w:t xml:space="preserve"> and an architectural framework for transportation safety services based on the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xml:space="preserve"> reference model. Accidents and disasters caused by various means of transportation affect many lives and properties. Transportation safety can be influenced by defective vehicles (e.g., cars, trains, </w:t>
      </w:r>
      <w:proofErr w:type="gramStart"/>
      <w:r w:rsidRPr="00A94875">
        <w:rPr>
          <w:rFonts w:asciiTheme="majorBidi" w:hAnsiTheme="majorBidi" w:cstheme="majorBidi"/>
          <w:szCs w:val="24"/>
          <w:lang w:val="en-GB"/>
        </w:rPr>
        <w:t>ships</w:t>
      </w:r>
      <w:proofErr w:type="gramEnd"/>
      <w:r w:rsidRPr="00A94875">
        <w:rPr>
          <w:rFonts w:asciiTheme="majorBidi" w:hAnsiTheme="majorBidi" w:cstheme="majorBidi"/>
          <w:szCs w:val="24"/>
          <w:lang w:val="en-GB"/>
        </w:rPr>
        <w:t>), environmental status (e.g., wind, snow, low temperatures), disruption to transportation infrastructures (e.g., bridges, tunnels, roads) and human error. Transportation safety services based on Internet of things (</w:t>
      </w:r>
      <w:proofErr w:type="spellStart"/>
      <w:r w:rsidRPr="00A94875">
        <w:rPr>
          <w:rFonts w:asciiTheme="majorBidi" w:hAnsiTheme="majorBidi" w:cstheme="majorBidi"/>
          <w:szCs w:val="24"/>
          <w:lang w:val="en-GB"/>
        </w:rPr>
        <w:t>IoT</w:t>
      </w:r>
      <w:proofErr w:type="spellEnd"/>
      <w:r w:rsidRPr="00A94875">
        <w:rPr>
          <w:rFonts w:asciiTheme="majorBidi" w:hAnsiTheme="majorBidi" w:cstheme="majorBidi"/>
          <w:szCs w:val="24"/>
          <w:lang w:val="en-GB"/>
        </w:rPr>
        <w:t>) technologies can reduce the occurrence of accidents and disasters, and save the lives and damage to properties.</w:t>
      </w:r>
    </w:p>
    <w:p w14:paraId="660E8BA8"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Y.4200 “Requirements for interoperability of smart city platforms</w:t>
      </w:r>
      <w:r w:rsidRPr="00A94875">
        <w:rPr>
          <w:rFonts w:asciiTheme="majorBidi" w:hAnsiTheme="majorBidi" w:cstheme="majorBidi"/>
          <w:szCs w:val="24"/>
          <w:lang w:val="en-GB"/>
        </w:rPr>
        <w:t>” defines the requirements for interoperability of a smart city platform (SCP) and reference points in order to ensure the correct functioning of the city services.</w:t>
      </w:r>
      <w:r w:rsidRPr="00A94875">
        <w:rPr>
          <w:rFonts w:asciiTheme="majorBidi" w:hAnsiTheme="majorBidi" w:cstheme="majorBidi"/>
          <w:szCs w:val="24"/>
          <w:lang w:val="en-GB"/>
        </w:rPr>
        <w:br/>
        <w:t>The SCP offers services to a smart city. Interoperability between SCPs allows the increase in the number of services and their quality. It enables the provision of better services to citizens, and at the same time ensures maximum efficiency, scalability and simple integration.</w:t>
      </w:r>
      <w:r w:rsidRPr="00A94875">
        <w:rPr>
          <w:rFonts w:asciiTheme="majorBidi" w:hAnsiTheme="majorBidi" w:cstheme="majorBidi"/>
          <w:szCs w:val="24"/>
          <w:lang w:val="en-GB"/>
        </w:rPr>
        <w:br/>
        <w:t>By permitting interoperability with other platforms, the SCP will also encourage local economic development through innovation and competition.</w:t>
      </w:r>
    </w:p>
    <w:p w14:paraId="57108B1D"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lastRenderedPageBreak/>
        <w:t xml:space="preserve">ITU-T Y.4201 “High-level requirements and reference framework of smart city platform” </w:t>
      </w:r>
      <w:r w:rsidRPr="00A94875">
        <w:rPr>
          <w:rFonts w:asciiTheme="majorBidi" w:hAnsiTheme="majorBidi" w:cstheme="majorBidi"/>
          <w:szCs w:val="24"/>
          <w:lang w:val="en-GB"/>
        </w:rPr>
        <w:t xml:space="preserve">presents the high-level requirements and reference framework of smart city platform (SCP). The SCP is a fundamental platform supporting all the services and applications of a smart city, with the objective to improve quality of life, provide urban operation and services for the benefit of the citizens while ensuring city sustainability. These high-level requirements include comprehensive and updated repositories of city information, infrastructure life-cycle management, inter-system communication, security support, maintenance support, controls of processer, </w:t>
      </w:r>
      <w:proofErr w:type="gramStart"/>
      <w:r w:rsidRPr="00A94875">
        <w:rPr>
          <w:rFonts w:asciiTheme="majorBidi" w:hAnsiTheme="majorBidi" w:cstheme="majorBidi"/>
          <w:szCs w:val="24"/>
          <w:lang w:val="en-GB"/>
        </w:rPr>
        <w:t>decision making</w:t>
      </w:r>
      <w:proofErr w:type="gramEnd"/>
      <w:r w:rsidRPr="00A94875">
        <w:rPr>
          <w:rFonts w:asciiTheme="majorBidi" w:hAnsiTheme="majorBidi" w:cstheme="majorBidi"/>
          <w:szCs w:val="24"/>
          <w:lang w:val="en-GB"/>
        </w:rPr>
        <w:t xml:space="preserve"> support, real-time dissemination of public information, resiliency, and interoperability. This Recommendation benefits the plan, design, construction, deployment, operation and maintenance of smart cities and communities.</w:t>
      </w:r>
    </w:p>
    <w:p w14:paraId="30B5C4A2" w14:textId="77777777" w:rsidR="006944F8" w:rsidRPr="00A94875" w:rsidRDefault="006944F8" w:rsidP="006944F8">
      <w:pPr>
        <w:rPr>
          <w:rFonts w:asciiTheme="majorBidi" w:hAnsiTheme="majorBidi" w:cstheme="majorBidi"/>
          <w:b/>
          <w:bCs/>
          <w:szCs w:val="24"/>
          <w:lang w:val="en-GB"/>
        </w:rPr>
      </w:pPr>
      <w:r w:rsidRPr="00A94875">
        <w:rPr>
          <w:rFonts w:asciiTheme="majorBidi" w:hAnsiTheme="majorBidi" w:cstheme="majorBidi"/>
          <w:b/>
          <w:bCs/>
          <w:szCs w:val="24"/>
          <w:lang w:val="en-GB"/>
        </w:rPr>
        <w:t xml:space="preserve">ITU-T Y.4500.2 “oneM2M - Requirements” </w:t>
      </w:r>
      <w:r w:rsidRPr="00A94875">
        <w:rPr>
          <w:rFonts w:asciiTheme="majorBidi" w:hAnsiTheme="majorBidi" w:cstheme="majorBidi"/>
          <w:szCs w:val="24"/>
          <w:lang w:val="en-GB"/>
        </w:rPr>
        <w:t>provides an informative functional role model and normative technical requirements for oneM2M.</w:t>
      </w:r>
    </w:p>
    <w:p w14:paraId="4845404F"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 xml:space="preserve">ITU-T Y.4500.4 “oneM2M- Service Layer Core Protocol Specification“ </w:t>
      </w:r>
      <w:r w:rsidRPr="00A94875">
        <w:rPr>
          <w:rFonts w:asciiTheme="majorBidi" w:hAnsiTheme="majorBidi" w:cstheme="majorBidi"/>
          <w:szCs w:val="24"/>
          <w:lang w:val="en-GB"/>
        </w:rPr>
        <w:t>specifies the communication protocol(s) for oneM2M compliant Systems, M2M Applications, and/or other M2M systems. The present document also specifies the common data formats, interfaces and message sequences to support reference points(s) defined by oneM2M.</w:t>
      </w:r>
    </w:p>
    <w:p w14:paraId="23C0FF27"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 xml:space="preserve">ITU-T Y.4500.5 “oneM2M- Management enablement (OMA)” </w:t>
      </w:r>
      <w:r w:rsidRPr="00A94875">
        <w:rPr>
          <w:rFonts w:asciiTheme="majorBidi" w:hAnsiTheme="majorBidi" w:cstheme="majorBidi"/>
          <w:szCs w:val="24"/>
          <w:lang w:val="en-GB"/>
        </w:rPr>
        <w:t>specifies the usage of OMA DM and OMA LwM2M resources and the corresponding message flows including normal cases as well as error cases to fulfil the oneM2M management requirements.</w:t>
      </w:r>
    </w:p>
    <w:p w14:paraId="3E093696"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 xml:space="preserve">ITU-T Y.4500.6 “oneM2M Management enablement (BBF)” </w:t>
      </w:r>
      <w:r w:rsidRPr="00A94875">
        <w:rPr>
          <w:rFonts w:asciiTheme="majorBidi" w:hAnsiTheme="majorBidi" w:cstheme="majorBidi"/>
          <w:szCs w:val="24"/>
          <w:lang w:val="en-GB"/>
        </w:rPr>
        <w:t>specifies the usage of the BBF TR-069 protocol and the corresponding message flows including normal cases as well as error cases to fulfil the oneM2M management requirements.</w:t>
      </w:r>
    </w:p>
    <w:p w14:paraId="027FF3E9"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t xml:space="preserve">Protocol mapping between the oneM2M service layer and BBF TR-069 protocol. The </w:t>
      </w:r>
      <w:proofErr w:type="spellStart"/>
      <w:r w:rsidRPr="00A94875">
        <w:rPr>
          <w:rFonts w:asciiTheme="majorBidi" w:hAnsiTheme="majorBidi" w:cstheme="majorBidi"/>
          <w:szCs w:val="24"/>
          <w:lang w:val="en-GB"/>
        </w:rPr>
        <w:t>Mca</w:t>
      </w:r>
      <w:proofErr w:type="spellEnd"/>
      <w:r w:rsidRPr="00A94875">
        <w:rPr>
          <w:rFonts w:asciiTheme="majorBidi" w:hAnsiTheme="majorBidi" w:cstheme="majorBidi"/>
          <w:szCs w:val="24"/>
          <w:lang w:val="en-GB"/>
        </w:rPr>
        <w:t xml:space="preserve"> reference point, </w:t>
      </w:r>
      <w:proofErr w:type="spellStart"/>
      <w:r w:rsidRPr="00A94875">
        <w:rPr>
          <w:rFonts w:asciiTheme="majorBidi" w:hAnsiTheme="majorBidi" w:cstheme="majorBidi"/>
          <w:szCs w:val="24"/>
          <w:lang w:val="en-GB"/>
        </w:rPr>
        <w:t>ms</w:t>
      </w:r>
      <w:proofErr w:type="spellEnd"/>
      <w:r w:rsidRPr="00A94875">
        <w:rPr>
          <w:rFonts w:asciiTheme="majorBidi" w:hAnsiTheme="majorBidi" w:cstheme="majorBidi"/>
          <w:szCs w:val="24"/>
          <w:lang w:val="en-GB"/>
        </w:rPr>
        <w:t xml:space="preserve"> interface and la interface are possibly involved in this protocol mapping.</w:t>
      </w:r>
    </w:p>
    <w:p w14:paraId="01BCD5D7"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t>Mapping between the oneM2M management related resources and the TR-069 protocol RPCs and TR-181i2 data model.</w:t>
      </w:r>
    </w:p>
    <w:p w14:paraId="44644252"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 xml:space="preserve">Specification of new TR-181 data model elements to fulfil oneM2M specific management requirements that </w:t>
      </w:r>
      <w:proofErr w:type="gramStart"/>
      <w:r w:rsidRPr="00A94875">
        <w:rPr>
          <w:rFonts w:asciiTheme="majorBidi" w:hAnsiTheme="majorBidi" w:cstheme="majorBidi"/>
          <w:szCs w:val="24"/>
          <w:lang w:val="en-GB"/>
        </w:rPr>
        <w:t>cannot be currently translated</w:t>
      </w:r>
      <w:proofErr w:type="gramEnd"/>
      <w:r w:rsidRPr="00A94875">
        <w:rPr>
          <w:rFonts w:asciiTheme="majorBidi" w:hAnsiTheme="majorBidi" w:cstheme="majorBidi"/>
          <w:szCs w:val="24"/>
          <w:lang w:val="en-GB"/>
        </w:rPr>
        <w:t>.</w:t>
      </w:r>
    </w:p>
    <w:p w14:paraId="55510A84" w14:textId="77777777" w:rsidR="006944F8" w:rsidRPr="00A94875" w:rsidRDefault="006944F8" w:rsidP="006944F8">
      <w:pPr>
        <w:rPr>
          <w:rFonts w:asciiTheme="majorBidi" w:hAnsiTheme="majorBidi" w:cstheme="majorBidi"/>
          <w:b/>
          <w:bCs/>
          <w:szCs w:val="24"/>
          <w:lang w:val="en-GB"/>
        </w:rPr>
      </w:pPr>
      <w:r w:rsidRPr="00A94875">
        <w:rPr>
          <w:rFonts w:asciiTheme="majorBidi" w:hAnsiTheme="majorBidi" w:cstheme="majorBidi"/>
          <w:b/>
          <w:bCs/>
          <w:szCs w:val="24"/>
          <w:lang w:val="en-GB"/>
        </w:rPr>
        <w:t xml:space="preserve">ITU-T Y.4500.8 “oneM2M- </w:t>
      </w:r>
      <w:proofErr w:type="spellStart"/>
      <w:r w:rsidRPr="00A94875">
        <w:rPr>
          <w:rFonts w:asciiTheme="majorBidi" w:hAnsiTheme="majorBidi" w:cstheme="majorBidi"/>
          <w:b/>
          <w:bCs/>
          <w:szCs w:val="24"/>
          <w:lang w:val="en-GB"/>
        </w:rPr>
        <w:t>CoAP</w:t>
      </w:r>
      <w:proofErr w:type="spellEnd"/>
      <w:r w:rsidRPr="00A94875">
        <w:rPr>
          <w:rFonts w:asciiTheme="majorBidi" w:hAnsiTheme="majorBidi" w:cstheme="majorBidi"/>
          <w:b/>
          <w:bCs/>
          <w:szCs w:val="24"/>
          <w:lang w:val="en-GB"/>
        </w:rPr>
        <w:t xml:space="preserve"> Protocol Binding“ </w:t>
      </w:r>
      <w:r w:rsidRPr="00A94875">
        <w:rPr>
          <w:rFonts w:asciiTheme="majorBidi" w:hAnsiTheme="majorBidi" w:cstheme="majorBidi"/>
          <w:szCs w:val="24"/>
          <w:lang w:val="en-GB"/>
        </w:rPr>
        <w:t>covers the protocol specific part of communication protocol used by oneM2M compliant systems as '</w:t>
      </w:r>
      <w:proofErr w:type="spellStart"/>
      <w:r w:rsidRPr="00A94875">
        <w:rPr>
          <w:rFonts w:asciiTheme="majorBidi" w:hAnsiTheme="majorBidi" w:cstheme="majorBidi"/>
          <w:szCs w:val="24"/>
          <w:lang w:val="en-GB"/>
        </w:rPr>
        <w:t>CoAP</w:t>
      </w:r>
      <w:proofErr w:type="spellEnd"/>
      <w:r w:rsidRPr="00A94875">
        <w:rPr>
          <w:rFonts w:asciiTheme="majorBidi" w:hAnsiTheme="majorBidi" w:cstheme="majorBidi"/>
          <w:szCs w:val="24"/>
          <w:lang w:val="en-GB"/>
        </w:rPr>
        <w:t xml:space="preserve"> binding'.</w:t>
      </w:r>
    </w:p>
    <w:p w14:paraId="210D4E22"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 xml:space="preserve">ITU-T Y.4500.9 “oneM2M- HTTP Protocol </w:t>
      </w:r>
      <w:proofErr w:type="gramStart"/>
      <w:r w:rsidRPr="00A94875">
        <w:rPr>
          <w:rFonts w:asciiTheme="majorBidi" w:hAnsiTheme="majorBidi" w:cstheme="majorBidi"/>
          <w:b/>
          <w:bCs/>
          <w:szCs w:val="24"/>
          <w:lang w:val="en-GB"/>
        </w:rPr>
        <w:t>Binding</w:t>
      </w:r>
      <w:proofErr w:type="gramEnd"/>
      <w:r w:rsidRPr="00A94875">
        <w:rPr>
          <w:rFonts w:asciiTheme="majorBidi" w:hAnsiTheme="majorBidi" w:cstheme="majorBidi"/>
          <w:b/>
          <w:bCs/>
          <w:szCs w:val="24"/>
          <w:lang w:val="en-GB"/>
        </w:rPr>
        <w:t xml:space="preserve">” </w:t>
      </w:r>
      <w:r w:rsidRPr="00A94875">
        <w:rPr>
          <w:rFonts w:asciiTheme="majorBidi" w:hAnsiTheme="majorBidi" w:cstheme="majorBidi"/>
          <w:szCs w:val="24"/>
          <w:lang w:val="en-GB"/>
        </w:rPr>
        <w:t>specifies the protocol specific part of communication protocol used by oneM2M compliant systems as RESTful HTTP binding. The scope of the present document is (not limited to as shown below):</w:t>
      </w:r>
    </w:p>
    <w:p w14:paraId="167B4293"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t>Binding oneM2M Protocol primitive types to HTTP method.</w:t>
      </w:r>
    </w:p>
    <w:p w14:paraId="11B5BB2D"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t>Binding oneM2M response status codes (successful/unsuccessful) to HTTP response codes.</w:t>
      </w:r>
    </w:p>
    <w:p w14:paraId="03DA628D"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t>Binding oneM2M RESTful resources to HTTP resources.</w:t>
      </w:r>
    </w:p>
    <w:p w14:paraId="6C036D59"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Y.4500.10 “oneM2M- MQTT Protocol Binding”</w:t>
      </w:r>
      <w:r w:rsidRPr="00A94875">
        <w:rPr>
          <w:rFonts w:asciiTheme="majorBidi" w:hAnsiTheme="majorBidi" w:cstheme="majorBidi"/>
          <w:szCs w:val="24"/>
          <w:lang w:val="en-GB"/>
        </w:rPr>
        <w:t xml:space="preserve"> specifies the binding of </w:t>
      </w:r>
      <w:proofErr w:type="spellStart"/>
      <w:r w:rsidRPr="00A94875">
        <w:rPr>
          <w:rFonts w:asciiTheme="majorBidi" w:hAnsiTheme="majorBidi" w:cstheme="majorBidi"/>
          <w:szCs w:val="24"/>
          <w:lang w:val="en-GB"/>
        </w:rPr>
        <w:t>Mca</w:t>
      </w:r>
      <w:proofErr w:type="spellEnd"/>
      <w:r w:rsidRPr="00A94875">
        <w:rPr>
          <w:rFonts w:asciiTheme="majorBidi" w:hAnsiTheme="majorBidi" w:cstheme="majorBidi"/>
          <w:szCs w:val="24"/>
          <w:lang w:val="en-GB"/>
        </w:rPr>
        <w:t xml:space="preserve"> and </w:t>
      </w:r>
      <w:proofErr w:type="spellStart"/>
      <w:r w:rsidRPr="00A94875">
        <w:rPr>
          <w:rFonts w:asciiTheme="majorBidi" w:hAnsiTheme="majorBidi" w:cstheme="majorBidi"/>
          <w:szCs w:val="24"/>
          <w:lang w:val="en-GB"/>
        </w:rPr>
        <w:t>Mcc</w:t>
      </w:r>
      <w:proofErr w:type="spellEnd"/>
      <w:r w:rsidRPr="00A94875">
        <w:rPr>
          <w:rFonts w:asciiTheme="majorBidi" w:hAnsiTheme="majorBidi" w:cstheme="majorBidi"/>
          <w:szCs w:val="24"/>
          <w:lang w:val="en-GB"/>
        </w:rPr>
        <w:t xml:space="preserve"> primitives (message flows)</w:t>
      </w:r>
      <w:proofErr w:type="gramStart"/>
      <w:r w:rsidRPr="00A94875">
        <w:rPr>
          <w:rFonts w:asciiTheme="majorBidi" w:hAnsiTheme="majorBidi" w:cstheme="majorBidi"/>
          <w:szCs w:val="24"/>
          <w:lang w:val="en-GB"/>
        </w:rPr>
        <w:t>,</w:t>
      </w:r>
      <w:proofErr w:type="gramEnd"/>
      <w:r w:rsidRPr="00A94875">
        <w:rPr>
          <w:rFonts w:asciiTheme="majorBidi" w:hAnsiTheme="majorBidi" w:cstheme="majorBidi"/>
          <w:szCs w:val="24"/>
          <w:lang w:val="en-GB"/>
        </w:rPr>
        <w:t xml:space="preserve"> defined in the Service Layer Core Protocol, onto the MQTT transport protocol.</w:t>
      </w:r>
    </w:p>
    <w:p w14:paraId="5A86DD07"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Y.4500.11 "oneM2M- Common Terminology”</w:t>
      </w:r>
      <w:r w:rsidRPr="00A94875">
        <w:rPr>
          <w:rFonts w:asciiTheme="majorBidi" w:hAnsiTheme="majorBidi" w:cstheme="majorBidi"/>
          <w:szCs w:val="24"/>
          <w:lang w:val="en-GB"/>
        </w:rPr>
        <w:t xml:space="preserve"> contains a collection of specialist technical terms, definitions and abbreviations referenced within the oneM2M specifications.</w:t>
      </w:r>
    </w:p>
    <w:p w14:paraId="02DA2C64"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Y.4500.12 “oneM2M Base Ontology”</w:t>
      </w:r>
      <w:r w:rsidRPr="00A94875">
        <w:rPr>
          <w:rFonts w:asciiTheme="majorBidi" w:hAnsiTheme="majorBidi" w:cstheme="majorBidi"/>
          <w:szCs w:val="24"/>
          <w:lang w:val="en-GB"/>
        </w:rPr>
        <w:t xml:space="preserve"> contains provides normative and informative specifications for the oneM2M Base Ontology and its instantiation into oneM2M resources.</w:t>
      </w:r>
    </w:p>
    <w:p w14:paraId="06E59973"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 xml:space="preserve">ITU-T Y.4500.13 “oneM2M- Interoperability Testing” </w:t>
      </w:r>
      <w:r w:rsidRPr="00A94875">
        <w:rPr>
          <w:rFonts w:asciiTheme="majorBidi" w:hAnsiTheme="majorBidi" w:cstheme="majorBidi"/>
          <w:szCs w:val="24"/>
          <w:lang w:val="en-GB"/>
        </w:rPr>
        <w:t>specifies Interoperability Test Descriptions for the oneM2M primitives.</w:t>
      </w:r>
    </w:p>
    <w:p w14:paraId="313C8F32"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lastRenderedPageBreak/>
        <w:t>ITU-T Y.4500.14 “oneM2M- LwM2M Interworking”</w:t>
      </w:r>
      <w:r w:rsidRPr="00A94875">
        <w:rPr>
          <w:rFonts w:asciiTheme="majorBidi" w:hAnsiTheme="majorBidi" w:cstheme="majorBidi"/>
          <w:szCs w:val="24"/>
          <w:lang w:val="en-GB"/>
        </w:rPr>
        <w:t xml:space="preserve"> specifies the interworking capabilities of the M2M Service Layer between ASN/IN/MN CSEs and LWM2M Endpoints.</w:t>
      </w:r>
    </w:p>
    <w:p w14:paraId="7B4E4765"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Y.4500.15 “oneM2M- Testing framework“</w:t>
      </w:r>
      <w:r w:rsidRPr="00A94875">
        <w:rPr>
          <w:rFonts w:asciiTheme="majorBidi" w:hAnsiTheme="majorBidi" w:cstheme="majorBidi"/>
          <w:bCs/>
          <w:szCs w:val="24"/>
          <w:lang w:val="en-GB"/>
        </w:rPr>
        <w:t xml:space="preserve"> </w:t>
      </w:r>
      <w:r w:rsidRPr="00A94875">
        <w:rPr>
          <w:rFonts w:asciiTheme="majorBidi" w:hAnsiTheme="majorBidi" w:cstheme="majorBidi"/>
          <w:szCs w:val="24"/>
          <w:lang w:val="en-GB"/>
        </w:rPr>
        <w:t>provides methodology for development of conformance and interoperability test strategies, test systems and the resulting test specifications for oneM2M standards.</w:t>
      </w:r>
    </w:p>
    <w:p w14:paraId="0515E146"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 xml:space="preserve">ITU-T Y.4500.20 “oneM2M- </w:t>
      </w:r>
      <w:proofErr w:type="spellStart"/>
      <w:r w:rsidRPr="00A94875">
        <w:rPr>
          <w:rFonts w:asciiTheme="majorBidi" w:hAnsiTheme="majorBidi" w:cstheme="majorBidi"/>
          <w:b/>
          <w:bCs/>
          <w:szCs w:val="24"/>
          <w:lang w:val="en-GB"/>
        </w:rPr>
        <w:t>WebSocket</w:t>
      </w:r>
      <w:proofErr w:type="spellEnd"/>
      <w:r w:rsidRPr="00A94875">
        <w:rPr>
          <w:rFonts w:asciiTheme="majorBidi" w:hAnsiTheme="majorBidi" w:cstheme="majorBidi"/>
          <w:b/>
          <w:bCs/>
          <w:szCs w:val="24"/>
          <w:lang w:val="en-GB"/>
        </w:rPr>
        <w:t xml:space="preserve"> Protocol Binding”</w:t>
      </w:r>
      <w:r w:rsidRPr="00A94875">
        <w:rPr>
          <w:rFonts w:asciiTheme="majorBidi" w:hAnsiTheme="majorBidi" w:cstheme="majorBidi"/>
          <w:szCs w:val="24"/>
          <w:lang w:val="en-GB"/>
        </w:rPr>
        <w:t xml:space="preserve"> specifies the binding of </w:t>
      </w:r>
      <w:proofErr w:type="spellStart"/>
      <w:r w:rsidRPr="00A94875">
        <w:rPr>
          <w:rFonts w:asciiTheme="majorBidi" w:hAnsiTheme="majorBidi" w:cstheme="majorBidi"/>
          <w:szCs w:val="24"/>
          <w:lang w:val="en-GB"/>
        </w:rPr>
        <w:t>Mca</w:t>
      </w:r>
      <w:proofErr w:type="spellEnd"/>
      <w:r w:rsidRPr="00A94875">
        <w:rPr>
          <w:rFonts w:asciiTheme="majorBidi" w:hAnsiTheme="majorBidi" w:cstheme="majorBidi"/>
          <w:szCs w:val="24"/>
          <w:lang w:val="en-GB"/>
        </w:rPr>
        <w:t xml:space="preserve"> and </w:t>
      </w:r>
      <w:proofErr w:type="spellStart"/>
      <w:r w:rsidRPr="00A94875">
        <w:rPr>
          <w:rFonts w:asciiTheme="majorBidi" w:hAnsiTheme="majorBidi" w:cstheme="majorBidi"/>
          <w:szCs w:val="24"/>
          <w:lang w:val="en-GB"/>
        </w:rPr>
        <w:t>Mcc</w:t>
      </w:r>
      <w:proofErr w:type="spellEnd"/>
      <w:r w:rsidRPr="00A94875">
        <w:rPr>
          <w:rFonts w:asciiTheme="majorBidi" w:hAnsiTheme="majorBidi" w:cstheme="majorBidi"/>
          <w:szCs w:val="24"/>
          <w:lang w:val="en-GB"/>
        </w:rPr>
        <w:t xml:space="preserve"> primitives onto the </w:t>
      </w:r>
      <w:proofErr w:type="spellStart"/>
      <w:r w:rsidRPr="00A94875">
        <w:rPr>
          <w:rFonts w:asciiTheme="majorBidi" w:hAnsiTheme="majorBidi" w:cstheme="majorBidi"/>
          <w:szCs w:val="24"/>
          <w:lang w:val="en-GB"/>
        </w:rPr>
        <w:t>WebSocket</w:t>
      </w:r>
      <w:proofErr w:type="spellEnd"/>
      <w:r w:rsidRPr="00A94875">
        <w:rPr>
          <w:rFonts w:asciiTheme="majorBidi" w:hAnsiTheme="majorBidi" w:cstheme="majorBidi"/>
          <w:szCs w:val="24"/>
          <w:lang w:val="en-GB"/>
        </w:rPr>
        <w:t xml:space="preserve"> binding. It specifies:</w:t>
      </w:r>
    </w:p>
    <w:p w14:paraId="336FE1C5" w14:textId="77777777" w:rsidR="006944F8" w:rsidRPr="00A94875" w:rsidRDefault="006944F8" w:rsidP="009261B2">
      <w:pPr>
        <w:pStyle w:val="ListParagraph"/>
        <w:numPr>
          <w:ilvl w:val="0"/>
          <w:numId w:val="20"/>
        </w:numPr>
        <w:spacing w:before="120"/>
        <w:ind w:left="714" w:hanging="357"/>
        <w:contextualSpacing w:val="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Procedures and message formats for operating and closing of </w:t>
      </w:r>
      <w:proofErr w:type="spellStart"/>
      <w:r w:rsidRPr="00A94875">
        <w:rPr>
          <w:rFonts w:asciiTheme="majorBidi" w:hAnsiTheme="majorBidi" w:cstheme="majorBidi"/>
          <w:sz w:val="24"/>
          <w:szCs w:val="24"/>
          <w:lang w:val="en-GB"/>
        </w:rPr>
        <w:t>WebSocket</w:t>
      </w:r>
      <w:proofErr w:type="spellEnd"/>
      <w:r w:rsidRPr="00A94875">
        <w:rPr>
          <w:rFonts w:asciiTheme="majorBidi" w:hAnsiTheme="majorBidi" w:cstheme="majorBidi"/>
          <w:sz w:val="24"/>
          <w:szCs w:val="24"/>
          <w:lang w:val="en-GB"/>
        </w:rPr>
        <w:t xml:space="preserve"> connections.</w:t>
      </w:r>
    </w:p>
    <w:p w14:paraId="663503E7" w14:textId="77777777" w:rsidR="006944F8" w:rsidRPr="00A94875" w:rsidRDefault="006944F8" w:rsidP="009261B2">
      <w:pPr>
        <w:pStyle w:val="ListParagraph"/>
        <w:numPr>
          <w:ilvl w:val="0"/>
          <w:numId w:val="20"/>
        </w:numPr>
        <w:spacing w:before="120"/>
        <w:ind w:left="714" w:hanging="357"/>
        <w:contextualSpacing w:val="0"/>
        <w:rPr>
          <w:rFonts w:asciiTheme="majorBidi" w:hAnsiTheme="majorBidi" w:cstheme="majorBidi"/>
          <w:sz w:val="24"/>
          <w:szCs w:val="24"/>
          <w:lang w:val="en-GB"/>
        </w:rPr>
      </w:pPr>
      <w:r w:rsidRPr="00A94875">
        <w:rPr>
          <w:rFonts w:asciiTheme="majorBidi" w:hAnsiTheme="majorBidi" w:cstheme="majorBidi"/>
          <w:sz w:val="24"/>
          <w:szCs w:val="24"/>
          <w:lang w:val="en-GB"/>
        </w:rPr>
        <w:t xml:space="preserve">How request and response primitives </w:t>
      </w:r>
      <w:proofErr w:type="gramStart"/>
      <w:r w:rsidRPr="00A94875">
        <w:rPr>
          <w:rFonts w:asciiTheme="majorBidi" w:hAnsiTheme="majorBidi" w:cstheme="majorBidi"/>
          <w:sz w:val="24"/>
          <w:szCs w:val="24"/>
          <w:lang w:val="en-GB"/>
        </w:rPr>
        <w:t>are mapped</w:t>
      </w:r>
      <w:proofErr w:type="gramEnd"/>
      <w:r w:rsidRPr="00A94875">
        <w:rPr>
          <w:rFonts w:asciiTheme="majorBidi" w:hAnsiTheme="majorBidi" w:cstheme="majorBidi"/>
          <w:sz w:val="24"/>
          <w:szCs w:val="24"/>
          <w:lang w:val="en-GB"/>
        </w:rPr>
        <w:t xml:space="preserve"> into the payload of the </w:t>
      </w:r>
      <w:proofErr w:type="spellStart"/>
      <w:r w:rsidRPr="00A94875">
        <w:rPr>
          <w:rFonts w:asciiTheme="majorBidi" w:hAnsiTheme="majorBidi" w:cstheme="majorBidi"/>
          <w:sz w:val="24"/>
          <w:szCs w:val="24"/>
          <w:lang w:val="en-GB"/>
        </w:rPr>
        <w:t>WebSocket</w:t>
      </w:r>
      <w:proofErr w:type="spellEnd"/>
      <w:r w:rsidRPr="00A94875">
        <w:rPr>
          <w:rFonts w:asciiTheme="majorBidi" w:hAnsiTheme="majorBidi" w:cstheme="majorBidi"/>
          <w:sz w:val="24"/>
          <w:szCs w:val="24"/>
          <w:lang w:val="en-GB"/>
        </w:rPr>
        <w:t xml:space="preserve"> protocol.</w:t>
      </w:r>
    </w:p>
    <w:p w14:paraId="1AE39DBF"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 xml:space="preserve">ITU-T Y.4500.22 “oneM2M- Field Device Configuration“ </w:t>
      </w:r>
      <w:r w:rsidRPr="00A94875">
        <w:rPr>
          <w:rFonts w:asciiTheme="majorBidi" w:hAnsiTheme="majorBidi" w:cstheme="majorBidi"/>
          <w:szCs w:val="24"/>
          <w:lang w:val="en-GB"/>
        </w:rPr>
        <w:t>specifies the architectural options, resources and procedures needed to provision and maintain devices in the Field Domain in order to establish M2M Service Layer operation.</w:t>
      </w:r>
    </w:p>
    <w:p w14:paraId="29276049"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Y.4500.23 “oneM2M-Home Appliances Information Model and Mapping”</w:t>
      </w:r>
      <w:r w:rsidRPr="00A94875">
        <w:rPr>
          <w:rFonts w:asciiTheme="majorBidi" w:hAnsiTheme="majorBidi" w:cstheme="majorBidi"/>
          <w:szCs w:val="24"/>
          <w:lang w:val="en-GB"/>
        </w:rPr>
        <w:t xml:space="preserve"> describes the oneM2M defined information model for home appliances, including the description of how it </w:t>
      </w:r>
      <w:proofErr w:type="gramStart"/>
      <w:r w:rsidRPr="00A94875">
        <w:rPr>
          <w:rFonts w:asciiTheme="majorBidi" w:hAnsiTheme="majorBidi" w:cstheme="majorBidi"/>
          <w:szCs w:val="24"/>
          <w:lang w:val="en-GB"/>
        </w:rPr>
        <w:t>is mapped</w:t>
      </w:r>
      <w:proofErr w:type="gramEnd"/>
      <w:r w:rsidRPr="00A94875">
        <w:rPr>
          <w:rFonts w:asciiTheme="majorBidi" w:hAnsiTheme="majorBidi" w:cstheme="majorBidi"/>
          <w:szCs w:val="24"/>
          <w:lang w:val="en-GB"/>
        </w:rPr>
        <w:t xml:space="preserve"> with other information models from external organizations. It also explains the ontology for the </w:t>
      </w:r>
      <w:proofErr w:type="gramStart"/>
      <w:r w:rsidRPr="00A94875">
        <w:rPr>
          <w:rFonts w:asciiTheme="majorBidi" w:hAnsiTheme="majorBidi" w:cstheme="majorBidi"/>
          <w:szCs w:val="24"/>
          <w:lang w:val="en-GB"/>
        </w:rPr>
        <w:t>home domain information model</w:t>
      </w:r>
      <w:proofErr w:type="gramEnd"/>
      <w:r w:rsidRPr="00A94875">
        <w:rPr>
          <w:rFonts w:asciiTheme="majorBidi" w:hAnsiTheme="majorBidi" w:cstheme="majorBidi"/>
          <w:szCs w:val="24"/>
          <w:lang w:val="en-GB"/>
        </w:rPr>
        <w:t>.</w:t>
      </w:r>
    </w:p>
    <w:p w14:paraId="66A59753"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szCs w:val="24"/>
          <w:lang w:val="en-GB"/>
        </w:rPr>
        <w:t>ITU-T Y.4500.32 “oneM2M- MAF and MEF Interface Specification</w:t>
      </w:r>
      <w:r w:rsidRPr="00A94875">
        <w:rPr>
          <w:rFonts w:asciiTheme="majorBidi" w:hAnsiTheme="majorBidi" w:cstheme="majorBidi"/>
          <w:szCs w:val="24"/>
          <w:lang w:val="en-GB"/>
        </w:rPr>
        <w:t xml:space="preserve"> specifies communication between the M2M Authentication Function (MAF) and MAF clients on the reference point </w:t>
      </w:r>
      <w:proofErr w:type="spellStart"/>
      <w:r w:rsidRPr="00A94875">
        <w:rPr>
          <w:rFonts w:asciiTheme="majorBidi" w:hAnsiTheme="majorBidi" w:cstheme="majorBidi"/>
          <w:szCs w:val="24"/>
          <w:lang w:val="en-GB"/>
        </w:rPr>
        <w:t>Mmaf</w:t>
      </w:r>
      <w:proofErr w:type="spellEnd"/>
      <w:r w:rsidRPr="00A94875">
        <w:rPr>
          <w:rFonts w:asciiTheme="majorBidi" w:hAnsiTheme="majorBidi" w:cstheme="majorBidi"/>
          <w:szCs w:val="24"/>
          <w:lang w:val="en-GB"/>
        </w:rPr>
        <w:t xml:space="preserve"> and between the M2M Enrolment Function (MEF) and MEF clients on the reference point </w:t>
      </w:r>
      <w:proofErr w:type="spellStart"/>
      <w:r w:rsidRPr="00A94875">
        <w:rPr>
          <w:rFonts w:asciiTheme="majorBidi" w:hAnsiTheme="majorBidi" w:cstheme="majorBidi"/>
          <w:szCs w:val="24"/>
          <w:lang w:val="en-GB"/>
        </w:rPr>
        <w:t>Mmef</w:t>
      </w:r>
      <w:proofErr w:type="spellEnd"/>
      <w:r w:rsidRPr="00A94875">
        <w:rPr>
          <w:rFonts w:asciiTheme="majorBidi" w:hAnsiTheme="majorBidi" w:cstheme="majorBidi"/>
          <w:szCs w:val="24"/>
          <w:lang w:val="en-GB"/>
        </w:rPr>
        <w:t>.</w:t>
      </w:r>
    </w:p>
    <w:p w14:paraId="79AB3DF0" w14:textId="77777777" w:rsidR="006944F8" w:rsidRPr="00A94875" w:rsidRDefault="006944F8" w:rsidP="006944F8">
      <w:pPr>
        <w:spacing w:before="240"/>
        <w:rPr>
          <w:b/>
          <w:sz w:val="22"/>
          <w:szCs w:val="22"/>
          <w:lang w:val="en-GB"/>
        </w:rPr>
      </w:pPr>
      <w:bookmarkStart w:id="226" w:name="_Toc480527902"/>
      <w:r w:rsidRPr="00A94875">
        <w:rPr>
          <w:b/>
          <w:sz w:val="22"/>
          <w:szCs w:val="22"/>
          <w:lang w:val="en-GB"/>
        </w:rPr>
        <w:t>I.4.4</w:t>
      </w:r>
      <w:r w:rsidRPr="00A94875">
        <w:rPr>
          <w:b/>
          <w:sz w:val="22"/>
          <w:szCs w:val="22"/>
          <w:lang w:val="en-GB"/>
        </w:rPr>
        <w:tab/>
        <w:t>Connected vehicles, automated driving and intelligent transport systems</w:t>
      </w:r>
      <w:bookmarkEnd w:id="226"/>
    </w:p>
    <w:p w14:paraId="39742AE1" w14:textId="77777777" w:rsidR="006944F8" w:rsidRPr="00A94875" w:rsidRDefault="006944F8" w:rsidP="006944F8">
      <w:pPr>
        <w:keepNext/>
        <w:keepLines/>
        <w:spacing w:before="240"/>
        <w:rPr>
          <w:b/>
          <w:sz w:val="22"/>
          <w:szCs w:val="22"/>
          <w:lang w:val="en-GB"/>
        </w:rPr>
      </w:pPr>
      <w:r w:rsidRPr="00A94875">
        <w:rPr>
          <w:b/>
          <w:sz w:val="22"/>
          <w:szCs w:val="22"/>
          <w:lang w:val="en-GB"/>
        </w:rPr>
        <w:t>I.4.5</w:t>
      </w:r>
      <w:r w:rsidRPr="00A94875">
        <w:rPr>
          <w:b/>
          <w:sz w:val="22"/>
          <w:szCs w:val="22"/>
          <w:lang w:val="en-GB"/>
        </w:rPr>
        <w:tab/>
        <w:t>Connected health: e-Health</w:t>
      </w:r>
    </w:p>
    <w:p w14:paraId="389DDBF8" w14:textId="12CB5423" w:rsidR="006944F8" w:rsidRPr="00A94875" w:rsidRDefault="006944F8" w:rsidP="006944F8">
      <w:pPr>
        <w:keepNext/>
        <w:keepLines/>
        <w:rPr>
          <w:rFonts w:asciiTheme="majorBidi" w:hAnsiTheme="majorBidi" w:cstheme="majorBidi"/>
          <w:bCs/>
          <w:szCs w:val="24"/>
          <w:lang w:val="en-GB"/>
        </w:rPr>
      </w:pPr>
      <w:r w:rsidRPr="00A94875">
        <w:rPr>
          <w:rFonts w:asciiTheme="majorBidi" w:hAnsiTheme="majorBidi" w:cstheme="majorBidi"/>
          <w:b/>
          <w:bCs/>
          <w:szCs w:val="24"/>
          <w:lang w:val="en-GB"/>
        </w:rPr>
        <w:t>ITU-T F.780.1 “Framework for telemedicine systems using ultra-high definition imaging”</w:t>
      </w:r>
      <w:r w:rsidR="00783514" w:rsidRPr="00A94875">
        <w:rPr>
          <w:rFonts w:asciiTheme="majorBidi" w:hAnsiTheme="majorBidi" w:cstheme="majorBidi"/>
          <w:bCs/>
          <w:szCs w:val="24"/>
          <w:lang w:val="en-GB"/>
        </w:rPr>
        <w:t xml:space="preserve"> </w:t>
      </w:r>
      <w:r w:rsidRPr="00A94875">
        <w:rPr>
          <w:rFonts w:asciiTheme="majorBidi" w:hAnsiTheme="majorBidi" w:cstheme="majorBidi"/>
          <w:bCs/>
          <w:szCs w:val="24"/>
          <w:lang w:val="en-GB"/>
        </w:rPr>
        <w:t xml:space="preserve">describes requirements for using ultra-high definition (UHD) imaging, such as 4K and 8K video, for telemedicine. The purpose of these requirements is to use UHD systems as part of endoscope and/or </w:t>
      </w:r>
      <w:proofErr w:type="spellStart"/>
      <w:r w:rsidRPr="00A94875">
        <w:rPr>
          <w:rFonts w:asciiTheme="majorBidi" w:hAnsiTheme="majorBidi" w:cstheme="majorBidi"/>
          <w:bCs/>
          <w:szCs w:val="24"/>
          <w:lang w:val="en-GB"/>
        </w:rPr>
        <w:t>microsope</w:t>
      </w:r>
      <w:proofErr w:type="spellEnd"/>
      <w:r w:rsidRPr="00A94875">
        <w:rPr>
          <w:rFonts w:asciiTheme="majorBidi" w:hAnsiTheme="majorBidi" w:cstheme="majorBidi"/>
          <w:bCs/>
          <w:szCs w:val="24"/>
          <w:lang w:val="en-GB"/>
        </w:rPr>
        <w:t xml:space="preserve"> for medical practices. This document also describes a list of requirements for </w:t>
      </w:r>
      <w:proofErr w:type="spellStart"/>
      <w:r w:rsidRPr="00A94875">
        <w:rPr>
          <w:rFonts w:asciiTheme="majorBidi" w:hAnsiTheme="majorBidi" w:cstheme="majorBidi"/>
          <w:bCs/>
          <w:szCs w:val="24"/>
          <w:lang w:val="en-GB"/>
        </w:rPr>
        <w:t>usng</w:t>
      </w:r>
      <w:proofErr w:type="spellEnd"/>
      <w:r w:rsidRPr="00A94875">
        <w:rPr>
          <w:rFonts w:asciiTheme="majorBidi" w:hAnsiTheme="majorBidi" w:cstheme="majorBidi"/>
          <w:bCs/>
          <w:szCs w:val="24"/>
          <w:lang w:val="en-GB"/>
        </w:rPr>
        <w:t xml:space="preserve"> a UHD-based “</w:t>
      </w:r>
      <w:proofErr w:type="spellStart"/>
      <w:r w:rsidRPr="00A94875">
        <w:rPr>
          <w:rFonts w:asciiTheme="majorBidi" w:hAnsiTheme="majorBidi" w:cstheme="majorBidi"/>
          <w:bCs/>
          <w:szCs w:val="24"/>
          <w:lang w:val="en-GB"/>
        </w:rPr>
        <w:t>endosopic</w:t>
      </w:r>
      <w:proofErr w:type="spellEnd"/>
      <w:r w:rsidRPr="00A94875">
        <w:rPr>
          <w:rFonts w:asciiTheme="majorBidi" w:hAnsiTheme="majorBidi" w:cstheme="majorBidi"/>
          <w:bCs/>
          <w:szCs w:val="24"/>
          <w:lang w:val="en-GB"/>
        </w:rPr>
        <w:t xml:space="preserve"> video camera” as a medical device. In addition, Annex A describes the requirements on the use of this technology as a medical device.</w:t>
      </w:r>
    </w:p>
    <w:p w14:paraId="1B0C97F5" w14:textId="535F5D45" w:rsidR="006944F8" w:rsidRPr="00A94875" w:rsidRDefault="006944F8" w:rsidP="006944F8">
      <w:pPr>
        <w:rPr>
          <w:rFonts w:asciiTheme="majorBidi" w:hAnsiTheme="majorBidi" w:cstheme="majorBidi"/>
          <w:bCs/>
          <w:szCs w:val="24"/>
          <w:highlight w:val="yellow"/>
          <w:lang w:val="en-GB"/>
        </w:rPr>
      </w:pPr>
      <w:r w:rsidRPr="00A94875">
        <w:rPr>
          <w:rFonts w:asciiTheme="majorBidi" w:hAnsiTheme="majorBidi" w:cstheme="majorBidi"/>
          <w:b/>
          <w:bCs/>
          <w:szCs w:val="24"/>
          <w:lang w:val="en-GB"/>
        </w:rPr>
        <w:t>ITU-T H.820 “Conformance of ITU-T H.810 personal health system: Conformity assessment test plan”</w:t>
      </w:r>
      <w:r w:rsidRPr="00A94875">
        <w:rPr>
          <w:rFonts w:asciiTheme="majorBidi" w:hAnsiTheme="majorBidi" w:cstheme="majorBidi"/>
          <w:bCs/>
          <w:szCs w:val="24"/>
          <w:lang w:val="en-GB"/>
        </w:rPr>
        <w:t xml:space="preserve"> provides a top-level overview of the test specifications and test profiles used to verify product conformance to the Continua Design Guidelines that are defined in the Recommendations of the ITU-T H.810 sub-series, of which Recommendation ITU-T H.810 (201</w:t>
      </w:r>
      <w:r w:rsidR="001F0C31" w:rsidRPr="00A94875">
        <w:rPr>
          <w:rFonts w:asciiTheme="majorBidi" w:hAnsiTheme="majorBidi" w:cstheme="majorBidi"/>
          <w:bCs/>
          <w:szCs w:val="24"/>
          <w:lang w:val="en-GB"/>
        </w:rPr>
        <w:t xml:space="preserve">7) is the base Recommendation. </w:t>
      </w:r>
      <w:r w:rsidRPr="00A94875">
        <w:rPr>
          <w:rFonts w:asciiTheme="majorBidi" w:hAnsiTheme="majorBidi" w:cstheme="majorBidi"/>
          <w:bCs/>
          <w:szCs w:val="24"/>
          <w:lang w:val="en-GB"/>
        </w:rPr>
        <w:t xml:space="preserve">It outlines the scope of the conformance and interoperability tests, test suite structures &amp; test purposes, test case reference list, and the Continua Test Tool, which in turn </w:t>
      </w:r>
      <w:proofErr w:type="gramStart"/>
      <w:r w:rsidRPr="00A94875">
        <w:rPr>
          <w:rFonts w:asciiTheme="majorBidi" w:hAnsiTheme="majorBidi" w:cstheme="majorBidi"/>
          <w:bCs/>
          <w:szCs w:val="24"/>
          <w:lang w:val="en-GB"/>
        </w:rPr>
        <w:t>are specified</w:t>
      </w:r>
      <w:proofErr w:type="gramEnd"/>
      <w:r w:rsidRPr="00A94875">
        <w:rPr>
          <w:rFonts w:asciiTheme="majorBidi" w:hAnsiTheme="majorBidi" w:cstheme="majorBidi"/>
          <w:bCs/>
          <w:szCs w:val="24"/>
          <w:lang w:val="en-GB"/>
        </w:rPr>
        <w:t xml:space="preserve"> in details in the Recommendations of the H.820-H.850 series.</w:t>
      </w:r>
    </w:p>
    <w:p w14:paraId="4D2E43D5" w14:textId="77777777" w:rsidR="006944F8" w:rsidRPr="00A94875" w:rsidRDefault="006944F8" w:rsidP="006944F8">
      <w:pPr>
        <w:rPr>
          <w:rFonts w:asciiTheme="majorBidi" w:hAnsiTheme="majorBidi" w:cstheme="majorBidi"/>
          <w:szCs w:val="24"/>
          <w:lang w:val="en-GB"/>
        </w:rPr>
      </w:pPr>
      <w:proofErr w:type="gramStart"/>
      <w:r w:rsidRPr="00A94875">
        <w:rPr>
          <w:rFonts w:asciiTheme="majorBidi" w:hAnsiTheme="majorBidi" w:cstheme="majorBidi"/>
          <w:b/>
          <w:szCs w:val="24"/>
          <w:lang w:val="en-GB"/>
        </w:rPr>
        <w:t>ITU-T H.830.13 “Conformance of ITU-T H.810 personal health system: Services interface Part 13: Capability Exchange: Health &amp; Fitness Service sender”</w:t>
      </w:r>
      <w:r w:rsidRPr="00A94875">
        <w:rPr>
          <w:rFonts w:asciiTheme="majorBidi" w:hAnsiTheme="majorBidi" w:cstheme="majorBidi"/>
          <w:szCs w:val="24"/>
          <w:lang w:val="en-GB"/>
        </w:rPr>
        <w:t xml:space="preserve"> provides a test suite structure (TSS) and the test procedures (TP) for Capability Exchange through the Health &amp; Fitness Service (HFS) sender in the Services interface, based on the requirements defined in the Recommendations of the ITU-T H.810 sub-series, of which Recommendation ITU-T H.810 (2017) is the base Recommendation.</w:t>
      </w:r>
      <w:proofErr w:type="gramEnd"/>
      <w:r w:rsidRPr="00A94875">
        <w:rPr>
          <w:rFonts w:asciiTheme="majorBidi" w:hAnsiTheme="majorBidi" w:cstheme="majorBidi"/>
          <w:szCs w:val="24"/>
          <w:lang w:val="en-GB"/>
        </w:rPr>
        <w:t xml:space="preserve"> The objective of this test specification is to provide a high probability of interoperability at this interface. This Recommendation includes an electronic attachment with the </w:t>
      </w:r>
      <w:proofErr w:type="gramStart"/>
      <w:r w:rsidRPr="00A94875">
        <w:rPr>
          <w:rFonts w:asciiTheme="majorBidi" w:hAnsiTheme="majorBidi" w:cstheme="majorBidi"/>
          <w:szCs w:val="24"/>
          <w:lang w:val="en-GB"/>
        </w:rPr>
        <w:t>protocol implementation conformance statements</w:t>
      </w:r>
      <w:proofErr w:type="gramEnd"/>
      <w:r w:rsidRPr="00A94875">
        <w:rPr>
          <w:rFonts w:asciiTheme="majorBidi" w:hAnsiTheme="majorBidi" w:cstheme="majorBidi"/>
          <w:szCs w:val="24"/>
          <w:lang w:val="en-GB"/>
        </w:rPr>
        <w:t xml:space="preserve"> (PICS) and the protocol implementation extra information for testing (PIXIT) required for the implementation of Annex A.</w:t>
      </w:r>
    </w:p>
    <w:p w14:paraId="02ED1434" w14:textId="77777777" w:rsidR="006944F8" w:rsidRPr="00A94875" w:rsidRDefault="006944F8" w:rsidP="006944F8">
      <w:pPr>
        <w:rPr>
          <w:rFonts w:asciiTheme="majorBidi" w:hAnsiTheme="majorBidi" w:cstheme="majorBidi"/>
          <w:szCs w:val="24"/>
          <w:lang w:val="en-GB"/>
        </w:rPr>
      </w:pPr>
      <w:proofErr w:type="gramStart"/>
      <w:r w:rsidRPr="00A94875">
        <w:rPr>
          <w:rFonts w:asciiTheme="majorBidi" w:hAnsiTheme="majorBidi" w:cstheme="majorBidi"/>
          <w:b/>
          <w:szCs w:val="24"/>
          <w:lang w:val="en-GB"/>
        </w:rPr>
        <w:t>ITU-T H.830.14 “Conformance of ITU-T H.810 personal health system: Services interface Part 14: Capability Exchange: Health &amp; Fitness Service receiver”</w:t>
      </w:r>
      <w:r w:rsidRPr="00A94875">
        <w:rPr>
          <w:rFonts w:asciiTheme="majorBidi" w:hAnsiTheme="majorBidi" w:cstheme="majorBidi"/>
          <w:szCs w:val="24"/>
          <w:lang w:val="en-GB"/>
        </w:rPr>
        <w:t xml:space="preserve"> provides a test suite structure </w:t>
      </w:r>
      <w:r w:rsidRPr="00A94875">
        <w:rPr>
          <w:rFonts w:asciiTheme="majorBidi" w:hAnsiTheme="majorBidi" w:cstheme="majorBidi"/>
          <w:szCs w:val="24"/>
          <w:lang w:val="en-GB"/>
        </w:rPr>
        <w:lastRenderedPageBreak/>
        <w:t>(TSS) and the test procedures (TP) for Capability Exchange through the Health &amp; Fitness Service (HFS) receiver in the Services interface, based on the requirements defined in the Recommendations of the ITU-T H.810 sub-series, of which Recommendation ITU-T H.810 (2017) is the base Recommendation.</w:t>
      </w:r>
      <w:proofErr w:type="gramEnd"/>
      <w:r w:rsidRPr="00A94875">
        <w:rPr>
          <w:rFonts w:asciiTheme="majorBidi" w:hAnsiTheme="majorBidi" w:cstheme="majorBidi"/>
          <w:szCs w:val="24"/>
          <w:lang w:val="en-GB"/>
        </w:rPr>
        <w:t xml:space="preserve"> The objective of this test specification is to provide a high probability of interoperability at this interface. This Recommendation includes an electronic attachment with the </w:t>
      </w:r>
      <w:proofErr w:type="gramStart"/>
      <w:r w:rsidRPr="00A94875">
        <w:rPr>
          <w:rFonts w:asciiTheme="majorBidi" w:hAnsiTheme="majorBidi" w:cstheme="majorBidi"/>
          <w:szCs w:val="24"/>
          <w:lang w:val="en-GB"/>
        </w:rPr>
        <w:t>protocol implementation conformance statements</w:t>
      </w:r>
      <w:proofErr w:type="gramEnd"/>
      <w:r w:rsidRPr="00A94875">
        <w:rPr>
          <w:rFonts w:asciiTheme="majorBidi" w:hAnsiTheme="majorBidi" w:cstheme="majorBidi"/>
          <w:szCs w:val="24"/>
          <w:lang w:val="en-GB"/>
        </w:rPr>
        <w:t xml:space="preserve"> (PICS) and the protocol implementation extra information for testing (PIXIT) required for the implementation of Annex A.</w:t>
      </w:r>
    </w:p>
    <w:p w14:paraId="5C2CCFDA" w14:textId="77777777" w:rsidR="006944F8" w:rsidRPr="00A94875" w:rsidRDefault="006944F8" w:rsidP="006944F8">
      <w:pPr>
        <w:rPr>
          <w:rFonts w:asciiTheme="majorBidi" w:hAnsiTheme="majorBidi" w:cstheme="majorBidi"/>
          <w:szCs w:val="24"/>
          <w:lang w:val="en-GB"/>
        </w:rPr>
      </w:pPr>
      <w:proofErr w:type="gramStart"/>
      <w:r w:rsidRPr="00A94875">
        <w:rPr>
          <w:rFonts w:asciiTheme="majorBidi" w:hAnsiTheme="majorBidi" w:cstheme="majorBidi"/>
          <w:b/>
          <w:szCs w:val="24"/>
          <w:lang w:val="en-GB"/>
        </w:rPr>
        <w:t>ITU-T H.830.15 “Conformance of ITU-T H.810 personal health system: Services interface Part 15: FHIR Observation Upload: Health &amp; Fitness Service sender”</w:t>
      </w:r>
      <w:r w:rsidRPr="00A94875">
        <w:rPr>
          <w:rFonts w:asciiTheme="majorBidi" w:hAnsiTheme="majorBidi" w:cstheme="majorBidi"/>
          <w:bCs/>
          <w:szCs w:val="24"/>
          <w:lang w:val="en-GB"/>
        </w:rPr>
        <w:t xml:space="preserve"> </w:t>
      </w:r>
      <w:r w:rsidRPr="00A94875">
        <w:rPr>
          <w:rFonts w:asciiTheme="majorBidi" w:hAnsiTheme="majorBidi" w:cstheme="majorBidi"/>
          <w:szCs w:val="24"/>
          <w:lang w:val="en-GB"/>
        </w:rPr>
        <w:t>provides a test suite structure (TSS) and the test procedures (TP) for FHIR Observation Upload through the Health &amp; Fitness Service (HFS) sender in the Services interface, based on the requirements defined in the Recommendations of the ITU-T H.810 sub-series, of which Recommendation ITU-T H.810 (2017) is the base Recommendation.</w:t>
      </w:r>
      <w:proofErr w:type="gramEnd"/>
      <w:r w:rsidRPr="00A94875">
        <w:rPr>
          <w:rFonts w:asciiTheme="majorBidi" w:hAnsiTheme="majorBidi" w:cstheme="majorBidi"/>
          <w:szCs w:val="24"/>
          <w:lang w:val="en-GB"/>
        </w:rPr>
        <w:t xml:space="preserve"> The objective of this test specification is to provide a high probability of interoperability at this interface. This Recommendation includes an electronic attachment with the </w:t>
      </w:r>
      <w:proofErr w:type="gramStart"/>
      <w:r w:rsidRPr="00A94875">
        <w:rPr>
          <w:rFonts w:asciiTheme="majorBidi" w:hAnsiTheme="majorBidi" w:cstheme="majorBidi"/>
          <w:szCs w:val="24"/>
          <w:lang w:val="en-GB"/>
        </w:rPr>
        <w:t>protocol implementation conformance statements</w:t>
      </w:r>
      <w:proofErr w:type="gramEnd"/>
      <w:r w:rsidRPr="00A94875">
        <w:rPr>
          <w:rFonts w:asciiTheme="majorBidi" w:hAnsiTheme="majorBidi" w:cstheme="majorBidi"/>
          <w:szCs w:val="24"/>
          <w:lang w:val="en-GB"/>
        </w:rPr>
        <w:t xml:space="preserve"> (PICS) and the protocol implementation extra information for testing (PIXIT) required for the implementation of Annex A.</w:t>
      </w:r>
    </w:p>
    <w:p w14:paraId="3E2ECA8B" w14:textId="77777777" w:rsidR="006944F8" w:rsidRPr="00A94875" w:rsidRDefault="006944F8" w:rsidP="006944F8">
      <w:pPr>
        <w:rPr>
          <w:rFonts w:asciiTheme="majorBidi" w:hAnsiTheme="majorBidi" w:cstheme="majorBidi"/>
          <w:szCs w:val="24"/>
          <w:highlight w:val="yellow"/>
          <w:lang w:val="en-GB"/>
        </w:rPr>
      </w:pPr>
      <w:proofErr w:type="gramStart"/>
      <w:r w:rsidRPr="00A94875">
        <w:rPr>
          <w:rFonts w:asciiTheme="majorBidi" w:hAnsiTheme="majorBidi" w:cstheme="majorBidi"/>
          <w:b/>
          <w:szCs w:val="24"/>
          <w:lang w:val="en-GB"/>
        </w:rPr>
        <w:t>ITU-T H.830.16 “Conformance of ITU-T H.810 personal health system: Services interface Part 16: FHIR Observation Upload: Health &amp; Fitness Service receiver”</w:t>
      </w:r>
      <w:r w:rsidRPr="00A94875">
        <w:rPr>
          <w:rFonts w:asciiTheme="majorBidi" w:hAnsiTheme="majorBidi" w:cstheme="majorBidi"/>
          <w:szCs w:val="24"/>
          <w:lang w:val="en-GB"/>
        </w:rPr>
        <w:t xml:space="preserve"> provides a test suite structure (TSS) and the test procedures (TP) for FHIR Observation Upload through the Health &amp; Fitness Service (HFS) receiver in the Services interface, based on the requirements defined in the Recommendations of the ITU-T H.810 sub-series, of which Recommendation ITU-T H.810 (2017) is the base Recommendation.</w:t>
      </w:r>
      <w:proofErr w:type="gramEnd"/>
      <w:r w:rsidRPr="00A94875">
        <w:rPr>
          <w:rFonts w:asciiTheme="majorBidi" w:hAnsiTheme="majorBidi" w:cstheme="majorBidi"/>
          <w:szCs w:val="24"/>
          <w:lang w:val="en-GB"/>
        </w:rPr>
        <w:t xml:space="preserve"> The objective of this test specification is to provide a high probability of interoperability at this interface. This Recommendation includes an electronic attachment with the </w:t>
      </w:r>
      <w:proofErr w:type="gramStart"/>
      <w:r w:rsidRPr="00A94875">
        <w:rPr>
          <w:rFonts w:asciiTheme="majorBidi" w:hAnsiTheme="majorBidi" w:cstheme="majorBidi"/>
          <w:szCs w:val="24"/>
          <w:lang w:val="en-GB"/>
        </w:rPr>
        <w:t>protocol implementation conformance statements</w:t>
      </w:r>
      <w:proofErr w:type="gramEnd"/>
      <w:r w:rsidRPr="00A94875">
        <w:rPr>
          <w:rFonts w:asciiTheme="majorBidi" w:hAnsiTheme="majorBidi" w:cstheme="majorBidi"/>
          <w:szCs w:val="24"/>
          <w:lang w:val="en-GB"/>
        </w:rPr>
        <w:t xml:space="preserve"> (PICS) and the protocol implementation extra information for testing (PIXIT) required for the implementation of Annex A.</w:t>
      </w:r>
    </w:p>
    <w:p w14:paraId="241D1A01"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H.841 (revised) “Conformance of ITU-T H.810 personal health devices: PAN/LAN/TAN interface Part 1: Optimized exchange protocol: Agent”</w:t>
      </w:r>
      <w:r w:rsidRPr="00A94875">
        <w:rPr>
          <w:rFonts w:asciiTheme="majorBidi" w:hAnsiTheme="majorBidi" w:cstheme="majorBidi"/>
          <w:szCs w:val="24"/>
          <w:lang w:val="en-GB"/>
        </w:rPr>
        <w:t xml:space="preserve"> is a transposition of Continua Test Tool DG2016, Test Suite Structure &amp; Test Purposes, Personal Health Devices Interface; Part 1: Optimized Exchange Protocol. Personal Health Device (Version 1.10, 2016-09-20), that was developed by the Personal Connected Health Alliance. A number of versions of this specification existed before transposition. This Recommendation includes an electronic attachment with the </w:t>
      </w:r>
      <w:proofErr w:type="gramStart"/>
      <w:r w:rsidRPr="00A94875">
        <w:rPr>
          <w:rFonts w:asciiTheme="majorBidi" w:hAnsiTheme="majorBidi" w:cstheme="majorBidi"/>
          <w:szCs w:val="24"/>
          <w:lang w:val="en-GB"/>
        </w:rPr>
        <w:t>protocol implementation conformance statements</w:t>
      </w:r>
      <w:proofErr w:type="gramEnd"/>
      <w:r w:rsidRPr="00A94875">
        <w:rPr>
          <w:rFonts w:asciiTheme="majorBidi" w:hAnsiTheme="majorBidi" w:cstheme="majorBidi"/>
          <w:szCs w:val="24"/>
          <w:lang w:val="en-GB"/>
        </w:rPr>
        <w:t xml:space="preserve"> (PICS) and the protocol implementation extra information for testing (PIXIT) required for the implementation of Annex A.</w:t>
      </w:r>
    </w:p>
    <w:p w14:paraId="0B7B543C"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H.842 (revised) “Conformance of ITU-T H.810 personal health devices: PAN/LAN/TAN interface Part 2: Optimized exchange protocol: Manager”</w:t>
      </w:r>
      <w:r w:rsidRPr="00A94875">
        <w:rPr>
          <w:rFonts w:asciiTheme="majorBidi" w:hAnsiTheme="majorBidi" w:cstheme="majorBidi"/>
          <w:szCs w:val="24"/>
          <w:lang w:val="en-GB"/>
        </w:rPr>
        <w:t xml:space="preserve"> is a transposition of Continua Test Tool DG2016, Test Suite Structure &amp; Test Purposes, Personal Health Devices Interface; Part 2: Optimized Exchange Protocol: Personal Health Gateway (Version 1.7, 2016-09-20), that was developed by the Personal Connected Health Alliance. A number of versions of this specification existed before transposition. This Recommendation includes an electronic attachment with the </w:t>
      </w:r>
      <w:proofErr w:type="gramStart"/>
      <w:r w:rsidRPr="00A94875">
        <w:rPr>
          <w:rFonts w:asciiTheme="majorBidi" w:hAnsiTheme="majorBidi" w:cstheme="majorBidi"/>
          <w:szCs w:val="24"/>
          <w:lang w:val="en-GB"/>
        </w:rPr>
        <w:t>protocol implementation conformance statements</w:t>
      </w:r>
      <w:proofErr w:type="gramEnd"/>
      <w:r w:rsidRPr="00A94875">
        <w:rPr>
          <w:rFonts w:asciiTheme="majorBidi" w:hAnsiTheme="majorBidi" w:cstheme="majorBidi"/>
          <w:szCs w:val="24"/>
          <w:lang w:val="en-GB"/>
        </w:rPr>
        <w:t xml:space="preserve"> (PICS) and the protocol implementation extra information for testing (PIXIT) required for the implementation of Annex A.</w:t>
      </w:r>
    </w:p>
    <w:p w14:paraId="155B3A4C"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H.843 (revised) “Conformance of ITU-T H.810 personal health devices: PAN/LAN/TAN interface Part 3: Continua Design Guidelines: Agent”</w:t>
      </w:r>
      <w:r w:rsidRPr="00A94875">
        <w:rPr>
          <w:rFonts w:asciiTheme="majorBidi" w:hAnsiTheme="majorBidi" w:cstheme="majorBidi"/>
          <w:szCs w:val="24"/>
          <w:lang w:val="en-GB"/>
        </w:rPr>
        <w:t xml:space="preserve"> is a transposition of Continua Test Tool DG2016, Test Suite Structure &amp; Test Purposes, Personal Health Devices Interface; Part 3: Continua Design Guidelines. Personal Health Device (Version 1.10, 2016</w:t>
      </w:r>
      <w:r w:rsidRPr="00A94875">
        <w:rPr>
          <w:rFonts w:asciiTheme="majorBidi" w:hAnsiTheme="majorBidi" w:cstheme="majorBidi"/>
          <w:szCs w:val="24"/>
          <w:lang w:val="en-GB"/>
        </w:rPr>
        <w:noBreakHyphen/>
        <w:t xml:space="preserve">09-20), that was developed by the Personal Connected Health Alliance. A number of versions of this specification existed before transposition. This Recommendation includes an electronic attachment with the </w:t>
      </w:r>
      <w:proofErr w:type="gramStart"/>
      <w:r w:rsidRPr="00A94875">
        <w:rPr>
          <w:rFonts w:asciiTheme="majorBidi" w:hAnsiTheme="majorBidi" w:cstheme="majorBidi"/>
          <w:szCs w:val="24"/>
          <w:lang w:val="en-GB"/>
        </w:rPr>
        <w:t>protocol implementation conformance statements</w:t>
      </w:r>
      <w:proofErr w:type="gramEnd"/>
      <w:r w:rsidRPr="00A94875">
        <w:rPr>
          <w:rFonts w:asciiTheme="majorBidi" w:hAnsiTheme="majorBidi" w:cstheme="majorBidi"/>
          <w:szCs w:val="24"/>
          <w:lang w:val="en-GB"/>
        </w:rPr>
        <w:t xml:space="preserve"> (PICS) and the protocol implementation extra information for testing (PIXIT) required for the implementation of Annex A.</w:t>
      </w:r>
    </w:p>
    <w:p w14:paraId="67D8276F"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lastRenderedPageBreak/>
        <w:t>ITU-T H.844 (revised) “Conformance of ITU-T H.810 personal health devices: PAN/LAN/TAN interface Part 5D: Blood pressure monitor: Agent”</w:t>
      </w:r>
      <w:r w:rsidRPr="00A94875">
        <w:rPr>
          <w:rFonts w:asciiTheme="majorBidi" w:hAnsiTheme="majorBidi" w:cstheme="majorBidi"/>
          <w:szCs w:val="24"/>
          <w:lang w:val="en-GB"/>
        </w:rPr>
        <w:t xml:space="preserve"> is a transposition of Continua Test Tool DG2016, Test Suite Structure &amp; Test Purposes, Personal Health Devices Interface; Part 4: Continua Design Guidelines. Manager (Version 1.8, 2016-09-20), that was developed by the Personal Connected Health Alliance. A number of versions of this specification existed before transposition. This Recommendation includes an electronic attachment with the </w:t>
      </w:r>
      <w:proofErr w:type="gramStart"/>
      <w:r w:rsidRPr="00A94875">
        <w:rPr>
          <w:rFonts w:asciiTheme="majorBidi" w:hAnsiTheme="majorBidi" w:cstheme="majorBidi"/>
          <w:szCs w:val="24"/>
          <w:lang w:val="en-GB"/>
        </w:rPr>
        <w:t>protocol implementation conformance statements</w:t>
      </w:r>
      <w:proofErr w:type="gramEnd"/>
      <w:r w:rsidRPr="00A94875">
        <w:rPr>
          <w:rFonts w:asciiTheme="majorBidi" w:hAnsiTheme="majorBidi" w:cstheme="majorBidi"/>
          <w:szCs w:val="24"/>
          <w:lang w:val="en-GB"/>
        </w:rPr>
        <w:t xml:space="preserve"> (PICS) and the protocol implementation extra information for testing (PIXIT) required for the implementation of Annex A.</w:t>
      </w:r>
    </w:p>
    <w:p w14:paraId="6A6DC582"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H.845.2 (revised) “Conformance of ITU-T H.810 personal health devices: PAN/LAN/TAN interface Part 5B: Glucose meter: Agent”</w:t>
      </w:r>
      <w:r w:rsidRPr="00A94875">
        <w:rPr>
          <w:rFonts w:asciiTheme="majorBidi" w:hAnsiTheme="majorBidi" w:cstheme="majorBidi"/>
          <w:szCs w:val="24"/>
          <w:lang w:val="en-GB"/>
        </w:rPr>
        <w:t xml:space="preserve"> is a transposition of Continua Test Tool DG2016, Test Suite Structure &amp; Test Purposes, Personal Health Devices Interface; Part 5B: Device Specializations. Personal Health Device (Glucose Meter) (Version 1.6, 2016-09-20), that was developed by the Personal Connected Health Alliance. A number of versions of this specification existed before transposition. This Recommendation includes an electronic attachment with the </w:t>
      </w:r>
      <w:proofErr w:type="gramStart"/>
      <w:r w:rsidRPr="00A94875">
        <w:rPr>
          <w:rFonts w:asciiTheme="majorBidi" w:hAnsiTheme="majorBidi" w:cstheme="majorBidi"/>
          <w:szCs w:val="24"/>
          <w:lang w:val="en-GB"/>
        </w:rPr>
        <w:t>protocol implementation conformance statements</w:t>
      </w:r>
      <w:proofErr w:type="gramEnd"/>
      <w:r w:rsidRPr="00A94875">
        <w:rPr>
          <w:rFonts w:asciiTheme="majorBidi" w:hAnsiTheme="majorBidi" w:cstheme="majorBidi"/>
          <w:szCs w:val="24"/>
          <w:lang w:val="en-GB"/>
        </w:rPr>
        <w:t xml:space="preserve"> (PICS) and the protocol implementation extra information for testing (PIXIT) required for the implementation of Annex A.</w:t>
      </w:r>
    </w:p>
    <w:p w14:paraId="103EF38E" w14:textId="77777777" w:rsidR="006944F8" w:rsidRPr="00A94875" w:rsidRDefault="006944F8" w:rsidP="006944F8">
      <w:pPr>
        <w:rPr>
          <w:rFonts w:asciiTheme="majorBidi" w:hAnsiTheme="majorBidi" w:cstheme="majorBidi"/>
          <w:szCs w:val="24"/>
          <w:highlight w:val="yellow"/>
          <w:lang w:val="en-GB"/>
        </w:rPr>
      </w:pPr>
      <w:proofErr w:type="gramStart"/>
      <w:r w:rsidRPr="00A94875">
        <w:rPr>
          <w:rFonts w:asciiTheme="majorBidi" w:hAnsiTheme="majorBidi" w:cstheme="majorBidi"/>
          <w:b/>
          <w:szCs w:val="24"/>
          <w:lang w:val="en-GB"/>
        </w:rPr>
        <w:t>ITU-T H.845.17 “Conformance of ITU-T H.810 personal health system: Personal Health Devices interface Part 5Q: Power status monitor”</w:t>
      </w:r>
      <w:r w:rsidRPr="00A94875">
        <w:rPr>
          <w:rFonts w:asciiTheme="majorBidi" w:hAnsiTheme="majorBidi" w:cstheme="majorBidi"/>
          <w:szCs w:val="24"/>
          <w:lang w:val="en-GB"/>
        </w:rPr>
        <w:t xml:space="preserve"> provides a test suite structure (TSS) and the test purposes (TP) for the power status monitor of personal health devices in the Personal Health Device (PHD) interface, based on the requirements defined in the Recommendations of the ITU-T H.810 sub-series, of which Recommendation ITU-T H.810 (2017) is the base Recommendation.</w:t>
      </w:r>
      <w:proofErr w:type="gramEnd"/>
      <w:r w:rsidRPr="00A94875">
        <w:rPr>
          <w:rFonts w:asciiTheme="majorBidi" w:hAnsiTheme="majorBidi" w:cstheme="majorBidi"/>
          <w:szCs w:val="24"/>
          <w:lang w:val="en-GB"/>
        </w:rPr>
        <w:t xml:space="preserve"> The objective of this test specification is to provide a high probability of interoperability at this interface. This Recommendation includes an electronic attachment with the </w:t>
      </w:r>
      <w:proofErr w:type="gramStart"/>
      <w:r w:rsidRPr="00A94875">
        <w:rPr>
          <w:rFonts w:asciiTheme="majorBidi" w:hAnsiTheme="majorBidi" w:cstheme="majorBidi"/>
          <w:szCs w:val="24"/>
          <w:lang w:val="en-GB"/>
        </w:rPr>
        <w:t>protocol implementation conformance statements</w:t>
      </w:r>
      <w:proofErr w:type="gramEnd"/>
      <w:r w:rsidRPr="00A94875">
        <w:rPr>
          <w:rFonts w:asciiTheme="majorBidi" w:hAnsiTheme="majorBidi" w:cstheme="majorBidi"/>
          <w:szCs w:val="24"/>
          <w:lang w:val="en-GB"/>
        </w:rPr>
        <w:t xml:space="preserve"> (PICS) and the protocol implementation extra information for testing (PIXIT) required for the implementation of Annex A.</w:t>
      </w:r>
    </w:p>
    <w:p w14:paraId="5A125491"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H.846 (revised) “Conformance of ITU-T H.810 personal health system: Personal Health Devices interface Part 6: Device specializations: Personal Health Gateway”</w:t>
      </w:r>
      <w:r w:rsidRPr="00A94875">
        <w:rPr>
          <w:rFonts w:asciiTheme="majorBidi" w:hAnsiTheme="majorBidi" w:cstheme="majorBidi"/>
          <w:szCs w:val="24"/>
          <w:lang w:val="en-GB"/>
        </w:rPr>
        <w:t xml:space="preserve"> is a transposition of Continua Test Tool DG2016, Test Suite Structure &amp; Test Purposes, Personal Health Devices Interface; Part 6: Device Specializations. Personal Health Gateway (Version 1.9, 2016-09-20), that was developed by the Personal Connected Health Alliance. A number of versions of this specification existed before transposition. The objective of this test specification is to provide a high probability of air interface interoperability between different devices. This Recommendation includes an electronic attachment with the </w:t>
      </w:r>
      <w:proofErr w:type="gramStart"/>
      <w:r w:rsidRPr="00A94875">
        <w:rPr>
          <w:rFonts w:asciiTheme="majorBidi" w:hAnsiTheme="majorBidi" w:cstheme="majorBidi"/>
          <w:szCs w:val="24"/>
          <w:lang w:val="en-GB"/>
        </w:rPr>
        <w:t>protocol implementation conformance statements</w:t>
      </w:r>
      <w:proofErr w:type="gramEnd"/>
      <w:r w:rsidRPr="00A94875">
        <w:rPr>
          <w:rFonts w:asciiTheme="majorBidi" w:hAnsiTheme="majorBidi" w:cstheme="majorBidi"/>
          <w:szCs w:val="24"/>
          <w:lang w:val="en-GB"/>
        </w:rPr>
        <w:t xml:space="preserve"> (PICS) and the protocol implementation extra information for testing (PIXIT) required for the implementation of Annex A.</w:t>
      </w:r>
    </w:p>
    <w:p w14:paraId="0C43318B" w14:textId="77777777" w:rsidR="006944F8" w:rsidRPr="00A94875" w:rsidRDefault="006944F8" w:rsidP="006944F8">
      <w:pPr>
        <w:spacing w:after="160"/>
        <w:outlineLvl w:val="1"/>
        <w:rPr>
          <w:rFonts w:asciiTheme="majorBidi" w:hAnsiTheme="majorBidi" w:cstheme="majorBidi"/>
          <w:color w:val="000000"/>
          <w:szCs w:val="24"/>
          <w:lang w:val="en-GB"/>
        </w:rPr>
      </w:pPr>
      <w:r w:rsidRPr="00A94875">
        <w:rPr>
          <w:rFonts w:asciiTheme="majorBidi" w:hAnsiTheme="majorBidi" w:cstheme="majorBidi"/>
          <w:b/>
          <w:bCs/>
          <w:szCs w:val="24"/>
          <w:lang w:val="en-GB"/>
        </w:rPr>
        <w:t>ITU-T H.849 (revised) “Conformance of ITU-T H.810 personal health devices: PAN/LAN/TAN interface Part 9: Transcoding for Bluetooth low energy (BLE): Agent”</w:t>
      </w:r>
      <w:r w:rsidRPr="00A94875">
        <w:rPr>
          <w:rFonts w:asciiTheme="majorBidi" w:hAnsiTheme="majorBidi" w:cstheme="majorBidi"/>
          <w:szCs w:val="24"/>
          <w:lang w:val="en-GB"/>
        </w:rPr>
        <w:t xml:space="preserve"> is a transposition of Continua Health Alliance Test Tool DG2016, Test Suite Structure &amp; Test Purposes, Personal Health Devices Interface; Part 9: PHD Transcoding Whitepaper. Personal Health Device BLE (Version 1.6</w:t>
      </w:r>
      <w:proofErr w:type="gramStart"/>
      <w:r w:rsidRPr="00A94875">
        <w:rPr>
          <w:rFonts w:asciiTheme="majorBidi" w:hAnsiTheme="majorBidi" w:cstheme="majorBidi"/>
          <w:szCs w:val="24"/>
          <w:lang w:val="en-GB"/>
        </w:rPr>
        <w:t>,2016</w:t>
      </w:r>
      <w:proofErr w:type="gramEnd"/>
      <w:r w:rsidRPr="00A94875">
        <w:rPr>
          <w:rFonts w:asciiTheme="majorBidi" w:hAnsiTheme="majorBidi" w:cstheme="majorBidi"/>
          <w:szCs w:val="24"/>
          <w:lang w:val="en-GB"/>
        </w:rPr>
        <w:t xml:space="preserve">-09-20), that was developed by the Personal Connected Health Alliance. A number of versions of this specification existed before transposition. This Recommendation includes an electronic attachment with the </w:t>
      </w:r>
      <w:proofErr w:type="gramStart"/>
      <w:r w:rsidRPr="00A94875">
        <w:rPr>
          <w:rFonts w:asciiTheme="majorBidi" w:hAnsiTheme="majorBidi" w:cstheme="majorBidi"/>
          <w:szCs w:val="24"/>
          <w:lang w:val="en-GB"/>
        </w:rPr>
        <w:t>protocol implementation conformance statements</w:t>
      </w:r>
      <w:proofErr w:type="gramEnd"/>
      <w:r w:rsidRPr="00A94875">
        <w:rPr>
          <w:rFonts w:asciiTheme="majorBidi" w:hAnsiTheme="majorBidi" w:cstheme="majorBidi"/>
          <w:szCs w:val="24"/>
          <w:lang w:val="en-GB"/>
        </w:rPr>
        <w:t xml:space="preserve"> (PICS) and the protocol implementation extra information for testing (PIXIT) required for the implementation of Annex A.</w:t>
      </w:r>
    </w:p>
    <w:p w14:paraId="08D0666F" w14:textId="77777777" w:rsidR="006944F8" w:rsidRPr="00A94875" w:rsidRDefault="006944F8" w:rsidP="006944F8">
      <w:pPr>
        <w:spacing w:after="160"/>
        <w:outlineLvl w:val="1"/>
        <w:rPr>
          <w:rFonts w:asciiTheme="majorBidi" w:hAnsiTheme="majorBidi" w:cstheme="majorBidi"/>
          <w:bCs/>
          <w:szCs w:val="24"/>
          <w:lang w:val="en-GB"/>
        </w:rPr>
      </w:pPr>
      <w:r w:rsidRPr="00A94875">
        <w:rPr>
          <w:rFonts w:asciiTheme="majorBidi" w:hAnsiTheme="majorBidi" w:cstheme="majorBidi"/>
          <w:b/>
          <w:bCs/>
          <w:szCs w:val="24"/>
          <w:lang w:val="en-GB"/>
        </w:rPr>
        <w:t>ITU-T H.861.1 “Requirements on establishing brain healthcare quotients”</w:t>
      </w:r>
      <w:r w:rsidRPr="00A94875">
        <w:rPr>
          <w:rFonts w:asciiTheme="majorBidi" w:hAnsiTheme="majorBidi" w:cstheme="majorBidi"/>
          <w:bCs/>
          <w:szCs w:val="24"/>
          <w:lang w:val="en-GB"/>
        </w:rPr>
        <w:t xml:space="preserve"> describes healthcare indices derived from neuroimaging analysis that are called Brain Healthcare Quotients (BHQs), intended to be used for facilitating the communication of information about brain status. It describes the requirements on how such an index is created </w:t>
      </w:r>
      <w:proofErr w:type="gramStart"/>
      <w:r w:rsidRPr="00A94875">
        <w:rPr>
          <w:rFonts w:asciiTheme="majorBidi" w:hAnsiTheme="majorBidi" w:cstheme="majorBidi"/>
          <w:bCs/>
          <w:szCs w:val="24"/>
          <w:lang w:val="en-GB"/>
        </w:rPr>
        <w:t>and also</w:t>
      </w:r>
      <w:proofErr w:type="gramEnd"/>
      <w:r w:rsidRPr="00A94875">
        <w:rPr>
          <w:rFonts w:asciiTheme="majorBidi" w:hAnsiTheme="majorBidi" w:cstheme="majorBidi"/>
          <w:bCs/>
          <w:szCs w:val="24"/>
          <w:lang w:val="en-GB"/>
        </w:rPr>
        <w:t xml:space="preserve"> how some concrete BHQs can be defined and calculated. This Recommendation also includes examples of services using BHQs </w:t>
      </w:r>
      <w:proofErr w:type="gramStart"/>
      <w:r w:rsidRPr="00A94875">
        <w:rPr>
          <w:rFonts w:asciiTheme="majorBidi" w:hAnsiTheme="majorBidi" w:cstheme="majorBidi"/>
          <w:bCs/>
          <w:szCs w:val="24"/>
          <w:lang w:val="en-GB"/>
        </w:rPr>
        <w:t>to better monitor</w:t>
      </w:r>
      <w:proofErr w:type="gramEnd"/>
      <w:r w:rsidRPr="00A94875">
        <w:rPr>
          <w:rFonts w:asciiTheme="majorBidi" w:hAnsiTheme="majorBidi" w:cstheme="majorBidi"/>
          <w:bCs/>
          <w:szCs w:val="24"/>
          <w:lang w:val="en-GB"/>
        </w:rPr>
        <w:t xml:space="preserve"> the health states for supporting active and alert living. BHQs </w:t>
      </w:r>
      <w:proofErr w:type="gramStart"/>
      <w:r w:rsidRPr="00A94875">
        <w:rPr>
          <w:rFonts w:asciiTheme="majorBidi" w:hAnsiTheme="majorBidi" w:cstheme="majorBidi"/>
          <w:bCs/>
          <w:szCs w:val="24"/>
          <w:lang w:val="en-GB"/>
        </w:rPr>
        <w:t>are linked</w:t>
      </w:r>
      <w:proofErr w:type="gramEnd"/>
      <w:r w:rsidRPr="00A94875">
        <w:rPr>
          <w:rFonts w:asciiTheme="majorBidi" w:hAnsiTheme="majorBidi" w:cstheme="majorBidi"/>
          <w:bCs/>
          <w:szCs w:val="24"/>
          <w:lang w:val="en-GB"/>
        </w:rPr>
        <w:t xml:space="preserve"> to various </w:t>
      </w:r>
      <w:r w:rsidRPr="00A94875">
        <w:rPr>
          <w:rFonts w:asciiTheme="majorBidi" w:hAnsiTheme="majorBidi" w:cstheme="majorBidi"/>
          <w:bCs/>
          <w:szCs w:val="24"/>
          <w:lang w:val="en-GB"/>
        </w:rPr>
        <w:lastRenderedPageBreak/>
        <w:t>healthcare aspects of human life and can be used to improve life styles. It can give good standardized measurement and indices of brain conditions even for non-specialists.</w:t>
      </w:r>
    </w:p>
    <w:p w14:paraId="3DF667FF" w14:textId="77777777" w:rsidR="006944F8" w:rsidRPr="00A94875" w:rsidRDefault="006944F8" w:rsidP="006944F8">
      <w:pPr>
        <w:spacing w:after="160"/>
        <w:outlineLvl w:val="1"/>
        <w:rPr>
          <w:rFonts w:asciiTheme="majorBidi" w:hAnsiTheme="majorBidi" w:cstheme="majorBidi"/>
          <w:bCs/>
          <w:szCs w:val="24"/>
          <w:lang w:val="en-GB"/>
        </w:rPr>
      </w:pPr>
      <w:r w:rsidRPr="00A94875">
        <w:rPr>
          <w:rFonts w:asciiTheme="majorBidi" w:hAnsiTheme="majorBidi" w:cstheme="majorBidi"/>
          <w:b/>
          <w:bCs/>
          <w:szCs w:val="24"/>
          <w:lang w:val="en-GB"/>
        </w:rPr>
        <w:t xml:space="preserve">ITU-T H.870 “Guidelines for safe listening devices/systems” </w:t>
      </w:r>
      <w:r w:rsidRPr="00A94875">
        <w:rPr>
          <w:rFonts w:asciiTheme="majorBidi" w:hAnsiTheme="majorBidi" w:cstheme="majorBidi"/>
          <w:bCs/>
          <w:szCs w:val="24"/>
          <w:lang w:val="en-GB"/>
        </w:rPr>
        <w:t>describes requirements on safe-listening devices and systems, called personal/portable audio systems, especially those for playing music, to protect people from hearing loss. It also gives a glossary for common understanding as well as the background information on sound, hearing and hearing loss.</w:t>
      </w:r>
    </w:p>
    <w:p w14:paraId="310079E7" w14:textId="77777777" w:rsidR="006944F8" w:rsidRPr="00A94875" w:rsidRDefault="006944F8" w:rsidP="006944F8">
      <w:pPr>
        <w:spacing w:before="240"/>
        <w:rPr>
          <w:b/>
          <w:sz w:val="22"/>
          <w:szCs w:val="22"/>
          <w:lang w:val="en-GB"/>
        </w:rPr>
      </w:pPr>
      <w:bookmarkStart w:id="227" w:name="_Toc480527903"/>
      <w:proofErr w:type="gramStart"/>
      <w:r w:rsidRPr="00A94875">
        <w:rPr>
          <w:b/>
          <w:sz w:val="22"/>
          <w:szCs w:val="22"/>
          <w:lang w:val="en-GB"/>
        </w:rPr>
        <w:t>I.5.1</w:t>
      </w:r>
      <w:r w:rsidRPr="00A94875">
        <w:rPr>
          <w:b/>
          <w:sz w:val="22"/>
          <w:szCs w:val="22"/>
          <w:lang w:val="en-GB"/>
        </w:rPr>
        <w:tab/>
        <w:t>New security standards</w:t>
      </w:r>
      <w:bookmarkEnd w:id="227"/>
      <w:proofErr w:type="gramEnd"/>
    </w:p>
    <w:p w14:paraId="7A516BB4" w14:textId="3A799C7B" w:rsidR="006944F8" w:rsidRPr="00A94875" w:rsidRDefault="006944F8" w:rsidP="006944F8">
      <w:pPr>
        <w:rPr>
          <w:rFonts w:asciiTheme="majorBidi" w:hAnsiTheme="majorBidi" w:cstheme="majorBidi"/>
          <w:bCs/>
          <w:szCs w:val="24"/>
          <w:highlight w:val="yellow"/>
          <w:lang w:val="en-GB"/>
        </w:rPr>
      </w:pPr>
      <w:r w:rsidRPr="00A94875">
        <w:rPr>
          <w:rFonts w:asciiTheme="majorBidi" w:hAnsiTheme="majorBidi" w:cstheme="majorBidi"/>
          <w:b/>
          <w:bCs/>
          <w:szCs w:val="24"/>
          <w:lang w:val="en-GB"/>
        </w:rPr>
        <w:t>ITU-T X.894 “Generic applications of ASN.1 Cryptographic Message Syntax”</w:t>
      </w:r>
      <w:r w:rsidR="00783514" w:rsidRPr="00A94875">
        <w:rPr>
          <w:rFonts w:asciiTheme="majorBidi" w:hAnsiTheme="majorBidi" w:cstheme="majorBidi"/>
          <w:bCs/>
          <w:szCs w:val="24"/>
          <w:lang w:val="en-GB"/>
        </w:rPr>
        <w:t xml:space="preserve"> </w:t>
      </w:r>
      <w:r w:rsidRPr="00A94875">
        <w:rPr>
          <w:rFonts w:asciiTheme="majorBidi" w:hAnsiTheme="majorBidi" w:cstheme="majorBidi"/>
          <w:bCs/>
          <w:szCs w:val="24"/>
          <w:lang w:val="en-GB"/>
        </w:rPr>
        <w:t xml:space="preserve">provides Abstract Syntax Notation One (ASN.1) modules for using cryptographic syntax in ITU-T Recommendations. Cryptographic message syntax (CMS) provides data integrity, confidentiality, origin authenticity, and non-repudiation services needed for reliable information exchange and for strong authentication. It also brings together a set of cryptographic key management techniques to support flexible key establishment mechanisms, such as constructive key management, key agreement, key exchange, and password-based encryption. These techniques </w:t>
      </w:r>
      <w:proofErr w:type="gramStart"/>
      <w:r w:rsidRPr="00A94875">
        <w:rPr>
          <w:rFonts w:asciiTheme="majorBidi" w:hAnsiTheme="majorBidi" w:cstheme="majorBidi"/>
          <w:bCs/>
          <w:szCs w:val="24"/>
          <w:lang w:val="en-GB"/>
        </w:rPr>
        <w:t>can be used</w:t>
      </w:r>
      <w:proofErr w:type="gramEnd"/>
      <w:r w:rsidRPr="00A94875">
        <w:rPr>
          <w:rFonts w:asciiTheme="majorBidi" w:hAnsiTheme="majorBidi" w:cstheme="majorBidi"/>
          <w:bCs/>
          <w:szCs w:val="24"/>
          <w:lang w:val="en-GB"/>
        </w:rPr>
        <w:t xml:space="preserve"> to prevent fraud, and to protect personally identifiable and other sensitive information. This Recommendation | International Standard supports digital signature, encryption, and </w:t>
      </w:r>
      <w:proofErr w:type="spellStart"/>
      <w:r w:rsidRPr="00A94875">
        <w:rPr>
          <w:rFonts w:asciiTheme="majorBidi" w:hAnsiTheme="majorBidi" w:cstheme="majorBidi"/>
          <w:bCs/>
          <w:szCs w:val="24"/>
          <w:lang w:val="en-GB"/>
        </w:rPr>
        <w:t>signcryption</w:t>
      </w:r>
      <w:proofErr w:type="spellEnd"/>
      <w:r w:rsidRPr="00A94875">
        <w:rPr>
          <w:rFonts w:asciiTheme="majorBidi" w:hAnsiTheme="majorBidi" w:cstheme="majorBidi"/>
          <w:bCs/>
          <w:szCs w:val="24"/>
          <w:lang w:val="en-GB"/>
        </w:rPr>
        <w:t xml:space="preserve"> techniques based on the public-key technology defined in the ITU-T X.500 series | ISO/IEC 9594 multipart standard. All of the standardized encoding rules for ASN.1 </w:t>
      </w:r>
      <w:proofErr w:type="gramStart"/>
      <w:r w:rsidRPr="00A94875">
        <w:rPr>
          <w:rFonts w:asciiTheme="majorBidi" w:hAnsiTheme="majorBidi" w:cstheme="majorBidi"/>
          <w:bCs/>
          <w:szCs w:val="24"/>
          <w:lang w:val="en-GB"/>
        </w:rPr>
        <w:t>are supported</w:t>
      </w:r>
      <w:proofErr w:type="gramEnd"/>
      <w:r w:rsidRPr="00A94875">
        <w:rPr>
          <w:rFonts w:asciiTheme="majorBidi" w:hAnsiTheme="majorBidi" w:cstheme="majorBidi"/>
          <w:bCs/>
          <w:szCs w:val="24"/>
          <w:lang w:val="en-GB"/>
        </w:rPr>
        <w:t>.</w:t>
      </w:r>
    </w:p>
    <w:p w14:paraId="209DE1F6"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X.1041 “Security framework for voice-over-long-term-evolution (</w:t>
      </w:r>
      <w:proofErr w:type="spellStart"/>
      <w:r w:rsidRPr="00A94875">
        <w:rPr>
          <w:rFonts w:asciiTheme="majorBidi" w:hAnsiTheme="majorBidi" w:cstheme="majorBidi"/>
          <w:b/>
          <w:bCs/>
          <w:lang w:val="en-GB"/>
        </w:rPr>
        <w:t>VoLTE</w:t>
      </w:r>
      <w:proofErr w:type="spellEnd"/>
      <w:r w:rsidRPr="00A94875">
        <w:rPr>
          <w:rFonts w:asciiTheme="majorBidi" w:hAnsiTheme="majorBidi" w:cstheme="majorBidi"/>
          <w:b/>
          <w:bCs/>
          <w:lang w:val="en-GB"/>
        </w:rPr>
        <w:t>) network operation”</w:t>
      </w:r>
      <w:r w:rsidRPr="00A94875">
        <w:rPr>
          <w:rFonts w:asciiTheme="majorBidi" w:hAnsiTheme="majorBidi" w:cstheme="majorBidi"/>
          <w:bCs/>
          <w:lang w:val="en-GB"/>
        </w:rPr>
        <w:t xml:space="preserve"> analyses security threats encountered by the </w:t>
      </w:r>
      <w:proofErr w:type="spellStart"/>
      <w:r w:rsidRPr="00A94875">
        <w:rPr>
          <w:rFonts w:asciiTheme="majorBidi" w:hAnsiTheme="majorBidi" w:cstheme="majorBidi"/>
          <w:bCs/>
          <w:lang w:val="en-GB"/>
        </w:rPr>
        <w:t>VoLTE</w:t>
      </w:r>
      <w:proofErr w:type="spellEnd"/>
      <w:r w:rsidRPr="00A94875">
        <w:rPr>
          <w:rFonts w:asciiTheme="majorBidi" w:hAnsiTheme="majorBidi" w:cstheme="majorBidi"/>
          <w:bCs/>
          <w:lang w:val="en-GB"/>
        </w:rPr>
        <w:t xml:space="preserve"> network and recommends countermeasures for telecommunication operators to ensure the secure operation. It also provides a security reference framework for </w:t>
      </w:r>
      <w:proofErr w:type="spellStart"/>
      <w:r w:rsidRPr="00A94875">
        <w:rPr>
          <w:rFonts w:asciiTheme="majorBidi" w:hAnsiTheme="majorBidi" w:cstheme="majorBidi"/>
          <w:bCs/>
          <w:lang w:val="en-GB"/>
        </w:rPr>
        <w:t>VoLTE</w:t>
      </w:r>
      <w:proofErr w:type="spellEnd"/>
      <w:r w:rsidRPr="00A94875">
        <w:rPr>
          <w:rFonts w:asciiTheme="majorBidi" w:hAnsiTheme="majorBidi" w:cstheme="majorBidi"/>
          <w:bCs/>
          <w:lang w:val="en-GB"/>
        </w:rPr>
        <w:t xml:space="preserve"> network.</w:t>
      </w:r>
    </w:p>
    <w:p w14:paraId="63F260B9" w14:textId="77777777" w:rsidR="006944F8" w:rsidRPr="00A94875" w:rsidRDefault="006944F8" w:rsidP="006944F8">
      <w:pPr>
        <w:rPr>
          <w:rFonts w:asciiTheme="majorBidi" w:hAnsiTheme="majorBidi" w:cstheme="majorBidi"/>
          <w:bCs/>
          <w:highlight w:val="yellow"/>
          <w:lang w:val="en-GB"/>
        </w:rPr>
      </w:pPr>
      <w:r w:rsidRPr="00A94875">
        <w:rPr>
          <w:rFonts w:asciiTheme="majorBidi" w:hAnsiTheme="majorBidi" w:cstheme="majorBidi"/>
          <w:b/>
          <w:bCs/>
          <w:lang w:val="en-GB"/>
        </w:rPr>
        <w:t>ITU-T X.1042 “Security services using the software-defined networking”</w:t>
      </w:r>
      <w:r w:rsidRPr="00A94875">
        <w:rPr>
          <w:rFonts w:asciiTheme="majorBidi" w:hAnsiTheme="majorBidi" w:cstheme="majorBidi"/>
          <w:bCs/>
          <w:lang w:val="en-GB"/>
        </w:rPr>
        <w:t xml:space="preserve"> </w:t>
      </w:r>
      <w:r w:rsidRPr="00A94875">
        <w:rPr>
          <w:rFonts w:asciiTheme="majorBidi" w:hAnsiTheme="majorBidi" w:cstheme="majorBidi"/>
          <w:bCs/>
          <w:szCs w:val="24"/>
          <w:lang w:val="en-GB"/>
        </w:rPr>
        <w:t xml:space="preserve">(under approval) </w:t>
      </w:r>
      <w:r w:rsidRPr="00A94875">
        <w:rPr>
          <w:rFonts w:asciiTheme="majorBidi" w:hAnsiTheme="majorBidi" w:cstheme="majorBidi"/>
          <w:bCs/>
          <w:lang w:val="en-GB"/>
        </w:rPr>
        <w:t>supports the protection of network resources using security services based on software-defined networking (SDN). This Recommendation first classifies the network resources for SDN-based security services. These network resources are SDN application, SDN controller, SDN switch and security manager (SM). This Recommendation then defines security services based on SDN.</w:t>
      </w:r>
    </w:p>
    <w:p w14:paraId="6475888C"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szCs w:val="24"/>
          <w:lang w:val="en-GB" w:eastAsia="ko-KR"/>
        </w:rPr>
      </w:pPr>
      <w:r w:rsidRPr="00A94875">
        <w:rPr>
          <w:rFonts w:asciiTheme="majorBidi" w:hAnsiTheme="majorBidi" w:cstheme="majorBidi"/>
          <w:b/>
          <w:bCs/>
          <w:szCs w:val="24"/>
          <w:lang w:val="en-GB" w:eastAsia="ko-KR"/>
        </w:rPr>
        <w:t xml:space="preserve">ITU-T X.1080.1 (revised) “e-Health and world-wide </w:t>
      </w:r>
      <w:proofErr w:type="spellStart"/>
      <w:r w:rsidRPr="00A94875">
        <w:rPr>
          <w:rFonts w:asciiTheme="majorBidi" w:hAnsiTheme="majorBidi" w:cstheme="majorBidi"/>
          <w:b/>
          <w:bCs/>
          <w:szCs w:val="24"/>
          <w:lang w:val="en-GB" w:eastAsia="ko-KR"/>
        </w:rPr>
        <w:t>telemedicines</w:t>
      </w:r>
      <w:proofErr w:type="spellEnd"/>
      <w:r w:rsidRPr="00A94875">
        <w:rPr>
          <w:rFonts w:asciiTheme="majorBidi" w:hAnsiTheme="majorBidi" w:cstheme="majorBidi"/>
          <w:b/>
          <w:bCs/>
          <w:szCs w:val="24"/>
          <w:lang w:val="en-GB" w:eastAsia="ko-KR"/>
        </w:rPr>
        <w:t xml:space="preserve"> - Generic telecommunication protocol”</w:t>
      </w:r>
      <w:r w:rsidRPr="00A94875">
        <w:rPr>
          <w:rFonts w:asciiTheme="majorBidi" w:hAnsiTheme="majorBidi" w:cstheme="majorBidi"/>
          <w:bCs/>
          <w:szCs w:val="24"/>
          <w:lang w:val="en-GB" w:eastAsia="ko-KR"/>
        </w:rPr>
        <w:t xml:space="preserve"> defines the framework for other parts of the ITU-T 1080.x series of Recommendation by providing the overall model for communications aspects of </w:t>
      </w:r>
      <w:proofErr w:type="spellStart"/>
      <w:r w:rsidRPr="00A94875">
        <w:rPr>
          <w:rFonts w:asciiTheme="majorBidi" w:hAnsiTheme="majorBidi" w:cstheme="majorBidi"/>
          <w:bCs/>
          <w:szCs w:val="24"/>
          <w:lang w:val="en-GB" w:eastAsia="ko-KR"/>
        </w:rPr>
        <w:t>telebiometrics</w:t>
      </w:r>
      <w:proofErr w:type="spellEnd"/>
      <w:r w:rsidRPr="00A94875">
        <w:rPr>
          <w:rFonts w:asciiTheme="majorBidi" w:hAnsiTheme="majorBidi" w:cstheme="majorBidi"/>
          <w:bCs/>
          <w:szCs w:val="24"/>
          <w:lang w:val="en-GB" w:eastAsia="ko-KR"/>
        </w:rPr>
        <w:t>. It provides the basic allocation of object identifiers for uniquely identifying pieces of information during data transfer and it defines a generic telecommunication protocol.</w:t>
      </w:r>
    </w:p>
    <w:p w14:paraId="0C045FEB"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szCs w:val="24"/>
          <w:highlight w:val="yellow"/>
          <w:lang w:val="en-GB" w:eastAsia="ko-KR"/>
        </w:rPr>
      </w:pPr>
      <w:r w:rsidRPr="00A94875">
        <w:rPr>
          <w:rFonts w:asciiTheme="majorBidi" w:hAnsiTheme="majorBidi" w:cstheme="majorBidi"/>
          <w:bCs/>
          <w:szCs w:val="24"/>
          <w:lang w:val="en-GB" w:eastAsia="ko-KR"/>
        </w:rPr>
        <w:t xml:space="preserve">It provides a technique for a formal specification of objects and it specifies a generic protocol that supports interactions between a medical station local to a patient and a remote medical centre providing greater expertise. This protocol is to be </w:t>
      </w:r>
      <w:proofErr w:type="gramStart"/>
      <w:r w:rsidRPr="00A94875">
        <w:rPr>
          <w:rFonts w:asciiTheme="majorBidi" w:hAnsiTheme="majorBidi" w:cstheme="majorBidi"/>
          <w:bCs/>
          <w:szCs w:val="24"/>
          <w:lang w:val="en-GB" w:eastAsia="ko-KR"/>
        </w:rPr>
        <w:t>used</w:t>
      </w:r>
      <w:proofErr w:type="gramEnd"/>
      <w:r w:rsidRPr="00A94875">
        <w:rPr>
          <w:rFonts w:asciiTheme="majorBidi" w:hAnsiTheme="majorBidi" w:cstheme="majorBidi"/>
          <w:bCs/>
          <w:szCs w:val="24"/>
          <w:lang w:val="en-GB" w:eastAsia="ko-KR"/>
        </w:rPr>
        <w:t xml:space="preserve"> and extended by other parts of the ITU-T X.1080.x series of Recommendations.</w:t>
      </w:r>
    </w:p>
    <w:p w14:paraId="1EE073EB" w14:textId="77A18EB1"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szCs w:val="24"/>
          <w:highlight w:val="yellow"/>
          <w:lang w:val="en-GB" w:eastAsia="ko-KR"/>
        </w:rPr>
      </w:pPr>
      <w:r w:rsidRPr="00A94875">
        <w:rPr>
          <w:rFonts w:asciiTheme="majorBidi" w:hAnsiTheme="majorBidi" w:cstheme="majorBidi"/>
          <w:b/>
          <w:bCs/>
          <w:szCs w:val="24"/>
          <w:lang w:val="en-GB" w:eastAsia="ko-KR"/>
        </w:rPr>
        <w:t>ITU-T X.1093 “</w:t>
      </w:r>
      <w:proofErr w:type="spellStart"/>
      <w:r w:rsidRPr="00A94875">
        <w:rPr>
          <w:rFonts w:asciiTheme="majorBidi" w:hAnsiTheme="majorBidi" w:cstheme="majorBidi"/>
          <w:b/>
          <w:bCs/>
          <w:szCs w:val="24"/>
          <w:lang w:val="en-GB" w:eastAsia="ko-KR"/>
        </w:rPr>
        <w:t>Telebiometric</w:t>
      </w:r>
      <w:proofErr w:type="spellEnd"/>
      <w:r w:rsidRPr="00A94875">
        <w:rPr>
          <w:rFonts w:asciiTheme="majorBidi" w:hAnsiTheme="majorBidi" w:cstheme="majorBidi"/>
          <w:b/>
          <w:bCs/>
          <w:szCs w:val="24"/>
          <w:lang w:val="en-GB" w:eastAsia="ko-KR"/>
        </w:rPr>
        <w:t xml:space="preserve"> access control with smart ID cards”</w:t>
      </w:r>
      <w:r w:rsidRPr="00A94875">
        <w:rPr>
          <w:rFonts w:asciiTheme="majorBidi" w:hAnsiTheme="majorBidi" w:cstheme="majorBidi"/>
          <w:bCs/>
          <w:szCs w:val="24"/>
          <w:lang w:val="en-GB" w:eastAsia="ko-KR"/>
        </w:rPr>
        <w:t xml:space="preserve"> (under approval) </w:t>
      </w:r>
      <w:r w:rsidR="0096555C" w:rsidRPr="00A94875">
        <w:rPr>
          <w:rFonts w:asciiTheme="majorBidi" w:hAnsiTheme="majorBidi" w:cstheme="majorBidi"/>
          <w:bCs/>
          <w:szCs w:val="24"/>
          <w:lang w:val="en-GB" w:eastAsia="ko-KR"/>
        </w:rPr>
        <w:t xml:space="preserve">describes the general scheme for logical and/or physical access control using the biometrics-on-card. This Recommendation can be applied to the recent emerging area of requiring secure physical </w:t>
      </w:r>
      <w:proofErr w:type="gramStart"/>
      <w:r w:rsidR="0096555C" w:rsidRPr="00A94875">
        <w:rPr>
          <w:rFonts w:asciiTheme="majorBidi" w:hAnsiTheme="majorBidi" w:cstheme="majorBidi"/>
          <w:bCs/>
          <w:szCs w:val="24"/>
          <w:lang w:val="en-GB" w:eastAsia="ko-KR"/>
        </w:rPr>
        <w:t>and also</w:t>
      </w:r>
      <w:proofErr w:type="gramEnd"/>
      <w:r w:rsidR="0096555C" w:rsidRPr="00A94875">
        <w:rPr>
          <w:rFonts w:asciiTheme="majorBidi" w:hAnsiTheme="majorBidi" w:cstheme="majorBidi"/>
          <w:bCs/>
          <w:szCs w:val="24"/>
          <w:lang w:val="en-GB" w:eastAsia="ko-KR"/>
        </w:rPr>
        <w:t xml:space="preserve"> logical access control management</w:t>
      </w:r>
      <w:r w:rsidRPr="00A94875">
        <w:rPr>
          <w:rFonts w:asciiTheme="majorBidi" w:hAnsiTheme="majorBidi" w:cstheme="majorBidi"/>
          <w:bCs/>
          <w:szCs w:val="24"/>
          <w:lang w:val="en-GB" w:eastAsia="ko-KR"/>
        </w:rPr>
        <w:t>.</w:t>
      </w:r>
    </w:p>
    <w:p w14:paraId="23CBC508" w14:textId="29A214C8"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szCs w:val="24"/>
          <w:highlight w:val="yellow"/>
          <w:lang w:val="en-GB" w:eastAsia="ko-KR"/>
        </w:rPr>
      </w:pPr>
      <w:r w:rsidRPr="00A94875">
        <w:rPr>
          <w:rFonts w:asciiTheme="majorBidi" w:hAnsiTheme="majorBidi" w:cstheme="majorBidi"/>
          <w:b/>
          <w:bCs/>
          <w:szCs w:val="24"/>
          <w:lang w:val="en-GB" w:eastAsia="ko-KR"/>
        </w:rPr>
        <w:t>ITU-T X.1147 “Security requirements and framework for big data analytics in mobile Internet services”</w:t>
      </w:r>
      <w:r w:rsidRPr="00A94875">
        <w:rPr>
          <w:rFonts w:asciiTheme="majorBidi" w:hAnsiTheme="majorBidi" w:cstheme="majorBidi"/>
          <w:bCs/>
          <w:szCs w:val="24"/>
          <w:lang w:val="en-GB" w:eastAsia="ko-KR"/>
        </w:rPr>
        <w:t xml:space="preserve"> (under approval)</w:t>
      </w:r>
      <w:r w:rsidRPr="00A94875">
        <w:rPr>
          <w:rFonts w:asciiTheme="majorBidi" w:hAnsiTheme="majorBidi" w:cstheme="majorBidi"/>
          <w:b/>
          <w:bCs/>
          <w:szCs w:val="24"/>
          <w:lang w:val="en-GB" w:eastAsia="ko-KR"/>
        </w:rPr>
        <w:t xml:space="preserve"> </w:t>
      </w:r>
      <w:r w:rsidR="0096555C" w:rsidRPr="00A94875">
        <w:rPr>
          <w:rFonts w:asciiTheme="majorBidi" w:hAnsiTheme="majorBidi" w:cstheme="majorBidi"/>
          <w:bCs/>
          <w:szCs w:val="24"/>
          <w:lang w:val="en-GB" w:eastAsia="ko-KR"/>
        </w:rPr>
        <w:t>mainly analyse the security requirements of big data analytics in mobile Internet services, and provide security framework</w:t>
      </w:r>
      <w:r w:rsidRPr="00A94875">
        <w:rPr>
          <w:rFonts w:asciiTheme="majorBidi" w:hAnsiTheme="majorBidi" w:cstheme="majorBidi"/>
          <w:bCs/>
          <w:szCs w:val="24"/>
          <w:lang w:val="en-GB" w:eastAsia="ko-KR"/>
        </w:rPr>
        <w:t>.</w:t>
      </w:r>
    </w:p>
    <w:p w14:paraId="5B528265"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lang w:val="en-GB"/>
        </w:rPr>
      </w:pPr>
      <w:r w:rsidRPr="00A94875">
        <w:rPr>
          <w:rFonts w:asciiTheme="majorBidi" w:hAnsiTheme="majorBidi" w:cstheme="majorBidi"/>
          <w:b/>
          <w:bCs/>
          <w:lang w:val="en-GB"/>
        </w:rPr>
        <w:t>ITU-T X.1214 (revised) “Security assessment techniques in telecommunication/ICT networks”</w:t>
      </w:r>
      <w:r w:rsidRPr="00A94875">
        <w:rPr>
          <w:rFonts w:asciiTheme="majorBidi" w:hAnsiTheme="majorBidi" w:cstheme="majorBidi"/>
          <w:lang w:val="en-GB"/>
        </w:rPr>
        <w:t xml:space="preserve"> describes a global security assessment methodology for software-based telecommunication/ICT network elements and best practices for developers, manufacturers, operators and individual security experts of the telecommunication domain for addressing the </w:t>
      </w:r>
      <w:r w:rsidRPr="00A94875">
        <w:rPr>
          <w:rFonts w:asciiTheme="majorBidi" w:hAnsiTheme="majorBidi" w:cstheme="majorBidi"/>
          <w:lang w:val="en-GB"/>
        </w:rPr>
        <w:lastRenderedPageBreak/>
        <w:t xml:space="preserve">secureness of their software-based elements. Both the traditional circuit-switched networks and the packet-based networks </w:t>
      </w:r>
      <w:proofErr w:type="gramStart"/>
      <w:r w:rsidRPr="00A94875">
        <w:rPr>
          <w:rFonts w:asciiTheme="majorBidi" w:hAnsiTheme="majorBidi" w:cstheme="majorBidi"/>
          <w:lang w:val="en-GB"/>
        </w:rPr>
        <w:t>are exposed</w:t>
      </w:r>
      <w:proofErr w:type="gramEnd"/>
      <w:r w:rsidRPr="00A94875">
        <w:rPr>
          <w:rFonts w:asciiTheme="majorBidi" w:hAnsiTheme="majorBidi" w:cstheme="majorBidi"/>
          <w:lang w:val="en-GB"/>
        </w:rPr>
        <w:t xml:space="preserve"> to different threats and attacks - from external as well as internal sources - that target the various parts of the telecommunications/ICT network. This Recommendation covers the following:</w:t>
      </w:r>
    </w:p>
    <w:p w14:paraId="07614944" w14:textId="77777777" w:rsidR="006944F8" w:rsidRPr="00A94875" w:rsidRDefault="006944F8" w:rsidP="009261B2">
      <w:pPr>
        <w:pStyle w:val="ListParagraph"/>
        <w:numPr>
          <w:ilvl w:val="0"/>
          <w:numId w:val="23"/>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120" w:after="120"/>
        <w:ind w:left="714" w:hanging="357"/>
        <w:contextualSpacing w:val="0"/>
        <w:rPr>
          <w:rFonts w:asciiTheme="majorBidi" w:hAnsiTheme="majorBidi" w:cstheme="majorBidi"/>
          <w:sz w:val="24"/>
          <w:szCs w:val="24"/>
          <w:lang w:val="en-GB"/>
        </w:rPr>
      </w:pPr>
      <w:r w:rsidRPr="00A94875">
        <w:rPr>
          <w:rFonts w:asciiTheme="majorBidi" w:hAnsiTheme="majorBidi" w:cstheme="majorBidi"/>
          <w:sz w:val="24"/>
          <w:szCs w:val="24"/>
          <w:lang w:val="en-GB"/>
        </w:rPr>
        <w:t>Detection of vulnerabilities in telecommunications/ICT network</w:t>
      </w:r>
    </w:p>
    <w:p w14:paraId="3A4470BF" w14:textId="77777777" w:rsidR="006944F8" w:rsidRPr="00A94875" w:rsidRDefault="006944F8" w:rsidP="009261B2">
      <w:pPr>
        <w:pStyle w:val="ListParagraph"/>
        <w:numPr>
          <w:ilvl w:val="0"/>
          <w:numId w:val="23"/>
        </w:num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120" w:after="120"/>
        <w:ind w:left="714" w:hanging="357"/>
        <w:contextualSpacing w:val="0"/>
        <w:rPr>
          <w:rFonts w:asciiTheme="majorBidi" w:hAnsiTheme="majorBidi" w:cstheme="majorBidi"/>
          <w:sz w:val="24"/>
          <w:szCs w:val="24"/>
          <w:lang w:val="en-GB"/>
        </w:rPr>
      </w:pPr>
      <w:r w:rsidRPr="00A94875">
        <w:rPr>
          <w:rFonts w:asciiTheme="majorBidi" w:hAnsiTheme="majorBidi" w:cstheme="majorBidi"/>
          <w:sz w:val="24"/>
          <w:szCs w:val="24"/>
          <w:lang w:val="en-GB"/>
        </w:rPr>
        <w:t>Methodology of security assessment in telecommunications/ICT network.</w:t>
      </w:r>
    </w:p>
    <w:p w14:paraId="6EA62E51" w14:textId="260296E9"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lang w:val="en-GB"/>
        </w:rPr>
      </w:pPr>
      <w:r w:rsidRPr="00A94875">
        <w:rPr>
          <w:rFonts w:asciiTheme="majorBidi" w:hAnsiTheme="majorBidi" w:cstheme="majorBidi"/>
          <w:b/>
          <w:bCs/>
          <w:lang w:val="en-GB"/>
        </w:rPr>
        <w:t>ITU-T X.1215 “Use Cases for Structured Threat Information Expression (STIX)”</w:t>
      </w:r>
      <w:r w:rsidRPr="00A94875">
        <w:rPr>
          <w:rFonts w:asciiTheme="majorBidi" w:hAnsiTheme="majorBidi" w:cstheme="majorBidi"/>
          <w:bCs/>
          <w:lang w:val="en-GB"/>
        </w:rPr>
        <w:t xml:space="preserve"> (under approval) provides various use cases for how the STIX language </w:t>
      </w:r>
      <w:proofErr w:type="gramStart"/>
      <w:r w:rsidRPr="00A94875">
        <w:rPr>
          <w:rFonts w:asciiTheme="majorBidi" w:hAnsiTheme="majorBidi" w:cstheme="majorBidi"/>
          <w:bCs/>
          <w:lang w:val="en-GB"/>
        </w:rPr>
        <w:t>may be used</w:t>
      </w:r>
      <w:proofErr w:type="gramEnd"/>
      <w:r w:rsidRPr="00A94875">
        <w:rPr>
          <w:rFonts w:asciiTheme="majorBidi" w:hAnsiTheme="majorBidi" w:cstheme="majorBidi"/>
          <w:bCs/>
          <w:lang w:val="en-GB"/>
        </w:rPr>
        <w:t xml:space="preserve"> to support cyber threat intelligence and information sharing. This Recommendation also describes concepts and functionality of Structured Threat Information Expression (STIX). It </w:t>
      </w:r>
      <w:proofErr w:type="gramStart"/>
      <w:r w:rsidRPr="00A94875">
        <w:rPr>
          <w:rFonts w:asciiTheme="majorBidi" w:hAnsiTheme="majorBidi" w:cstheme="majorBidi"/>
          <w:bCs/>
          <w:lang w:val="en-GB"/>
        </w:rPr>
        <w:t>is targeted</w:t>
      </w:r>
      <w:proofErr w:type="gramEnd"/>
      <w:r w:rsidRPr="00A94875">
        <w:rPr>
          <w:rFonts w:asciiTheme="majorBidi" w:hAnsiTheme="majorBidi" w:cstheme="majorBidi"/>
          <w:bCs/>
          <w:lang w:val="en-GB"/>
        </w:rPr>
        <w:t xml:space="preserve"> to support a range of use cases involved in cyber threat management, including analy</w:t>
      </w:r>
      <w:r w:rsidR="008C302E" w:rsidRPr="00A94875">
        <w:rPr>
          <w:rFonts w:asciiTheme="majorBidi" w:hAnsiTheme="majorBidi" w:cstheme="majorBidi"/>
          <w:bCs/>
          <w:lang w:val="en-GB"/>
        </w:rPr>
        <w:t>s</w:t>
      </w:r>
      <w:r w:rsidRPr="00A94875">
        <w:rPr>
          <w:rFonts w:asciiTheme="majorBidi" w:hAnsiTheme="majorBidi" w:cstheme="majorBidi"/>
          <w:bCs/>
          <w:lang w:val="en-GB"/>
        </w:rPr>
        <w:t xml:space="preserve">ing cyber threats, specifying indicator patterns for cyber threats, managing response activities, and sharing cyber threat information. Given this kind of information, a security decision </w:t>
      </w:r>
      <w:proofErr w:type="gramStart"/>
      <w:r w:rsidRPr="00A94875">
        <w:rPr>
          <w:rFonts w:asciiTheme="majorBidi" w:hAnsiTheme="majorBidi" w:cstheme="majorBidi"/>
          <w:bCs/>
          <w:lang w:val="en-GB"/>
        </w:rPr>
        <w:t>can be made</w:t>
      </w:r>
      <w:proofErr w:type="gramEnd"/>
      <w:r w:rsidRPr="00A94875">
        <w:rPr>
          <w:rFonts w:asciiTheme="majorBidi" w:hAnsiTheme="majorBidi" w:cstheme="majorBidi"/>
          <w:bCs/>
          <w:lang w:val="en-GB"/>
        </w:rPr>
        <w:t xml:space="preserve"> on how to best defend against the threat. It is intended to support both </w:t>
      </w:r>
      <w:proofErr w:type="gramStart"/>
      <w:r w:rsidRPr="00A94875">
        <w:rPr>
          <w:rFonts w:asciiTheme="majorBidi" w:hAnsiTheme="majorBidi" w:cstheme="majorBidi"/>
          <w:bCs/>
          <w:lang w:val="en-GB"/>
        </w:rPr>
        <w:t>more effective analysis</w:t>
      </w:r>
      <w:proofErr w:type="gramEnd"/>
      <w:r w:rsidRPr="00A94875">
        <w:rPr>
          <w:rFonts w:asciiTheme="majorBidi" w:hAnsiTheme="majorBidi" w:cstheme="majorBidi"/>
          <w:bCs/>
          <w:lang w:val="en-GB"/>
        </w:rPr>
        <w:t xml:space="preserve"> and the continued exchang</w:t>
      </w:r>
      <w:r w:rsidR="001F0C31" w:rsidRPr="00A94875">
        <w:rPr>
          <w:rFonts w:asciiTheme="majorBidi" w:hAnsiTheme="majorBidi" w:cstheme="majorBidi"/>
          <w:bCs/>
          <w:lang w:val="en-GB"/>
        </w:rPr>
        <w:t xml:space="preserve">e of cyber threat information. </w:t>
      </w:r>
      <w:r w:rsidRPr="00A94875">
        <w:rPr>
          <w:rFonts w:asciiTheme="majorBidi" w:hAnsiTheme="majorBidi" w:cstheme="majorBidi"/>
          <w:bCs/>
          <w:lang w:val="en-GB"/>
        </w:rPr>
        <w:t xml:space="preserve">The STIX suite of specifications </w:t>
      </w:r>
      <w:proofErr w:type="gramStart"/>
      <w:r w:rsidRPr="00A94875">
        <w:rPr>
          <w:rFonts w:asciiTheme="majorBidi" w:hAnsiTheme="majorBidi" w:cstheme="majorBidi"/>
          <w:bCs/>
          <w:lang w:val="en-GB"/>
        </w:rPr>
        <w:t>is maintained</w:t>
      </w:r>
      <w:proofErr w:type="gramEnd"/>
      <w:r w:rsidRPr="00A94875">
        <w:rPr>
          <w:rFonts w:asciiTheme="majorBidi" w:hAnsiTheme="majorBidi" w:cstheme="majorBidi"/>
          <w:bCs/>
          <w:lang w:val="en-GB"/>
        </w:rPr>
        <w:t xml:space="preserve"> under the responsibility of OASIS. See </w:t>
      </w:r>
      <w:hyperlink r:id="rId159" w:history="1">
        <w:r w:rsidRPr="00A94875">
          <w:rPr>
            <w:rStyle w:val="Hyperlink"/>
            <w:rFonts w:asciiTheme="majorBidi" w:hAnsiTheme="majorBidi" w:cstheme="majorBidi"/>
            <w:bCs/>
            <w:lang w:val="en-GB"/>
          </w:rPr>
          <w:t>https://www.oasis-open.org/committees/tc_home.php?wg_abbrev=cti</w:t>
        </w:r>
      </w:hyperlink>
    </w:p>
    <w:p w14:paraId="784BDEF2"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lang w:val="en-GB"/>
        </w:rPr>
      </w:pPr>
      <w:r w:rsidRPr="00A94875">
        <w:rPr>
          <w:rFonts w:asciiTheme="majorBidi" w:hAnsiTheme="majorBidi" w:cstheme="majorBidi"/>
          <w:b/>
          <w:bCs/>
          <w:lang w:val="en-GB"/>
        </w:rPr>
        <w:t>ITU-T X.1249 "Technical framework for countering mobile in-application advertising spam"</w:t>
      </w:r>
      <w:r w:rsidRPr="00A94875">
        <w:rPr>
          <w:rFonts w:asciiTheme="majorBidi" w:hAnsiTheme="majorBidi" w:cstheme="majorBidi"/>
          <w:bCs/>
          <w:lang w:val="en-GB"/>
        </w:rPr>
        <w:t xml:space="preserve"> (under approval) provides a technical framework for countering mobile in-application advertising spam. Mobile in-application advertising spam is the sending of unsolicited advertisements, which </w:t>
      </w:r>
      <w:proofErr w:type="gramStart"/>
      <w:r w:rsidRPr="00A94875">
        <w:rPr>
          <w:rFonts w:asciiTheme="majorBidi" w:hAnsiTheme="majorBidi" w:cstheme="majorBidi"/>
          <w:bCs/>
          <w:lang w:val="en-GB"/>
        </w:rPr>
        <w:t>are displayed</w:t>
      </w:r>
      <w:proofErr w:type="gramEnd"/>
      <w:r w:rsidRPr="00A94875">
        <w:rPr>
          <w:rFonts w:asciiTheme="majorBidi" w:hAnsiTheme="majorBidi" w:cstheme="majorBidi"/>
          <w:bCs/>
          <w:lang w:val="en-GB"/>
        </w:rPr>
        <w:t xml:space="preserve"> within a mobile phone application. These unsolicited messages can appear on the display screen of a mobile device as a banner at the top or bottom of the screen, a mobile interstitial, or an overlay. Along with the rapidly increasing development of mobile applications, mobile in-application advertisement has been surging dramatically. Filtering unwanted or malicious advertisements is urgently needed regarding to the user experience and even security. Although many countermeasures have been proposed and implemented, they all suffer from limitations or drawbacks, and users still face a high volume and a high portion of mobile in-application advertising spam. Therefore, it is necessary to establish a practical framework for countering mobile in-application advertising spam, which can reasonably integrate the advantages of all countermeasures.</w:t>
      </w:r>
    </w:p>
    <w:p w14:paraId="11B4DE22"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lang w:val="en-GB"/>
        </w:rPr>
      </w:pPr>
      <w:r w:rsidRPr="00A94875">
        <w:rPr>
          <w:rFonts w:asciiTheme="majorBidi" w:hAnsiTheme="majorBidi" w:cstheme="majorBidi"/>
          <w:b/>
          <w:bCs/>
          <w:lang w:val="en-GB"/>
        </w:rPr>
        <w:t>ITU-T X.1276 “Authentication Step-Up Protocol and Metadata Version 1.0”:</w:t>
      </w:r>
      <w:r w:rsidRPr="00A94875">
        <w:rPr>
          <w:rFonts w:asciiTheme="majorBidi" w:hAnsiTheme="majorBidi" w:cstheme="majorBidi"/>
          <w:bCs/>
          <w:lang w:val="en-GB"/>
        </w:rPr>
        <w:t xml:space="preserve"> Electronic Identity Credential Trust Elevation Methods </w:t>
      </w:r>
      <w:proofErr w:type="gramStart"/>
      <w:r w:rsidRPr="00A94875">
        <w:rPr>
          <w:rFonts w:asciiTheme="majorBidi" w:hAnsiTheme="majorBidi" w:cstheme="majorBidi"/>
          <w:bCs/>
          <w:lang w:val="en-GB"/>
        </w:rPr>
        <w:t>are used</w:t>
      </w:r>
      <w:proofErr w:type="gramEnd"/>
      <w:r w:rsidRPr="00A94875">
        <w:rPr>
          <w:rFonts w:asciiTheme="majorBidi" w:hAnsiTheme="majorBidi" w:cstheme="majorBidi"/>
          <w:bCs/>
          <w:lang w:val="en-GB"/>
        </w:rPr>
        <w:t xml:space="preserve"> to increase assurance in entity identification using authentication events and related entity information for the purpose of risk mitigation when making access control policy decisions. The goals of this Recommendation are:</w:t>
      </w:r>
    </w:p>
    <w:p w14:paraId="62BA6756"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To propose simple Trust Elevation architectural patterns demonstrating the use of Trust Elevation in modern Access Control architectures.</w:t>
      </w:r>
    </w:p>
    <w:p w14:paraId="241B35CC"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lang w:val="en-GB"/>
        </w:rPr>
      </w:pPr>
      <w:r w:rsidRPr="00A94875">
        <w:rPr>
          <w:rFonts w:asciiTheme="majorBidi" w:hAnsiTheme="majorBidi" w:cstheme="majorBidi"/>
          <w:bCs/>
          <w:lang w:val="en-GB"/>
        </w:rPr>
        <w:t>–</w:t>
      </w:r>
      <w:r w:rsidRPr="00A94875">
        <w:rPr>
          <w:rFonts w:asciiTheme="majorBidi" w:hAnsiTheme="majorBidi" w:cstheme="majorBidi"/>
          <w:bCs/>
          <w:lang w:val="en-GB"/>
        </w:rPr>
        <w:tab/>
        <w:t>To describe a common metadata set mechanisms and protocol elements for Trust Elevation information exchanges.</w:t>
      </w:r>
    </w:p>
    <w:p w14:paraId="42EB87A2"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highlight w:val="yellow"/>
          <w:lang w:val="en-GB"/>
        </w:rPr>
      </w:pPr>
      <w:r w:rsidRPr="00A94875">
        <w:rPr>
          <w:rFonts w:asciiTheme="majorBidi" w:hAnsiTheme="majorBidi" w:cstheme="majorBidi"/>
          <w:bCs/>
          <w:lang w:val="en-GB"/>
        </w:rPr>
        <w:t>–</w:t>
      </w:r>
      <w:r w:rsidRPr="00A94875">
        <w:rPr>
          <w:rFonts w:asciiTheme="majorBidi" w:hAnsiTheme="majorBidi" w:cstheme="majorBidi"/>
          <w:bCs/>
          <w:lang w:val="en-GB"/>
        </w:rPr>
        <w:tab/>
        <w:t>To promote the use of Trust Elevation elements to facilitate standardization among the many technologies and approaches currently in use for credential &amp; authentication risk mitigation.</w:t>
      </w:r>
    </w:p>
    <w:p w14:paraId="60BF385A"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lang w:val="en-GB"/>
        </w:rPr>
      </w:pPr>
      <w:r w:rsidRPr="00A94875">
        <w:rPr>
          <w:rFonts w:asciiTheme="majorBidi" w:hAnsiTheme="majorBidi" w:cstheme="majorBidi"/>
          <w:b/>
          <w:bCs/>
          <w:lang w:val="en-GB"/>
        </w:rPr>
        <w:t>ITU-T X.1277 “FIDO Universal Authentication Framework (UAF)”</w:t>
      </w:r>
      <w:r w:rsidRPr="00A94875">
        <w:rPr>
          <w:rFonts w:asciiTheme="majorBidi" w:hAnsiTheme="majorBidi" w:cstheme="majorBidi"/>
          <w:bCs/>
          <w:lang w:val="en-GB"/>
        </w:rPr>
        <w:t xml:space="preserve"> (under approval) enables online services and websites, whether on the open Internet or within enterprises, to transparently leverage native security features of end-user computing devices for strong user authentication and to reduce the problems associated with creating and remembering many online credentials.</w:t>
      </w:r>
    </w:p>
    <w:p w14:paraId="22E1C11E"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lang w:val="en-GB"/>
        </w:rPr>
      </w:pPr>
      <w:r w:rsidRPr="00A94875">
        <w:rPr>
          <w:rFonts w:asciiTheme="majorBidi" w:hAnsiTheme="majorBidi" w:cstheme="majorBidi"/>
          <w:b/>
          <w:bCs/>
          <w:lang w:val="en-GB"/>
        </w:rPr>
        <w:t>ITU-T X.1278 “Client To Authenticator Protocol/Universal 2-factor framework”</w:t>
      </w:r>
      <w:r w:rsidRPr="00A94875">
        <w:rPr>
          <w:rFonts w:asciiTheme="majorBidi" w:hAnsiTheme="majorBidi" w:cstheme="majorBidi"/>
          <w:bCs/>
          <w:lang w:val="en-GB"/>
        </w:rPr>
        <w:t xml:space="preserve"> (under approval) describes an application layer protocol for communication between an external authenticator and another client/platform, as well as bindings of this application protocol to a variety of transport protocols using different physical media.</w:t>
      </w:r>
    </w:p>
    <w:p w14:paraId="49BA6F5E"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lang w:val="en-GB"/>
        </w:rPr>
      </w:pPr>
      <w:r w:rsidRPr="00A94875">
        <w:rPr>
          <w:rFonts w:asciiTheme="majorBidi" w:hAnsiTheme="majorBidi" w:cstheme="majorBidi"/>
          <w:b/>
          <w:bCs/>
          <w:lang w:val="en-GB"/>
        </w:rPr>
        <w:lastRenderedPageBreak/>
        <w:t>ITU-T X.1331 “Security guidelines for home area network (HAN) devices in smart grid systems”</w:t>
      </w:r>
      <w:r w:rsidRPr="00A94875">
        <w:rPr>
          <w:rFonts w:asciiTheme="majorBidi" w:hAnsiTheme="majorBidi" w:cstheme="majorBidi"/>
          <w:lang w:val="en-GB"/>
        </w:rPr>
        <w:t xml:space="preserve"> will provide threat analysis of the HAN in the smart grids, security requirements, and security functions. Since the role and functions of each HAN device are different, the security requirements and security functions by devices </w:t>
      </w:r>
      <w:proofErr w:type="gramStart"/>
      <w:r w:rsidRPr="00A94875">
        <w:rPr>
          <w:rFonts w:asciiTheme="majorBidi" w:hAnsiTheme="majorBidi" w:cstheme="majorBidi"/>
          <w:lang w:val="en-GB"/>
        </w:rPr>
        <w:t>are provided</w:t>
      </w:r>
      <w:proofErr w:type="gramEnd"/>
      <w:r w:rsidRPr="00A94875">
        <w:rPr>
          <w:rFonts w:asciiTheme="majorBidi" w:hAnsiTheme="majorBidi" w:cstheme="majorBidi"/>
          <w:lang w:val="en-GB"/>
        </w:rPr>
        <w:t>.</w:t>
      </w:r>
    </w:p>
    <w:p w14:paraId="104F5054"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lang w:val="en-GB"/>
        </w:rPr>
      </w:pPr>
      <w:r w:rsidRPr="00A94875">
        <w:rPr>
          <w:rFonts w:asciiTheme="majorBidi" w:hAnsiTheme="majorBidi" w:cstheme="majorBidi"/>
          <w:b/>
          <w:bCs/>
          <w:lang w:val="en-GB"/>
        </w:rPr>
        <w:t>ITU-T X.1361 "Security framework for the Internet of things based on the gateway model"</w:t>
      </w:r>
      <w:r w:rsidRPr="00A94875">
        <w:rPr>
          <w:rFonts w:asciiTheme="majorBidi" w:hAnsiTheme="majorBidi" w:cstheme="majorBidi"/>
          <w:bCs/>
          <w:lang w:val="en-GB"/>
        </w:rPr>
        <w:t xml:space="preserve"> describes a security framework for the Internet of things (</w:t>
      </w:r>
      <w:proofErr w:type="spellStart"/>
      <w:r w:rsidRPr="00A94875">
        <w:rPr>
          <w:rFonts w:asciiTheme="majorBidi" w:hAnsiTheme="majorBidi" w:cstheme="majorBidi"/>
          <w:bCs/>
          <w:lang w:val="en-GB"/>
        </w:rPr>
        <w:t>IoT</w:t>
      </w:r>
      <w:proofErr w:type="spellEnd"/>
      <w:r w:rsidRPr="00A94875">
        <w:rPr>
          <w:rFonts w:asciiTheme="majorBidi" w:hAnsiTheme="majorBidi" w:cstheme="majorBidi"/>
          <w:bCs/>
          <w:lang w:val="en-GB"/>
        </w:rPr>
        <w:t xml:space="preserve">) using security gateways. This Recommendation analyses security threats and challenges in an </w:t>
      </w:r>
      <w:proofErr w:type="spellStart"/>
      <w:r w:rsidRPr="00A94875">
        <w:rPr>
          <w:rFonts w:asciiTheme="majorBidi" w:hAnsiTheme="majorBidi" w:cstheme="majorBidi"/>
          <w:bCs/>
          <w:lang w:val="en-GB"/>
        </w:rPr>
        <w:t>IoT</w:t>
      </w:r>
      <w:proofErr w:type="spellEnd"/>
      <w:r w:rsidRPr="00A94875">
        <w:rPr>
          <w:rFonts w:asciiTheme="majorBidi" w:hAnsiTheme="majorBidi" w:cstheme="majorBidi"/>
          <w:bCs/>
          <w:lang w:val="en-GB"/>
        </w:rPr>
        <w:t xml:space="preserve"> environment, and describes capabilities that could address and mitigate these threats and challenges. A framework methodology </w:t>
      </w:r>
      <w:proofErr w:type="gramStart"/>
      <w:r w:rsidRPr="00A94875">
        <w:rPr>
          <w:rFonts w:asciiTheme="majorBidi" w:hAnsiTheme="majorBidi" w:cstheme="majorBidi"/>
          <w:bCs/>
          <w:lang w:val="en-GB"/>
        </w:rPr>
        <w:t>is provided</w:t>
      </w:r>
      <w:proofErr w:type="gramEnd"/>
      <w:r w:rsidRPr="00A94875">
        <w:rPr>
          <w:rFonts w:asciiTheme="majorBidi" w:hAnsiTheme="majorBidi" w:cstheme="majorBidi"/>
          <w:bCs/>
          <w:lang w:val="en-GB"/>
        </w:rPr>
        <w:t xml:space="preserve"> for determining which security capabilities are required for mitigating and addressing these threats and challenges for the </w:t>
      </w:r>
      <w:proofErr w:type="spellStart"/>
      <w:r w:rsidRPr="00A94875">
        <w:rPr>
          <w:rFonts w:asciiTheme="majorBidi" w:hAnsiTheme="majorBidi" w:cstheme="majorBidi"/>
          <w:bCs/>
          <w:lang w:val="en-GB"/>
        </w:rPr>
        <w:t>IoT</w:t>
      </w:r>
      <w:proofErr w:type="spellEnd"/>
      <w:r w:rsidRPr="00A94875">
        <w:rPr>
          <w:rFonts w:asciiTheme="majorBidi" w:hAnsiTheme="majorBidi" w:cstheme="majorBidi"/>
          <w:bCs/>
          <w:lang w:val="en-GB"/>
        </w:rPr>
        <w:t>.</w:t>
      </w:r>
    </w:p>
    <w:p w14:paraId="4DC95E90" w14:textId="158337CC"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lang w:val="en-GB"/>
        </w:rPr>
      </w:pPr>
      <w:r w:rsidRPr="00A94875">
        <w:rPr>
          <w:rFonts w:asciiTheme="majorBidi" w:hAnsiTheme="majorBidi" w:cstheme="majorBidi"/>
          <w:b/>
          <w:bCs/>
          <w:lang w:val="en-GB"/>
        </w:rPr>
        <w:t>ITU-T X.1450 “Guidelines on hybrid authentication and key management mechanisms in the client-server model”</w:t>
      </w:r>
      <w:r w:rsidRPr="00A94875">
        <w:rPr>
          <w:rFonts w:asciiTheme="majorBidi" w:hAnsiTheme="majorBidi" w:cstheme="majorBidi"/>
          <w:bCs/>
          <w:lang w:val="en-GB"/>
        </w:rPr>
        <w:t xml:space="preserve"> </w:t>
      </w:r>
      <w:r w:rsidR="0096555C" w:rsidRPr="00A94875">
        <w:rPr>
          <w:rFonts w:eastAsia="MS Mincho"/>
          <w:color w:val="000000"/>
          <w:lang w:val="en-GB"/>
        </w:rPr>
        <w:t xml:space="preserve">provides guidelines for </w:t>
      </w:r>
      <w:r w:rsidR="0096555C" w:rsidRPr="00A94875">
        <w:rPr>
          <w:rFonts w:eastAsia="MS Mincho"/>
          <w:color w:val="000000"/>
          <w:lang w:val="en-GB" w:eastAsia="ko-KR"/>
        </w:rPr>
        <w:t>hybrid</w:t>
      </w:r>
      <w:r w:rsidR="0096555C" w:rsidRPr="00A94875">
        <w:rPr>
          <w:rFonts w:eastAsia="MS Mincho"/>
          <w:color w:val="000000"/>
          <w:spacing w:val="-6"/>
          <w:lang w:val="en-GB"/>
        </w:rPr>
        <w:t xml:space="preserve"> authentication and key exchange mechanism</w:t>
      </w:r>
      <w:r w:rsidR="0096555C" w:rsidRPr="00A94875">
        <w:rPr>
          <w:rFonts w:eastAsia="Malgun Gothic"/>
          <w:color w:val="000000"/>
          <w:spacing w:val="-6"/>
          <w:lang w:val="en-GB" w:eastAsia="ko-KR"/>
        </w:rPr>
        <w:t>s</w:t>
      </w:r>
      <w:r w:rsidR="0096555C" w:rsidRPr="00A94875">
        <w:rPr>
          <w:rFonts w:eastAsia="MS Mincho"/>
          <w:color w:val="000000"/>
          <w:spacing w:val="-6"/>
          <w:lang w:val="en-GB"/>
        </w:rPr>
        <w:t xml:space="preserve"> </w:t>
      </w:r>
      <w:r w:rsidR="0096555C" w:rsidRPr="00A94875">
        <w:rPr>
          <w:rFonts w:eastAsia="Malgun Gothic"/>
          <w:color w:val="000000"/>
          <w:spacing w:val="-6"/>
          <w:lang w:val="en-GB" w:eastAsia="ko-KR"/>
        </w:rPr>
        <w:t>in client-server model</w:t>
      </w:r>
      <w:r w:rsidR="0096555C" w:rsidRPr="00A94875">
        <w:rPr>
          <w:rFonts w:eastAsia="MS Mincho"/>
          <w:color w:val="000000"/>
          <w:lang w:val="en-GB"/>
        </w:rPr>
        <w:t xml:space="preserve">. </w:t>
      </w:r>
      <w:r w:rsidR="0096555C" w:rsidRPr="00A94875">
        <w:rPr>
          <w:rFonts w:eastAsia="Malgun Gothic"/>
          <w:lang w:val="en-GB" w:eastAsia="ko-KR"/>
        </w:rPr>
        <w:t>The underlying mechanism suggests the use of shared secrets and public key techniques for authentication and key exchange. This Recommendation covers service scenarios, and security threats and methods to mitigate such attacks</w:t>
      </w:r>
      <w:r w:rsidRPr="00A94875">
        <w:rPr>
          <w:rFonts w:asciiTheme="majorBidi" w:hAnsiTheme="majorBidi" w:cstheme="majorBidi"/>
          <w:bCs/>
          <w:lang w:val="en-GB"/>
        </w:rPr>
        <w:t>.</w:t>
      </w:r>
    </w:p>
    <w:p w14:paraId="413D8F0F"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highlight w:val="yellow"/>
          <w:lang w:val="en-GB"/>
        </w:rPr>
      </w:pPr>
      <w:r w:rsidRPr="00A94875">
        <w:rPr>
          <w:rFonts w:asciiTheme="majorBidi" w:hAnsiTheme="majorBidi" w:cstheme="majorBidi"/>
          <w:b/>
          <w:bCs/>
          <w:lang w:val="en-GB"/>
        </w:rPr>
        <w:t>ITU-T X.1500 Amd.12 “Overview of cybersecurity information exchange (CYBEX)”</w:t>
      </w:r>
      <w:r w:rsidRPr="00A94875">
        <w:rPr>
          <w:rFonts w:asciiTheme="majorBidi" w:hAnsiTheme="majorBidi" w:cstheme="majorBidi"/>
          <w:bCs/>
          <w:lang w:val="en-GB"/>
        </w:rPr>
        <w:t xml:space="preserve"> provides a list of structured cybersecurity information techniques that </w:t>
      </w:r>
      <w:proofErr w:type="gramStart"/>
      <w:r w:rsidRPr="00A94875">
        <w:rPr>
          <w:rFonts w:asciiTheme="majorBidi" w:hAnsiTheme="majorBidi" w:cstheme="majorBidi"/>
          <w:bCs/>
          <w:lang w:val="en-GB"/>
        </w:rPr>
        <w:t>have been created to be continually updated</w:t>
      </w:r>
      <w:proofErr w:type="gramEnd"/>
      <w:r w:rsidRPr="00A94875">
        <w:rPr>
          <w:rFonts w:asciiTheme="majorBidi" w:hAnsiTheme="majorBidi" w:cstheme="majorBidi"/>
          <w:bCs/>
          <w:lang w:val="en-GB"/>
        </w:rPr>
        <w:t xml:space="preserve"> as these techniques evolve, expand, are newly identified or are replaced. The list follows the outline provided in the body of the Recommendation. This amendment reflects the situation of recommended techniques as of March 2018, including bibliographical references.</w:t>
      </w:r>
    </w:p>
    <w:p w14:paraId="71A5F6A2"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lang w:val="en-GB"/>
        </w:rPr>
      </w:pPr>
      <w:r w:rsidRPr="00A94875">
        <w:rPr>
          <w:rFonts w:asciiTheme="majorBidi" w:hAnsiTheme="majorBidi" w:cstheme="majorBidi"/>
          <w:b/>
          <w:bCs/>
          <w:lang w:val="en-GB"/>
        </w:rPr>
        <w:t xml:space="preserve">ITU-T X.1603 “Data security requirements for the monitoring service of cloud computing” </w:t>
      </w:r>
      <w:r w:rsidRPr="00A94875">
        <w:rPr>
          <w:rFonts w:asciiTheme="majorBidi" w:hAnsiTheme="majorBidi" w:cstheme="majorBidi"/>
          <w:lang w:val="en-GB"/>
        </w:rPr>
        <w:t>analyses data security requirements for the monitoring service of cloud computing which include monitoring data scope requirements, monitoring data lifecycle, security requirements of monitoring data acquisition and security requirements of monitoring data storage. Monitoring data scope requirements include the necessary monitoring scope that cloud service providers (CSPs) should provide to maintain the cloud security and the biggest monitoring scope of CSPs. Monitoring data lifecycle includes data creation, data store, data use, data migrate, data present, data destroy and data backup. Monitoring acquisition determines the security requirements of the acquisition techniques of monitoring service. Monitoring data storage determines the security requirements for CSPs to store the monitoring data.</w:t>
      </w:r>
    </w:p>
    <w:p w14:paraId="06F389EF"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Cs/>
          <w:highlight w:val="yellow"/>
          <w:lang w:val="en-GB"/>
        </w:rPr>
      </w:pPr>
      <w:r w:rsidRPr="00A94875">
        <w:rPr>
          <w:rFonts w:asciiTheme="majorBidi" w:hAnsiTheme="majorBidi" w:cstheme="majorBidi"/>
          <w:b/>
          <w:bCs/>
          <w:lang w:val="en-GB"/>
        </w:rPr>
        <w:t>ITU-T X.Supp1.13 (revised) Supplement 13 to ITU-T X-series Recommendations - ITU-T X.1051 “Supplement on Users’ guide for information security controls in telecommunications organizations”</w:t>
      </w:r>
      <w:r w:rsidRPr="00A94875">
        <w:rPr>
          <w:rFonts w:asciiTheme="majorBidi" w:hAnsiTheme="majorBidi" w:cstheme="majorBidi"/>
          <w:bCs/>
          <w:lang w:val="en-GB"/>
        </w:rPr>
        <w:t xml:space="preserve"> provides interpretable guidance for users of Recommendation ITU-T X.1051. This Supplement gives additional explanations and further implementation guidance for each clause and control specified in Recommendation ITU-T X.1051.</w:t>
      </w:r>
    </w:p>
    <w:p w14:paraId="47FF4AA6"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lang w:val="en-GB"/>
        </w:rPr>
      </w:pPr>
      <w:r w:rsidRPr="00A94875">
        <w:rPr>
          <w:rFonts w:asciiTheme="majorBidi" w:hAnsiTheme="majorBidi" w:cstheme="majorBidi"/>
          <w:b/>
          <w:lang w:val="en-GB"/>
        </w:rPr>
        <w:t>ITU-T X.Suppl.32 “Code of practice for personally identifiable information protection based on ITU-T X.1058 for telecommunications organizations”</w:t>
      </w:r>
      <w:r w:rsidRPr="00A94875">
        <w:rPr>
          <w:rFonts w:asciiTheme="majorBidi" w:hAnsiTheme="majorBidi" w:cstheme="majorBidi"/>
          <w:lang w:val="en-GB"/>
        </w:rPr>
        <w:t xml:space="preserve"> aims to complement the information provided in ITU-T X.1058 by providing additional implementation guidance for Personally Identifiable Information (PII) protection, which </w:t>
      </w:r>
      <w:proofErr w:type="gramStart"/>
      <w:r w:rsidRPr="00A94875">
        <w:rPr>
          <w:rFonts w:asciiTheme="majorBidi" w:hAnsiTheme="majorBidi" w:cstheme="majorBidi"/>
          <w:lang w:val="en-GB"/>
        </w:rPr>
        <w:t>are not described</w:t>
      </w:r>
      <w:proofErr w:type="gramEnd"/>
      <w:r w:rsidRPr="00A94875">
        <w:rPr>
          <w:rFonts w:asciiTheme="majorBidi" w:hAnsiTheme="majorBidi" w:cstheme="majorBidi"/>
          <w:lang w:val="en-GB"/>
        </w:rPr>
        <w:t xml:space="preserve"> in ITU-T X.1058, but should further be applicable to telecommunications organizations to address PII protection.</w:t>
      </w:r>
    </w:p>
    <w:p w14:paraId="27DF9E52"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lang w:val="en-GB"/>
        </w:rPr>
      </w:pPr>
      <w:r w:rsidRPr="00A94875">
        <w:rPr>
          <w:rFonts w:asciiTheme="majorBidi" w:hAnsiTheme="majorBidi" w:cstheme="majorBidi"/>
          <w:lang w:val="en-GB"/>
        </w:rPr>
        <w:t>The number of telecommunications organizations processing PII is on the rise. Accordingly, expectations for the protection of PII are also increasing.</w:t>
      </w:r>
    </w:p>
    <w:p w14:paraId="48C9655D"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lang w:val="en-GB"/>
        </w:rPr>
      </w:pPr>
      <w:r w:rsidRPr="00A94875">
        <w:rPr>
          <w:rFonts w:asciiTheme="majorBidi" w:hAnsiTheme="majorBidi" w:cstheme="majorBidi"/>
          <w:lang w:val="en-GB"/>
        </w:rPr>
        <w:t>The protection of PII is driving the need for a set of additional controls and implementation guidance for PII protection, which are applicable to telecommunications organizations. The guidance presented in this Supplement are additions to those described in ITU-T X.1058.</w:t>
      </w:r>
    </w:p>
    <w:p w14:paraId="714275C0"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highlight w:val="yellow"/>
          <w:lang w:val="en-GB"/>
        </w:rPr>
      </w:pPr>
      <w:r w:rsidRPr="00A94875">
        <w:rPr>
          <w:rFonts w:asciiTheme="majorBidi" w:hAnsiTheme="majorBidi" w:cstheme="majorBidi"/>
          <w:b/>
          <w:lang w:val="en-GB"/>
        </w:rPr>
        <w:t>ITU-T X.Suppl.33 - Supplement 33 to X-series Recommendations - ITU-T X.1231 “Technical framework for countering telephone service scam”</w:t>
      </w:r>
      <w:r w:rsidRPr="00A94875">
        <w:rPr>
          <w:rFonts w:asciiTheme="majorBidi" w:hAnsiTheme="majorBidi" w:cstheme="majorBidi"/>
          <w:lang w:val="en-GB"/>
        </w:rPr>
        <w:t xml:space="preserve"> provides an overall technical framework for countering telephone service </w:t>
      </w:r>
      <w:proofErr w:type="gramStart"/>
      <w:r w:rsidRPr="00A94875">
        <w:rPr>
          <w:rFonts w:asciiTheme="majorBidi" w:hAnsiTheme="majorBidi" w:cstheme="majorBidi"/>
          <w:lang w:val="en-GB"/>
        </w:rPr>
        <w:t>scam</w:t>
      </w:r>
      <w:proofErr w:type="gramEnd"/>
      <w:r w:rsidRPr="00A94875">
        <w:rPr>
          <w:rFonts w:asciiTheme="majorBidi" w:hAnsiTheme="majorBidi" w:cstheme="majorBidi"/>
          <w:lang w:val="en-GB"/>
        </w:rPr>
        <w:t xml:space="preserve"> and related useful practices. In the framework, entity functions </w:t>
      </w:r>
      <w:r w:rsidRPr="00A94875">
        <w:rPr>
          <w:rFonts w:asciiTheme="majorBidi" w:hAnsiTheme="majorBidi" w:cstheme="majorBidi"/>
          <w:lang w:val="en-GB"/>
        </w:rPr>
        <w:lastRenderedPageBreak/>
        <w:t xml:space="preserve">and processing procedures </w:t>
      </w:r>
      <w:proofErr w:type="gramStart"/>
      <w:r w:rsidRPr="00A94875">
        <w:rPr>
          <w:rFonts w:asciiTheme="majorBidi" w:hAnsiTheme="majorBidi" w:cstheme="majorBidi"/>
          <w:lang w:val="en-GB"/>
        </w:rPr>
        <w:t>are specified</w:t>
      </w:r>
      <w:proofErr w:type="gramEnd"/>
      <w:r w:rsidRPr="00A94875">
        <w:rPr>
          <w:rFonts w:asciiTheme="majorBidi" w:hAnsiTheme="majorBidi" w:cstheme="majorBidi"/>
          <w:lang w:val="en-GB"/>
        </w:rPr>
        <w:t xml:space="preserve">. In addition, the useful practices provided in this Supplement cover most of the practices that are able to stop known telephone service </w:t>
      </w:r>
      <w:proofErr w:type="gramStart"/>
      <w:r w:rsidRPr="00A94875">
        <w:rPr>
          <w:rFonts w:asciiTheme="majorBidi" w:hAnsiTheme="majorBidi" w:cstheme="majorBidi"/>
          <w:lang w:val="en-GB"/>
        </w:rPr>
        <w:t>scam</w:t>
      </w:r>
      <w:proofErr w:type="gramEnd"/>
      <w:r w:rsidRPr="00A94875">
        <w:rPr>
          <w:rFonts w:asciiTheme="majorBidi" w:hAnsiTheme="majorBidi" w:cstheme="majorBidi"/>
          <w:lang w:val="en-GB"/>
        </w:rPr>
        <w:t xml:space="preserve"> methods. Besides, this Supplement specifies the characteristics and the source of the telephone service </w:t>
      </w:r>
      <w:proofErr w:type="gramStart"/>
      <w:r w:rsidRPr="00A94875">
        <w:rPr>
          <w:rFonts w:asciiTheme="majorBidi" w:hAnsiTheme="majorBidi" w:cstheme="majorBidi"/>
          <w:lang w:val="en-GB"/>
        </w:rPr>
        <w:t>scam</w:t>
      </w:r>
      <w:proofErr w:type="gramEnd"/>
      <w:r w:rsidRPr="00A94875">
        <w:rPr>
          <w:rFonts w:asciiTheme="majorBidi" w:hAnsiTheme="majorBidi" w:cstheme="majorBidi"/>
          <w:lang w:val="en-GB"/>
        </w:rPr>
        <w:t>, and categorizes the main methods and relevant technical requirements according to the key technologies of the telephone service scam discovering, judgment, and disposition.</w:t>
      </w:r>
    </w:p>
    <w:p w14:paraId="1DAC4635" w14:textId="77777777" w:rsidR="006944F8" w:rsidRPr="00A94875" w:rsidRDefault="006944F8" w:rsidP="006944F8">
      <w:pPr>
        <w:keepNext/>
        <w:keepLines/>
        <w:spacing w:before="240"/>
        <w:rPr>
          <w:b/>
          <w:sz w:val="22"/>
          <w:szCs w:val="22"/>
          <w:lang w:val="en-GB"/>
        </w:rPr>
      </w:pPr>
      <w:r w:rsidRPr="00A94875">
        <w:rPr>
          <w:b/>
          <w:sz w:val="22"/>
          <w:szCs w:val="22"/>
          <w:lang w:val="en-GB"/>
        </w:rPr>
        <w:t>I.5.2</w:t>
      </w:r>
      <w:r w:rsidRPr="00A94875">
        <w:rPr>
          <w:b/>
          <w:sz w:val="22"/>
          <w:szCs w:val="22"/>
          <w:lang w:val="en-GB"/>
        </w:rPr>
        <w:tab/>
        <w:t>Trust</w:t>
      </w:r>
    </w:p>
    <w:p w14:paraId="750E11AE" w14:textId="6546CB1B" w:rsidR="006944F8" w:rsidRPr="00A94875" w:rsidRDefault="006944F8" w:rsidP="006944F8">
      <w:pPr>
        <w:keepNext/>
        <w:keepLines/>
        <w:rPr>
          <w:rFonts w:asciiTheme="majorBidi" w:hAnsiTheme="majorBidi" w:cstheme="majorBidi"/>
          <w:lang w:val="en-GB"/>
        </w:rPr>
      </w:pPr>
      <w:r w:rsidRPr="00A94875">
        <w:rPr>
          <w:rFonts w:asciiTheme="majorBidi" w:hAnsiTheme="majorBidi" w:cstheme="majorBidi"/>
          <w:b/>
          <w:lang w:val="en-GB"/>
        </w:rPr>
        <w:t>ITU-T Y.3054 “Framework of trust-based media services”</w:t>
      </w:r>
      <w:r w:rsidRPr="00A94875">
        <w:rPr>
          <w:rFonts w:asciiTheme="majorBidi" w:hAnsiTheme="majorBidi" w:cstheme="majorBidi"/>
          <w:szCs w:val="24"/>
          <w:lang w:val="en-GB"/>
        </w:rPr>
        <w:t xml:space="preserve"> </w:t>
      </w:r>
      <w:r w:rsidRPr="00A94875">
        <w:rPr>
          <w:rFonts w:asciiTheme="majorBidi" w:hAnsiTheme="majorBidi" w:cstheme="majorBidi"/>
          <w:lang w:val="en-GB"/>
        </w:rPr>
        <w:t xml:space="preserve">provides a framework for trust-based media services. It identifies inherent risks in existing media services and describes the necessity of trust-based media services. After identifying functional requirements, it describes components and a functional architecture for trust-based media services. Finally, trust-based content consumption and sharing services </w:t>
      </w:r>
      <w:proofErr w:type="gramStart"/>
      <w:r w:rsidRPr="00A94875">
        <w:rPr>
          <w:rFonts w:asciiTheme="majorBidi" w:hAnsiTheme="majorBidi" w:cstheme="majorBidi"/>
          <w:lang w:val="en-GB"/>
        </w:rPr>
        <w:t>are introduced</w:t>
      </w:r>
      <w:proofErr w:type="gramEnd"/>
      <w:r w:rsidRPr="00A94875">
        <w:rPr>
          <w:rFonts w:asciiTheme="majorBidi" w:hAnsiTheme="majorBidi" w:cstheme="majorBidi"/>
          <w:lang w:val="en-GB"/>
        </w:rPr>
        <w:t xml:space="preserve"> along with a trust analysis mechanism for trust-based media services.</w:t>
      </w:r>
    </w:p>
    <w:p w14:paraId="6CBE74B7" w14:textId="4AD5B02F" w:rsidR="003718AC" w:rsidRPr="00A94875" w:rsidRDefault="003718AC" w:rsidP="006944F8">
      <w:pPr>
        <w:keepNext/>
        <w:keepLines/>
        <w:rPr>
          <w:rFonts w:asciiTheme="majorBidi" w:hAnsiTheme="majorBidi" w:cstheme="majorBidi"/>
          <w:lang w:val="en-GB"/>
        </w:rPr>
      </w:pPr>
      <w:r w:rsidRPr="00A94875">
        <w:rPr>
          <w:rFonts w:asciiTheme="majorBidi" w:hAnsiTheme="majorBidi" w:cstheme="majorBidi"/>
          <w:b/>
          <w:lang w:val="en-GB"/>
        </w:rPr>
        <w:t>ITU-T Y.3053 “</w:t>
      </w:r>
      <w:r w:rsidR="00545A32" w:rsidRPr="00A94875">
        <w:rPr>
          <w:rFonts w:asciiTheme="majorBidi" w:hAnsiTheme="majorBidi" w:cstheme="majorBidi"/>
          <w:b/>
          <w:lang w:val="en-GB"/>
        </w:rPr>
        <w:t>Trustworthy networking deployment architecture and procedure</w:t>
      </w:r>
      <w:r w:rsidRPr="00A94875">
        <w:rPr>
          <w:rFonts w:asciiTheme="majorBidi" w:hAnsiTheme="majorBidi" w:cstheme="majorBidi"/>
          <w:b/>
          <w:lang w:val="en-GB"/>
        </w:rPr>
        <w:t xml:space="preserve"> – Amendment 1”</w:t>
      </w:r>
      <w:r w:rsidRPr="00A94875">
        <w:rPr>
          <w:rFonts w:asciiTheme="majorBidi" w:hAnsiTheme="majorBidi" w:cstheme="majorBidi"/>
          <w:lang w:val="en-GB"/>
        </w:rPr>
        <w:t xml:space="preserve"> (under approval) </w:t>
      </w:r>
    </w:p>
    <w:p w14:paraId="02D4D36B" w14:textId="7F3634C9" w:rsidR="006504D4" w:rsidRPr="00A94875" w:rsidRDefault="006504D4" w:rsidP="006944F8">
      <w:pPr>
        <w:keepNext/>
        <w:keepLines/>
        <w:rPr>
          <w:rFonts w:asciiTheme="majorBidi" w:hAnsiTheme="majorBidi" w:cstheme="majorBidi"/>
          <w:lang w:val="en-GB"/>
        </w:rPr>
      </w:pPr>
      <w:r w:rsidRPr="00A94875">
        <w:rPr>
          <w:rFonts w:asciiTheme="majorBidi" w:hAnsiTheme="majorBidi" w:cstheme="majorBidi"/>
          <w:b/>
          <w:lang w:val="en-GB"/>
        </w:rPr>
        <w:t>ITU-T Y.3053 (2018) Amd.1 “Framework of trustworthy networking with trust-centric network domains: Amendment 1 - Trustworthy networking deployment architecture and procedures”</w:t>
      </w:r>
      <w:r w:rsidRPr="00A94875">
        <w:rPr>
          <w:rFonts w:asciiTheme="majorBidi" w:hAnsiTheme="majorBidi" w:cstheme="majorBidi"/>
          <w:lang w:val="en-GB"/>
        </w:rPr>
        <w:t xml:space="preserve"> (under approval) contains modifications to add trustworthy networking deployment architecture and procedures for IP networks in the Internet.</w:t>
      </w:r>
    </w:p>
    <w:p w14:paraId="37C9236B" w14:textId="77777777" w:rsidR="006944F8" w:rsidRPr="00A94875" w:rsidRDefault="006944F8" w:rsidP="006944F8">
      <w:pPr>
        <w:spacing w:before="240"/>
        <w:rPr>
          <w:b/>
          <w:sz w:val="22"/>
          <w:szCs w:val="22"/>
          <w:lang w:val="en-GB"/>
        </w:rPr>
      </w:pPr>
      <w:bookmarkStart w:id="228" w:name="_Toc480527904"/>
      <w:r w:rsidRPr="00A94875">
        <w:rPr>
          <w:b/>
          <w:sz w:val="22"/>
          <w:szCs w:val="22"/>
          <w:lang w:val="en-GB"/>
        </w:rPr>
        <w:t>I.6.1</w:t>
      </w:r>
      <w:r w:rsidRPr="00A94875">
        <w:rPr>
          <w:b/>
          <w:sz w:val="22"/>
          <w:szCs w:val="22"/>
          <w:lang w:val="en-GB"/>
        </w:rPr>
        <w:tab/>
        <w:t>Green ICT standards</w:t>
      </w:r>
      <w:bookmarkEnd w:id="228"/>
    </w:p>
    <w:p w14:paraId="3A60863B" w14:textId="69A90C06" w:rsidR="006944F8" w:rsidRPr="00A94875" w:rsidRDefault="006944F8" w:rsidP="000A0D69">
      <w:pPr>
        <w:pStyle w:val="TextA"/>
        <w:rPr>
          <w:rFonts w:asciiTheme="majorBidi" w:hAnsiTheme="majorBidi" w:cstheme="majorBidi"/>
          <w:b/>
          <w:bCs/>
          <w:lang w:val="en-GB"/>
        </w:rPr>
      </w:pPr>
      <w:r w:rsidRPr="00A94875">
        <w:rPr>
          <w:rFonts w:asciiTheme="majorBidi" w:hAnsiTheme="majorBidi" w:cstheme="majorBidi"/>
          <w:b/>
          <w:bCs/>
          <w:lang w:val="en-GB"/>
        </w:rPr>
        <w:t>ITU-T L.1015 “Criteria for evaluation of the environmental impact of mobile phones”</w:t>
      </w:r>
      <w:r w:rsidRPr="00A94875">
        <w:rPr>
          <w:rFonts w:asciiTheme="majorBidi" w:hAnsiTheme="majorBidi" w:cstheme="majorBidi"/>
          <w:bCs/>
          <w:lang w:val="en-GB"/>
        </w:rPr>
        <w:t xml:space="preserve"> (under approval) </w:t>
      </w:r>
      <w:r w:rsidR="000A0D69" w:rsidRPr="00A94875">
        <w:rPr>
          <w:lang w:val="en-GB"/>
        </w:rPr>
        <w:t xml:space="preserve">Recommendation focuses on the criteria to </w:t>
      </w:r>
      <w:proofErr w:type="gramStart"/>
      <w:r w:rsidR="000A0D69" w:rsidRPr="00A94875">
        <w:rPr>
          <w:lang w:val="en-GB"/>
        </w:rPr>
        <w:t>be used</w:t>
      </w:r>
      <w:proofErr w:type="gramEnd"/>
      <w:r w:rsidR="000A0D69" w:rsidRPr="00A94875">
        <w:rPr>
          <w:lang w:val="en-GB"/>
        </w:rPr>
        <w:t xml:space="preserve"> for evaluation of the environmental impact of mobile phones. It considers all life cycle stages of mobile phones such as the design, production, use and end of life management. The Recommendation also defines a minimum level of environmental performance. Within the constraints of technology and affordability, sustainability should be considered </w:t>
      </w:r>
      <w:proofErr w:type="gramStart"/>
      <w:r w:rsidR="000A0D69" w:rsidRPr="00A94875">
        <w:rPr>
          <w:lang w:val="en-GB"/>
        </w:rPr>
        <w:t>for:</w:t>
      </w:r>
      <w:proofErr w:type="gramEnd"/>
      <w:r w:rsidR="000A0D69" w:rsidRPr="00A94875">
        <w:rPr>
          <w:lang w:val="en-GB"/>
        </w:rPr>
        <w:t xml:space="preserve"> materials; energy use; durability, upgrade and repair operations; end of life management; packaging, corporate practice; manufacturing and operations.</w:t>
      </w:r>
    </w:p>
    <w:p w14:paraId="240A4E6A"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bCs/>
          <w:szCs w:val="24"/>
          <w:lang w:val="en-GB"/>
        </w:rPr>
        <w:t>ITU-T L.1021 “Extended producer responsibility - Guidelines for sustainable e-waste management”</w:t>
      </w:r>
      <w:r w:rsidRPr="00A94875">
        <w:rPr>
          <w:rFonts w:asciiTheme="majorBidi" w:hAnsiTheme="majorBidi" w:cstheme="majorBidi"/>
          <w:szCs w:val="24"/>
          <w:lang w:val="en-GB"/>
        </w:rPr>
        <w:t xml:space="preserve"> offers a description of the extended producer responsibility (EPR) system in dealing with e-waste. It expands on the different existing forms of EPR globally, not only in theoretical terms, but also with a practical view on their feasibility, challenges and pre-requisites. It presents the definition of the EPR system, in addition to the roles and responsibilities of the different stakeholders, the different types of EPR as well as how and why they </w:t>
      </w:r>
      <w:proofErr w:type="gramStart"/>
      <w:r w:rsidRPr="00A94875">
        <w:rPr>
          <w:rFonts w:asciiTheme="majorBidi" w:hAnsiTheme="majorBidi" w:cstheme="majorBidi"/>
          <w:szCs w:val="24"/>
          <w:lang w:val="en-GB"/>
        </w:rPr>
        <w:t>could be used</w:t>
      </w:r>
      <w:proofErr w:type="gramEnd"/>
      <w:r w:rsidRPr="00A94875">
        <w:rPr>
          <w:rFonts w:asciiTheme="majorBidi" w:hAnsiTheme="majorBidi" w:cstheme="majorBidi"/>
          <w:szCs w:val="24"/>
          <w:lang w:val="en-GB"/>
        </w:rPr>
        <w:t xml:space="preserve"> in certain contexts and not in others. The funding mechanism behind every mode and the organizational structure expected to be in place </w:t>
      </w:r>
      <w:proofErr w:type="gramStart"/>
      <w:r w:rsidRPr="00A94875">
        <w:rPr>
          <w:rFonts w:asciiTheme="majorBidi" w:hAnsiTheme="majorBidi" w:cstheme="majorBidi"/>
          <w:szCs w:val="24"/>
          <w:lang w:val="en-GB"/>
        </w:rPr>
        <w:t>are also presented</w:t>
      </w:r>
      <w:proofErr w:type="gramEnd"/>
      <w:r w:rsidRPr="00A94875">
        <w:rPr>
          <w:rFonts w:asciiTheme="majorBidi" w:hAnsiTheme="majorBidi" w:cstheme="majorBidi"/>
          <w:szCs w:val="24"/>
          <w:lang w:val="en-GB"/>
        </w:rPr>
        <w:t>. The Recommendation concludes with many best practices from the international arena including developed, developing and emerging economies, as well as the challenges faced in some cases.</w:t>
      </w:r>
    </w:p>
    <w:p w14:paraId="3A6F0F33" w14:textId="77777777" w:rsidR="006944F8" w:rsidRPr="00A94875" w:rsidRDefault="006944F8" w:rsidP="006944F8">
      <w:pPr>
        <w:pStyle w:val="NormalWeb"/>
        <w:spacing w:before="120" w:beforeAutospacing="0" w:after="0" w:afterAutospacing="0"/>
        <w:rPr>
          <w:rFonts w:asciiTheme="majorBidi" w:hAnsiTheme="majorBidi" w:cstheme="majorBidi"/>
          <w:bCs/>
          <w:lang w:val="en-GB"/>
        </w:rPr>
      </w:pPr>
      <w:r w:rsidRPr="00A94875">
        <w:rPr>
          <w:rFonts w:asciiTheme="majorBidi" w:hAnsiTheme="majorBidi" w:cstheme="majorBidi"/>
          <w:b/>
          <w:bCs/>
          <w:lang w:val="en-GB"/>
        </w:rPr>
        <w:t>ITU-T L.1030 “E-waste management framework for countries”</w:t>
      </w:r>
      <w:r w:rsidRPr="00A94875">
        <w:rPr>
          <w:rFonts w:asciiTheme="majorBidi" w:hAnsiTheme="majorBidi" w:cstheme="majorBidi"/>
          <w:bCs/>
          <w:lang w:val="en-GB"/>
        </w:rPr>
        <w:t xml:space="preserve"> provides a management framework for e-waste to countries. It summarizes the different steps that countries need to adopt in order to put in place an e-waste management system. The different steps of the e-waste management system described in this Recommendation </w:t>
      </w:r>
      <w:proofErr w:type="gramStart"/>
      <w:r w:rsidRPr="00A94875">
        <w:rPr>
          <w:rFonts w:asciiTheme="majorBidi" w:hAnsiTheme="majorBidi" w:cstheme="majorBidi"/>
          <w:bCs/>
          <w:lang w:val="en-GB"/>
        </w:rPr>
        <w:t>will be further elaborated</w:t>
      </w:r>
      <w:proofErr w:type="gramEnd"/>
      <w:r w:rsidRPr="00A94875">
        <w:rPr>
          <w:rFonts w:asciiTheme="majorBidi" w:hAnsiTheme="majorBidi" w:cstheme="majorBidi"/>
          <w:bCs/>
          <w:lang w:val="en-GB"/>
        </w:rPr>
        <w:t xml:space="preserve"> in future Recommendations. In addition, the Recommendation provides highlights concerning the environmental impact of improper handling of e-waste as well as the economic opportunities that could emerge from the sustainable management of e-waste.</w:t>
      </w:r>
    </w:p>
    <w:p w14:paraId="51A6F76F" w14:textId="68DC4F9A" w:rsidR="006944F8" w:rsidRPr="00A94875" w:rsidRDefault="006944F8" w:rsidP="006944F8">
      <w:pPr>
        <w:rPr>
          <w:lang w:val="en-GB"/>
        </w:rPr>
      </w:pPr>
      <w:r w:rsidRPr="00A94875">
        <w:rPr>
          <w:rFonts w:asciiTheme="majorBidi" w:hAnsiTheme="majorBidi" w:cstheme="majorBidi"/>
          <w:b/>
          <w:bCs/>
          <w:szCs w:val="24"/>
          <w:lang w:val="en-GB"/>
        </w:rPr>
        <w:t>ITU-T L.1031 “Guideline on Implementing the E-waste Reduction Target of the Connect2020 Agenda”</w:t>
      </w:r>
      <w:r w:rsidRPr="00A94875">
        <w:rPr>
          <w:rFonts w:asciiTheme="majorBidi" w:hAnsiTheme="majorBidi" w:cstheme="majorBidi"/>
          <w:bCs/>
          <w:szCs w:val="24"/>
          <w:lang w:val="en-GB"/>
        </w:rPr>
        <w:t xml:space="preserve"> </w:t>
      </w:r>
      <w:r w:rsidR="00532E37" w:rsidRPr="00A94875">
        <w:rPr>
          <w:lang w:val="en-GB"/>
        </w:rPr>
        <w:t xml:space="preserve">describes a three-step approach to address the e-waste reduction target of the Connect 2020 Agenda. These steps consist of guidance on developing an e-waste inventory, approaches to design e-waste prevention and reduction programs, and the supportive measures required for successfully implementing the Connect 2020 e-waste target. This Recommendation is intended to </w:t>
      </w:r>
      <w:r w:rsidR="00532E37" w:rsidRPr="00A94875">
        <w:rPr>
          <w:lang w:val="en-GB"/>
        </w:rPr>
        <w:lastRenderedPageBreak/>
        <w:t xml:space="preserve">be utilized by relevant stakeholders to take their first step in addressing Target 3.2 of the Connect 2020 </w:t>
      </w:r>
      <w:proofErr w:type="gramStart"/>
      <w:r w:rsidR="00532E37" w:rsidRPr="00A94875">
        <w:rPr>
          <w:lang w:val="en-GB"/>
        </w:rPr>
        <w:t>Agenda, that</w:t>
      </w:r>
      <w:proofErr w:type="gramEnd"/>
      <w:r w:rsidR="00532E37" w:rsidRPr="00A94875">
        <w:rPr>
          <w:lang w:val="en-GB"/>
        </w:rPr>
        <w:t xml:space="preserve"> is to reduce waste by 50% by 2020.</w:t>
      </w:r>
    </w:p>
    <w:p w14:paraId="0D6F4A59"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szCs w:val="24"/>
          <w:lang w:val="en-GB"/>
        </w:rPr>
        <w:t>ITU-T L.1207 “Progressive migration of a telecommunication/information and communication technology site to 400 VDC sources and distribution”</w:t>
      </w:r>
      <w:r w:rsidRPr="00A94875">
        <w:rPr>
          <w:rFonts w:asciiTheme="majorBidi" w:hAnsiTheme="majorBidi" w:cstheme="majorBidi"/>
          <w:szCs w:val="24"/>
          <w:lang w:val="en-GB"/>
        </w:rPr>
        <w:t xml:space="preserve"> gives explanation, requirements and guidance for boosting the spread of up to 400 V direct current (400 VDC) power systems and distribution to information and communication technology (ICT) equipment. It includes 400 VDC remote powering up to 400 VDC of distributed ICT equipment, the option of interconnection of local renewable energy sources and their connection to DC power </w:t>
      </w:r>
      <w:proofErr w:type="spellStart"/>
      <w:r w:rsidRPr="00A94875">
        <w:rPr>
          <w:rFonts w:asciiTheme="majorBidi" w:hAnsiTheme="majorBidi" w:cstheme="majorBidi"/>
          <w:szCs w:val="24"/>
          <w:lang w:val="en-GB"/>
        </w:rPr>
        <w:t>nanogrids</w:t>
      </w:r>
      <w:proofErr w:type="spellEnd"/>
      <w:r w:rsidRPr="00A94875">
        <w:rPr>
          <w:rFonts w:asciiTheme="majorBidi" w:hAnsiTheme="majorBidi" w:cstheme="majorBidi"/>
          <w:szCs w:val="24"/>
          <w:lang w:val="en-GB"/>
        </w:rPr>
        <w:t xml:space="preserve"> and other users, extending the resilience capability of the telecommunications network and ICT sites to grid failures and climate change.</w:t>
      </w:r>
    </w:p>
    <w:p w14:paraId="0183F6D4" w14:textId="193B36AA" w:rsidR="006944F8" w:rsidRPr="00A94875" w:rsidRDefault="006944F8" w:rsidP="006944F8">
      <w:pPr>
        <w:pStyle w:val="NormalWeb"/>
        <w:spacing w:before="120" w:beforeAutospacing="0" w:after="0" w:afterAutospacing="0"/>
        <w:rPr>
          <w:rFonts w:asciiTheme="majorBidi" w:eastAsia="Times New Roman" w:hAnsiTheme="majorBidi" w:cstheme="majorBidi"/>
          <w:lang w:val="en-GB" w:eastAsia="zh-CN"/>
        </w:rPr>
      </w:pPr>
      <w:r w:rsidRPr="00A94875">
        <w:rPr>
          <w:rFonts w:asciiTheme="majorBidi" w:hAnsiTheme="majorBidi" w:cstheme="majorBidi"/>
          <w:b/>
          <w:lang w:val="en-GB"/>
        </w:rPr>
        <w:t>ITU-T L.1221 “Innovative energy storage technology for stationary use - Part 2: Battery”</w:t>
      </w:r>
      <w:r w:rsidRPr="00A94875">
        <w:rPr>
          <w:rFonts w:asciiTheme="majorBidi" w:eastAsia="Times New Roman" w:hAnsiTheme="majorBidi" w:cstheme="majorBidi"/>
          <w:lang w:val="en-GB" w:eastAsia="zh-CN"/>
        </w:rPr>
        <w:t xml:space="preserve"> </w:t>
      </w:r>
      <w:r w:rsidR="00532E37" w:rsidRPr="00A94875">
        <w:rPr>
          <w:rFonts w:asciiTheme="majorBidi" w:eastAsia="Times New Roman" w:hAnsiTheme="majorBidi" w:cstheme="majorBidi"/>
          <w:lang w:val="en-GB" w:eastAsia="zh-CN"/>
        </w:rPr>
        <w:t xml:space="preserve">is the subpart </w:t>
      </w:r>
      <w:proofErr w:type="gramStart"/>
      <w:r w:rsidR="00532E37" w:rsidRPr="00A94875">
        <w:rPr>
          <w:rFonts w:asciiTheme="majorBidi" w:eastAsia="Times New Roman" w:hAnsiTheme="majorBidi" w:cstheme="majorBidi"/>
          <w:lang w:val="en-GB" w:eastAsia="zh-CN"/>
        </w:rPr>
        <w:t>2</w:t>
      </w:r>
      <w:proofErr w:type="gramEnd"/>
      <w:r w:rsidR="00532E37" w:rsidRPr="00A94875">
        <w:rPr>
          <w:rFonts w:asciiTheme="majorBidi" w:eastAsia="Times New Roman" w:hAnsiTheme="majorBidi" w:cstheme="majorBidi"/>
          <w:lang w:val="en-GB" w:eastAsia="zh-CN"/>
        </w:rPr>
        <w:t xml:space="preserve">, battery of a series of Recommendations on innovative energy storage system for stationary power system of telecom/ICT equipment used in telecom networks, </w:t>
      </w:r>
      <w:proofErr w:type="spellStart"/>
      <w:r w:rsidR="00532E37" w:rsidRPr="00A94875">
        <w:rPr>
          <w:rFonts w:asciiTheme="majorBidi" w:eastAsia="Times New Roman" w:hAnsiTheme="majorBidi" w:cstheme="majorBidi"/>
          <w:lang w:val="en-GB" w:eastAsia="zh-CN"/>
        </w:rPr>
        <w:t>datacenters</w:t>
      </w:r>
      <w:proofErr w:type="spellEnd"/>
      <w:r w:rsidR="00532E37" w:rsidRPr="00A94875">
        <w:rPr>
          <w:rFonts w:asciiTheme="majorBidi" w:eastAsia="Times New Roman" w:hAnsiTheme="majorBidi" w:cstheme="majorBidi"/>
          <w:lang w:val="en-GB" w:eastAsia="zh-CN"/>
        </w:rPr>
        <w:t xml:space="preserve"> and CPE. This subpart introduces technologies and methods for evaluating, selecting and testing battery systems for defined applications</w:t>
      </w:r>
      <w:r w:rsidRPr="00A94875">
        <w:rPr>
          <w:rFonts w:asciiTheme="majorBidi" w:eastAsia="Times New Roman" w:hAnsiTheme="majorBidi" w:cstheme="majorBidi"/>
          <w:lang w:val="en-GB" w:eastAsia="zh-CN"/>
        </w:rPr>
        <w:t>.</w:t>
      </w:r>
    </w:p>
    <w:p w14:paraId="3EA0C2DC" w14:textId="77777777" w:rsidR="006944F8" w:rsidRPr="00A94875" w:rsidRDefault="006944F8" w:rsidP="006944F8">
      <w:pPr>
        <w:pStyle w:val="NormalWeb"/>
        <w:spacing w:before="120" w:beforeAutospacing="0" w:after="0" w:afterAutospacing="0"/>
        <w:rPr>
          <w:rFonts w:asciiTheme="majorBidi" w:hAnsiTheme="majorBidi" w:cstheme="majorBidi"/>
          <w:highlight w:val="yellow"/>
          <w:lang w:val="en-GB"/>
        </w:rPr>
      </w:pPr>
      <w:r w:rsidRPr="00A94875">
        <w:rPr>
          <w:rFonts w:asciiTheme="majorBidi" w:hAnsiTheme="majorBidi" w:cstheme="majorBidi"/>
          <w:b/>
          <w:lang w:val="en-GB"/>
        </w:rPr>
        <w:t xml:space="preserve">ITU-T L.1222 “Innovative energy storage technology for stationary use - Part 3: </w:t>
      </w:r>
      <w:proofErr w:type="spellStart"/>
      <w:r w:rsidRPr="00A94875">
        <w:rPr>
          <w:rFonts w:asciiTheme="majorBidi" w:hAnsiTheme="majorBidi" w:cstheme="majorBidi"/>
          <w:b/>
          <w:lang w:val="en-GB"/>
        </w:rPr>
        <w:t>Supercapacitor</w:t>
      </w:r>
      <w:proofErr w:type="spellEnd"/>
      <w:r w:rsidRPr="00A94875">
        <w:rPr>
          <w:rFonts w:asciiTheme="majorBidi" w:hAnsiTheme="majorBidi" w:cstheme="majorBidi"/>
          <w:b/>
          <w:lang w:val="en-GB"/>
        </w:rPr>
        <w:t xml:space="preserve"> technology”</w:t>
      </w:r>
      <w:r w:rsidRPr="00A94875">
        <w:rPr>
          <w:rFonts w:asciiTheme="majorBidi" w:hAnsiTheme="majorBidi" w:cstheme="majorBidi"/>
          <w:lang w:val="en-GB"/>
        </w:rPr>
        <w:t xml:space="preserve"> contains selection criteria for telecommunication application based on main performance parameters and the methods for proper use. In addition, some use cases and examples </w:t>
      </w:r>
      <w:proofErr w:type="gramStart"/>
      <w:r w:rsidRPr="00A94875">
        <w:rPr>
          <w:rFonts w:asciiTheme="majorBidi" w:hAnsiTheme="majorBidi" w:cstheme="majorBidi"/>
          <w:lang w:val="en-GB"/>
        </w:rPr>
        <w:t>are given</w:t>
      </w:r>
      <w:proofErr w:type="gramEnd"/>
      <w:r w:rsidRPr="00A94875">
        <w:rPr>
          <w:rFonts w:asciiTheme="majorBidi" w:hAnsiTheme="majorBidi" w:cstheme="majorBidi"/>
          <w:lang w:val="en-GB"/>
        </w:rPr>
        <w:t xml:space="preserve"> in an Appendix to help users.</w:t>
      </w:r>
    </w:p>
    <w:p w14:paraId="38605355" w14:textId="6D2392FA" w:rsidR="006944F8" w:rsidRPr="00A94875" w:rsidRDefault="006944F8" w:rsidP="006944F8">
      <w:pPr>
        <w:pStyle w:val="NormalWeb"/>
        <w:spacing w:before="120" w:beforeAutospacing="0" w:after="0" w:afterAutospacing="0"/>
        <w:rPr>
          <w:rFonts w:asciiTheme="majorBidi" w:hAnsiTheme="majorBidi" w:cstheme="majorBidi"/>
          <w:lang w:val="en-GB"/>
        </w:rPr>
      </w:pPr>
      <w:r w:rsidRPr="00A94875">
        <w:rPr>
          <w:rFonts w:asciiTheme="majorBidi" w:eastAsia="MS Mincho" w:hAnsiTheme="majorBidi" w:cstheme="majorBidi"/>
          <w:b/>
          <w:bCs/>
          <w:szCs w:val="20"/>
          <w:lang w:val="en-GB"/>
        </w:rPr>
        <w:t>ITU-T L.1303 “Functional requirements and framework of green data centre energy-saving management system”</w:t>
      </w:r>
      <w:r w:rsidRPr="00A94875">
        <w:rPr>
          <w:rFonts w:asciiTheme="majorBidi" w:hAnsiTheme="majorBidi" w:cstheme="majorBidi"/>
          <w:lang w:val="en-GB"/>
        </w:rPr>
        <w:t xml:space="preserve"> </w:t>
      </w:r>
      <w:r w:rsidR="00886599" w:rsidRPr="00A94875">
        <w:rPr>
          <w:rFonts w:asciiTheme="majorBidi" w:hAnsiTheme="majorBidi" w:cstheme="majorBidi"/>
          <w:lang w:val="en-GB"/>
        </w:rPr>
        <w:t xml:space="preserve">describes functional requirements and framework of energy-saving management system for green data centre. Functional requirements of energy-saving management includes requirements for measuring energy consumption and environmental condition, collecting and storing data, reporting data, and conducting energy-saving. The energy-saving management system consists of following functional blocks: data collecting block; data storing block; data process and analysis block; external system interfacing block; user interface block; control block. Operational flow the energy-saving management system </w:t>
      </w:r>
      <w:proofErr w:type="gramStart"/>
      <w:r w:rsidR="00886599" w:rsidRPr="00A94875">
        <w:rPr>
          <w:rFonts w:asciiTheme="majorBidi" w:hAnsiTheme="majorBidi" w:cstheme="majorBidi"/>
          <w:lang w:val="en-GB"/>
        </w:rPr>
        <w:t>is also provided</w:t>
      </w:r>
      <w:proofErr w:type="gramEnd"/>
      <w:r w:rsidRPr="00A94875">
        <w:rPr>
          <w:rFonts w:asciiTheme="majorBidi" w:hAnsiTheme="majorBidi" w:cstheme="majorBidi"/>
          <w:lang w:val="en-GB"/>
        </w:rPr>
        <w:t>.</w:t>
      </w:r>
    </w:p>
    <w:p w14:paraId="6269A7E9" w14:textId="77777777" w:rsidR="006944F8" w:rsidRPr="00A94875" w:rsidRDefault="006944F8" w:rsidP="006944F8">
      <w:pPr>
        <w:pStyle w:val="NormalWeb"/>
        <w:spacing w:before="12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
          <w:bCs/>
          <w:szCs w:val="20"/>
          <w:lang w:val="en-GB"/>
        </w:rPr>
        <w:t>ITU-T L.1351 “Base station site energy efficiency measurement methodology”</w:t>
      </w:r>
      <w:r w:rsidRPr="00A94875">
        <w:rPr>
          <w:rFonts w:asciiTheme="majorBidi" w:eastAsia="MS Mincho" w:hAnsiTheme="majorBidi" w:cstheme="majorBidi"/>
          <w:bCs/>
          <w:szCs w:val="20"/>
          <w:lang w:val="en-GB"/>
        </w:rPr>
        <w:t xml:space="preserve"> describes and establishes requirements for energy efficiency measurements applicable to base station sites. This Recommendation describes:</w:t>
      </w:r>
    </w:p>
    <w:p w14:paraId="0A5B9327" w14:textId="77777777" w:rsidR="006944F8" w:rsidRPr="00A94875" w:rsidRDefault="006944F8" w:rsidP="009261B2">
      <w:pPr>
        <w:pStyle w:val="NormalWeb"/>
        <w:numPr>
          <w:ilvl w:val="0"/>
          <w:numId w:val="15"/>
        </w:numPr>
        <w:spacing w:before="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Measurement points definitions</w:t>
      </w:r>
    </w:p>
    <w:p w14:paraId="7628FC28" w14:textId="77777777" w:rsidR="006944F8" w:rsidRPr="00A94875" w:rsidRDefault="006944F8" w:rsidP="009261B2">
      <w:pPr>
        <w:pStyle w:val="NormalWeb"/>
        <w:numPr>
          <w:ilvl w:val="0"/>
          <w:numId w:val="15"/>
        </w:numPr>
        <w:spacing w:before="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Conditions of measurement</w:t>
      </w:r>
    </w:p>
    <w:p w14:paraId="1D5E8531" w14:textId="77777777" w:rsidR="006944F8" w:rsidRPr="00A94875" w:rsidRDefault="006944F8" w:rsidP="009261B2">
      <w:pPr>
        <w:pStyle w:val="NormalWeb"/>
        <w:numPr>
          <w:ilvl w:val="0"/>
          <w:numId w:val="15"/>
        </w:numPr>
        <w:spacing w:before="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Instrumentation requirement</w:t>
      </w:r>
    </w:p>
    <w:p w14:paraId="4E28699D" w14:textId="77777777" w:rsidR="006944F8" w:rsidRPr="00A94875" w:rsidRDefault="006944F8" w:rsidP="009261B2">
      <w:pPr>
        <w:pStyle w:val="NormalWeb"/>
        <w:numPr>
          <w:ilvl w:val="0"/>
          <w:numId w:val="15"/>
        </w:numPr>
        <w:spacing w:before="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Reporting requirement</w:t>
      </w:r>
    </w:p>
    <w:p w14:paraId="7F688A71" w14:textId="77777777" w:rsidR="006944F8" w:rsidRPr="00A94875" w:rsidRDefault="006944F8" w:rsidP="009261B2">
      <w:pPr>
        <w:pStyle w:val="NormalWeb"/>
        <w:numPr>
          <w:ilvl w:val="0"/>
          <w:numId w:val="15"/>
        </w:numPr>
        <w:spacing w:before="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Use of a monitoring system</w:t>
      </w:r>
    </w:p>
    <w:p w14:paraId="68940C28" w14:textId="77777777" w:rsidR="006944F8" w:rsidRPr="00A94875" w:rsidRDefault="006944F8" w:rsidP="006944F8">
      <w:pPr>
        <w:pStyle w:val="NormalWeb"/>
        <w:spacing w:before="12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 xml:space="preserve">This Recommendation </w:t>
      </w:r>
      <w:proofErr w:type="gramStart"/>
      <w:r w:rsidRPr="00A94875">
        <w:rPr>
          <w:rFonts w:asciiTheme="majorBidi" w:eastAsia="MS Mincho" w:hAnsiTheme="majorBidi" w:cstheme="majorBidi"/>
          <w:bCs/>
          <w:szCs w:val="20"/>
          <w:lang w:val="en-GB"/>
        </w:rPr>
        <w:t>can be used</w:t>
      </w:r>
      <w:proofErr w:type="gramEnd"/>
      <w:r w:rsidRPr="00A94875">
        <w:rPr>
          <w:rFonts w:asciiTheme="majorBidi" w:eastAsia="MS Mincho" w:hAnsiTheme="majorBidi" w:cstheme="majorBidi"/>
          <w:bCs/>
          <w:szCs w:val="20"/>
          <w:lang w:val="en-GB"/>
        </w:rPr>
        <w:t xml:space="preserve"> as a conformity assessment standard for Recommendation ITU T L.1350.</w:t>
      </w:r>
    </w:p>
    <w:p w14:paraId="12A34528" w14:textId="08CA775C" w:rsidR="006944F8" w:rsidRPr="00A94875" w:rsidRDefault="006944F8" w:rsidP="00573BB8">
      <w:pPr>
        <w:rPr>
          <w:rFonts w:eastAsia="SimSun"/>
          <w:szCs w:val="24"/>
          <w:lang w:val="en-GB" w:eastAsia="ja-JP"/>
        </w:rPr>
      </w:pPr>
      <w:r w:rsidRPr="00A94875">
        <w:rPr>
          <w:rFonts w:asciiTheme="majorBidi" w:eastAsia="MS Mincho" w:hAnsiTheme="majorBidi" w:cstheme="majorBidi"/>
          <w:b/>
          <w:lang w:val="en-GB"/>
        </w:rPr>
        <w:t>ITU-T L.1361 “Measurement method for energy efficiency of Network Function Virtualization”</w:t>
      </w:r>
      <w:r w:rsidRPr="00A94875">
        <w:rPr>
          <w:rFonts w:asciiTheme="majorBidi" w:eastAsia="MS Mincho" w:hAnsiTheme="majorBidi" w:cstheme="majorBidi"/>
          <w:bCs/>
          <w:lang w:val="en-GB"/>
        </w:rPr>
        <w:t xml:space="preserve"> </w:t>
      </w:r>
      <w:r w:rsidR="00573BB8" w:rsidRPr="00A94875">
        <w:rPr>
          <w:rFonts w:eastAsia="SimSun"/>
          <w:szCs w:val="24"/>
          <w:lang w:val="en-GB" w:eastAsia="ja-JP"/>
        </w:rPr>
        <w:t>defines common energy efficiency measurement methods for NFV environments, it does not try to cover all different types of VNFs (e.g. firewall, gateway, etc.), but it provides the basis to make extensible definition.</w:t>
      </w:r>
    </w:p>
    <w:p w14:paraId="4B77C65F" w14:textId="0E19AC6F" w:rsidR="00E87F2F" w:rsidRPr="00A94875" w:rsidRDefault="006944F8" w:rsidP="00E87F2F">
      <w:pPr>
        <w:rPr>
          <w:lang w:val="en-GB"/>
        </w:rPr>
      </w:pPr>
      <w:r w:rsidRPr="00A94875">
        <w:rPr>
          <w:rFonts w:asciiTheme="majorBidi" w:eastAsia="MS Mincho" w:hAnsiTheme="majorBidi" w:cstheme="majorBidi"/>
          <w:b/>
          <w:lang w:val="en-GB"/>
        </w:rPr>
        <w:t>ITU-T L.1370 “Sustainable and intelligent building services”</w:t>
      </w:r>
      <w:r w:rsidRPr="00A94875">
        <w:rPr>
          <w:rFonts w:asciiTheme="majorBidi" w:eastAsia="MS Mincho" w:hAnsiTheme="majorBidi" w:cstheme="majorBidi"/>
          <w:lang w:val="en-GB"/>
        </w:rPr>
        <w:t xml:space="preserve"> </w:t>
      </w:r>
      <w:r w:rsidR="00E87F2F" w:rsidRPr="00A94875">
        <w:rPr>
          <w:lang w:val="en-GB" w:eastAsia="en-US"/>
        </w:rPr>
        <w:t xml:space="preserve">sets the minimal requirements for an efficient and sustainable management of the building as a unit. The sustainability of human activities in urban areas </w:t>
      </w:r>
      <w:proofErr w:type="gramStart"/>
      <w:r w:rsidR="00E87F2F" w:rsidRPr="00A94875">
        <w:rPr>
          <w:lang w:val="en-GB" w:eastAsia="en-US"/>
        </w:rPr>
        <w:t>cannot be addressed</w:t>
      </w:r>
      <w:proofErr w:type="gramEnd"/>
      <w:r w:rsidR="00E87F2F" w:rsidRPr="00A94875">
        <w:rPr>
          <w:lang w:val="en-GB" w:eastAsia="en-US"/>
        </w:rPr>
        <w:t xml:space="preserve"> without taking into consideration the building, which is the most basic unit that cities are composed of. This Recommendation also defines the services enabled by the SIB concept, the way it contributes to the aforementioned goals of sustainability, its features, its different possible functioning modes, or its internal architecture and requirements with the </w:t>
      </w:r>
      <w:proofErr w:type="spellStart"/>
      <w:r w:rsidR="00E87F2F" w:rsidRPr="00A94875">
        <w:rPr>
          <w:lang w:val="en-GB" w:eastAsia="en-US"/>
        </w:rPr>
        <w:t>IoT</w:t>
      </w:r>
      <w:proofErr w:type="spellEnd"/>
      <w:r w:rsidR="00E87F2F" w:rsidRPr="00A94875">
        <w:rPr>
          <w:lang w:val="en-GB" w:eastAsia="en-US"/>
        </w:rPr>
        <w:t xml:space="preserve"> node at its core.</w:t>
      </w:r>
    </w:p>
    <w:p w14:paraId="4D01FEBB" w14:textId="77777777" w:rsidR="00E87F2F" w:rsidRPr="00A94875" w:rsidRDefault="00E87F2F" w:rsidP="00E87F2F">
      <w:pPr>
        <w:rPr>
          <w:lang w:val="en-GB"/>
        </w:rPr>
      </w:pPr>
      <w:r w:rsidRPr="00A94875">
        <w:rPr>
          <w:lang w:val="en-GB" w:eastAsia="en-US"/>
        </w:rPr>
        <w:lastRenderedPageBreak/>
        <w:t xml:space="preserve">Interoperability deserves a special mention among these requirements and specifications, as most of the </w:t>
      </w:r>
      <w:proofErr w:type="gramStart"/>
      <w:r w:rsidRPr="00A94875">
        <w:rPr>
          <w:lang w:val="en-GB" w:eastAsia="en-US"/>
        </w:rPr>
        <w:t>added-value</w:t>
      </w:r>
      <w:proofErr w:type="gramEnd"/>
      <w:r w:rsidRPr="00A94875">
        <w:rPr>
          <w:lang w:val="en-GB" w:eastAsia="en-US"/>
        </w:rPr>
        <w:t xml:space="preserve"> that the SIB provides comes into action when it interacts with other parts of the building, other buildings, city elements, or the city itself. Protocols, semantics, and normalization are key as a part of this interaction, and the SIB with its </w:t>
      </w:r>
      <w:proofErr w:type="spellStart"/>
      <w:r w:rsidRPr="00A94875">
        <w:rPr>
          <w:lang w:val="en-GB" w:eastAsia="en-US"/>
        </w:rPr>
        <w:t>IoT</w:t>
      </w:r>
      <w:proofErr w:type="spellEnd"/>
      <w:r w:rsidRPr="00A94875">
        <w:rPr>
          <w:lang w:val="en-GB" w:eastAsia="en-US"/>
        </w:rPr>
        <w:t xml:space="preserve"> node is required to be compliant with all of them. </w:t>
      </w:r>
    </w:p>
    <w:p w14:paraId="60962C11" w14:textId="77777777" w:rsidR="00E87F2F" w:rsidRPr="00A94875" w:rsidRDefault="00E87F2F" w:rsidP="00E87F2F">
      <w:pPr>
        <w:rPr>
          <w:lang w:val="en-GB"/>
        </w:rPr>
      </w:pPr>
      <w:r w:rsidRPr="00A94875">
        <w:rPr>
          <w:lang w:val="en-GB" w:eastAsia="en-US"/>
        </w:rPr>
        <w:t xml:space="preserve">Extensibility is another key feature for the SIB and the </w:t>
      </w:r>
      <w:proofErr w:type="spellStart"/>
      <w:r w:rsidRPr="00A94875">
        <w:rPr>
          <w:lang w:val="en-GB" w:eastAsia="en-US"/>
        </w:rPr>
        <w:t>IoT</w:t>
      </w:r>
      <w:proofErr w:type="spellEnd"/>
      <w:r w:rsidRPr="00A94875">
        <w:rPr>
          <w:lang w:val="en-GB" w:eastAsia="en-US"/>
        </w:rPr>
        <w:t xml:space="preserve"> node. The technology behind smart and sustainable cities is currently evolving very quickly, as it is a state-of-the-art technological arena. That is the reason why one of the most important architectural patterns to take into consideration is to design a SIB and an </w:t>
      </w:r>
      <w:proofErr w:type="spellStart"/>
      <w:r w:rsidRPr="00A94875">
        <w:rPr>
          <w:lang w:val="en-GB" w:eastAsia="en-US"/>
        </w:rPr>
        <w:t>IoT</w:t>
      </w:r>
      <w:proofErr w:type="spellEnd"/>
      <w:r w:rsidRPr="00A94875">
        <w:rPr>
          <w:lang w:val="en-GB" w:eastAsia="en-US"/>
        </w:rPr>
        <w:t xml:space="preserve"> node that support not only upgrading, but also the capacity to accommodate new technologies, protocols, services and applications that may be relevant for the industry in the future.</w:t>
      </w:r>
    </w:p>
    <w:p w14:paraId="1CA0D538" w14:textId="02507F27" w:rsidR="006944F8" w:rsidRPr="00A94875" w:rsidRDefault="00E87F2F" w:rsidP="00E87F2F">
      <w:pPr>
        <w:rPr>
          <w:lang w:val="en-GB"/>
        </w:rPr>
      </w:pPr>
      <w:r w:rsidRPr="00A94875">
        <w:rPr>
          <w:lang w:val="en-GB" w:eastAsia="en-US"/>
        </w:rPr>
        <w:t>In addition to these clear advantages for the technical durability of the SIB infrastructure, this will enable as well the creation of an open “smart ecosystem”, with third parties being able to integrate their own developments, expanding the capacities of the SIB, and ultimately contributing to improve the quality of life of citizens.</w:t>
      </w:r>
    </w:p>
    <w:p w14:paraId="612075F8" w14:textId="77777777" w:rsidR="006944F8" w:rsidRPr="00A94875" w:rsidRDefault="006944F8" w:rsidP="006944F8">
      <w:pPr>
        <w:pStyle w:val="NormalWeb"/>
        <w:spacing w:before="12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
          <w:bCs/>
          <w:szCs w:val="20"/>
          <w:lang w:val="en-GB"/>
        </w:rPr>
        <w:t>ITU-T L.1450 “Methodologies for the assessment of the environmental impact of the information and communication technology sector”</w:t>
      </w:r>
      <w:r w:rsidRPr="00A94875">
        <w:rPr>
          <w:rFonts w:asciiTheme="majorBidi" w:eastAsia="MS Mincho" w:hAnsiTheme="majorBidi" w:cstheme="majorBidi"/>
          <w:bCs/>
          <w:szCs w:val="20"/>
          <w:lang w:val="en-GB"/>
        </w:rPr>
        <w:t xml:space="preserve"> consists of two parts:</w:t>
      </w:r>
    </w:p>
    <w:p w14:paraId="355AA6E0" w14:textId="77777777" w:rsidR="006944F8" w:rsidRPr="00A94875" w:rsidRDefault="006944F8" w:rsidP="009261B2">
      <w:pPr>
        <w:pStyle w:val="NormalWeb"/>
        <w:numPr>
          <w:ilvl w:val="0"/>
          <w:numId w:val="22"/>
        </w:numPr>
        <w:spacing w:before="12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 xml:space="preserve">Part I: The methodology for calculating the information and communication technology (ICT) sector footprint with respect to life cycle greenhouse gases (GHG) emissions; </w:t>
      </w:r>
    </w:p>
    <w:p w14:paraId="71C0BBE9" w14:textId="77777777" w:rsidR="006944F8" w:rsidRPr="00A94875" w:rsidRDefault="006944F8" w:rsidP="009261B2">
      <w:pPr>
        <w:pStyle w:val="NormalWeb"/>
        <w:numPr>
          <w:ilvl w:val="0"/>
          <w:numId w:val="22"/>
        </w:numPr>
        <w:spacing w:before="12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 xml:space="preserve">Part II: The methodology for defining GHG emissions budget for the ICT sector considering a </w:t>
      </w:r>
      <w:proofErr w:type="gramStart"/>
      <w:r w:rsidRPr="00A94875">
        <w:rPr>
          <w:rFonts w:asciiTheme="majorBidi" w:eastAsia="MS Mincho" w:hAnsiTheme="majorBidi" w:cstheme="majorBidi"/>
          <w:bCs/>
          <w:szCs w:val="20"/>
          <w:lang w:val="en-GB"/>
        </w:rPr>
        <w:t>2</w:t>
      </w:r>
      <w:proofErr w:type="gramEnd"/>
      <w:r w:rsidRPr="00A94875">
        <w:rPr>
          <w:rFonts w:asciiTheme="majorBidi" w:eastAsia="MS Mincho" w:hAnsiTheme="majorBidi" w:cstheme="majorBidi"/>
          <w:bCs/>
          <w:szCs w:val="20"/>
          <w:lang w:val="en-GB"/>
        </w:rPr>
        <w:t xml:space="preserve"> ºC or lower trajectory.</w:t>
      </w:r>
    </w:p>
    <w:p w14:paraId="09F5C000" w14:textId="77777777" w:rsidR="006944F8" w:rsidRPr="00A94875" w:rsidRDefault="006944F8" w:rsidP="006944F8">
      <w:pPr>
        <w:pStyle w:val="NormalWeb"/>
        <w:spacing w:before="120" w:beforeAutospacing="0" w:after="0" w:afterAutospacing="0"/>
        <w:rPr>
          <w:rFonts w:asciiTheme="majorBidi" w:eastAsia="MS Mincho" w:hAnsiTheme="majorBidi" w:cstheme="majorBidi"/>
          <w:bCs/>
          <w:szCs w:val="20"/>
          <w:highlight w:val="yellow"/>
          <w:lang w:val="en-GB"/>
        </w:rPr>
      </w:pPr>
      <w:r w:rsidRPr="00A94875">
        <w:rPr>
          <w:rFonts w:asciiTheme="majorBidi" w:eastAsia="MS Mincho" w:hAnsiTheme="majorBidi" w:cstheme="majorBidi"/>
          <w:bCs/>
          <w:szCs w:val="20"/>
          <w:lang w:val="en-GB"/>
        </w:rPr>
        <w:t>Appendix IV gives an example of a partial ICT sector footprint derived in line with Part I of the Recommendation.</w:t>
      </w:r>
    </w:p>
    <w:p w14:paraId="33D37846" w14:textId="77777777" w:rsidR="006944F8" w:rsidRPr="00A94875" w:rsidRDefault="006944F8" w:rsidP="006944F8">
      <w:pPr>
        <w:pStyle w:val="NormalWeb"/>
        <w:spacing w:before="120" w:beforeAutospacing="0" w:after="0" w:afterAutospacing="0"/>
        <w:rPr>
          <w:rFonts w:asciiTheme="majorBidi" w:eastAsia="MS Mincho" w:hAnsiTheme="majorBidi" w:cstheme="majorBidi"/>
          <w:bCs/>
          <w:szCs w:val="20"/>
          <w:highlight w:val="yellow"/>
          <w:lang w:val="en-GB"/>
        </w:rPr>
      </w:pPr>
      <w:r w:rsidRPr="00A94875">
        <w:rPr>
          <w:rFonts w:asciiTheme="majorBidi" w:eastAsia="MS Mincho" w:hAnsiTheme="majorBidi" w:cstheme="majorBidi"/>
          <w:b/>
          <w:bCs/>
          <w:szCs w:val="20"/>
          <w:lang w:val="en-GB"/>
        </w:rPr>
        <w:t>ITU-T L.1460 “Connect 2020 greenhouse gases emissions – Guidelines”</w:t>
      </w:r>
      <w:r w:rsidRPr="00A94875">
        <w:rPr>
          <w:rFonts w:asciiTheme="majorBidi" w:eastAsia="MS Mincho" w:hAnsiTheme="majorBidi" w:cstheme="majorBidi"/>
          <w:bCs/>
          <w:szCs w:val="20"/>
          <w:lang w:val="en-GB"/>
        </w:rPr>
        <w:t xml:space="preserve"> provides guidelines to address the Connect 2020 GHG emissions target. It </w:t>
      </w:r>
      <w:proofErr w:type="gramStart"/>
      <w:r w:rsidRPr="00A94875">
        <w:rPr>
          <w:rFonts w:asciiTheme="majorBidi" w:eastAsia="MS Mincho" w:hAnsiTheme="majorBidi" w:cstheme="majorBidi"/>
          <w:bCs/>
          <w:szCs w:val="20"/>
          <w:lang w:val="en-GB"/>
        </w:rPr>
        <w:t>is intended to be utilized</w:t>
      </w:r>
      <w:proofErr w:type="gramEnd"/>
      <w:r w:rsidRPr="00A94875">
        <w:rPr>
          <w:rFonts w:asciiTheme="majorBidi" w:eastAsia="MS Mincho" w:hAnsiTheme="majorBidi" w:cstheme="majorBidi"/>
          <w:bCs/>
          <w:szCs w:val="20"/>
          <w:lang w:val="en-GB"/>
        </w:rPr>
        <w:t xml:space="preserve"> by relevant stakeholders to address the Connect 2020 ambitions, while considering the SDG 13 goal and the objectives of the Paris Agreement. It also presents examples of actions taken in order to limit the GHG emissions in the ICT sector.</w:t>
      </w:r>
    </w:p>
    <w:p w14:paraId="52B9D8B7" w14:textId="77777777" w:rsidR="006944F8" w:rsidRPr="00A94875" w:rsidRDefault="006944F8" w:rsidP="006944F8">
      <w:pPr>
        <w:keepNext/>
        <w:keepLines/>
        <w:spacing w:before="240"/>
        <w:rPr>
          <w:b/>
          <w:sz w:val="22"/>
          <w:szCs w:val="22"/>
          <w:lang w:val="en-GB"/>
        </w:rPr>
      </w:pPr>
      <w:bookmarkStart w:id="229" w:name="_Toc480527905"/>
      <w:r w:rsidRPr="00A94875">
        <w:rPr>
          <w:b/>
          <w:sz w:val="22"/>
          <w:szCs w:val="22"/>
          <w:lang w:val="en-GB"/>
        </w:rPr>
        <w:t>I.6.2</w:t>
      </w:r>
      <w:r w:rsidRPr="00A94875">
        <w:rPr>
          <w:b/>
          <w:sz w:val="22"/>
          <w:szCs w:val="22"/>
          <w:lang w:val="en-GB"/>
        </w:rPr>
        <w:tab/>
        <w:t>Electromagnetic fields</w:t>
      </w:r>
      <w:bookmarkEnd w:id="229"/>
    </w:p>
    <w:p w14:paraId="3EBBC2AA" w14:textId="3A01D59D" w:rsidR="006944F8" w:rsidRPr="00A94875" w:rsidRDefault="006944F8" w:rsidP="006944F8">
      <w:pPr>
        <w:keepNext/>
        <w:keepLines/>
        <w:rPr>
          <w:rFonts w:asciiTheme="majorBidi" w:hAnsiTheme="majorBidi" w:cstheme="majorBidi"/>
          <w:szCs w:val="24"/>
          <w:lang w:val="en-GB"/>
        </w:rPr>
      </w:pPr>
      <w:r w:rsidRPr="00A94875">
        <w:rPr>
          <w:rFonts w:asciiTheme="majorBidi" w:hAnsiTheme="majorBidi" w:cstheme="majorBidi"/>
          <w:b/>
          <w:bCs/>
          <w:lang w:val="en-GB"/>
        </w:rPr>
        <w:t xml:space="preserve">ITU-T K.20 (revised) “Resistibility of telecommunication equipment installed in a </w:t>
      </w:r>
      <w:r w:rsidRPr="00A94875">
        <w:rPr>
          <w:rFonts w:asciiTheme="majorBidi" w:hAnsiTheme="majorBidi" w:cstheme="majorBidi"/>
          <w:b/>
          <w:bCs/>
          <w:szCs w:val="24"/>
          <w:lang w:val="en-GB"/>
        </w:rPr>
        <w:t xml:space="preserve">telecommunication centre to </w:t>
      </w:r>
      <w:proofErr w:type="spellStart"/>
      <w:r w:rsidRPr="00A94875">
        <w:rPr>
          <w:rFonts w:asciiTheme="majorBidi" w:hAnsiTheme="majorBidi" w:cstheme="majorBidi"/>
          <w:b/>
          <w:bCs/>
          <w:szCs w:val="24"/>
          <w:lang w:val="en-GB"/>
        </w:rPr>
        <w:t>overvoltages</w:t>
      </w:r>
      <w:proofErr w:type="spellEnd"/>
      <w:r w:rsidRPr="00A94875">
        <w:rPr>
          <w:rFonts w:asciiTheme="majorBidi" w:hAnsiTheme="majorBidi" w:cstheme="majorBidi"/>
          <w:b/>
          <w:bCs/>
          <w:szCs w:val="24"/>
          <w:lang w:val="en-GB"/>
        </w:rPr>
        <w:t xml:space="preserve"> and </w:t>
      </w:r>
      <w:proofErr w:type="spellStart"/>
      <w:r w:rsidRPr="00A94875">
        <w:rPr>
          <w:rFonts w:asciiTheme="majorBidi" w:hAnsiTheme="majorBidi" w:cstheme="majorBidi"/>
          <w:b/>
          <w:bCs/>
          <w:szCs w:val="24"/>
          <w:lang w:val="en-GB"/>
        </w:rPr>
        <w:t>overcurrents</w:t>
      </w:r>
      <w:proofErr w:type="spellEnd"/>
      <w:r w:rsidRPr="00A94875">
        <w:rPr>
          <w:rFonts w:asciiTheme="majorBidi" w:hAnsiTheme="majorBidi" w:cstheme="majorBidi"/>
          <w:b/>
          <w:bCs/>
          <w:szCs w:val="24"/>
          <w:lang w:val="en-GB"/>
        </w:rPr>
        <w:t>”</w:t>
      </w:r>
      <w:r w:rsidRPr="00A94875">
        <w:rPr>
          <w:rFonts w:asciiTheme="majorBidi" w:hAnsiTheme="majorBidi" w:cstheme="majorBidi"/>
          <w:szCs w:val="24"/>
          <w:lang w:val="en-GB"/>
        </w:rPr>
        <w:t xml:space="preserve"> specifies resistibility requirements and test procedures for telecommunication equipment that is attached to or installed within a telecommunication centre.</w:t>
      </w:r>
    </w:p>
    <w:p w14:paraId="4427D9F6"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Major changes compared with Recommendation ITU-T K.20 (2017) include:</w:t>
      </w:r>
    </w:p>
    <w:p w14:paraId="47E182EA"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r>
      <w:proofErr w:type="gramStart"/>
      <w:r w:rsidRPr="00A94875">
        <w:rPr>
          <w:rFonts w:asciiTheme="majorBidi" w:hAnsiTheme="majorBidi" w:cstheme="majorBidi"/>
          <w:szCs w:val="24"/>
          <w:lang w:val="en-GB"/>
        </w:rPr>
        <w:t>external</w:t>
      </w:r>
      <w:proofErr w:type="gramEnd"/>
      <w:r w:rsidRPr="00A94875">
        <w:rPr>
          <w:rFonts w:asciiTheme="majorBidi" w:hAnsiTheme="majorBidi" w:cstheme="majorBidi"/>
          <w:szCs w:val="24"/>
          <w:lang w:val="en-GB"/>
        </w:rPr>
        <w:t xml:space="preserve"> Ethernet power contact test;</w:t>
      </w:r>
    </w:p>
    <w:p w14:paraId="31682EF7"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t>test exemption for internal short cables;</w:t>
      </w:r>
    </w:p>
    <w:p w14:paraId="04DE790C"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t>renaming of some test titles for clarity;</w:t>
      </w:r>
    </w:p>
    <w:p w14:paraId="65D6877E" w14:textId="77777777" w:rsidR="006944F8" w:rsidRPr="00A94875" w:rsidRDefault="006944F8" w:rsidP="006944F8">
      <w:pPr>
        <w:rPr>
          <w:rFonts w:asciiTheme="majorBidi" w:hAnsiTheme="majorBidi" w:cstheme="majorBidi"/>
          <w:szCs w:val="22"/>
          <w:highlight w:val="yellow"/>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t>Intermediate Ethernet test level added.</w:t>
      </w:r>
    </w:p>
    <w:p w14:paraId="7218C736" w14:textId="22568C69" w:rsidR="006944F8" w:rsidRPr="00A94875" w:rsidRDefault="006944F8" w:rsidP="004551B0">
      <w:pPr>
        <w:keepNext/>
        <w:keepLines/>
        <w:spacing w:after="120"/>
        <w:rPr>
          <w:rFonts w:asciiTheme="majorBidi" w:hAnsiTheme="majorBidi" w:cstheme="majorBidi"/>
          <w:lang w:val="en-GB"/>
        </w:rPr>
      </w:pPr>
      <w:r w:rsidRPr="00A94875">
        <w:rPr>
          <w:rFonts w:asciiTheme="majorBidi" w:hAnsiTheme="majorBidi" w:cstheme="majorBidi"/>
          <w:b/>
          <w:bCs/>
          <w:lang w:val="en-GB"/>
        </w:rPr>
        <w:t xml:space="preserve">ITU-T K.21 (revised) “Resistibility of telecommunication equipment installed in customer premises to </w:t>
      </w:r>
      <w:proofErr w:type="spellStart"/>
      <w:r w:rsidRPr="00A94875">
        <w:rPr>
          <w:rFonts w:asciiTheme="majorBidi" w:hAnsiTheme="majorBidi" w:cstheme="majorBidi"/>
          <w:b/>
          <w:bCs/>
          <w:lang w:val="en-GB"/>
        </w:rPr>
        <w:t>overvoltages</w:t>
      </w:r>
      <w:proofErr w:type="spellEnd"/>
      <w:r w:rsidRPr="00A94875">
        <w:rPr>
          <w:rFonts w:asciiTheme="majorBidi" w:hAnsiTheme="majorBidi" w:cstheme="majorBidi"/>
          <w:b/>
          <w:bCs/>
          <w:lang w:val="en-GB"/>
        </w:rPr>
        <w:t xml:space="preserve"> and </w:t>
      </w:r>
      <w:proofErr w:type="spellStart"/>
      <w:r w:rsidRPr="00A94875">
        <w:rPr>
          <w:rFonts w:asciiTheme="majorBidi" w:hAnsiTheme="majorBidi" w:cstheme="majorBidi"/>
          <w:b/>
          <w:bCs/>
          <w:lang w:val="en-GB"/>
        </w:rPr>
        <w:t>overcurrents</w:t>
      </w:r>
      <w:proofErr w:type="spellEnd"/>
      <w:r w:rsidRPr="00A94875">
        <w:rPr>
          <w:rFonts w:asciiTheme="majorBidi" w:hAnsiTheme="majorBidi" w:cstheme="majorBidi"/>
          <w:b/>
          <w:bCs/>
          <w:lang w:val="en-GB"/>
        </w:rPr>
        <w:t>”</w:t>
      </w:r>
      <w:r w:rsidRPr="00A94875">
        <w:rPr>
          <w:rFonts w:asciiTheme="majorBidi" w:hAnsiTheme="majorBidi" w:cstheme="majorBidi"/>
          <w:lang w:val="en-GB"/>
        </w:rPr>
        <w:t xml:space="preserve"> specifies resistibility requirements and test procedures for telecommunication equipment that is attached to or installed within a customer's premises.</w:t>
      </w:r>
    </w:p>
    <w:p w14:paraId="3B9F45AC" w14:textId="77777777" w:rsidR="006944F8" w:rsidRPr="00A94875" w:rsidRDefault="006944F8" w:rsidP="006944F8">
      <w:pPr>
        <w:spacing w:after="120"/>
        <w:rPr>
          <w:rFonts w:asciiTheme="majorBidi" w:hAnsiTheme="majorBidi" w:cstheme="majorBidi"/>
          <w:lang w:val="en-GB"/>
        </w:rPr>
      </w:pPr>
      <w:r w:rsidRPr="00A94875">
        <w:rPr>
          <w:rFonts w:asciiTheme="majorBidi" w:hAnsiTheme="majorBidi" w:cstheme="majorBidi"/>
          <w:lang w:val="en-GB"/>
        </w:rPr>
        <w:t xml:space="preserve">Changes compared with Recommendation ITU-T K.21 (2017) include: </w:t>
      </w:r>
    </w:p>
    <w:p w14:paraId="6840B66B" w14:textId="77777777" w:rsidR="006944F8" w:rsidRPr="00A94875" w:rsidRDefault="006944F8" w:rsidP="006944F8">
      <w:pPr>
        <w:spacing w:after="120"/>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r>
      <w:proofErr w:type="gramStart"/>
      <w:r w:rsidRPr="00A94875">
        <w:rPr>
          <w:rFonts w:asciiTheme="majorBidi" w:hAnsiTheme="majorBidi" w:cstheme="majorBidi"/>
          <w:lang w:val="en-GB"/>
        </w:rPr>
        <w:t>external</w:t>
      </w:r>
      <w:proofErr w:type="gramEnd"/>
      <w:r w:rsidRPr="00A94875">
        <w:rPr>
          <w:rFonts w:asciiTheme="majorBidi" w:hAnsiTheme="majorBidi" w:cstheme="majorBidi"/>
          <w:lang w:val="en-GB"/>
        </w:rPr>
        <w:t xml:space="preserve"> Ethernet power contact test;</w:t>
      </w:r>
    </w:p>
    <w:p w14:paraId="15A30608" w14:textId="77777777" w:rsidR="006944F8" w:rsidRPr="00A94875" w:rsidRDefault="006944F8" w:rsidP="006944F8">
      <w:pPr>
        <w:spacing w:after="120"/>
        <w:rPr>
          <w:rFonts w:asciiTheme="majorBidi" w:hAnsiTheme="majorBidi" w:cstheme="majorBidi"/>
          <w:lang w:val="en-GB"/>
        </w:rPr>
      </w:pPr>
      <w:r w:rsidRPr="00A94875">
        <w:rPr>
          <w:rFonts w:asciiTheme="majorBidi" w:hAnsiTheme="majorBidi" w:cstheme="majorBidi"/>
          <w:lang w:val="en-GB"/>
        </w:rPr>
        <w:lastRenderedPageBreak/>
        <w:t>•</w:t>
      </w:r>
      <w:r w:rsidRPr="00A94875">
        <w:rPr>
          <w:rFonts w:asciiTheme="majorBidi" w:hAnsiTheme="majorBidi" w:cstheme="majorBidi"/>
          <w:lang w:val="en-GB"/>
        </w:rPr>
        <w:tab/>
        <w:t>renaming of some test titles for clarity;</w:t>
      </w:r>
    </w:p>
    <w:p w14:paraId="2A2B2E9C" w14:textId="77777777" w:rsidR="006944F8" w:rsidRPr="00A94875" w:rsidRDefault="006944F8" w:rsidP="006944F8">
      <w:pPr>
        <w:spacing w:after="120"/>
        <w:rPr>
          <w:rFonts w:asciiTheme="majorBidi" w:hAnsiTheme="majorBidi" w:cstheme="majorBidi"/>
          <w:highlight w:val="yellow"/>
          <w:lang w:val="en-GB"/>
        </w:rPr>
      </w:pPr>
      <w:r w:rsidRPr="00A94875">
        <w:rPr>
          <w:rFonts w:asciiTheme="majorBidi" w:hAnsiTheme="majorBidi" w:cstheme="majorBidi"/>
          <w:lang w:val="en-GB"/>
        </w:rPr>
        <w:t>•</w:t>
      </w:r>
      <w:r w:rsidRPr="00A94875">
        <w:rPr>
          <w:rFonts w:asciiTheme="majorBidi" w:hAnsiTheme="majorBidi" w:cstheme="majorBidi"/>
          <w:lang w:val="en-GB"/>
        </w:rPr>
        <w:tab/>
        <w:t>Intermediate Ethernet test level added.</w:t>
      </w:r>
    </w:p>
    <w:p w14:paraId="55A7D802" w14:textId="26E7A5BF" w:rsidR="006944F8" w:rsidRPr="00A94875" w:rsidRDefault="006944F8" w:rsidP="006944F8">
      <w:pPr>
        <w:rPr>
          <w:rFonts w:asciiTheme="majorBidi" w:hAnsiTheme="majorBidi" w:cstheme="majorBidi"/>
          <w:b/>
          <w:bCs/>
          <w:szCs w:val="24"/>
          <w:lang w:val="en-GB"/>
        </w:rPr>
      </w:pPr>
      <w:r w:rsidRPr="00A94875">
        <w:rPr>
          <w:rFonts w:asciiTheme="majorBidi" w:hAnsiTheme="majorBidi" w:cstheme="majorBidi"/>
          <w:b/>
          <w:bCs/>
          <w:szCs w:val="24"/>
          <w:lang w:val="en-GB"/>
        </w:rPr>
        <w:t xml:space="preserve">ITU-T K.44 (revised) “Resistibility tests for telecommunication equipment exposed to </w:t>
      </w:r>
      <w:proofErr w:type="spellStart"/>
      <w:r w:rsidRPr="00A94875">
        <w:rPr>
          <w:rFonts w:asciiTheme="majorBidi" w:hAnsiTheme="majorBidi" w:cstheme="majorBidi"/>
          <w:b/>
          <w:bCs/>
          <w:szCs w:val="24"/>
          <w:lang w:val="en-GB"/>
        </w:rPr>
        <w:t>overvoltages</w:t>
      </w:r>
      <w:proofErr w:type="spellEnd"/>
      <w:r w:rsidRPr="00A94875">
        <w:rPr>
          <w:rFonts w:asciiTheme="majorBidi" w:hAnsiTheme="majorBidi" w:cstheme="majorBidi"/>
          <w:b/>
          <w:bCs/>
          <w:szCs w:val="24"/>
          <w:lang w:val="en-GB"/>
        </w:rPr>
        <w:t xml:space="preserve"> and </w:t>
      </w:r>
      <w:proofErr w:type="spellStart"/>
      <w:r w:rsidRPr="00A94875">
        <w:rPr>
          <w:rFonts w:asciiTheme="majorBidi" w:hAnsiTheme="majorBidi" w:cstheme="majorBidi"/>
          <w:b/>
          <w:bCs/>
          <w:szCs w:val="24"/>
          <w:lang w:val="en-GB"/>
        </w:rPr>
        <w:t>overcurrents</w:t>
      </w:r>
      <w:proofErr w:type="spellEnd"/>
      <w:r w:rsidRPr="00A94875">
        <w:rPr>
          <w:rFonts w:asciiTheme="majorBidi" w:hAnsiTheme="majorBidi" w:cstheme="majorBidi"/>
          <w:b/>
          <w:bCs/>
          <w:szCs w:val="24"/>
          <w:lang w:val="en-GB"/>
        </w:rPr>
        <w:t xml:space="preserve"> – Basic Recommendation”</w:t>
      </w:r>
      <w:r w:rsidRPr="00A94875">
        <w:rPr>
          <w:rFonts w:asciiTheme="majorBidi" w:hAnsiTheme="majorBidi" w:cstheme="majorBidi"/>
          <w:bCs/>
          <w:szCs w:val="24"/>
          <w:lang w:val="en-GB"/>
        </w:rPr>
        <w:t xml:space="preserve"> </w:t>
      </w:r>
      <w:r w:rsidRPr="00A94875">
        <w:rPr>
          <w:rFonts w:asciiTheme="majorBidi" w:hAnsiTheme="majorBidi" w:cstheme="majorBidi"/>
          <w:szCs w:val="24"/>
          <w:lang w:val="en-GB"/>
        </w:rPr>
        <w:t xml:space="preserve">seeks to establish fundamental test methods and criteria for the resistibility of telecommunication equipment to </w:t>
      </w:r>
      <w:proofErr w:type="spellStart"/>
      <w:r w:rsidRPr="00A94875">
        <w:rPr>
          <w:rFonts w:asciiTheme="majorBidi" w:hAnsiTheme="majorBidi" w:cstheme="majorBidi"/>
          <w:szCs w:val="24"/>
          <w:lang w:val="en-GB"/>
        </w:rPr>
        <w:t>overvoltages</w:t>
      </w:r>
      <w:proofErr w:type="spellEnd"/>
      <w:r w:rsidRPr="00A94875">
        <w:rPr>
          <w:rFonts w:asciiTheme="majorBidi" w:hAnsiTheme="majorBidi" w:cstheme="majorBidi"/>
          <w:szCs w:val="24"/>
          <w:lang w:val="en-GB"/>
        </w:rPr>
        <w:t xml:space="preserve"> and </w:t>
      </w:r>
      <w:proofErr w:type="spellStart"/>
      <w:r w:rsidRPr="00A94875">
        <w:rPr>
          <w:rFonts w:asciiTheme="majorBidi" w:hAnsiTheme="majorBidi" w:cstheme="majorBidi"/>
          <w:szCs w:val="24"/>
          <w:lang w:val="en-GB"/>
        </w:rPr>
        <w:t>overcurrents</w:t>
      </w:r>
      <w:proofErr w:type="spellEnd"/>
      <w:r w:rsidRPr="00A94875">
        <w:rPr>
          <w:rFonts w:asciiTheme="majorBidi" w:hAnsiTheme="majorBidi" w:cstheme="majorBidi"/>
          <w:szCs w:val="24"/>
          <w:lang w:val="en-GB"/>
        </w:rPr>
        <w:t>.</w:t>
      </w:r>
      <w:r w:rsidRPr="00A94875">
        <w:rPr>
          <w:rFonts w:asciiTheme="majorBidi" w:hAnsiTheme="majorBidi" w:cstheme="majorBidi"/>
          <w:b/>
          <w:bCs/>
          <w:szCs w:val="24"/>
          <w:lang w:val="en-GB"/>
        </w:rPr>
        <w:t xml:space="preserve"> </w:t>
      </w:r>
      <w:r w:rsidRPr="00A94875">
        <w:rPr>
          <w:rFonts w:asciiTheme="majorBidi" w:hAnsiTheme="majorBidi" w:cstheme="majorBidi"/>
          <w:szCs w:val="24"/>
          <w:lang w:val="en-GB"/>
        </w:rPr>
        <w:t>Major changes compared with the 2017 version of this Recommendation include:</w:t>
      </w:r>
    </w:p>
    <w:p w14:paraId="2316AD8E"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r>
      <w:proofErr w:type="gramStart"/>
      <w:r w:rsidRPr="00A94875">
        <w:rPr>
          <w:rFonts w:asciiTheme="majorBidi" w:hAnsiTheme="majorBidi" w:cstheme="majorBidi"/>
          <w:szCs w:val="24"/>
          <w:lang w:val="en-GB"/>
        </w:rPr>
        <w:t>addition</w:t>
      </w:r>
      <w:proofErr w:type="gramEnd"/>
      <w:r w:rsidRPr="00A94875">
        <w:rPr>
          <w:rFonts w:asciiTheme="majorBidi" w:hAnsiTheme="majorBidi" w:cstheme="majorBidi"/>
          <w:szCs w:val="24"/>
          <w:lang w:val="en-GB"/>
        </w:rPr>
        <w:t xml:space="preserve"> of nine new definitions and modifying one old definition;</w:t>
      </w:r>
    </w:p>
    <w:p w14:paraId="380CD87C"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r>
      <w:proofErr w:type="gramStart"/>
      <w:r w:rsidRPr="00A94875">
        <w:rPr>
          <w:rFonts w:asciiTheme="majorBidi" w:hAnsiTheme="majorBidi" w:cstheme="majorBidi"/>
          <w:szCs w:val="24"/>
          <w:lang w:val="en-GB"/>
        </w:rPr>
        <w:t>clarification</w:t>
      </w:r>
      <w:proofErr w:type="gramEnd"/>
      <w:r w:rsidRPr="00A94875">
        <w:rPr>
          <w:rFonts w:asciiTheme="majorBidi" w:hAnsiTheme="majorBidi" w:cstheme="majorBidi"/>
          <w:szCs w:val="24"/>
          <w:lang w:val="en-GB"/>
        </w:rPr>
        <w:t xml:space="preserve"> of main body text ;</w:t>
      </w:r>
    </w:p>
    <w:p w14:paraId="5FD9D3DA"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r>
      <w:proofErr w:type="gramStart"/>
      <w:r w:rsidRPr="00A94875">
        <w:rPr>
          <w:rFonts w:asciiTheme="majorBidi" w:hAnsiTheme="majorBidi" w:cstheme="majorBidi"/>
          <w:szCs w:val="24"/>
          <w:lang w:val="en-GB"/>
        </w:rPr>
        <w:t>added</w:t>
      </w:r>
      <w:proofErr w:type="gramEnd"/>
      <w:r w:rsidRPr="00A94875">
        <w:rPr>
          <w:rFonts w:asciiTheme="majorBidi" w:hAnsiTheme="majorBidi" w:cstheme="majorBidi"/>
          <w:szCs w:val="24"/>
          <w:lang w:val="en-GB"/>
        </w:rPr>
        <w:t xml:space="preserve"> external Ethernet port power cross test;</w:t>
      </w:r>
    </w:p>
    <w:p w14:paraId="42A144FC"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r>
      <w:proofErr w:type="gramStart"/>
      <w:r w:rsidRPr="00A94875">
        <w:rPr>
          <w:rFonts w:asciiTheme="majorBidi" w:hAnsiTheme="majorBidi" w:cstheme="majorBidi"/>
          <w:szCs w:val="24"/>
          <w:lang w:val="en-GB"/>
        </w:rPr>
        <w:t>revision</w:t>
      </w:r>
      <w:proofErr w:type="gramEnd"/>
      <w:r w:rsidRPr="00A94875">
        <w:rPr>
          <w:rFonts w:asciiTheme="majorBidi" w:hAnsiTheme="majorBidi" w:cstheme="majorBidi"/>
          <w:szCs w:val="24"/>
          <w:lang w:val="en-GB"/>
        </w:rPr>
        <w:t xml:space="preserve"> of the test schematics to improve clarity;</w:t>
      </w:r>
    </w:p>
    <w:p w14:paraId="3FE05BE0"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t>introduced Intra-system ports and an Ethernet intermediate test level;</w:t>
      </w:r>
    </w:p>
    <w:p w14:paraId="1D318289"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t>adding tolerances for 1.2/50 waveform generation;</w:t>
      </w:r>
    </w:p>
    <w:p w14:paraId="0F69734D" w14:textId="77777777" w:rsidR="006944F8" w:rsidRPr="00A94875" w:rsidRDefault="006944F8" w:rsidP="006944F8">
      <w:pPr>
        <w:rPr>
          <w:rFonts w:asciiTheme="majorBidi" w:hAnsiTheme="majorBidi" w:cstheme="majorBidi"/>
          <w:szCs w:val="24"/>
          <w:highlight w:val="yellow"/>
          <w:lang w:val="en-GB"/>
        </w:rPr>
      </w:pPr>
      <w:r w:rsidRPr="00A94875">
        <w:rPr>
          <w:rFonts w:asciiTheme="majorBidi" w:hAnsiTheme="majorBidi" w:cstheme="majorBidi"/>
          <w:szCs w:val="24"/>
          <w:lang w:val="en-GB"/>
        </w:rPr>
        <w:t>–</w:t>
      </w:r>
      <w:r w:rsidRPr="00A94875">
        <w:rPr>
          <w:rFonts w:asciiTheme="majorBidi" w:hAnsiTheme="majorBidi" w:cstheme="majorBidi"/>
          <w:szCs w:val="24"/>
          <w:lang w:val="en-GB"/>
        </w:rPr>
        <w:tab/>
        <w:t>test exemptions for certain cable lengths.</w:t>
      </w:r>
    </w:p>
    <w:p w14:paraId="5B7906EB"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bCs/>
          <w:lang w:val="en-GB"/>
        </w:rPr>
        <w:t xml:space="preserve">ITU-T K.45 (revised) “Resistibility of telecommunication equipment installed in the access and trunk networks to </w:t>
      </w:r>
      <w:proofErr w:type="spellStart"/>
      <w:r w:rsidRPr="00A94875">
        <w:rPr>
          <w:rFonts w:asciiTheme="majorBidi" w:hAnsiTheme="majorBidi" w:cstheme="majorBidi"/>
          <w:b/>
          <w:bCs/>
          <w:lang w:val="en-GB"/>
        </w:rPr>
        <w:t>overvoltages</w:t>
      </w:r>
      <w:proofErr w:type="spellEnd"/>
      <w:r w:rsidRPr="00A94875">
        <w:rPr>
          <w:rFonts w:asciiTheme="majorBidi" w:hAnsiTheme="majorBidi" w:cstheme="majorBidi"/>
          <w:b/>
          <w:bCs/>
          <w:lang w:val="en-GB"/>
        </w:rPr>
        <w:t xml:space="preserve"> and </w:t>
      </w:r>
      <w:proofErr w:type="spellStart"/>
      <w:r w:rsidRPr="00A94875">
        <w:rPr>
          <w:rFonts w:asciiTheme="majorBidi" w:hAnsiTheme="majorBidi" w:cstheme="majorBidi"/>
          <w:b/>
          <w:bCs/>
          <w:lang w:val="en-GB"/>
        </w:rPr>
        <w:t>overcurrents</w:t>
      </w:r>
      <w:proofErr w:type="spellEnd"/>
      <w:r w:rsidRPr="00A94875">
        <w:rPr>
          <w:rFonts w:asciiTheme="majorBidi" w:hAnsiTheme="majorBidi" w:cstheme="majorBidi"/>
          <w:b/>
          <w:bCs/>
          <w:lang w:val="en-GB"/>
        </w:rPr>
        <w:t>”</w:t>
      </w:r>
      <w:r w:rsidRPr="00A94875">
        <w:rPr>
          <w:rFonts w:asciiTheme="majorBidi" w:hAnsiTheme="majorBidi" w:cstheme="majorBidi"/>
          <w:bCs/>
          <w:lang w:val="en-GB"/>
        </w:rPr>
        <w:t xml:space="preserve"> </w:t>
      </w:r>
      <w:r w:rsidRPr="00A94875">
        <w:rPr>
          <w:rFonts w:asciiTheme="majorBidi" w:hAnsiTheme="majorBidi" w:cstheme="majorBidi"/>
          <w:lang w:val="en-GB"/>
        </w:rPr>
        <w:t>specifies resistibility requirements and test procedures for telecommunication equipment installed between telecommunication centres and between a telecommunication centre and the customer's premises. Changes compared with Recommendation ITU-T K.45 (2017) include:</w:t>
      </w:r>
    </w:p>
    <w:p w14:paraId="4D0B5D2E"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lang w:val="en-GB"/>
        </w:rPr>
        <w:t>•</w:t>
      </w:r>
      <w:r w:rsidRPr="00A94875">
        <w:rPr>
          <w:rFonts w:asciiTheme="majorBidi" w:hAnsiTheme="majorBidi" w:cstheme="majorBidi"/>
          <w:lang w:val="en-GB"/>
        </w:rPr>
        <w:tab/>
      </w:r>
      <w:proofErr w:type="gramStart"/>
      <w:r w:rsidRPr="00A94875">
        <w:rPr>
          <w:rFonts w:asciiTheme="majorBidi" w:hAnsiTheme="majorBidi" w:cstheme="majorBidi"/>
          <w:lang w:val="en-GB"/>
        </w:rPr>
        <w:t>external</w:t>
      </w:r>
      <w:proofErr w:type="gramEnd"/>
      <w:r w:rsidRPr="00A94875">
        <w:rPr>
          <w:rFonts w:asciiTheme="majorBidi" w:hAnsiTheme="majorBidi" w:cstheme="majorBidi"/>
          <w:lang w:val="en-GB"/>
        </w:rPr>
        <w:t xml:space="preserve"> Ethernet port power contact test;</w:t>
      </w:r>
    </w:p>
    <w:p w14:paraId="4802988F" w14:textId="77777777" w:rsidR="006944F8" w:rsidRPr="00A94875" w:rsidRDefault="006944F8" w:rsidP="006944F8">
      <w:pPr>
        <w:rPr>
          <w:rFonts w:asciiTheme="majorBidi" w:hAnsiTheme="majorBidi" w:cstheme="majorBidi"/>
          <w:highlight w:val="yellow"/>
          <w:lang w:val="en-GB"/>
        </w:rPr>
      </w:pPr>
      <w:r w:rsidRPr="00A94875">
        <w:rPr>
          <w:rFonts w:asciiTheme="majorBidi" w:hAnsiTheme="majorBidi" w:cstheme="majorBidi"/>
          <w:lang w:val="en-GB"/>
        </w:rPr>
        <w:t>•</w:t>
      </w:r>
      <w:r w:rsidRPr="00A94875">
        <w:rPr>
          <w:rFonts w:asciiTheme="majorBidi" w:hAnsiTheme="majorBidi" w:cstheme="majorBidi"/>
          <w:lang w:val="en-GB"/>
        </w:rPr>
        <w:tab/>
        <w:t>renaming of some test titles for clarity.</w:t>
      </w:r>
    </w:p>
    <w:p w14:paraId="26A3808A"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K.90 (revised) “Evaluation techniques and working procedures for compliance with exposure limits of network operator personnel to power-frequency electromagnetic fields”</w:t>
      </w:r>
      <w:r w:rsidRPr="00A94875">
        <w:rPr>
          <w:rFonts w:asciiTheme="majorBidi" w:hAnsiTheme="majorBidi" w:cstheme="majorBidi"/>
          <w:bCs/>
          <w:lang w:val="en-GB"/>
        </w:rPr>
        <w:t xml:space="preserve"> provides evaluation techniques and guidelines for compliance with safety limits for human exposure to electromagnetic fields (EMFs) of telecommunication network personnel (e.g., outside plant craft) at power frequencies (DC, 50 Hz and 60 Hz). This Recommendation does not set safety limits; it seeks to provide techniques and procedures for determining the need for any precautions at the work site. This Recommendation includes an electronic attachment containing the EMFACDC program.</w:t>
      </w:r>
    </w:p>
    <w:p w14:paraId="6986F8C2" w14:textId="2ADD2867" w:rsidR="006944F8" w:rsidRPr="00A94875" w:rsidRDefault="006944F8" w:rsidP="006944F8">
      <w:pPr>
        <w:rPr>
          <w:rFonts w:asciiTheme="majorBidi" w:hAnsiTheme="majorBidi" w:cstheme="majorBidi"/>
          <w:bCs/>
          <w:lang w:val="en-GB"/>
        </w:rPr>
      </w:pPr>
      <w:r w:rsidRPr="00A94875">
        <w:rPr>
          <w:rFonts w:asciiTheme="majorBidi" w:hAnsiTheme="majorBidi" w:cstheme="majorBidi"/>
          <w:b/>
          <w:lang w:val="en-GB"/>
        </w:rPr>
        <w:t xml:space="preserve">ITU-T K.134 “Protection of small-size telecommunication installations with poor </w:t>
      </w:r>
      <w:proofErr w:type="spellStart"/>
      <w:r w:rsidRPr="00A94875">
        <w:rPr>
          <w:rFonts w:asciiTheme="majorBidi" w:hAnsiTheme="majorBidi" w:cstheme="majorBidi"/>
          <w:b/>
          <w:lang w:val="en-GB"/>
        </w:rPr>
        <w:t>earthing</w:t>
      </w:r>
      <w:proofErr w:type="spellEnd"/>
      <w:r w:rsidRPr="00A94875">
        <w:rPr>
          <w:rFonts w:asciiTheme="majorBidi" w:hAnsiTheme="majorBidi" w:cstheme="majorBidi"/>
          <w:b/>
          <w:lang w:val="en-GB"/>
        </w:rPr>
        <w:t xml:space="preserve"> conditions”</w:t>
      </w:r>
      <w:r w:rsidRPr="00A94875">
        <w:rPr>
          <w:rFonts w:asciiTheme="majorBidi" w:hAnsiTheme="majorBidi" w:cstheme="majorBidi"/>
          <w:bCs/>
          <w:lang w:val="en-GB"/>
        </w:rPr>
        <w:t xml:space="preserve"> </w:t>
      </w:r>
      <w:r w:rsidR="005B6827" w:rsidRPr="00A94875">
        <w:rPr>
          <w:rFonts w:asciiTheme="majorBidi" w:hAnsiTheme="majorBidi" w:cstheme="majorBidi"/>
          <w:bCs/>
          <w:lang w:val="en-GB"/>
        </w:rPr>
        <w:t xml:space="preserve">provides engineering solutions for lightning protection and safety for small-size telecommunication installations under poor </w:t>
      </w:r>
      <w:proofErr w:type="spellStart"/>
      <w:r w:rsidR="005B6827" w:rsidRPr="00A94875">
        <w:rPr>
          <w:rFonts w:asciiTheme="majorBidi" w:hAnsiTheme="majorBidi" w:cstheme="majorBidi"/>
          <w:bCs/>
          <w:lang w:val="en-GB"/>
        </w:rPr>
        <w:t>earthing</w:t>
      </w:r>
      <w:proofErr w:type="spellEnd"/>
      <w:r w:rsidR="005B6827" w:rsidRPr="00A94875">
        <w:rPr>
          <w:rFonts w:asciiTheme="majorBidi" w:hAnsiTheme="majorBidi" w:cstheme="majorBidi"/>
          <w:bCs/>
          <w:lang w:val="en-GB"/>
        </w:rPr>
        <w:t xml:space="preserve"> conditions. These protection measures are compromised alternatives due to the restriction of circumstance or expense. </w:t>
      </w:r>
      <w:proofErr w:type="gramStart"/>
      <w:r w:rsidR="005B6827" w:rsidRPr="00A94875">
        <w:rPr>
          <w:rFonts w:asciiTheme="majorBidi" w:hAnsiTheme="majorBidi" w:cstheme="majorBidi"/>
          <w:bCs/>
          <w:lang w:val="en-GB"/>
        </w:rPr>
        <w:t>These protection measures are not common requirements for all kinds of circumstances and have defined conditions for application respectively.</w:t>
      </w:r>
      <w:proofErr w:type="gramEnd"/>
      <w:r w:rsidR="005B6827" w:rsidRPr="00A94875">
        <w:rPr>
          <w:rFonts w:asciiTheme="majorBidi" w:hAnsiTheme="majorBidi" w:cstheme="majorBidi"/>
          <w:bCs/>
          <w:lang w:val="en-GB"/>
        </w:rPr>
        <w:t xml:space="preserve"> The selection of appropriate and feasible solution is helpful to acquire the best technology economy ratio</w:t>
      </w:r>
      <w:r w:rsidRPr="00A94875">
        <w:rPr>
          <w:rFonts w:asciiTheme="majorBidi" w:hAnsiTheme="majorBidi" w:cstheme="majorBidi"/>
          <w:bCs/>
          <w:lang w:val="en-GB"/>
        </w:rPr>
        <w:t>.</w:t>
      </w:r>
    </w:p>
    <w:p w14:paraId="5F1C9D67" w14:textId="6BE433B8" w:rsidR="009E20CF" w:rsidRPr="00A94875" w:rsidRDefault="006944F8" w:rsidP="009E20CF">
      <w:pPr>
        <w:rPr>
          <w:rFonts w:asciiTheme="majorBidi" w:hAnsiTheme="majorBidi" w:cstheme="majorBidi"/>
          <w:bCs/>
          <w:lang w:val="en-GB"/>
        </w:rPr>
      </w:pPr>
      <w:r w:rsidRPr="00A94875">
        <w:rPr>
          <w:rFonts w:asciiTheme="majorBidi" w:hAnsiTheme="majorBidi" w:cstheme="majorBidi"/>
          <w:b/>
          <w:lang w:val="en-GB"/>
        </w:rPr>
        <w:t>ITU-T K.135 “Technical parameters for residual current operated protective devices with automatic reclosing feature for telecom applications”</w:t>
      </w:r>
      <w:r w:rsidRPr="00A94875">
        <w:rPr>
          <w:rFonts w:asciiTheme="majorBidi" w:hAnsiTheme="majorBidi" w:cstheme="majorBidi"/>
          <w:bCs/>
          <w:lang w:val="en-GB"/>
        </w:rPr>
        <w:t xml:space="preserve"> </w:t>
      </w:r>
      <w:r w:rsidR="009E20CF" w:rsidRPr="00A94875">
        <w:rPr>
          <w:rFonts w:asciiTheme="majorBidi" w:hAnsiTheme="majorBidi" w:cstheme="majorBidi"/>
          <w:bCs/>
          <w:lang w:val="en-GB"/>
        </w:rPr>
        <w:t>gives an overview of the parameters of residual current operated protective devices with automatic-reclosing feature for telecom applications.</w:t>
      </w:r>
    </w:p>
    <w:p w14:paraId="3FADAC93" w14:textId="36A892BD" w:rsidR="006944F8" w:rsidRPr="00A94875" w:rsidRDefault="006944F8" w:rsidP="006944F8">
      <w:pPr>
        <w:rPr>
          <w:rFonts w:asciiTheme="majorBidi" w:hAnsiTheme="majorBidi" w:cstheme="majorBidi"/>
          <w:bCs/>
          <w:lang w:val="en-GB"/>
        </w:rPr>
      </w:pPr>
      <w:r w:rsidRPr="00A94875">
        <w:rPr>
          <w:rFonts w:asciiTheme="majorBidi" w:hAnsiTheme="majorBidi" w:cstheme="majorBidi"/>
          <w:b/>
          <w:lang w:val="en-GB"/>
        </w:rPr>
        <w:t>ITU-T K.136 “Electromagnetic Compatibility requirements for radio telecommunication equipment”</w:t>
      </w:r>
      <w:r w:rsidRPr="00A94875">
        <w:rPr>
          <w:rFonts w:asciiTheme="majorBidi" w:hAnsiTheme="majorBidi" w:cstheme="majorBidi"/>
          <w:bCs/>
          <w:lang w:val="en-GB"/>
        </w:rPr>
        <w:t xml:space="preserve"> </w:t>
      </w:r>
      <w:r w:rsidR="009E20CF" w:rsidRPr="00A94875">
        <w:rPr>
          <w:rFonts w:asciiTheme="majorBidi" w:hAnsiTheme="majorBidi" w:cstheme="majorBidi"/>
          <w:bCs/>
          <w:lang w:val="en-GB"/>
        </w:rPr>
        <w:t>specifies the electromagnetic compatibility requirements and the test method for radio telecommunication equipment and associated ancillary equipment</w:t>
      </w:r>
      <w:proofErr w:type="gramStart"/>
      <w:r w:rsidR="009E20CF" w:rsidRPr="00A94875">
        <w:rPr>
          <w:rFonts w:asciiTheme="majorBidi" w:hAnsiTheme="majorBidi" w:cstheme="majorBidi"/>
          <w:bCs/>
          <w:lang w:val="en-GB"/>
        </w:rPr>
        <w:t>.</w:t>
      </w:r>
      <w:r w:rsidRPr="00A94875">
        <w:rPr>
          <w:rFonts w:asciiTheme="majorBidi" w:hAnsiTheme="majorBidi" w:cstheme="majorBidi"/>
          <w:bCs/>
          <w:lang w:val="en-GB"/>
        </w:rPr>
        <w:t>.</w:t>
      </w:r>
      <w:proofErr w:type="gramEnd"/>
    </w:p>
    <w:p w14:paraId="372AA1FC" w14:textId="6134C482" w:rsidR="009E20CF" w:rsidRPr="00A94875" w:rsidRDefault="006944F8" w:rsidP="009E20CF">
      <w:pPr>
        <w:rPr>
          <w:rFonts w:asciiTheme="majorBidi" w:hAnsiTheme="majorBidi" w:cstheme="majorBidi"/>
          <w:bCs/>
          <w:lang w:val="en-GB"/>
        </w:rPr>
      </w:pPr>
      <w:proofErr w:type="gramStart"/>
      <w:r w:rsidRPr="00A94875">
        <w:rPr>
          <w:rFonts w:asciiTheme="majorBidi" w:hAnsiTheme="majorBidi" w:cstheme="majorBidi"/>
          <w:b/>
          <w:lang w:val="en-GB"/>
        </w:rPr>
        <w:t xml:space="preserve">ITU-T K.137 “Electromagnetic compatibility requirements and measurement methods for wire-line telecommunication network equipment” </w:t>
      </w:r>
      <w:r w:rsidR="009E20CF" w:rsidRPr="00A94875">
        <w:rPr>
          <w:rFonts w:asciiTheme="majorBidi" w:hAnsiTheme="majorBidi" w:cstheme="majorBidi"/>
          <w:bCs/>
          <w:lang w:val="en-GB"/>
        </w:rPr>
        <w:t xml:space="preserve">specifies the electromagnetic compatibility common requirements and the test methods for wire-line telecommunication network equipment, </w:t>
      </w:r>
      <w:r w:rsidR="009E20CF" w:rsidRPr="00A94875">
        <w:rPr>
          <w:rFonts w:asciiTheme="majorBidi" w:hAnsiTheme="majorBidi" w:cstheme="majorBidi"/>
          <w:bCs/>
          <w:lang w:val="en-GB"/>
        </w:rPr>
        <w:lastRenderedPageBreak/>
        <w:t>used in a public telecommunication networks to provide telecommunications services: voice, data, audio and video to the end-users, using all applicable media and all kinds of wire-line access technologies, such as DSL, POTS, Ethernet, E1, fibre or others.</w:t>
      </w:r>
      <w:proofErr w:type="gramEnd"/>
    </w:p>
    <w:p w14:paraId="7995204D" w14:textId="77777777" w:rsidR="009E20CF" w:rsidRPr="00A94875" w:rsidRDefault="009E20CF" w:rsidP="009E20CF">
      <w:pPr>
        <w:rPr>
          <w:rFonts w:asciiTheme="majorBidi" w:hAnsiTheme="majorBidi" w:cstheme="majorBidi"/>
          <w:bCs/>
          <w:lang w:val="en-GB"/>
        </w:rPr>
      </w:pPr>
      <w:r w:rsidRPr="00A94875">
        <w:rPr>
          <w:rFonts w:asciiTheme="majorBidi" w:hAnsiTheme="majorBidi" w:cstheme="majorBidi"/>
          <w:bCs/>
          <w:lang w:val="en-GB"/>
        </w:rPr>
        <w:t xml:space="preserve">Test conditions for all kinds of wire-line telecommunication network equipment </w:t>
      </w:r>
      <w:proofErr w:type="gramStart"/>
      <w:r w:rsidRPr="00A94875">
        <w:rPr>
          <w:rFonts w:asciiTheme="majorBidi" w:hAnsiTheme="majorBidi" w:cstheme="majorBidi"/>
          <w:bCs/>
          <w:lang w:val="en-GB"/>
        </w:rPr>
        <w:t>are described</w:t>
      </w:r>
      <w:proofErr w:type="gramEnd"/>
      <w:r w:rsidRPr="00A94875">
        <w:rPr>
          <w:rFonts w:asciiTheme="majorBidi" w:hAnsiTheme="majorBidi" w:cstheme="majorBidi"/>
          <w:bCs/>
          <w:lang w:val="en-GB"/>
        </w:rPr>
        <w:t>, e.g. access equipment, router and switching equipment, optical transmission equipment, data centre and cloud computing equipment and power supply equipment (including HVDC).</w:t>
      </w:r>
    </w:p>
    <w:p w14:paraId="04C25275" w14:textId="3913AC70" w:rsidR="006944F8" w:rsidRPr="00A94875" w:rsidRDefault="009E20CF" w:rsidP="009E20CF">
      <w:pPr>
        <w:rPr>
          <w:rFonts w:asciiTheme="majorBidi" w:hAnsiTheme="majorBidi" w:cstheme="majorBidi"/>
          <w:b/>
          <w:lang w:val="en-GB"/>
        </w:rPr>
      </w:pPr>
      <w:r w:rsidRPr="00A94875">
        <w:rPr>
          <w:rFonts w:asciiTheme="majorBidi" w:hAnsiTheme="majorBidi" w:cstheme="majorBidi"/>
          <w:bCs/>
          <w:lang w:val="en-GB"/>
        </w:rPr>
        <w:t xml:space="preserve">This Recommendation describes the specific testing levels to </w:t>
      </w:r>
      <w:proofErr w:type="gramStart"/>
      <w:r w:rsidRPr="00A94875">
        <w:rPr>
          <w:rFonts w:asciiTheme="majorBidi" w:hAnsiTheme="majorBidi" w:cstheme="majorBidi"/>
          <w:bCs/>
          <w:lang w:val="en-GB"/>
        </w:rPr>
        <w:t>be applied</w:t>
      </w:r>
      <w:proofErr w:type="gramEnd"/>
      <w:r w:rsidRPr="00A94875">
        <w:rPr>
          <w:rFonts w:asciiTheme="majorBidi" w:hAnsiTheme="majorBidi" w:cstheme="majorBidi"/>
          <w:bCs/>
          <w:lang w:val="en-GB"/>
        </w:rPr>
        <w:t xml:space="preserve"> to wire-line telecommunication in different environments, such as telecommunication centres, customer premises and outside plants</w:t>
      </w:r>
      <w:r w:rsidR="006944F8" w:rsidRPr="00A94875">
        <w:rPr>
          <w:rFonts w:asciiTheme="majorBidi" w:hAnsiTheme="majorBidi" w:cstheme="majorBidi"/>
          <w:bCs/>
          <w:lang w:val="en-GB"/>
        </w:rPr>
        <w:t>.</w:t>
      </w:r>
    </w:p>
    <w:p w14:paraId="2DE1F7D2" w14:textId="4703D209" w:rsidR="006944F8" w:rsidRPr="00A94875" w:rsidRDefault="006944F8" w:rsidP="006944F8">
      <w:pPr>
        <w:rPr>
          <w:lang w:val="en-GB"/>
        </w:rPr>
      </w:pPr>
      <w:r w:rsidRPr="00A94875">
        <w:rPr>
          <w:rFonts w:asciiTheme="majorBidi" w:hAnsiTheme="majorBidi" w:cstheme="majorBidi"/>
          <w:b/>
          <w:lang w:val="en-GB"/>
        </w:rPr>
        <w:t>ITU-T K.138 “Quality estimation methods and application guidelines for mitigation measures based on particle radiation tests”</w:t>
      </w:r>
      <w:r w:rsidRPr="00A94875">
        <w:rPr>
          <w:rFonts w:asciiTheme="majorBidi" w:hAnsiTheme="majorBidi" w:cstheme="majorBidi"/>
          <w:bCs/>
          <w:lang w:val="en-GB"/>
        </w:rPr>
        <w:t xml:space="preserve"> </w:t>
      </w:r>
      <w:r w:rsidR="001E6E8F" w:rsidRPr="00A94875">
        <w:rPr>
          <w:lang w:val="en-GB"/>
        </w:rPr>
        <w:t>describes the reliability estimation methods based on the results of a neutron irradiation test</w:t>
      </w:r>
      <w:r w:rsidR="001E6E8F" w:rsidRPr="00A94875">
        <w:rPr>
          <w:lang w:val="en-GB" w:eastAsia="ja-JP"/>
        </w:rPr>
        <w:t xml:space="preserve"> taking into account the severity of the effect caused by soft errors</w:t>
      </w:r>
      <w:r w:rsidR="001E6E8F" w:rsidRPr="00A94875">
        <w:rPr>
          <w:lang w:val="en-GB"/>
        </w:rPr>
        <w:t xml:space="preserve">. The soft error rate in the natural environment </w:t>
      </w:r>
      <w:r w:rsidR="001E6E8F" w:rsidRPr="00A94875">
        <w:rPr>
          <w:lang w:val="en-GB" w:eastAsia="ja-JP"/>
        </w:rPr>
        <w:t xml:space="preserve">has to </w:t>
      </w:r>
      <w:proofErr w:type="gramStart"/>
      <w:r w:rsidR="001E6E8F" w:rsidRPr="00A94875">
        <w:rPr>
          <w:lang w:val="en-GB"/>
        </w:rPr>
        <w:t>be calculated</w:t>
      </w:r>
      <w:proofErr w:type="gramEnd"/>
      <w:r w:rsidR="001E6E8F" w:rsidRPr="00A94875">
        <w:rPr>
          <w:lang w:val="en-GB"/>
        </w:rPr>
        <w:t xml:space="preserve"> from the number of soft errors that occur during a neutron irradiation test. The severity of the impact of a soft error on telecommunications systems, such as the impact on the </w:t>
      </w:r>
      <w:r w:rsidR="001E6E8F" w:rsidRPr="00A94875">
        <w:rPr>
          <w:lang w:val="en-GB" w:eastAsia="ja-JP"/>
        </w:rPr>
        <w:t>client</w:t>
      </w:r>
      <w:r w:rsidR="001E6E8F" w:rsidRPr="00A94875">
        <w:rPr>
          <w:lang w:val="en-GB"/>
        </w:rPr>
        <w:t xml:space="preserve"> signal and control </w:t>
      </w:r>
      <w:proofErr w:type="gramStart"/>
      <w:r w:rsidR="001E6E8F" w:rsidRPr="00A94875">
        <w:rPr>
          <w:lang w:val="en-GB"/>
        </w:rPr>
        <w:t>system,</w:t>
      </w:r>
      <w:proofErr w:type="gramEnd"/>
      <w:r w:rsidR="001E6E8F" w:rsidRPr="00A94875">
        <w:rPr>
          <w:lang w:val="en-GB"/>
        </w:rPr>
        <w:t xml:space="preserve"> </w:t>
      </w:r>
      <w:r w:rsidR="001E6E8F" w:rsidRPr="00A94875">
        <w:rPr>
          <w:lang w:val="en-GB" w:eastAsia="ja-JP"/>
        </w:rPr>
        <w:t>is</w:t>
      </w:r>
      <w:r w:rsidR="001E6E8F" w:rsidRPr="00A94875">
        <w:rPr>
          <w:lang w:val="en-GB"/>
        </w:rPr>
        <w:t xml:space="preserve"> analysed from the error logs created during the test.</w:t>
      </w:r>
      <w:r w:rsidR="001E6E8F" w:rsidRPr="00A94875">
        <w:rPr>
          <w:lang w:val="en-GB" w:eastAsia="ja-JP"/>
        </w:rPr>
        <w:t xml:space="preserve"> </w:t>
      </w:r>
      <w:r w:rsidR="001E6E8F" w:rsidRPr="00A94875">
        <w:rPr>
          <w:lang w:val="en-GB"/>
        </w:rPr>
        <w:t xml:space="preserve">Additional mitigation measures </w:t>
      </w:r>
      <w:proofErr w:type="gramStart"/>
      <w:r w:rsidR="001E6E8F" w:rsidRPr="00A94875">
        <w:rPr>
          <w:lang w:val="en-GB"/>
        </w:rPr>
        <w:t>should be applied</w:t>
      </w:r>
      <w:proofErr w:type="gramEnd"/>
      <w:r w:rsidR="001E6E8F" w:rsidRPr="00A94875">
        <w:rPr>
          <w:lang w:val="en-GB"/>
        </w:rPr>
        <w:t xml:space="preserve"> if the equipment is less reliable than the target level. This Recommendation also provides guidelines for applying these mitigation measures in light of the results of soft error tests</w:t>
      </w:r>
      <w:r w:rsidRPr="00A94875">
        <w:rPr>
          <w:lang w:val="en-GB"/>
        </w:rPr>
        <w:t>.</w:t>
      </w:r>
    </w:p>
    <w:p w14:paraId="50ECF84C" w14:textId="5E0A6AB2" w:rsidR="006944F8" w:rsidRPr="00A94875" w:rsidRDefault="006944F8" w:rsidP="006944F8">
      <w:pPr>
        <w:rPr>
          <w:rFonts w:eastAsiaTheme="minorEastAsia"/>
          <w:color w:val="000000" w:themeColor="text1"/>
          <w:lang w:val="en-GB"/>
        </w:rPr>
      </w:pPr>
      <w:r w:rsidRPr="00A94875">
        <w:rPr>
          <w:rFonts w:asciiTheme="majorBidi" w:hAnsiTheme="majorBidi" w:cstheme="majorBidi"/>
          <w:b/>
          <w:lang w:val="en-GB"/>
        </w:rPr>
        <w:t>ITU-T K.139 “Reliability requirements for telecommunication systems affected by particle radiation”</w:t>
      </w:r>
      <w:r w:rsidRPr="00A94875">
        <w:rPr>
          <w:rFonts w:asciiTheme="majorBidi" w:hAnsiTheme="majorBidi" w:cstheme="majorBidi"/>
          <w:bCs/>
          <w:lang w:val="en-GB"/>
        </w:rPr>
        <w:t xml:space="preserve"> </w:t>
      </w:r>
      <w:r w:rsidR="001E6E8F" w:rsidRPr="00A94875">
        <w:rPr>
          <w:rFonts w:eastAsia="MS Mincho"/>
          <w:color w:val="000000"/>
          <w:lang w:val="en-GB"/>
        </w:rPr>
        <w:t xml:space="preserve">describes the reliability requirements for telecommunication equipment in relation to the soft errors that </w:t>
      </w:r>
      <w:proofErr w:type="gramStart"/>
      <w:r w:rsidR="001E6E8F" w:rsidRPr="00A94875">
        <w:rPr>
          <w:rFonts w:eastAsia="MS Mincho"/>
          <w:color w:val="000000"/>
          <w:lang w:val="en-GB"/>
        </w:rPr>
        <w:t>are caused</w:t>
      </w:r>
      <w:proofErr w:type="gramEnd"/>
      <w:r w:rsidR="001E6E8F" w:rsidRPr="00A94875">
        <w:rPr>
          <w:rFonts w:eastAsia="MS Mincho"/>
          <w:color w:val="000000"/>
          <w:lang w:val="en-GB"/>
        </w:rPr>
        <w:t xml:space="preserve"> by particle radiation. The principles for determination of reliability requirements </w:t>
      </w:r>
      <w:proofErr w:type="gramStart"/>
      <w:r w:rsidR="001E6E8F" w:rsidRPr="00A94875">
        <w:rPr>
          <w:rFonts w:eastAsia="MS Mincho"/>
          <w:color w:val="000000"/>
          <w:lang w:val="en-GB"/>
        </w:rPr>
        <w:t>are described</w:t>
      </w:r>
      <w:proofErr w:type="gramEnd"/>
      <w:r w:rsidR="001E6E8F" w:rsidRPr="00A94875">
        <w:rPr>
          <w:rFonts w:eastAsia="MS Mincho"/>
          <w:color w:val="000000"/>
          <w:lang w:val="en-GB"/>
        </w:rPr>
        <w:t xml:space="preserve"> and three types of reliability requirements (alert function</w:t>
      </w:r>
      <w:r w:rsidR="001E6E8F" w:rsidRPr="00A94875">
        <w:rPr>
          <w:rFonts w:eastAsia="MS Mincho"/>
          <w:color w:val="000000"/>
          <w:lang w:val="en-GB" w:eastAsia="ja-JP"/>
        </w:rPr>
        <w:t xml:space="preserve"> reliability</w:t>
      </w:r>
      <w:r w:rsidR="001E6E8F" w:rsidRPr="00A94875">
        <w:rPr>
          <w:rFonts w:eastAsia="MS Mincho"/>
          <w:color w:val="000000"/>
          <w:lang w:val="en-GB"/>
        </w:rPr>
        <w:t>, service</w:t>
      </w:r>
      <w:r w:rsidR="001E6E8F" w:rsidRPr="00A94875">
        <w:rPr>
          <w:rFonts w:eastAsia="MS Mincho"/>
          <w:color w:val="000000"/>
          <w:lang w:val="en-GB" w:eastAsia="ja-JP"/>
        </w:rPr>
        <w:t xml:space="preserve"> reliability</w:t>
      </w:r>
      <w:r w:rsidR="001E6E8F" w:rsidRPr="00A94875">
        <w:rPr>
          <w:rFonts w:eastAsia="MS Mincho"/>
          <w:color w:val="000000"/>
          <w:lang w:val="en-GB"/>
        </w:rPr>
        <w:t>, and maintenance</w:t>
      </w:r>
      <w:r w:rsidR="001E6E8F" w:rsidRPr="00A94875">
        <w:rPr>
          <w:rFonts w:eastAsia="MS Mincho"/>
          <w:color w:val="000000"/>
          <w:lang w:val="en-GB" w:eastAsia="ja-JP"/>
        </w:rPr>
        <w:t xml:space="preserve"> reliability</w:t>
      </w:r>
      <w:r w:rsidR="001E6E8F" w:rsidRPr="00A94875">
        <w:rPr>
          <w:rFonts w:eastAsia="MS Mincho"/>
          <w:color w:val="000000"/>
          <w:lang w:val="en-GB"/>
        </w:rPr>
        <w:t xml:space="preserve">) are defined. Three reliability classes for each type of requirement </w:t>
      </w:r>
      <w:proofErr w:type="gramStart"/>
      <w:r w:rsidR="001E6E8F" w:rsidRPr="00A94875">
        <w:rPr>
          <w:rFonts w:eastAsia="MS Mincho"/>
          <w:color w:val="000000"/>
          <w:lang w:val="en-GB"/>
        </w:rPr>
        <w:t>are defined</w:t>
      </w:r>
      <w:proofErr w:type="gramEnd"/>
      <w:r w:rsidR="001E6E8F" w:rsidRPr="00A94875">
        <w:rPr>
          <w:rFonts w:eastAsia="MS Mincho"/>
          <w:color w:val="000000"/>
          <w:lang w:val="en-GB"/>
        </w:rPr>
        <w:t xml:space="preserve"> based on the acceptable soft error failure rate. Specific values are determined for each type and class of reliability requirement.</w:t>
      </w:r>
    </w:p>
    <w:p w14:paraId="2DFE609D" w14:textId="77777777" w:rsidR="006944F8" w:rsidRPr="00A94875" w:rsidRDefault="006944F8" w:rsidP="006944F8">
      <w:pPr>
        <w:rPr>
          <w:rFonts w:eastAsiaTheme="minorEastAsia"/>
          <w:b/>
          <w:bCs/>
          <w:color w:val="000000" w:themeColor="text1"/>
          <w:lang w:val="en-GB"/>
        </w:rPr>
      </w:pPr>
      <w:r w:rsidRPr="00A94875">
        <w:rPr>
          <w:rFonts w:eastAsiaTheme="minorEastAsia"/>
          <w:b/>
          <w:bCs/>
          <w:color w:val="000000" w:themeColor="text1"/>
          <w:lang w:val="en-GB"/>
        </w:rPr>
        <w:t xml:space="preserve">ITU-T K.Suppl.4 (revised) “ITU-T K.91 - Electromagnetic field considerations in smart sustainable cities” </w:t>
      </w:r>
      <w:r w:rsidRPr="00A94875">
        <w:rPr>
          <w:rFonts w:eastAsiaTheme="minorEastAsia"/>
          <w:bCs/>
          <w:color w:val="000000" w:themeColor="text1"/>
          <w:lang w:val="en-GB"/>
        </w:rPr>
        <w:t xml:space="preserve">details the EMF considerations in smart sustainable cities. It provides guidance on implementation and promotes efficient deployment of wireless networks in smart sustainable cities. It features a 'Smart sustainability city EMF check-list' designed to provide an easy to use reference for city officials and planners to ensure smart city policies operate most efficiently and comply with EMF exposure standards. It references World Health Organization (WHO) materials, International Commission on Non-Ionizing Radiation Protection (ICNIRP) guidelines, ITU-T Recommendations and IEC Standards. It </w:t>
      </w:r>
      <w:proofErr w:type="gramStart"/>
      <w:r w:rsidRPr="00A94875">
        <w:rPr>
          <w:rFonts w:eastAsiaTheme="minorEastAsia"/>
          <w:bCs/>
          <w:color w:val="000000" w:themeColor="text1"/>
          <w:lang w:val="en-GB"/>
        </w:rPr>
        <w:t>is not intended</w:t>
      </w:r>
      <w:proofErr w:type="gramEnd"/>
      <w:r w:rsidRPr="00A94875">
        <w:rPr>
          <w:rFonts w:eastAsiaTheme="minorEastAsia"/>
          <w:bCs/>
          <w:color w:val="000000" w:themeColor="text1"/>
          <w:lang w:val="en-GB"/>
        </w:rPr>
        <w:t xml:space="preserve"> to replicate the material in all references.</w:t>
      </w:r>
    </w:p>
    <w:p w14:paraId="12CD3B2F" w14:textId="77777777" w:rsidR="006944F8" w:rsidRPr="00A94875" w:rsidRDefault="006944F8" w:rsidP="006944F8">
      <w:pPr>
        <w:rPr>
          <w:rFonts w:eastAsiaTheme="minorEastAsia"/>
          <w:color w:val="000000" w:themeColor="text1"/>
          <w:lang w:val="en-GB"/>
        </w:rPr>
      </w:pPr>
      <w:r w:rsidRPr="00A94875">
        <w:rPr>
          <w:rFonts w:eastAsiaTheme="minorEastAsia"/>
          <w:b/>
          <w:bCs/>
          <w:color w:val="000000" w:themeColor="text1"/>
          <w:lang w:val="en-GB"/>
        </w:rPr>
        <w:t>ITU-T K.Suppl.8 (revised) “Resistibility analysis of 5G systems”</w:t>
      </w:r>
      <w:r w:rsidRPr="00A94875">
        <w:rPr>
          <w:rFonts w:eastAsiaTheme="minorEastAsia"/>
          <w:color w:val="000000" w:themeColor="text1"/>
          <w:lang w:val="en-GB"/>
        </w:rPr>
        <w:t xml:space="preserve"> analyses 5G system resistibility requirements for lightning and power fault events. The electrical threats posed by lightning and power fault events </w:t>
      </w:r>
      <w:proofErr w:type="gramStart"/>
      <w:r w:rsidRPr="00A94875">
        <w:rPr>
          <w:rFonts w:eastAsiaTheme="minorEastAsia"/>
          <w:color w:val="000000" w:themeColor="text1"/>
          <w:lang w:val="en-GB"/>
        </w:rPr>
        <w:t>are discussed</w:t>
      </w:r>
      <w:proofErr w:type="gramEnd"/>
      <w:r w:rsidRPr="00A94875">
        <w:rPr>
          <w:rFonts w:eastAsiaTheme="minorEastAsia"/>
          <w:color w:val="000000" w:themeColor="text1"/>
          <w:lang w:val="en-GB"/>
        </w:rPr>
        <w:t xml:space="preserve"> and the appropriate resistibility tests identified. Installation practice can have a big influence on the reliability of service and the equipment. </w:t>
      </w:r>
      <w:proofErr w:type="spellStart"/>
      <w:r w:rsidRPr="00A94875">
        <w:rPr>
          <w:rFonts w:eastAsiaTheme="minorEastAsia"/>
          <w:color w:val="000000" w:themeColor="text1"/>
          <w:lang w:val="en-GB"/>
        </w:rPr>
        <w:t>Earthing</w:t>
      </w:r>
      <w:proofErr w:type="spellEnd"/>
      <w:r w:rsidRPr="00A94875">
        <w:rPr>
          <w:rFonts w:eastAsiaTheme="minorEastAsia"/>
          <w:color w:val="000000" w:themeColor="text1"/>
          <w:lang w:val="en-GB"/>
        </w:rPr>
        <w:t xml:space="preserve">, location and </w:t>
      </w:r>
      <w:proofErr w:type="spellStart"/>
      <w:r w:rsidRPr="00A94875">
        <w:rPr>
          <w:rFonts w:eastAsiaTheme="minorEastAsia"/>
          <w:color w:val="000000" w:themeColor="text1"/>
          <w:lang w:val="en-GB"/>
        </w:rPr>
        <w:t>craftmanship</w:t>
      </w:r>
      <w:proofErr w:type="spellEnd"/>
      <w:r w:rsidRPr="00A94875">
        <w:rPr>
          <w:rFonts w:eastAsiaTheme="minorEastAsia"/>
          <w:color w:val="000000" w:themeColor="text1"/>
          <w:lang w:val="en-GB"/>
        </w:rPr>
        <w:t xml:space="preserve"> </w:t>
      </w:r>
      <w:proofErr w:type="gramStart"/>
      <w:r w:rsidRPr="00A94875">
        <w:rPr>
          <w:rFonts w:eastAsiaTheme="minorEastAsia"/>
          <w:color w:val="000000" w:themeColor="text1"/>
          <w:lang w:val="en-GB"/>
        </w:rPr>
        <w:t>are discussed</w:t>
      </w:r>
      <w:proofErr w:type="gramEnd"/>
      <w:r w:rsidRPr="00A94875">
        <w:rPr>
          <w:rFonts w:eastAsiaTheme="minorEastAsia"/>
          <w:color w:val="000000" w:themeColor="text1"/>
          <w:lang w:val="en-GB"/>
        </w:rPr>
        <w:t>.</w:t>
      </w:r>
    </w:p>
    <w:p w14:paraId="66642CE0" w14:textId="77777777" w:rsidR="006944F8" w:rsidRPr="00A94875" w:rsidRDefault="006944F8" w:rsidP="006944F8">
      <w:pPr>
        <w:rPr>
          <w:rFonts w:eastAsiaTheme="minorEastAsia"/>
          <w:color w:val="000000" w:themeColor="text1"/>
          <w:lang w:val="en-GB"/>
        </w:rPr>
      </w:pPr>
      <w:r w:rsidRPr="00A94875">
        <w:rPr>
          <w:rFonts w:eastAsiaTheme="minorEastAsia"/>
          <w:b/>
          <w:bCs/>
          <w:color w:val="000000" w:themeColor="text1"/>
          <w:lang w:val="en-GB"/>
        </w:rPr>
        <w:t>ITU-T K.Suppl.9 (revised) “5G technology and human exposure to RF EMF”</w:t>
      </w:r>
      <w:r w:rsidRPr="00A94875">
        <w:rPr>
          <w:rFonts w:eastAsiaTheme="minorEastAsia"/>
          <w:color w:val="000000" w:themeColor="text1"/>
          <w:lang w:val="en-GB"/>
        </w:rPr>
        <w:t xml:space="preserve"> contains an analysis of the impact of the implementation of 5G mobile systems with respect to the exposure level of electromagnetic fields (EMF) around </w:t>
      </w:r>
      <w:proofErr w:type="spellStart"/>
      <w:r w:rsidRPr="00A94875">
        <w:rPr>
          <w:rFonts w:eastAsiaTheme="minorEastAsia"/>
          <w:color w:val="000000" w:themeColor="text1"/>
          <w:lang w:val="en-GB"/>
        </w:rPr>
        <w:t>radiocommunication</w:t>
      </w:r>
      <w:proofErr w:type="spellEnd"/>
      <w:r w:rsidRPr="00A94875">
        <w:rPr>
          <w:rFonts w:eastAsiaTheme="minorEastAsia"/>
          <w:color w:val="000000" w:themeColor="text1"/>
          <w:lang w:val="en-GB"/>
        </w:rPr>
        <w:t xml:space="preserve"> infrastructure.</w:t>
      </w:r>
    </w:p>
    <w:p w14:paraId="2C1A6D0F" w14:textId="77777777" w:rsidR="006944F8" w:rsidRPr="00A94875" w:rsidRDefault="006944F8" w:rsidP="006944F8">
      <w:pPr>
        <w:rPr>
          <w:rFonts w:eastAsiaTheme="minorEastAsia"/>
          <w:color w:val="000000" w:themeColor="text1"/>
          <w:lang w:val="en-GB"/>
        </w:rPr>
      </w:pPr>
      <w:r w:rsidRPr="00A94875">
        <w:rPr>
          <w:rFonts w:eastAsiaTheme="minorEastAsia"/>
          <w:b/>
          <w:bCs/>
          <w:color w:val="000000" w:themeColor="text1"/>
          <w:lang w:val="en-GB"/>
        </w:rPr>
        <w:t>ITU-T K.Suppl.10 (revised) “Analysis of electromagnetic compatibility aspects and definition of requirements for 5G systems”</w:t>
      </w:r>
      <w:r w:rsidRPr="00A94875">
        <w:rPr>
          <w:rFonts w:eastAsiaTheme="minorEastAsia"/>
          <w:color w:val="000000" w:themeColor="text1"/>
          <w:lang w:val="en-GB"/>
        </w:rPr>
        <w:t xml:space="preserve"> provides guidance on the EMC compliance assessment considerations for 5G systems. Given the 5G Radio Access Network (RAN) technical standards are still being finalised, the first version of this Supplement focuses on possible emission and immunity requirements for 5G systems.</w:t>
      </w:r>
    </w:p>
    <w:p w14:paraId="0CD6B091" w14:textId="77777777" w:rsidR="006944F8" w:rsidRPr="00A94875" w:rsidRDefault="006944F8" w:rsidP="006944F8">
      <w:pPr>
        <w:rPr>
          <w:rFonts w:eastAsiaTheme="minorEastAsia"/>
          <w:color w:val="000000" w:themeColor="text1"/>
          <w:lang w:val="en-GB"/>
        </w:rPr>
      </w:pPr>
      <w:r w:rsidRPr="00A94875">
        <w:rPr>
          <w:rFonts w:eastAsiaTheme="minorEastAsia"/>
          <w:b/>
          <w:bCs/>
          <w:color w:val="000000" w:themeColor="text1"/>
          <w:lang w:val="en-GB"/>
        </w:rPr>
        <w:t>ITU-T K.Suppl.14 (revised) “The impact of RF-EMF exposure limits stricter than the ICNIRP or IEEE guidelines on 4G and 5G mobile network deployment”</w:t>
      </w:r>
      <w:r w:rsidRPr="00A94875">
        <w:rPr>
          <w:rFonts w:eastAsiaTheme="minorEastAsia"/>
          <w:color w:val="000000" w:themeColor="text1"/>
          <w:lang w:val="en-GB"/>
        </w:rPr>
        <w:t xml:space="preserve"> provides an overview </w:t>
      </w:r>
      <w:r w:rsidRPr="00A94875">
        <w:rPr>
          <w:rFonts w:eastAsiaTheme="minorEastAsia"/>
          <w:color w:val="000000" w:themeColor="text1"/>
          <w:lang w:val="en-GB"/>
        </w:rPr>
        <w:lastRenderedPageBreak/>
        <w:t>of some of the challenges faced by countries, regions and cities which are about to deploy 4G or 5G infrastructures. This Supplement provides information on a simulation on the impact of RF</w:t>
      </w:r>
      <w:r w:rsidRPr="00A94875">
        <w:rPr>
          <w:rFonts w:ascii="MS Mincho" w:eastAsia="MS Mincho" w:hAnsi="MS Mincho" w:cs="MS Mincho"/>
          <w:color w:val="000000" w:themeColor="text1"/>
          <w:lang w:val="en-GB"/>
        </w:rPr>
        <w:t>‑</w:t>
      </w:r>
      <w:r w:rsidRPr="00A94875">
        <w:rPr>
          <w:rFonts w:eastAsiaTheme="minorEastAsia"/>
          <w:color w:val="000000" w:themeColor="text1"/>
          <w:lang w:val="en-GB"/>
        </w:rPr>
        <w:t xml:space="preserve">EMF limits that was carried out in Poland as an example of a wider phenomenon, which is applicable to several other countries, which have set limits stricter than those contained in the ICNIRP or IEEE </w:t>
      </w:r>
      <w:proofErr w:type="gramStart"/>
      <w:r w:rsidRPr="00A94875">
        <w:rPr>
          <w:rFonts w:eastAsiaTheme="minorEastAsia"/>
          <w:color w:val="000000" w:themeColor="text1"/>
          <w:lang w:val="en-GB"/>
        </w:rPr>
        <w:t>guidelines</w:t>
      </w:r>
      <w:proofErr w:type="gramEnd"/>
      <w:r w:rsidRPr="00A94875">
        <w:rPr>
          <w:rFonts w:eastAsiaTheme="minorEastAsia"/>
          <w:color w:val="000000" w:themeColor="text1"/>
          <w:lang w:val="en-GB"/>
        </w:rPr>
        <w:t>.</w:t>
      </w:r>
    </w:p>
    <w:p w14:paraId="23407588" w14:textId="77777777" w:rsidR="006944F8" w:rsidRPr="00A94875" w:rsidRDefault="006944F8" w:rsidP="006944F8">
      <w:pPr>
        <w:rPr>
          <w:rFonts w:eastAsiaTheme="minorEastAsia"/>
          <w:b/>
          <w:color w:val="000000" w:themeColor="text1"/>
          <w:lang w:val="en-GB"/>
        </w:rPr>
      </w:pPr>
      <w:r w:rsidRPr="00A94875">
        <w:rPr>
          <w:rFonts w:eastAsiaTheme="minorEastAsia"/>
          <w:b/>
          <w:color w:val="000000" w:themeColor="text1"/>
          <w:lang w:val="en-GB"/>
        </w:rPr>
        <w:t xml:space="preserve">ITU-T K.Suppl.15 “Internal DC powering interface surge testing factors (K.20, K.21 and K.44)” </w:t>
      </w:r>
      <w:r w:rsidRPr="00A94875">
        <w:rPr>
          <w:rFonts w:eastAsiaTheme="minorEastAsia"/>
          <w:color w:val="000000" w:themeColor="text1"/>
          <w:lang w:val="en-GB"/>
        </w:rPr>
        <w:t>analyses these factors to make K.20 and K.21 equipment designers and testers aware of the surge stress levels.</w:t>
      </w:r>
    </w:p>
    <w:p w14:paraId="7AE9A77D" w14:textId="77777777" w:rsidR="006944F8" w:rsidRPr="00A94875" w:rsidRDefault="006944F8" w:rsidP="006944F8">
      <w:pPr>
        <w:rPr>
          <w:rFonts w:asciiTheme="majorBidi" w:hAnsiTheme="majorBidi" w:cstheme="majorBidi"/>
          <w:bCs/>
          <w:lang w:val="en-GB"/>
        </w:rPr>
      </w:pPr>
      <w:r w:rsidRPr="00A94875">
        <w:rPr>
          <w:rFonts w:eastAsiaTheme="minorEastAsia"/>
          <w:b/>
          <w:bCs/>
          <w:color w:val="000000" w:themeColor="text1"/>
          <w:lang w:val="en-GB"/>
        </w:rPr>
        <w:t>ITU-T K.Suppl.16 “Electromagnetic field (EMF) compliance assessments for 5G wireless networks”</w:t>
      </w:r>
      <w:r w:rsidRPr="00A94875">
        <w:rPr>
          <w:rFonts w:eastAsiaTheme="minorEastAsia"/>
          <w:color w:val="000000" w:themeColor="text1"/>
          <w:lang w:val="en-GB"/>
        </w:rPr>
        <w:t xml:space="preserve"> provides guidance on the RF-EMF compliance assessment considerations for IMT-2020 wireless networks also called as 5G. Given that the 5G technical standards have just been finalised and commercial 5G networks are not due to launch until 2019 – 2020, the first version of this Supplement is addressing mainly the computational assessment options and assessments of trial networks.</w:t>
      </w:r>
    </w:p>
    <w:p w14:paraId="70CB5261" w14:textId="77777777" w:rsidR="006944F8" w:rsidRPr="00A94875" w:rsidRDefault="006944F8" w:rsidP="006944F8">
      <w:pPr>
        <w:spacing w:before="240"/>
        <w:rPr>
          <w:b/>
          <w:sz w:val="22"/>
          <w:szCs w:val="22"/>
          <w:lang w:val="en-GB"/>
        </w:rPr>
      </w:pPr>
      <w:bookmarkStart w:id="230" w:name="_Toc480527906"/>
      <w:r w:rsidRPr="00A94875">
        <w:rPr>
          <w:b/>
          <w:sz w:val="22"/>
          <w:szCs w:val="22"/>
          <w:lang w:val="en-GB"/>
        </w:rPr>
        <w:t>I.6.4</w:t>
      </w:r>
      <w:r w:rsidRPr="00A94875">
        <w:rPr>
          <w:b/>
          <w:sz w:val="22"/>
          <w:szCs w:val="22"/>
          <w:lang w:val="en-GB"/>
        </w:rPr>
        <w:tab/>
        <w:t>Emergency communication &amp; disaster relief</w:t>
      </w:r>
      <w:bookmarkEnd w:id="230"/>
    </w:p>
    <w:p w14:paraId="432449B3" w14:textId="77777777" w:rsidR="006944F8" w:rsidRPr="00A94875" w:rsidRDefault="006944F8" w:rsidP="006944F8">
      <w:pPr>
        <w:rPr>
          <w:rFonts w:asciiTheme="majorBidi" w:hAnsiTheme="majorBidi" w:cstheme="majorBidi"/>
          <w:bCs/>
          <w:szCs w:val="24"/>
          <w:highlight w:val="yellow"/>
          <w:lang w:val="en-GB"/>
        </w:rPr>
      </w:pPr>
      <w:r w:rsidRPr="00A94875">
        <w:rPr>
          <w:rFonts w:asciiTheme="majorBidi" w:hAnsiTheme="majorBidi" w:cstheme="majorBidi"/>
          <w:b/>
          <w:bCs/>
          <w:szCs w:val="24"/>
          <w:lang w:val="en-GB"/>
        </w:rPr>
        <w:t xml:space="preserve">Technical Paper HSTP-DIS-UAV “Use cases and scenarios for disaster information service using unmanned aerial vehicles” </w:t>
      </w:r>
      <w:r w:rsidRPr="00A94875">
        <w:rPr>
          <w:rFonts w:asciiTheme="majorBidi" w:hAnsiTheme="majorBidi" w:cstheme="majorBidi"/>
          <w:bCs/>
          <w:szCs w:val="24"/>
          <w:lang w:val="en-GB"/>
        </w:rPr>
        <w:t xml:space="preserve">describes use cases and scenarios for disaster information service using Unmanned Aerial Vehicles (UAV). UAVs </w:t>
      </w:r>
      <w:proofErr w:type="gramStart"/>
      <w:r w:rsidRPr="00A94875">
        <w:rPr>
          <w:rFonts w:asciiTheme="majorBidi" w:hAnsiTheme="majorBidi" w:cstheme="majorBidi"/>
          <w:bCs/>
          <w:szCs w:val="24"/>
          <w:lang w:val="en-GB"/>
        </w:rPr>
        <w:t>are expected</w:t>
      </w:r>
      <w:proofErr w:type="gramEnd"/>
      <w:r w:rsidRPr="00A94875">
        <w:rPr>
          <w:rFonts w:asciiTheme="majorBidi" w:hAnsiTheme="majorBidi" w:cstheme="majorBidi"/>
          <w:bCs/>
          <w:szCs w:val="24"/>
          <w:lang w:val="en-GB"/>
        </w:rPr>
        <w:t xml:space="preserve"> to be applicable to various disaster situations such as drought, fire, flood, landslide, earthquake, volcanic eruption, tsunami, etc. Use cases in all disaster phases </w:t>
      </w:r>
      <w:proofErr w:type="gramStart"/>
      <w:r w:rsidRPr="00A94875">
        <w:rPr>
          <w:rFonts w:asciiTheme="majorBidi" w:hAnsiTheme="majorBidi" w:cstheme="majorBidi"/>
          <w:bCs/>
          <w:szCs w:val="24"/>
          <w:lang w:val="en-GB"/>
        </w:rPr>
        <w:t>are described</w:t>
      </w:r>
      <w:proofErr w:type="gramEnd"/>
      <w:r w:rsidRPr="00A94875">
        <w:rPr>
          <w:rFonts w:asciiTheme="majorBidi" w:hAnsiTheme="majorBidi" w:cstheme="majorBidi"/>
          <w:bCs/>
          <w:szCs w:val="24"/>
          <w:lang w:val="en-GB"/>
        </w:rPr>
        <w:t>, including preparedness phase (before disaster), response and relief phase (during disaster), recovery and reconstruction phase (after disaster).</w:t>
      </w:r>
    </w:p>
    <w:p w14:paraId="622C389C" w14:textId="77777777" w:rsidR="006944F8" w:rsidRPr="00A94875" w:rsidRDefault="006944F8" w:rsidP="006944F8">
      <w:pPr>
        <w:rPr>
          <w:rFonts w:asciiTheme="majorBidi" w:hAnsiTheme="majorBidi" w:cstheme="majorBidi"/>
          <w:szCs w:val="24"/>
          <w:lang w:val="en-GB"/>
        </w:rPr>
      </w:pPr>
      <w:r w:rsidRPr="00A94875">
        <w:rPr>
          <w:rFonts w:asciiTheme="majorBidi" w:hAnsiTheme="majorBidi" w:cstheme="majorBidi"/>
          <w:b/>
          <w:szCs w:val="24"/>
          <w:lang w:val="en-GB"/>
        </w:rPr>
        <w:t xml:space="preserve">Supplement 69 to ITU-T Q-series Recommendations “Framework for interconnection between </w:t>
      </w:r>
      <w:proofErr w:type="spellStart"/>
      <w:r w:rsidRPr="00A94875">
        <w:rPr>
          <w:rFonts w:asciiTheme="majorBidi" w:hAnsiTheme="majorBidi" w:cstheme="majorBidi"/>
          <w:b/>
          <w:szCs w:val="24"/>
          <w:lang w:val="en-GB"/>
        </w:rPr>
        <w:t>VoLTE</w:t>
      </w:r>
      <w:proofErr w:type="spellEnd"/>
      <w:r w:rsidRPr="00A94875">
        <w:rPr>
          <w:rFonts w:asciiTheme="majorBidi" w:hAnsiTheme="majorBidi" w:cstheme="majorBidi"/>
          <w:b/>
          <w:szCs w:val="24"/>
          <w:lang w:val="en-GB"/>
        </w:rPr>
        <w:t>-based network and other networks supporting emergency telecommunications service (ETS)”</w:t>
      </w:r>
      <w:r w:rsidRPr="00A94875">
        <w:rPr>
          <w:rFonts w:asciiTheme="majorBidi" w:hAnsiTheme="majorBidi" w:cstheme="majorBidi"/>
          <w:szCs w:val="24"/>
          <w:lang w:val="en-GB"/>
        </w:rPr>
        <w:t xml:space="preserve"> specifies the framework for interconnection between </w:t>
      </w:r>
      <w:proofErr w:type="spellStart"/>
      <w:r w:rsidRPr="00A94875">
        <w:rPr>
          <w:rFonts w:asciiTheme="majorBidi" w:hAnsiTheme="majorBidi" w:cstheme="majorBidi"/>
          <w:szCs w:val="24"/>
          <w:lang w:val="en-GB"/>
        </w:rPr>
        <w:t>VoLTE</w:t>
      </w:r>
      <w:proofErr w:type="spellEnd"/>
      <w:r w:rsidRPr="00A94875">
        <w:rPr>
          <w:rFonts w:asciiTheme="majorBidi" w:hAnsiTheme="majorBidi" w:cstheme="majorBidi"/>
          <w:szCs w:val="24"/>
          <w:lang w:val="en-GB"/>
        </w:rPr>
        <w:t>-based network and other networks supporting emergency telecommunications service (ETS).</w:t>
      </w:r>
    </w:p>
    <w:p w14:paraId="558497AE" w14:textId="77777777" w:rsidR="006944F8" w:rsidRPr="00A94875" w:rsidRDefault="006944F8" w:rsidP="006944F8">
      <w:pPr>
        <w:spacing w:before="240"/>
        <w:rPr>
          <w:b/>
          <w:szCs w:val="24"/>
          <w:lang w:val="en-GB"/>
        </w:rPr>
      </w:pPr>
      <w:bookmarkStart w:id="231" w:name="_Toc480527908"/>
      <w:r w:rsidRPr="00A94875">
        <w:rPr>
          <w:b/>
          <w:szCs w:val="24"/>
          <w:lang w:val="en-GB"/>
        </w:rPr>
        <w:t>I.7</w:t>
      </w:r>
      <w:r w:rsidRPr="00A94875">
        <w:rPr>
          <w:b/>
          <w:szCs w:val="24"/>
          <w:lang w:val="en-GB"/>
        </w:rPr>
        <w:tab/>
        <w:t>Tariff and accounting principles and international telecommunication/ICT economic and policy issues</w:t>
      </w:r>
    </w:p>
    <w:p w14:paraId="5ABBD456" w14:textId="77777777" w:rsidR="006944F8" w:rsidRPr="00A94875" w:rsidRDefault="006944F8" w:rsidP="006944F8">
      <w:pPr>
        <w:pStyle w:val="NormalWeb"/>
        <w:spacing w:before="240" w:after="120"/>
        <w:rPr>
          <w:rFonts w:asciiTheme="majorBidi" w:hAnsiTheme="majorBidi" w:cstheme="majorBidi"/>
          <w:szCs w:val="20"/>
          <w:lang w:val="en-GB" w:eastAsia="en-US"/>
        </w:rPr>
      </w:pPr>
      <w:proofErr w:type="gramStart"/>
      <w:r w:rsidRPr="00A94875">
        <w:rPr>
          <w:rFonts w:asciiTheme="majorBidi" w:hAnsiTheme="majorBidi" w:cstheme="majorBidi"/>
          <w:b/>
          <w:szCs w:val="20"/>
          <w:lang w:val="en-GB" w:eastAsia="en-US"/>
        </w:rPr>
        <w:t>ITU-T D.198 "Principles for unified format of price/tariffs/rates-lists used for exchanging telephone traffic"</w:t>
      </w:r>
      <w:r w:rsidRPr="00A94875">
        <w:rPr>
          <w:rFonts w:asciiTheme="majorBidi" w:hAnsiTheme="majorBidi" w:cstheme="majorBidi"/>
          <w:szCs w:val="20"/>
          <w:lang w:val="en-GB" w:eastAsia="en-US"/>
        </w:rPr>
        <w:t xml:space="preserve"> (under approval) recognizes the right of any operator to present price/tariffs/rates charged for telecommunications services in any form deemed convenient for the operator, and recommends that telecommunications companies offering international connections/exchange of traffic make use as far as possible of the same templates/forms/format of data to represent traffic destinations and offered price/tariffs/rates including if required optional clarifying information or quality of service criteria.</w:t>
      </w:r>
      <w:proofErr w:type="gramEnd"/>
    </w:p>
    <w:p w14:paraId="72CDD72F" w14:textId="77777777" w:rsidR="006944F8" w:rsidRPr="00A94875" w:rsidRDefault="006944F8" w:rsidP="006944F8">
      <w:pPr>
        <w:pStyle w:val="NormalWeb"/>
        <w:spacing w:before="240" w:beforeAutospacing="0" w:after="120" w:afterAutospacing="0"/>
        <w:rPr>
          <w:rFonts w:asciiTheme="majorBidi" w:hAnsiTheme="majorBidi" w:cstheme="majorBidi"/>
          <w:b/>
          <w:szCs w:val="20"/>
          <w:lang w:val="en-GB" w:eastAsia="en-US"/>
        </w:rPr>
      </w:pPr>
      <w:r w:rsidRPr="00A94875">
        <w:rPr>
          <w:rFonts w:asciiTheme="majorBidi" w:hAnsiTheme="majorBidi" w:cstheme="majorBidi"/>
          <w:b/>
          <w:szCs w:val="20"/>
          <w:lang w:val="en-GB" w:eastAsia="en-US"/>
        </w:rPr>
        <w:t>ITU-T D.263 "Costs, Charges and Competition for Mobile Financial Services (MFS)"</w:t>
      </w:r>
      <w:r w:rsidRPr="00A94875">
        <w:rPr>
          <w:rFonts w:asciiTheme="majorBidi" w:hAnsiTheme="majorBidi" w:cstheme="majorBidi"/>
          <w:szCs w:val="20"/>
          <w:lang w:val="en-GB" w:eastAsia="en-US"/>
        </w:rPr>
        <w:t xml:space="preserve"> (under approval) proposes a possible approach to reduce high retail and wholesale telecommunication charges related to mobile financial service (MFS).</w:t>
      </w:r>
    </w:p>
    <w:p w14:paraId="5DC50E26" w14:textId="77777777" w:rsidR="006944F8" w:rsidRPr="00A94875" w:rsidRDefault="006944F8" w:rsidP="006944F8">
      <w:pPr>
        <w:spacing w:before="240"/>
        <w:rPr>
          <w:b/>
          <w:sz w:val="22"/>
          <w:szCs w:val="22"/>
          <w:lang w:val="en-GB"/>
        </w:rPr>
      </w:pPr>
      <w:r w:rsidRPr="00A94875">
        <w:rPr>
          <w:b/>
          <w:sz w:val="22"/>
          <w:szCs w:val="22"/>
          <w:lang w:val="en-GB"/>
        </w:rPr>
        <w:t>I.7.1</w:t>
      </w:r>
      <w:r w:rsidRPr="00A94875">
        <w:rPr>
          <w:b/>
          <w:sz w:val="22"/>
          <w:szCs w:val="22"/>
          <w:lang w:val="en-GB"/>
        </w:rPr>
        <w:tab/>
        <w:t>Economic impact of IXP, Universal service, NGN, Mobile Roaming and SMPOTT and Valuation of spectrum</w:t>
      </w:r>
    </w:p>
    <w:p w14:paraId="6BBCAD2E" w14:textId="77777777" w:rsidR="006944F8" w:rsidRPr="00A94875" w:rsidRDefault="006944F8" w:rsidP="006944F8">
      <w:pPr>
        <w:pStyle w:val="NormalWeb"/>
        <w:spacing w:before="120" w:beforeAutospacing="0" w:after="120" w:afterAutospacing="0"/>
        <w:rPr>
          <w:rFonts w:asciiTheme="majorBidi" w:hAnsiTheme="majorBidi" w:cstheme="majorBidi"/>
          <w:bCs/>
          <w:lang w:val="en-GB"/>
        </w:rPr>
      </w:pPr>
      <w:r w:rsidRPr="00A94875">
        <w:rPr>
          <w:rFonts w:asciiTheme="majorBidi" w:hAnsiTheme="majorBidi" w:cstheme="majorBidi"/>
          <w:b/>
          <w:szCs w:val="20"/>
          <w:lang w:val="en-GB" w:eastAsia="en-US"/>
        </w:rPr>
        <w:t>ITU-T D.262 "Collaborative Framework for OTTs"</w:t>
      </w:r>
      <w:r w:rsidRPr="00A94875">
        <w:rPr>
          <w:rFonts w:asciiTheme="majorBidi" w:hAnsiTheme="majorBidi" w:cstheme="majorBidi"/>
          <w:szCs w:val="20"/>
          <w:lang w:val="en-GB" w:eastAsia="en-US"/>
        </w:rPr>
        <w:t xml:space="preserve"> </w:t>
      </w:r>
      <w:r w:rsidRPr="00A94875">
        <w:rPr>
          <w:rFonts w:asciiTheme="majorBidi" w:hAnsiTheme="majorBidi" w:cstheme="majorBidi"/>
          <w:bCs/>
          <w:lang w:val="en-GB"/>
        </w:rPr>
        <w:t>(under approval) provides a collaborative framework in order to promote competition, consumer protection, consumer benefits, dynamic innovation, sustainable investment and infrastructure development, accessibility and affordability in relation to the global growth of the Over the Top (OTT) applications.</w:t>
      </w:r>
    </w:p>
    <w:p w14:paraId="404CB4B3" w14:textId="77777777" w:rsidR="006944F8" w:rsidRPr="00A94875" w:rsidRDefault="006944F8" w:rsidP="006944F8">
      <w:pPr>
        <w:pStyle w:val="NormalWeb"/>
        <w:spacing w:before="120" w:beforeAutospacing="0" w:after="0" w:afterAutospacing="0"/>
        <w:rPr>
          <w:rFonts w:asciiTheme="majorBidi" w:hAnsiTheme="majorBidi" w:cstheme="majorBidi"/>
          <w:bCs/>
          <w:szCs w:val="20"/>
          <w:lang w:val="en-GB" w:eastAsia="en-US"/>
        </w:rPr>
      </w:pPr>
      <w:r w:rsidRPr="00A94875">
        <w:rPr>
          <w:rFonts w:asciiTheme="majorBidi" w:hAnsiTheme="majorBidi" w:cstheme="majorBidi"/>
          <w:b/>
          <w:bCs/>
          <w:lang w:val="en-GB"/>
        </w:rPr>
        <w:lastRenderedPageBreak/>
        <w:t xml:space="preserve">Technical Report “Digital Financial Service (DFS) - Glossary” </w:t>
      </w:r>
      <w:r w:rsidRPr="00A94875">
        <w:rPr>
          <w:rFonts w:asciiTheme="majorBidi" w:hAnsiTheme="majorBidi" w:cstheme="majorBidi"/>
          <w:bCs/>
          <w:lang w:val="en-GB"/>
        </w:rPr>
        <w:t>is a compilation of terms commonly used in the area of digital financial services and an explanation of what these terms mean.</w:t>
      </w:r>
    </w:p>
    <w:p w14:paraId="59BCFB96" w14:textId="77777777" w:rsidR="006944F8" w:rsidRPr="00A94875" w:rsidRDefault="006944F8" w:rsidP="00E001D8">
      <w:pPr>
        <w:keepNext/>
        <w:keepLines/>
        <w:spacing w:before="240"/>
        <w:rPr>
          <w:b/>
          <w:szCs w:val="24"/>
          <w:lang w:val="en-GB"/>
        </w:rPr>
      </w:pPr>
      <w:r w:rsidRPr="00A94875">
        <w:rPr>
          <w:b/>
          <w:szCs w:val="24"/>
          <w:lang w:val="en-GB"/>
        </w:rPr>
        <w:t>I.8</w:t>
      </w:r>
      <w:r w:rsidRPr="00A94875">
        <w:rPr>
          <w:b/>
          <w:szCs w:val="24"/>
          <w:lang w:val="en-GB"/>
        </w:rPr>
        <w:tab/>
        <w:t>Quality of service and experience, and network performance</w:t>
      </w:r>
      <w:bookmarkEnd w:id="231"/>
    </w:p>
    <w:p w14:paraId="420C8B0D" w14:textId="77777777" w:rsidR="006944F8" w:rsidRPr="00A94875" w:rsidRDefault="006944F8" w:rsidP="00E001D8">
      <w:pPr>
        <w:keepNext/>
        <w:keepLines/>
        <w:widowControl w:val="0"/>
        <w:rPr>
          <w:rFonts w:asciiTheme="majorBidi" w:hAnsiTheme="majorBidi" w:cstheme="majorBidi"/>
          <w:bCs/>
          <w:lang w:val="en-GB"/>
        </w:rPr>
      </w:pPr>
      <w:r w:rsidRPr="00A94875">
        <w:rPr>
          <w:rFonts w:asciiTheme="majorBidi" w:hAnsiTheme="majorBidi" w:cstheme="majorBidi"/>
          <w:b/>
          <w:bCs/>
          <w:lang w:val="en-GB"/>
        </w:rPr>
        <w:t xml:space="preserve">ITU-T E.802 Amd.2 “Framework and methodologies for the determination and application of </w:t>
      </w:r>
      <w:proofErr w:type="spellStart"/>
      <w:r w:rsidRPr="00A94875">
        <w:rPr>
          <w:rFonts w:asciiTheme="majorBidi" w:hAnsiTheme="majorBidi" w:cstheme="majorBidi"/>
          <w:b/>
          <w:bCs/>
          <w:lang w:val="en-GB"/>
        </w:rPr>
        <w:t>QoS</w:t>
      </w:r>
      <w:proofErr w:type="spellEnd"/>
      <w:r w:rsidRPr="00A94875">
        <w:rPr>
          <w:rFonts w:asciiTheme="majorBidi" w:hAnsiTheme="majorBidi" w:cstheme="majorBidi"/>
          <w:b/>
          <w:bCs/>
          <w:lang w:val="en-GB"/>
        </w:rPr>
        <w:t xml:space="preserve"> parameters: Amendment 2 - Updates and additional information on the degree of variability function in support of E.802”</w:t>
      </w:r>
      <w:r w:rsidRPr="00A94875">
        <w:rPr>
          <w:rFonts w:asciiTheme="majorBidi" w:hAnsiTheme="majorBidi" w:cstheme="majorBidi"/>
          <w:bCs/>
          <w:lang w:val="en-GB"/>
        </w:rPr>
        <w:t xml:space="preserve"> adds analysis and information on the degree of variability function defined in Annex A.</w:t>
      </w:r>
    </w:p>
    <w:p w14:paraId="763F383A" w14:textId="77777777" w:rsidR="006944F8" w:rsidRPr="00A94875" w:rsidRDefault="006944F8" w:rsidP="006944F8">
      <w:pPr>
        <w:widowControl w:val="0"/>
        <w:rPr>
          <w:rFonts w:asciiTheme="majorBidi" w:hAnsiTheme="majorBidi" w:cstheme="majorBidi"/>
          <w:bCs/>
          <w:highlight w:val="yellow"/>
          <w:lang w:val="en-GB"/>
        </w:rPr>
      </w:pPr>
      <w:r w:rsidRPr="00A94875">
        <w:rPr>
          <w:rFonts w:asciiTheme="majorBidi" w:hAnsiTheme="majorBidi" w:cstheme="majorBidi"/>
          <w:b/>
          <w:bCs/>
          <w:lang w:val="en-GB"/>
        </w:rPr>
        <w:t>ITU-T E.840 “Statistical framework for end to end network-performance benchmark scoring and ranking”</w:t>
      </w:r>
      <w:r w:rsidRPr="00A94875">
        <w:rPr>
          <w:rFonts w:asciiTheme="majorBidi" w:hAnsiTheme="majorBidi" w:cstheme="majorBidi"/>
          <w:bCs/>
          <w:lang w:val="en-GB"/>
        </w:rPr>
        <w:t xml:space="preserve"> presents a framework for the statistical analysis underlying the performance benchmarking of networks and services. The framework describes benchmarking scenarios, use cases and procedures and statistical techniques for ranking </w:t>
      </w:r>
      <w:proofErr w:type="gramStart"/>
      <w:r w:rsidRPr="00A94875">
        <w:rPr>
          <w:rFonts w:asciiTheme="majorBidi" w:hAnsiTheme="majorBidi" w:cstheme="majorBidi"/>
          <w:bCs/>
          <w:lang w:val="en-GB"/>
        </w:rPr>
        <w:t>end to end</w:t>
      </w:r>
      <w:proofErr w:type="gramEnd"/>
      <w:r w:rsidRPr="00A94875">
        <w:rPr>
          <w:rFonts w:asciiTheme="majorBidi" w:hAnsiTheme="majorBidi" w:cstheme="majorBidi"/>
          <w:bCs/>
          <w:lang w:val="en-GB"/>
        </w:rPr>
        <w:t xml:space="preserve"> KPIs/KQIs. The recommendation refers to mobile services and benchmarking campaigns performed using mobile agents (devices) in drive and/or walk tests, as well as fixed agents, respectively devices placed at fixed locations (e.g., within shopping malls, office buildings, stadiums).</w:t>
      </w:r>
    </w:p>
    <w:p w14:paraId="725D0659"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 xml:space="preserve">ITU-T J.343 Amd.1 “Hybrid perceptual </w:t>
      </w:r>
      <w:proofErr w:type="spellStart"/>
      <w:r w:rsidRPr="00A94875">
        <w:rPr>
          <w:rFonts w:asciiTheme="majorBidi" w:hAnsiTheme="majorBidi" w:cstheme="majorBidi"/>
          <w:b/>
          <w:bCs/>
          <w:lang w:val="en-GB"/>
        </w:rPr>
        <w:t>bitstream</w:t>
      </w:r>
      <w:proofErr w:type="spellEnd"/>
      <w:r w:rsidRPr="00A94875">
        <w:rPr>
          <w:rFonts w:asciiTheme="majorBidi" w:hAnsiTheme="majorBidi" w:cstheme="majorBidi"/>
          <w:b/>
          <w:bCs/>
          <w:lang w:val="en-GB"/>
        </w:rPr>
        <w:t xml:space="preserve"> models for objective video quality measurements: Amendment 1 - Test vectors for J.343 family of standards” </w:t>
      </w:r>
      <w:r w:rsidRPr="00A94875">
        <w:rPr>
          <w:rFonts w:asciiTheme="majorBidi" w:hAnsiTheme="majorBidi" w:cstheme="majorBidi"/>
          <w:bCs/>
          <w:lang w:val="en-GB"/>
        </w:rPr>
        <w:t>adds a new Appendix I containing information about test vectors for the ITU-T J.343 family of Recommendations.</w:t>
      </w:r>
    </w:p>
    <w:p w14:paraId="75C97924"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 xml:space="preserve">ITU-T P.501 Amd.1 “Test signals for use in </w:t>
      </w:r>
      <w:proofErr w:type="spellStart"/>
      <w:r w:rsidRPr="00A94875">
        <w:rPr>
          <w:rFonts w:asciiTheme="majorBidi" w:hAnsiTheme="majorBidi" w:cstheme="majorBidi"/>
          <w:b/>
          <w:bCs/>
          <w:lang w:val="en-GB"/>
        </w:rPr>
        <w:t>telephonometry</w:t>
      </w:r>
      <w:proofErr w:type="spellEnd"/>
      <w:r w:rsidRPr="00A94875">
        <w:rPr>
          <w:rFonts w:asciiTheme="majorBidi" w:hAnsiTheme="majorBidi" w:cstheme="majorBidi"/>
          <w:b/>
          <w:bCs/>
          <w:lang w:val="en-GB"/>
        </w:rPr>
        <w:t xml:space="preserve"> – Amendment 1: Addition to P.501 – AM-FM test signal for super-wideband and </w:t>
      </w:r>
      <w:proofErr w:type="spellStart"/>
      <w:r w:rsidRPr="00A94875">
        <w:rPr>
          <w:rFonts w:asciiTheme="majorBidi" w:hAnsiTheme="majorBidi" w:cstheme="majorBidi"/>
          <w:b/>
          <w:bCs/>
          <w:lang w:val="en-GB"/>
        </w:rPr>
        <w:t>fullband</w:t>
      </w:r>
      <w:proofErr w:type="spellEnd"/>
      <w:r w:rsidRPr="00A94875">
        <w:rPr>
          <w:rFonts w:asciiTheme="majorBidi" w:hAnsiTheme="majorBidi" w:cstheme="majorBidi"/>
          <w:b/>
          <w:bCs/>
          <w:lang w:val="en-GB"/>
        </w:rPr>
        <w:t xml:space="preserve"> applications”</w:t>
      </w:r>
      <w:r w:rsidRPr="00A94875">
        <w:rPr>
          <w:rFonts w:asciiTheme="majorBidi" w:hAnsiTheme="majorBidi" w:cstheme="majorBidi"/>
          <w:bCs/>
          <w:lang w:val="en-GB"/>
        </w:rPr>
        <w:t xml:space="preserve"> extends the applicability of the AM-FM test signal to super-wideband and </w:t>
      </w:r>
      <w:proofErr w:type="spellStart"/>
      <w:r w:rsidRPr="00A94875">
        <w:rPr>
          <w:rFonts w:asciiTheme="majorBidi" w:hAnsiTheme="majorBidi" w:cstheme="majorBidi"/>
          <w:bCs/>
          <w:lang w:val="en-GB"/>
        </w:rPr>
        <w:t>fullband</w:t>
      </w:r>
      <w:proofErr w:type="spellEnd"/>
      <w:r w:rsidRPr="00A94875">
        <w:rPr>
          <w:rFonts w:asciiTheme="majorBidi" w:hAnsiTheme="majorBidi" w:cstheme="majorBidi"/>
          <w:bCs/>
          <w:lang w:val="en-GB"/>
        </w:rPr>
        <w:t xml:space="preserve"> applications.</w:t>
      </w:r>
    </w:p>
    <w:p w14:paraId="4D39612C" w14:textId="77777777" w:rsidR="006944F8" w:rsidRPr="00A94875" w:rsidRDefault="006944F8" w:rsidP="006944F8">
      <w:pPr>
        <w:rPr>
          <w:rFonts w:asciiTheme="majorBidi" w:hAnsiTheme="majorBidi" w:cstheme="majorBidi"/>
          <w:bCs/>
          <w:highlight w:val="yellow"/>
          <w:lang w:val="en-GB"/>
        </w:rPr>
      </w:pPr>
      <w:r w:rsidRPr="00A94875">
        <w:rPr>
          <w:rFonts w:asciiTheme="majorBidi" w:hAnsiTheme="majorBidi" w:cstheme="majorBidi"/>
          <w:b/>
          <w:bCs/>
          <w:lang w:val="en-GB"/>
        </w:rPr>
        <w:t>ITU-T P.570 “Artificial noise-fields in laboratory conditions”</w:t>
      </w:r>
      <w:r w:rsidRPr="00A94875">
        <w:rPr>
          <w:rFonts w:asciiTheme="majorBidi" w:hAnsiTheme="majorBidi" w:cstheme="majorBidi"/>
          <w:bCs/>
          <w:lang w:val="en-GB"/>
        </w:rPr>
        <w:t xml:space="preserve"> specifies various artificial noise-field </w:t>
      </w:r>
      <w:proofErr w:type="gramStart"/>
      <w:r w:rsidRPr="00A94875">
        <w:rPr>
          <w:rFonts w:asciiTheme="majorBidi" w:hAnsiTheme="majorBidi" w:cstheme="majorBidi"/>
          <w:bCs/>
          <w:lang w:val="en-GB"/>
        </w:rPr>
        <w:t>configurations which</w:t>
      </w:r>
      <w:proofErr w:type="gramEnd"/>
      <w:r w:rsidRPr="00A94875">
        <w:rPr>
          <w:rFonts w:asciiTheme="majorBidi" w:hAnsiTheme="majorBidi" w:cstheme="majorBidi"/>
          <w:bCs/>
          <w:lang w:val="en-GB"/>
        </w:rPr>
        <w:t xml:space="preserve"> can be used in connection with objective as well as subjective evaluation of communication equipment. Furthermore, this Recommendation provides guidance on capturing real world noise environments and pre-processing of signals for reproduction of such environments. This Recommendation also describes calibration procedures and assessment methods for artificial noise-field configurations.</w:t>
      </w:r>
    </w:p>
    <w:p w14:paraId="2D51C202"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lang w:val="en-GB"/>
        </w:rPr>
        <w:t>ITU-T P.808 “Subjective evaluation of speech quality with a crowdsourcing approach”</w:t>
      </w:r>
      <w:r w:rsidRPr="00A94875">
        <w:rPr>
          <w:rFonts w:asciiTheme="majorBidi" w:hAnsiTheme="majorBidi" w:cstheme="majorBidi"/>
          <w:lang w:val="en-GB"/>
        </w:rPr>
        <w:t xml:space="preserve"> describes a crowdsourcing approach for conducting subjective evaluations of speech quality. In comparison to laboratory tests, tests using a crowdsourcing approach rely on participants which </w:t>
      </w:r>
      <w:proofErr w:type="gramStart"/>
      <w:r w:rsidRPr="00A94875">
        <w:rPr>
          <w:rFonts w:asciiTheme="majorBidi" w:hAnsiTheme="majorBidi" w:cstheme="majorBidi"/>
          <w:lang w:val="en-GB"/>
        </w:rPr>
        <w:t>are connected</w:t>
      </w:r>
      <w:proofErr w:type="gramEnd"/>
      <w:r w:rsidRPr="00A94875">
        <w:rPr>
          <w:rFonts w:asciiTheme="majorBidi" w:hAnsiTheme="majorBidi" w:cstheme="majorBidi"/>
          <w:lang w:val="en-GB"/>
        </w:rPr>
        <w:t xml:space="preserve"> via an online platform, and whose task is to evaluate speech quality in their own environment, using their own devices. The current Recommendation gives guidance on the test material, experimental design, and the procedure for conducting listening tests in the crowd. An Annex describes the details of ACR listening quality tests. The method is to be seen as complementary to laboratory-based </w:t>
      </w:r>
      <w:proofErr w:type="gramStart"/>
      <w:r w:rsidRPr="00A94875">
        <w:rPr>
          <w:rFonts w:asciiTheme="majorBidi" w:hAnsiTheme="majorBidi" w:cstheme="majorBidi"/>
          <w:lang w:val="en-GB"/>
        </w:rPr>
        <w:t>evaluations which</w:t>
      </w:r>
      <w:proofErr w:type="gramEnd"/>
      <w:r w:rsidRPr="00A94875">
        <w:rPr>
          <w:rFonts w:asciiTheme="majorBidi" w:hAnsiTheme="majorBidi" w:cstheme="majorBidi"/>
          <w:lang w:val="en-GB"/>
        </w:rPr>
        <w:t xml:space="preserve"> are described in [ITU-T P.800].</w:t>
      </w:r>
    </w:p>
    <w:p w14:paraId="348C8538" w14:textId="77777777" w:rsidR="006944F8" w:rsidRPr="00A94875" w:rsidRDefault="006944F8" w:rsidP="006944F8">
      <w:pPr>
        <w:widowControl w:val="0"/>
        <w:rPr>
          <w:rFonts w:asciiTheme="majorBidi" w:hAnsiTheme="majorBidi" w:cstheme="majorBidi"/>
          <w:lang w:val="en-GB"/>
        </w:rPr>
      </w:pPr>
      <w:r w:rsidRPr="00A94875">
        <w:rPr>
          <w:rFonts w:asciiTheme="majorBidi" w:hAnsiTheme="majorBidi" w:cstheme="majorBidi"/>
          <w:b/>
          <w:lang w:val="en-GB"/>
        </w:rPr>
        <w:t>ITU-T P.863 (revised) “Perceptual objective listening quality prediction”</w:t>
      </w:r>
      <w:r w:rsidRPr="00A94875">
        <w:rPr>
          <w:rFonts w:asciiTheme="majorBidi" w:hAnsiTheme="majorBidi" w:cstheme="majorBidi"/>
          <w:lang w:val="en-GB"/>
        </w:rPr>
        <w:t xml:space="preserve"> describes an objective method for predicting overall listening speech quality from narrowband (NB) (300 to 3 400 Hz) to </w:t>
      </w:r>
      <w:proofErr w:type="spellStart"/>
      <w:r w:rsidRPr="00A94875">
        <w:rPr>
          <w:rFonts w:asciiTheme="majorBidi" w:hAnsiTheme="majorBidi" w:cstheme="majorBidi"/>
          <w:lang w:val="en-GB"/>
        </w:rPr>
        <w:t>fullband</w:t>
      </w:r>
      <w:proofErr w:type="spellEnd"/>
      <w:r w:rsidRPr="00A94875">
        <w:rPr>
          <w:rFonts w:asciiTheme="majorBidi" w:hAnsiTheme="majorBidi" w:cstheme="majorBidi"/>
          <w:lang w:val="en-GB"/>
        </w:rPr>
        <w:t xml:space="preserve"> (FB) (20 to 20 000 Hz) telecommunication scenarios as perceived by the user in an ITU-T P.800 or ITU-T P.830 absolute category rating (ACR) listening-only test. Recommendation ITU-T P.863 supports two operational modes, one for narrowband and one for </w:t>
      </w:r>
      <w:proofErr w:type="spellStart"/>
      <w:r w:rsidRPr="00A94875">
        <w:rPr>
          <w:rFonts w:asciiTheme="majorBidi" w:hAnsiTheme="majorBidi" w:cstheme="majorBidi"/>
          <w:lang w:val="en-GB"/>
        </w:rPr>
        <w:t>fullband</w:t>
      </w:r>
      <w:proofErr w:type="spellEnd"/>
      <w:r w:rsidRPr="00A94875">
        <w:rPr>
          <w:rFonts w:asciiTheme="majorBidi" w:hAnsiTheme="majorBidi" w:cstheme="majorBidi"/>
          <w:lang w:val="en-GB"/>
        </w:rPr>
        <w:t xml:space="preserve">. Super-wideband (50 to 14 000 Hz) experiments can be simulated by band limiting the reference and accordingly the degraded signal. This Recommendation presents a high-level description of the method, advice on how to use it. All essential parts of the model </w:t>
      </w:r>
      <w:proofErr w:type="gramStart"/>
      <w:r w:rsidRPr="00A94875">
        <w:rPr>
          <w:rFonts w:asciiTheme="majorBidi" w:hAnsiTheme="majorBidi" w:cstheme="majorBidi"/>
          <w:lang w:val="en-GB"/>
        </w:rPr>
        <w:t>are described</w:t>
      </w:r>
      <w:proofErr w:type="gramEnd"/>
      <w:r w:rsidRPr="00A94875">
        <w:rPr>
          <w:rFonts w:asciiTheme="majorBidi" w:hAnsiTheme="majorBidi" w:cstheme="majorBidi"/>
          <w:lang w:val="en-GB"/>
        </w:rPr>
        <w:t xml:space="preserve"> in detail, and are provided in separate pdf-files (see Annex B). These files form an integral part of this Recommendation and shall take precedence in case of conflicts between the high-level descriptions included in the main body of this Recommendation and the corresponding detailed description parts. A conformance testing procedure </w:t>
      </w:r>
      <w:proofErr w:type="gramStart"/>
      <w:r w:rsidRPr="00A94875">
        <w:rPr>
          <w:rFonts w:asciiTheme="majorBidi" w:hAnsiTheme="majorBidi" w:cstheme="majorBidi"/>
          <w:lang w:val="en-GB"/>
        </w:rPr>
        <w:t>is also specified</w:t>
      </w:r>
      <w:proofErr w:type="gramEnd"/>
      <w:r w:rsidRPr="00A94875">
        <w:rPr>
          <w:rFonts w:asciiTheme="majorBidi" w:hAnsiTheme="majorBidi" w:cstheme="majorBidi"/>
          <w:lang w:val="en-GB"/>
        </w:rPr>
        <w:t xml:space="preserve"> in Annex A to allow a user to validate that an alternative implementation </w:t>
      </w:r>
      <w:r w:rsidRPr="00A94875">
        <w:rPr>
          <w:rFonts w:asciiTheme="majorBidi" w:hAnsiTheme="majorBidi" w:cstheme="majorBidi"/>
          <w:lang w:val="en-GB"/>
        </w:rPr>
        <w:lastRenderedPageBreak/>
        <w:t>of the model is correct. This Recommendation includes an electronic attachment containing detailed descriptions in pdf format (see Annex B) and conformance testing data (see Annex A).</w:t>
      </w:r>
    </w:p>
    <w:p w14:paraId="0DDF7B8E" w14:textId="77777777" w:rsidR="006944F8" w:rsidRPr="00A94875" w:rsidRDefault="006944F8" w:rsidP="006944F8">
      <w:pPr>
        <w:widowControl w:val="0"/>
        <w:rPr>
          <w:rFonts w:asciiTheme="majorBidi" w:hAnsiTheme="majorBidi" w:cstheme="majorBidi"/>
          <w:b/>
          <w:highlight w:val="yellow"/>
          <w:lang w:val="en-GB"/>
        </w:rPr>
      </w:pPr>
      <w:r w:rsidRPr="00A94875">
        <w:rPr>
          <w:rFonts w:asciiTheme="majorBidi" w:hAnsiTheme="majorBidi" w:cstheme="majorBidi"/>
          <w:b/>
          <w:lang w:val="en-GB"/>
        </w:rPr>
        <w:t xml:space="preserve">ITU-T P.863 Implementers’ guide “Implementers' guide for P.863” </w:t>
      </w:r>
      <w:r w:rsidRPr="00A94875">
        <w:rPr>
          <w:lang w:val="en-GB"/>
        </w:rPr>
        <w:t>contains all updates submitted up to and including those at Study Group 12 meeting in May 2018.</w:t>
      </w:r>
    </w:p>
    <w:p w14:paraId="5193B1A1" w14:textId="77777777" w:rsidR="006944F8" w:rsidRPr="00A94875" w:rsidRDefault="006944F8" w:rsidP="006944F8">
      <w:pPr>
        <w:rPr>
          <w:lang w:val="en-GB"/>
        </w:rPr>
      </w:pPr>
      <w:r w:rsidRPr="00A94875">
        <w:rPr>
          <w:b/>
          <w:lang w:val="en-GB"/>
        </w:rPr>
        <w:t>ITU-T Y.1543 (revised) “Measurements in IP networks for inter-domain performance assessment”</w:t>
      </w:r>
      <w:r w:rsidRPr="00A94875">
        <w:rPr>
          <w:lang w:val="en-GB"/>
        </w:rPr>
        <w:t xml:space="preserve"> specifies a set of IP performance parameters and methods of measurement applicable when assessing the quality of packet transfer on inter-domain paths. The methods anticipate </w:t>
      </w:r>
      <w:proofErr w:type="gramStart"/>
      <w:r w:rsidRPr="00A94875">
        <w:rPr>
          <w:lang w:val="en-GB"/>
        </w:rPr>
        <w:t>that there will be multiple measurement systems, each conducting measurements of a segment of the customer-to-customer path, and recommend configurations that should produce useful results in this cooperative scenario</w:t>
      </w:r>
      <w:proofErr w:type="gramEnd"/>
      <w:r w:rsidRPr="00A94875">
        <w:rPr>
          <w:lang w:val="en-GB"/>
        </w:rPr>
        <w:t xml:space="preserve">. The methods rely on existing parameter definitions and encompass both active and passive measurement techniques. The Recommendation specifies Requirements for trustworthy IP </w:t>
      </w:r>
      <w:proofErr w:type="spellStart"/>
      <w:r w:rsidRPr="00A94875">
        <w:rPr>
          <w:lang w:val="en-GB"/>
        </w:rPr>
        <w:t>QoS</w:t>
      </w:r>
      <w:proofErr w:type="spellEnd"/>
      <w:r w:rsidRPr="00A94875">
        <w:rPr>
          <w:lang w:val="en-GB"/>
        </w:rPr>
        <w:t xml:space="preserve"> monitoring, to ensure that results will have a foundation in scientific method where sources of error </w:t>
      </w:r>
      <w:proofErr w:type="gramStart"/>
      <w:r w:rsidRPr="00A94875">
        <w:rPr>
          <w:lang w:val="en-GB"/>
        </w:rPr>
        <w:t>are quantified</w:t>
      </w:r>
      <w:proofErr w:type="gramEnd"/>
      <w:r w:rsidRPr="00A94875">
        <w:rPr>
          <w:lang w:val="en-GB"/>
        </w:rPr>
        <w:t>. Thus, meaningful discussions of network quality of service (</w:t>
      </w:r>
      <w:proofErr w:type="spellStart"/>
      <w:r w:rsidRPr="00A94875">
        <w:rPr>
          <w:lang w:val="en-GB"/>
        </w:rPr>
        <w:t>QoS</w:t>
      </w:r>
      <w:proofErr w:type="spellEnd"/>
      <w:r w:rsidRPr="00A94875">
        <w:rPr>
          <w:lang w:val="en-GB"/>
        </w:rPr>
        <w:t>) between users and service providers are most relevant when based on measurements at measurement points that correspond to the demarcation points of the service agreement.</w:t>
      </w:r>
    </w:p>
    <w:p w14:paraId="2A124C6D" w14:textId="77777777" w:rsidR="006944F8" w:rsidRPr="00A94875" w:rsidRDefault="006944F8" w:rsidP="006944F8">
      <w:pPr>
        <w:rPr>
          <w:lang w:val="en-GB"/>
        </w:rPr>
      </w:pPr>
      <w:r w:rsidRPr="00A94875">
        <w:rPr>
          <w:b/>
          <w:lang w:val="en-GB"/>
        </w:rPr>
        <w:t>ITU-T Y.1546 Amd.1 “Hand-over performance among multiple access networks – Amendment 1 - IP-Based Service Availability Function”</w:t>
      </w:r>
      <w:r w:rsidRPr="00A94875">
        <w:rPr>
          <w:rFonts w:asciiTheme="majorBidi" w:hAnsiTheme="majorBidi" w:cstheme="majorBidi"/>
          <w:lang w:val="en-GB"/>
        </w:rPr>
        <w:t xml:space="preserve"> </w:t>
      </w:r>
      <w:r w:rsidRPr="00A94875">
        <w:rPr>
          <w:lang w:val="en-GB"/>
        </w:rPr>
        <w:t>introduces new Annex C on the IP-Based Service Availability Function.</w:t>
      </w:r>
    </w:p>
    <w:p w14:paraId="1B0AAA65" w14:textId="77777777" w:rsidR="006944F8" w:rsidRPr="00A94875" w:rsidRDefault="006944F8" w:rsidP="006944F8">
      <w:pPr>
        <w:rPr>
          <w:rFonts w:asciiTheme="majorBidi" w:hAnsiTheme="majorBidi" w:cstheme="majorBidi"/>
          <w:b/>
          <w:bCs/>
          <w:lang w:val="en-GB"/>
        </w:rPr>
      </w:pPr>
      <w:r w:rsidRPr="00A94875">
        <w:rPr>
          <w:b/>
          <w:lang w:val="en-GB"/>
        </w:rPr>
        <w:t xml:space="preserve">ITU-T Technical Report “Subjective evaluation of quality of media with a crowdsourcing approach” </w:t>
      </w:r>
      <w:r w:rsidRPr="00A94875">
        <w:rPr>
          <w:lang w:val="en-GB" w:bidi="ar-DZ"/>
        </w:rPr>
        <w:t xml:space="preserve">introduces the basic concepts of crowdsourcing, its application in quality assessment studies, and describes general principles of a subjective methodology for assessing media quality using micro-task crowdsourcing. Micro-task crowdsourcing offers fast, low cost, and scalable approaches by outsourcing tasks to a large number of participants. In addition, crowdsourcing also provides a large diverse pool of participants, and a real-life environment for quality assessment of multimedia services and applications. Nevertheless, crowdsourcing methods </w:t>
      </w:r>
      <w:proofErr w:type="gramStart"/>
      <w:r w:rsidRPr="00A94875">
        <w:rPr>
          <w:lang w:val="en-GB" w:bidi="ar-DZ"/>
        </w:rPr>
        <w:t>cannot be understood</w:t>
      </w:r>
      <w:proofErr w:type="gramEnd"/>
      <w:r w:rsidRPr="00A94875">
        <w:rPr>
          <w:lang w:val="en-GB" w:bidi="ar-DZ"/>
        </w:rPr>
        <w:t xml:space="preserve"> as direct implementations of laboratory testing methods in an Internet-based environment, due to factors they inherit from the nature of crowdsourcing. Therefore, crowdsourcing experiments </w:t>
      </w:r>
      <w:proofErr w:type="gramStart"/>
      <w:r w:rsidRPr="00A94875">
        <w:rPr>
          <w:lang w:val="en-GB" w:bidi="ar-DZ"/>
        </w:rPr>
        <w:t>should be designed</w:t>
      </w:r>
      <w:proofErr w:type="gramEnd"/>
      <w:r w:rsidRPr="00A94875">
        <w:rPr>
          <w:lang w:val="en-GB" w:bidi="ar-DZ"/>
        </w:rPr>
        <w:t xml:space="preserve"> differently. The proposed principles for crowdsourcing subjective assessment methods enable experimenters to collect a large number of media quality ratings (video, image, speech,</w:t>
      </w:r>
      <w:r w:rsidRPr="00A94875">
        <w:rPr>
          <w:lang w:val="en-GB"/>
        </w:rPr>
        <w:t xml:space="preserve"> and audio-visual</w:t>
      </w:r>
      <w:r w:rsidRPr="00A94875">
        <w:rPr>
          <w:lang w:val="en-GB" w:bidi="ar-DZ"/>
        </w:rPr>
        <w:t xml:space="preserve">) in a short </w:t>
      </w:r>
      <w:proofErr w:type="gramStart"/>
      <w:r w:rsidRPr="00A94875">
        <w:rPr>
          <w:lang w:val="en-GB" w:bidi="ar-DZ"/>
        </w:rPr>
        <w:t>period of time</w:t>
      </w:r>
      <w:proofErr w:type="gramEnd"/>
      <w:r w:rsidRPr="00A94875">
        <w:rPr>
          <w:lang w:val="en-GB" w:bidi="ar-DZ"/>
        </w:rPr>
        <w:t xml:space="preserve"> from a diverse population of participants and in realistic environments.</w:t>
      </w:r>
    </w:p>
    <w:p w14:paraId="0337B265" w14:textId="77777777" w:rsidR="006944F8" w:rsidRPr="00A94875" w:rsidRDefault="006944F8" w:rsidP="006944F8">
      <w:pPr>
        <w:spacing w:before="240"/>
        <w:rPr>
          <w:b/>
          <w:sz w:val="22"/>
          <w:szCs w:val="22"/>
          <w:lang w:val="en-GB"/>
        </w:rPr>
      </w:pPr>
      <w:bookmarkStart w:id="232" w:name="_Toc480527909"/>
      <w:r w:rsidRPr="00A94875">
        <w:rPr>
          <w:b/>
          <w:sz w:val="22"/>
          <w:szCs w:val="22"/>
          <w:lang w:val="en-GB"/>
        </w:rPr>
        <w:t>I.9</w:t>
      </w:r>
      <w:r w:rsidRPr="00A94875">
        <w:rPr>
          <w:b/>
          <w:sz w:val="22"/>
          <w:szCs w:val="22"/>
          <w:lang w:val="en-GB"/>
        </w:rPr>
        <w:tab/>
        <w:t>Conformity, interoperability and testing</w:t>
      </w:r>
      <w:bookmarkEnd w:id="232"/>
    </w:p>
    <w:p w14:paraId="0AC38E08" w14:textId="77777777" w:rsidR="006944F8" w:rsidRPr="00A94875" w:rsidRDefault="006944F8" w:rsidP="006944F8">
      <w:pPr>
        <w:spacing w:before="240"/>
        <w:rPr>
          <w:b/>
          <w:sz w:val="22"/>
          <w:szCs w:val="22"/>
          <w:lang w:val="en-GB"/>
        </w:rPr>
      </w:pPr>
      <w:r w:rsidRPr="00A94875">
        <w:rPr>
          <w:b/>
          <w:sz w:val="22"/>
          <w:szCs w:val="22"/>
          <w:lang w:val="en-GB"/>
        </w:rPr>
        <w:t>I.9.3</w:t>
      </w:r>
      <w:r w:rsidRPr="00A94875">
        <w:rPr>
          <w:b/>
          <w:sz w:val="22"/>
          <w:szCs w:val="22"/>
          <w:lang w:val="en-GB"/>
        </w:rPr>
        <w:tab/>
        <w:t>SIP-IMS conformity assessment and interconnection testing</w:t>
      </w:r>
    </w:p>
    <w:p w14:paraId="0B2C8B60" w14:textId="77777777" w:rsidR="006944F8" w:rsidRPr="00A94875" w:rsidRDefault="006944F8" w:rsidP="004551B0">
      <w:pPr>
        <w:keepNext/>
        <w:keepLines/>
        <w:spacing w:before="240"/>
        <w:rPr>
          <w:b/>
          <w:sz w:val="22"/>
          <w:szCs w:val="22"/>
          <w:lang w:val="en-GB"/>
        </w:rPr>
      </w:pPr>
      <w:r w:rsidRPr="00A94875">
        <w:rPr>
          <w:b/>
          <w:sz w:val="22"/>
          <w:szCs w:val="22"/>
          <w:lang w:val="en-GB"/>
        </w:rPr>
        <w:t>I.9.8</w:t>
      </w:r>
      <w:r w:rsidRPr="00A94875">
        <w:rPr>
          <w:b/>
          <w:sz w:val="22"/>
          <w:szCs w:val="22"/>
          <w:lang w:val="en-GB"/>
        </w:rPr>
        <w:tab/>
        <w:t>Testing Internet of things</w:t>
      </w:r>
    </w:p>
    <w:p w14:paraId="46EB8A67" w14:textId="0BF31995" w:rsidR="006944F8" w:rsidRPr="00A94875" w:rsidRDefault="006944F8" w:rsidP="004551B0">
      <w:pPr>
        <w:keepNext/>
        <w:keepLines/>
        <w:rPr>
          <w:lang w:val="en-GB"/>
        </w:rPr>
      </w:pPr>
      <w:r w:rsidRPr="00A94875">
        <w:rPr>
          <w:b/>
          <w:lang w:val="en-GB"/>
        </w:rPr>
        <w:t>ITU-T Q.4060 “The structure of the testing of heterogeneous Internet of Things gateways in a laboratory environment”</w:t>
      </w:r>
      <w:r w:rsidR="00783514" w:rsidRPr="00A94875">
        <w:rPr>
          <w:lang w:val="en-GB"/>
        </w:rPr>
        <w:t xml:space="preserve"> </w:t>
      </w:r>
      <w:r w:rsidRPr="00A94875">
        <w:rPr>
          <w:lang w:val="en-GB"/>
        </w:rPr>
        <w:t xml:space="preserve">describes the testing methodology of the heterogeneous network </w:t>
      </w:r>
      <w:proofErr w:type="gramStart"/>
      <w:r w:rsidRPr="00A94875">
        <w:rPr>
          <w:lang w:val="en-GB"/>
        </w:rPr>
        <w:t>gateway which</w:t>
      </w:r>
      <w:proofErr w:type="gramEnd"/>
      <w:r w:rsidRPr="00A94875">
        <w:rPr>
          <w:lang w:val="en-GB"/>
        </w:rPr>
        <w:t xml:space="preserve"> is to be used for communication among </w:t>
      </w:r>
      <w:proofErr w:type="spellStart"/>
      <w:r w:rsidRPr="00A94875">
        <w:rPr>
          <w:lang w:val="en-GB"/>
        </w:rPr>
        <w:t>IoT</w:t>
      </w:r>
      <w:proofErr w:type="spellEnd"/>
      <w:r w:rsidRPr="00A94875">
        <w:rPr>
          <w:lang w:val="en-GB"/>
        </w:rPr>
        <w:t xml:space="preserve"> devices. The tests will include the following, but not limited </w:t>
      </w:r>
      <w:proofErr w:type="gramStart"/>
      <w:r w:rsidRPr="00A94875">
        <w:rPr>
          <w:lang w:val="en-GB"/>
        </w:rPr>
        <w:t>to</w:t>
      </w:r>
      <w:proofErr w:type="gramEnd"/>
      <w:r w:rsidRPr="00A94875">
        <w:rPr>
          <w:lang w:val="en-GB"/>
        </w:rPr>
        <w:t>:</w:t>
      </w:r>
    </w:p>
    <w:p w14:paraId="55296644" w14:textId="77777777" w:rsidR="006944F8" w:rsidRPr="00A94875" w:rsidRDefault="006944F8" w:rsidP="009261B2">
      <w:pPr>
        <w:pStyle w:val="ListParagraph"/>
        <w:keepNext/>
        <w:keepLines/>
        <w:numPr>
          <w:ilvl w:val="0"/>
          <w:numId w:val="24"/>
        </w:numPr>
        <w:rPr>
          <w:rFonts w:ascii="Times New Roman" w:hAnsi="Times New Roman"/>
          <w:sz w:val="24"/>
          <w:szCs w:val="24"/>
          <w:lang w:val="en-GB"/>
        </w:rPr>
      </w:pPr>
      <w:r w:rsidRPr="00A94875">
        <w:rPr>
          <w:rFonts w:ascii="Times New Roman" w:hAnsi="Times New Roman"/>
          <w:sz w:val="24"/>
          <w:szCs w:val="24"/>
          <w:lang w:val="en-GB"/>
        </w:rPr>
        <w:t>Check the gateway to stress load (benchmarking)</w:t>
      </w:r>
    </w:p>
    <w:p w14:paraId="30451146" w14:textId="77777777" w:rsidR="006944F8" w:rsidRPr="00A94875" w:rsidRDefault="006944F8" w:rsidP="009261B2">
      <w:pPr>
        <w:pStyle w:val="ListParagraph"/>
        <w:numPr>
          <w:ilvl w:val="0"/>
          <w:numId w:val="24"/>
        </w:numPr>
        <w:rPr>
          <w:rFonts w:ascii="Times New Roman" w:hAnsi="Times New Roman"/>
          <w:sz w:val="24"/>
          <w:szCs w:val="24"/>
          <w:lang w:val="en-GB"/>
        </w:rPr>
      </w:pPr>
      <w:r w:rsidRPr="00A94875">
        <w:rPr>
          <w:rFonts w:ascii="Times New Roman" w:hAnsi="Times New Roman"/>
          <w:sz w:val="24"/>
          <w:szCs w:val="24"/>
          <w:lang w:val="en-GB"/>
        </w:rPr>
        <w:t>Check the gateway to the possibility of transmission of various types and sizes of frames and (or) packages.</w:t>
      </w:r>
    </w:p>
    <w:p w14:paraId="64B48AB6" w14:textId="77777777" w:rsidR="006944F8" w:rsidRPr="00A94875" w:rsidRDefault="006944F8" w:rsidP="009261B2">
      <w:pPr>
        <w:pStyle w:val="ListParagraph"/>
        <w:numPr>
          <w:ilvl w:val="0"/>
          <w:numId w:val="24"/>
        </w:numPr>
        <w:rPr>
          <w:rFonts w:ascii="Times New Roman" w:hAnsi="Times New Roman"/>
          <w:sz w:val="24"/>
          <w:szCs w:val="24"/>
          <w:lang w:val="en-GB"/>
        </w:rPr>
      </w:pPr>
      <w:r w:rsidRPr="00A94875">
        <w:rPr>
          <w:rFonts w:ascii="Times New Roman" w:hAnsi="Times New Roman"/>
          <w:sz w:val="24"/>
          <w:szCs w:val="24"/>
          <w:lang w:val="en-GB"/>
        </w:rPr>
        <w:t>Verification of the joint conversions from different protocols and multiple interfaces</w:t>
      </w:r>
    </w:p>
    <w:p w14:paraId="7D3A519D" w14:textId="77777777" w:rsidR="006944F8" w:rsidRPr="00A94875" w:rsidRDefault="006944F8" w:rsidP="009261B2">
      <w:pPr>
        <w:pStyle w:val="ListParagraph"/>
        <w:numPr>
          <w:ilvl w:val="0"/>
          <w:numId w:val="24"/>
        </w:numPr>
        <w:rPr>
          <w:rFonts w:ascii="Times New Roman" w:hAnsi="Times New Roman"/>
          <w:sz w:val="24"/>
          <w:szCs w:val="24"/>
          <w:lang w:val="en-GB"/>
        </w:rPr>
      </w:pPr>
      <w:r w:rsidRPr="00A94875">
        <w:rPr>
          <w:rFonts w:ascii="Times New Roman" w:hAnsi="Times New Roman"/>
          <w:sz w:val="24"/>
          <w:szCs w:val="24"/>
          <w:lang w:val="en-GB"/>
        </w:rPr>
        <w:t>Check the gateway operation settings (CPU, RAM, etc.).</w:t>
      </w:r>
    </w:p>
    <w:p w14:paraId="4159EAA6" w14:textId="77777777" w:rsidR="006944F8" w:rsidRPr="00A94875" w:rsidRDefault="006944F8" w:rsidP="009261B2">
      <w:pPr>
        <w:pStyle w:val="ListParagraph"/>
        <w:numPr>
          <w:ilvl w:val="0"/>
          <w:numId w:val="24"/>
        </w:numPr>
        <w:rPr>
          <w:rFonts w:ascii="Times New Roman" w:hAnsi="Times New Roman"/>
          <w:sz w:val="24"/>
          <w:szCs w:val="24"/>
          <w:lang w:val="en-GB"/>
        </w:rPr>
      </w:pPr>
      <w:r w:rsidRPr="00A94875">
        <w:rPr>
          <w:rFonts w:ascii="Times New Roman" w:hAnsi="Times New Roman"/>
          <w:sz w:val="24"/>
          <w:szCs w:val="24"/>
          <w:lang w:val="en-GB"/>
        </w:rPr>
        <w:t>Check the network parameters (delay, data loss, etc.).</w:t>
      </w:r>
    </w:p>
    <w:p w14:paraId="318BAA76" w14:textId="77777777" w:rsidR="006944F8" w:rsidRPr="00A94875" w:rsidRDefault="006944F8" w:rsidP="006944F8">
      <w:pPr>
        <w:spacing w:before="240"/>
        <w:rPr>
          <w:b/>
          <w:sz w:val="22"/>
          <w:szCs w:val="22"/>
          <w:lang w:val="en-GB"/>
        </w:rPr>
      </w:pPr>
      <w:r w:rsidRPr="00A94875">
        <w:rPr>
          <w:b/>
          <w:sz w:val="22"/>
          <w:szCs w:val="22"/>
          <w:lang w:val="en-GB"/>
        </w:rPr>
        <w:t>I.9.9</w:t>
      </w:r>
      <w:r w:rsidRPr="00A94875">
        <w:rPr>
          <w:b/>
          <w:sz w:val="22"/>
          <w:szCs w:val="22"/>
          <w:lang w:val="en-GB"/>
        </w:rPr>
        <w:tab/>
        <w:t>Testing energy efficiency of base stations</w:t>
      </w:r>
    </w:p>
    <w:p w14:paraId="561747A2" w14:textId="77777777" w:rsidR="006944F8" w:rsidRPr="00A94875" w:rsidRDefault="006944F8" w:rsidP="006944F8">
      <w:pPr>
        <w:pStyle w:val="NormalWeb"/>
        <w:spacing w:before="12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
          <w:bCs/>
          <w:szCs w:val="20"/>
          <w:lang w:val="en-GB"/>
        </w:rPr>
        <w:lastRenderedPageBreak/>
        <w:t>ITU-T L.1351 (L.BMM) “Base station site energy parameter measurement methodology”</w:t>
      </w:r>
      <w:r w:rsidRPr="00A94875">
        <w:rPr>
          <w:rFonts w:asciiTheme="majorBidi" w:eastAsia="MS Mincho" w:hAnsiTheme="majorBidi" w:cstheme="majorBidi"/>
          <w:bCs/>
          <w:szCs w:val="20"/>
          <w:lang w:val="en-GB"/>
        </w:rPr>
        <w:t xml:space="preserve"> describes and establishes requirements for energy efficiency measurements applicable to base station sites. This Recommendation describes:</w:t>
      </w:r>
    </w:p>
    <w:p w14:paraId="5623F8BA" w14:textId="77777777" w:rsidR="006944F8" w:rsidRPr="00A94875" w:rsidRDefault="006944F8" w:rsidP="009261B2">
      <w:pPr>
        <w:pStyle w:val="NormalWeb"/>
        <w:numPr>
          <w:ilvl w:val="0"/>
          <w:numId w:val="15"/>
        </w:numPr>
        <w:spacing w:before="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Measurement points definitions</w:t>
      </w:r>
    </w:p>
    <w:p w14:paraId="3D09E078" w14:textId="77777777" w:rsidR="006944F8" w:rsidRPr="00A94875" w:rsidRDefault="006944F8" w:rsidP="009261B2">
      <w:pPr>
        <w:pStyle w:val="NormalWeb"/>
        <w:numPr>
          <w:ilvl w:val="0"/>
          <w:numId w:val="15"/>
        </w:numPr>
        <w:spacing w:before="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Conditions of measurement</w:t>
      </w:r>
    </w:p>
    <w:p w14:paraId="3EF540D2" w14:textId="77777777" w:rsidR="006944F8" w:rsidRPr="00A94875" w:rsidRDefault="006944F8" w:rsidP="009261B2">
      <w:pPr>
        <w:pStyle w:val="NormalWeb"/>
        <w:numPr>
          <w:ilvl w:val="0"/>
          <w:numId w:val="15"/>
        </w:numPr>
        <w:spacing w:before="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Instrumentation requirement</w:t>
      </w:r>
    </w:p>
    <w:p w14:paraId="61C4A156" w14:textId="77777777" w:rsidR="006944F8" w:rsidRPr="00A94875" w:rsidRDefault="006944F8" w:rsidP="009261B2">
      <w:pPr>
        <w:pStyle w:val="NormalWeb"/>
        <w:numPr>
          <w:ilvl w:val="0"/>
          <w:numId w:val="15"/>
        </w:numPr>
        <w:spacing w:before="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Reporting requirement</w:t>
      </w:r>
    </w:p>
    <w:p w14:paraId="4F6E5368" w14:textId="77777777" w:rsidR="006944F8" w:rsidRPr="00A94875" w:rsidRDefault="006944F8" w:rsidP="009261B2">
      <w:pPr>
        <w:pStyle w:val="NormalWeb"/>
        <w:numPr>
          <w:ilvl w:val="0"/>
          <w:numId w:val="15"/>
        </w:numPr>
        <w:spacing w:before="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Use of a monitoring system</w:t>
      </w:r>
    </w:p>
    <w:p w14:paraId="56829D96" w14:textId="65238277" w:rsidR="006944F8" w:rsidRPr="00A94875" w:rsidRDefault="006944F8" w:rsidP="006944F8">
      <w:pPr>
        <w:pStyle w:val="NormalWeb"/>
        <w:spacing w:before="120" w:beforeAutospacing="0" w:after="0" w:afterAutospacing="0"/>
        <w:rPr>
          <w:rFonts w:asciiTheme="majorBidi" w:eastAsia="MS Mincho" w:hAnsiTheme="majorBidi" w:cstheme="majorBidi"/>
          <w:bCs/>
          <w:szCs w:val="20"/>
          <w:lang w:val="en-GB"/>
        </w:rPr>
      </w:pPr>
      <w:r w:rsidRPr="00A94875">
        <w:rPr>
          <w:rFonts w:asciiTheme="majorBidi" w:eastAsia="MS Mincho" w:hAnsiTheme="majorBidi" w:cstheme="majorBidi"/>
          <w:bCs/>
          <w:szCs w:val="20"/>
          <w:lang w:val="en-GB"/>
        </w:rPr>
        <w:t xml:space="preserve">This Recommendation </w:t>
      </w:r>
      <w:proofErr w:type="gramStart"/>
      <w:r w:rsidRPr="00A94875">
        <w:rPr>
          <w:rFonts w:asciiTheme="majorBidi" w:eastAsia="MS Mincho" w:hAnsiTheme="majorBidi" w:cstheme="majorBidi"/>
          <w:bCs/>
          <w:szCs w:val="20"/>
          <w:lang w:val="en-GB"/>
        </w:rPr>
        <w:t>can be used</w:t>
      </w:r>
      <w:proofErr w:type="gramEnd"/>
      <w:r w:rsidRPr="00A94875">
        <w:rPr>
          <w:rFonts w:asciiTheme="majorBidi" w:eastAsia="MS Mincho" w:hAnsiTheme="majorBidi" w:cstheme="majorBidi"/>
          <w:bCs/>
          <w:szCs w:val="20"/>
          <w:lang w:val="en-GB"/>
        </w:rPr>
        <w:t xml:space="preserve"> as a conformity assessment standard for Recommendation ITU T L.1350.</w:t>
      </w:r>
    </w:p>
    <w:p w14:paraId="2396ABDB" w14:textId="77777777" w:rsidR="00CF01E4" w:rsidRPr="00A94875" w:rsidRDefault="00CF01E4" w:rsidP="00CF01E4">
      <w:pPr>
        <w:spacing w:before="240"/>
        <w:rPr>
          <w:b/>
          <w:sz w:val="22"/>
          <w:szCs w:val="22"/>
          <w:lang w:val="en-GB"/>
        </w:rPr>
      </w:pPr>
      <w:r w:rsidRPr="00A94875">
        <w:rPr>
          <w:b/>
          <w:sz w:val="22"/>
          <w:szCs w:val="22"/>
          <w:lang w:val="en-GB"/>
        </w:rPr>
        <w:t>I.9.10</w:t>
      </w:r>
      <w:r w:rsidRPr="00A94875">
        <w:rPr>
          <w:b/>
          <w:sz w:val="22"/>
          <w:szCs w:val="22"/>
          <w:lang w:val="en-GB"/>
        </w:rPr>
        <w:tab/>
        <w:t>Testing cloud computing</w:t>
      </w:r>
    </w:p>
    <w:p w14:paraId="1E50FA15" w14:textId="664BBB2F" w:rsidR="00CF01E4" w:rsidRPr="00A94875" w:rsidRDefault="00CF01E4" w:rsidP="00CF01E4">
      <w:pPr>
        <w:pStyle w:val="NormalWeb"/>
        <w:spacing w:before="120" w:beforeAutospacing="0" w:after="0" w:afterAutospacing="0"/>
        <w:rPr>
          <w:rFonts w:ascii="Times New Roman" w:eastAsia="MS Mincho" w:hAnsi="Times New Roman"/>
          <w:bCs/>
          <w:szCs w:val="20"/>
          <w:lang w:val="en-GB"/>
        </w:rPr>
      </w:pPr>
      <w:r w:rsidRPr="00A94875">
        <w:rPr>
          <w:rFonts w:ascii="Times New Roman" w:hAnsi="Times New Roman"/>
          <w:b/>
          <w:lang w:val="en-GB"/>
        </w:rPr>
        <w:t>ITU-T Q.4042.1 “Cloud interoperability testing about web application – part 1: Interoperability testing between CSC and CSP"</w:t>
      </w:r>
      <w:r w:rsidRPr="00A94875">
        <w:rPr>
          <w:rFonts w:ascii="Times New Roman" w:hAnsi="Times New Roman"/>
          <w:lang w:val="en-GB"/>
        </w:rPr>
        <w:t xml:space="preserve"> (under approval) specifies the cloud interoperability testing items about web application between CSC and CSP as part 1. These testing objects are developed </w:t>
      </w:r>
      <w:proofErr w:type="gramStart"/>
      <w:r w:rsidRPr="00A94875">
        <w:rPr>
          <w:rFonts w:ascii="Times New Roman" w:hAnsi="Times New Roman"/>
          <w:lang w:val="en-GB"/>
        </w:rPr>
        <w:t>on the basis of</w:t>
      </w:r>
      <w:proofErr w:type="gramEnd"/>
      <w:r w:rsidRPr="00A94875">
        <w:rPr>
          <w:rFonts w:ascii="Times New Roman" w:hAnsi="Times New Roman"/>
          <w:lang w:val="en-GB"/>
        </w:rPr>
        <w:t xml:space="preserve"> cloud computing interoperability testing objectives specified in [ITU-T Q.4040]. The test cases for cloud interoperability testing about web application </w:t>
      </w:r>
      <w:proofErr w:type="gramStart"/>
      <w:r w:rsidRPr="00A94875">
        <w:rPr>
          <w:rFonts w:ascii="Times New Roman" w:hAnsi="Times New Roman"/>
          <w:lang w:val="en-GB"/>
        </w:rPr>
        <w:t>have also been introduced</w:t>
      </w:r>
      <w:proofErr w:type="gramEnd"/>
      <w:r w:rsidRPr="00A94875">
        <w:rPr>
          <w:rFonts w:ascii="Times New Roman" w:hAnsi="Times New Roman"/>
          <w:lang w:val="en-GB"/>
        </w:rPr>
        <w:t xml:space="preserve"> as appendix.</w:t>
      </w:r>
    </w:p>
    <w:p w14:paraId="6BE47767" w14:textId="77777777" w:rsidR="006944F8" w:rsidRPr="00A94875" w:rsidRDefault="006944F8" w:rsidP="006944F8">
      <w:pPr>
        <w:keepNext/>
        <w:keepLines/>
        <w:spacing w:before="240"/>
        <w:rPr>
          <w:b/>
          <w:sz w:val="22"/>
          <w:szCs w:val="22"/>
          <w:lang w:val="en-GB"/>
        </w:rPr>
      </w:pPr>
      <w:r w:rsidRPr="00A94875">
        <w:rPr>
          <w:b/>
          <w:sz w:val="22"/>
          <w:szCs w:val="22"/>
          <w:lang w:val="en-GB"/>
        </w:rPr>
        <w:t>I.10</w:t>
      </w:r>
      <w:r w:rsidRPr="00A94875">
        <w:rPr>
          <w:b/>
          <w:sz w:val="22"/>
          <w:szCs w:val="22"/>
          <w:lang w:val="en-GB"/>
        </w:rPr>
        <w:tab/>
        <w:t>Mainstreaming accessibility in ICTs</w:t>
      </w:r>
    </w:p>
    <w:p w14:paraId="36C5AA8C" w14:textId="77777777" w:rsidR="006944F8" w:rsidRPr="00A94875" w:rsidRDefault="006944F8" w:rsidP="006944F8">
      <w:pPr>
        <w:pStyle w:val="NormalWeb"/>
        <w:keepNext/>
        <w:keepLines/>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ITU-T F.791 (revised) “Accessibility terms and definitions”</w:t>
      </w:r>
      <w:r w:rsidRPr="00A94875">
        <w:rPr>
          <w:rFonts w:asciiTheme="majorBidi" w:hAnsiTheme="majorBidi" w:cstheme="majorBidi"/>
          <w:szCs w:val="20"/>
          <w:lang w:val="en-GB" w:eastAsia="en-US"/>
        </w:rPr>
        <w:t xml:space="preserve"> defines words describing accessibility, disability, and technical terms to be used for improving the writing in relation to standardization, and to facilitate accurately the needs and the mainstreaming of accessibility in standards that will include persons with disabilities (PWDs), older persons with age related disabilities and persons with specific needs. See WTDC Res. 58, WTDC AD and ITU–T F.790, listed in the Bibliography. This revision updates some of the definitions based on feedback received from the user community.</w:t>
      </w:r>
    </w:p>
    <w:p w14:paraId="582C87B6" w14:textId="77777777" w:rsidR="006944F8" w:rsidRPr="00A94875" w:rsidRDefault="006944F8"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ITU-T F.921 (revised) “Audio-based indoor and outdoor network navigation system for persons with vision impairment”</w:t>
      </w:r>
      <w:r w:rsidRPr="00A94875">
        <w:rPr>
          <w:rFonts w:asciiTheme="majorBidi" w:hAnsiTheme="majorBidi" w:cstheme="majorBidi"/>
          <w:szCs w:val="20"/>
          <w:lang w:val="en-GB" w:eastAsia="en-US"/>
        </w:rPr>
        <w:t xml:space="preserve"> explains how audio-based network navigation systems </w:t>
      </w:r>
      <w:proofErr w:type="gramStart"/>
      <w:r w:rsidRPr="00A94875">
        <w:rPr>
          <w:rFonts w:asciiTheme="majorBidi" w:hAnsiTheme="majorBidi" w:cstheme="majorBidi"/>
          <w:szCs w:val="20"/>
          <w:lang w:val="en-GB" w:eastAsia="en-US"/>
        </w:rPr>
        <w:t>can be designed</w:t>
      </w:r>
      <w:proofErr w:type="gramEnd"/>
      <w:r w:rsidRPr="00A94875">
        <w:rPr>
          <w:rFonts w:asciiTheme="majorBidi" w:hAnsiTheme="majorBidi" w:cstheme="majorBidi"/>
          <w:szCs w:val="20"/>
          <w:lang w:val="en-GB" w:eastAsia="en-US"/>
        </w:rPr>
        <w:t xml:space="preserve"> to ensure that they are inclusive and meet the needs of persons with visual impairments. Recommendation ITU-T F.921 adopts a technology neutral approach by defining and explaining the functional characteristics of the system. The aim is to give designers of audio-based network navigation systems the information that they need at the initial stages of development to anticipate and overcome any restrictions and barriers that prevent users with visual impairments from making full and independent use of the built environment. Recommendation ITU-T F.921 explains how to accommodate users’ experience of audio-based network navigation systems and ensure the interoperability of those systems. This Recommendation recognizes that by meeting the user needs of persons with visual impairments, audio-based network navigation systems may also benefit persons with other disabilities, age-related conditions and specific needs, as well as the </w:t>
      </w:r>
      <w:proofErr w:type="gramStart"/>
      <w:r w:rsidRPr="00A94875">
        <w:rPr>
          <w:rFonts w:asciiTheme="majorBidi" w:hAnsiTheme="majorBidi" w:cstheme="majorBidi"/>
          <w:szCs w:val="20"/>
          <w:lang w:val="en-GB" w:eastAsia="en-US"/>
        </w:rPr>
        <w:t>general public</w:t>
      </w:r>
      <w:proofErr w:type="gramEnd"/>
      <w:r w:rsidRPr="00A94875">
        <w:rPr>
          <w:rFonts w:asciiTheme="majorBidi" w:hAnsiTheme="majorBidi" w:cstheme="majorBidi"/>
          <w:szCs w:val="20"/>
          <w:lang w:val="en-GB" w:eastAsia="en-US"/>
        </w:rPr>
        <w:t>. This revision provides updates based on feedback received from field use of this Recommendation, as well as other text clarifications and corrections.</w:t>
      </w:r>
    </w:p>
    <w:p w14:paraId="3F5F3C91" w14:textId="77777777" w:rsidR="006944F8" w:rsidRPr="00A94875" w:rsidRDefault="006944F8"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ITU-T F.930 “Multimedia telecommunication relay services”</w:t>
      </w:r>
      <w:r w:rsidRPr="00A94875">
        <w:rPr>
          <w:rFonts w:asciiTheme="majorBidi" w:hAnsiTheme="majorBidi" w:cstheme="majorBidi"/>
          <w:szCs w:val="20"/>
          <w:lang w:val="en-GB" w:eastAsia="en-US"/>
        </w:rPr>
        <w:t xml:space="preserve"> (under approval) provides an overview of telecommunications relay services. To this end, this Recommendation provides a functional description of four common types of relay services in use today: text relay, video relay, captioned telephone service relay and speech-to-speech relay. Additionally, it lays out specific functional requirements of relay services pertaining to equipment, call setup, call experience, emergency communications, and message retrieval.</w:t>
      </w:r>
      <w:r w:rsidRPr="00A94875">
        <w:rPr>
          <w:rFonts w:asciiTheme="majorBidi" w:hAnsiTheme="majorBidi" w:cstheme="majorBidi"/>
          <w:szCs w:val="20"/>
          <w:lang w:val="en-GB" w:eastAsia="en-US"/>
        </w:rPr>
        <w:br/>
        <w:t xml:space="preserve">The UN Convention on the Rights of Persons with Disabilities (UNCRPD), article 9, made clear the need to include persons with disabilities, older persons with age related disabilities, and persons with specific needs by mainstreaming them into all aspects of modern life. This can only be done by </w:t>
      </w:r>
      <w:r w:rsidRPr="00A94875">
        <w:rPr>
          <w:rFonts w:asciiTheme="majorBidi" w:hAnsiTheme="majorBidi" w:cstheme="majorBidi"/>
          <w:szCs w:val="20"/>
          <w:lang w:val="en-GB" w:eastAsia="en-US"/>
        </w:rPr>
        <w:lastRenderedPageBreak/>
        <w:t>including them in the design of modern technology and information and communication technologies (ICTs) using universal design as defined in the UNCRPD.</w:t>
      </w:r>
      <w:r w:rsidRPr="00A94875">
        <w:rPr>
          <w:rFonts w:asciiTheme="majorBidi" w:hAnsiTheme="majorBidi" w:cstheme="majorBidi"/>
          <w:szCs w:val="20"/>
          <w:lang w:val="en-GB" w:eastAsia="en-US"/>
        </w:rPr>
        <w:br/>
        <w:t xml:space="preserve">Inclusion in telecommunications is a critical part of modern life for persons with disabilities, and in the realm of relay services such inclusion </w:t>
      </w:r>
      <w:proofErr w:type="gramStart"/>
      <w:r w:rsidRPr="00A94875">
        <w:rPr>
          <w:rFonts w:asciiTheme="majorBidi" w:hAnsiTheme="majorBidi" w:cstheme="majorBidi"/>
          <w:szCs w:val="20"/>
          <w:lang w:val="en-GB" w:eastAsia="en-US"/>
        </w:rPr>
        <w:t>is expressed</w:t>
      </w:r>
      <w:proofErr w:type="gramEnd"/>
      <w:r w:rsidRPr="00A94875">
        <w:rPr>
          <w:rFonts w:asciiTheme="majorBidi" w:hAnsiTheme="majorBidi" w:cstheme="majorBidi"/>
          <w:szCs w:val="20"/>
          <w:lang w:val="en-GB" w:eastAsia="en-US"/>
        </w:rPr>
        <w:t xml:space="preserve"> through the concept of functional equivalency. It states that persons with disabilities must be able to use telecommunications services with a level of functionality and ease of use that is similar to the way people use mainstream voice telecommunications services.</w:t>
      </w:r>
    </w:p>
    <w:p w14:paraId="43A34C49" w14:textId="77777777" w:rsidR="006944F8" w:rsidRPr="00A94875" w:rsidRDefault="006944F8"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Technical Paper ITU-T FSTP.ANS-Checklist “Compliance procedure and requirements for audio-based indoor and outdoor network navigation system for persons with vision impairment”</w:t>
      </w:r>
      <w:r w:rsidRPr="00A94875">
        <w:rPr>
          <w:rFonts w:asciiTheme="majorBidi" w:hAnsiTheme="majorBidi" w:cstheme="majorBidi"/>
          <w:szCs w:val="20"/>
          <w:lang w:val="en-GB" w:eastAsia="en-US"/>
        </w:rPr>
        <w:t xml:space="preserve"> explains test specifications regarding accessible audio-based network navigation systems specified in ITU-T Rec. F.921. The test involves testing both the capabilities and behaviour of an implementation and checking what </w:t>
      </w:r>
      <w:proofErr w:type="gramStart"/>
      <w:r w:rsidRPr="00A94875">
        <w:rPr>
          <w:rFonts w:asciiTheme="majorBidi" w:hAnsiTheme="majorBidi" w:cstheme="majorBidi"/>
          <w:szCs w:val="20"/>
          <w:lang w:val="en-GB" w:eastAsia="en-US"/>
        </w:rPr>
        <w:t>is observed</w:t>
      </w:r>
      <w:proofErr w:type="gramEnd"/>
      <w:r w:rsidRPr="00A94875">
        <w:rPr>
          <w:rFonts w:asciiTheme="majorBidi" w:hAnsiTheme="majorBidi" w:cstheme="majorBidi"/>
          <w:szCs w:val="20"/>
          <w:lang w:val="en-GB" w:eastAsia="en-US"/>
        </w:rPr>
        <w:t xml:space="preserve"> against the conformance requirements in the Recommendation.</w:t>
      </w:r>
    </w:p>
    <w:p w14:paraId="6AB25C8A" w14:textId="77777777" w:rsidR="006944F8" w:rsidRPr="00A94875" w:rsidRDefault="006944F8"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Technical Paper FSTP-RCSO “Overview of remote captioning services”</w:t>
      </w:r>
      <w:r w:rsidRPr="00A94875">
        <w:rPr>
          <w:rFonts w:asciiTheme="majorBidi" w:hAnsiTheme="majorBidi" w:cstheme="majorBidi"/>
          <w:szCs w:val="20"/>
          <w:lang w:val="en-GB" w:eastAsia="en-US"/>
        </w:rPr>
        <w:t xml:space="preserve"> describes remote captioning services. It defines reference model, requirements and functionality that facilitate, via an assistive intermediary (i.e., real time </w:t>
      </w:r>
      <w:proofErr w:type="spellStart"/>
      <w:r w:rsidRPr="00A94875">
        <w:rPr>
          <w:rFonts w:asciiTheme="majorBidi" w:hAnsiTheme="majorBidi" w:cstheme="majorBidi"/>
          <w:szCs w:val="20"/>
          <w:lang w:val="en-GB" w:eastAsia="en-US"/>
        </w:rPr>
        <w:t>captioner</w:t>
      </w:r>
      <w:proofErr w:type="spellEnd"/>
      <w:r w:rsidRPr="00A94875">
        <w:rPr>
          <w:rFonts w:asciiTheme="majorBidi" w:hAnsiTheme="majorBidi" w:cstheme="majorBidi"/>
          <w:szCs w:val="20"/>
          <w:lang w:val="en-GB" w:eastAsia="en-US"/>
        </w:rPr>
        <w:t xml:space="preserve"> or via voice recognition software), to enable the inclusive meeting participation of person either on site or remotely. The aim of this document is to enable meeting organisers to provide attendees located even in different countries to access to real time captioning services and give comparable and equivalent understanding and participation experience. Depending on the type of meeting, it can be a one-to-one meeting, a group meeting of persons in different locations using conferencing tools, a teleconference call or in a physical conference setting. Remote captioning </w:t>
      </w:r>
      <w:proofErr w:type="gramStart"/>
      <w:r w:rsidRPr="00A94875">
        <w:rPr>
          <w:rFonts w:asciiTheme="majorBidi" w:hAnsiTheme="majorBidi" w:cstheme="majorBidi"/>
          <w:szCs w:val="20"/>
          <w:lang w:val="en-GB" w:eastAsia="en-US"/>
        </w:rPr>
        <w:t>is often displayed</w:t>
      </w:r>
      <w:proofErr w:type="gramEnd"/>
      <w:r w:rsidRPr="00A94875">
        <w:rPr>
          <w:rFonts w:asciiTheme="majorBidi" w:hAnsiTheme="majorBidi" w:cstheme="majorBidi"/>
          <w:szCs w:val="20"/>
          <w:lang w:val="en-GB" w:eastAsia="en-US"/>
        </w:rPr>
        <w:t xml:space="preserve"> on a screen or TV monitor in the meeting room. Participants can also access remote captioning on their laptops, pads or smartphone using URL link provided to them.</w:t>
      </w:r>
    </w:p>
    <w:p w14:paraId="57951A09" w14:textId="77777777" w:rsidR="006944F8" w:rsidRPr="00A94875" w:rsidRDefault="006944F8"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 xml:space="preserve">Technical Paper FSTP-CONF-F921 "Compliance procedure and requirements for audio-based indoor and outdoor network navigation system for persons with vision </w:t>
      </w:r>
      <w:proofErr w:type="spellStart"/>
      <w:r w:rsidRPr="00A94875">
        <w:rPr>
          <w:rFonts w:asciiTheme="majorBidi" w:hAnsiTheme="majorBidi" w:cstheme="majorBidi"/>
          <w:b/>
          <w:szCs w:val="20"/>
          <w:lang w:val="en-GB" w:eastAsia="en-US"/>
        </w:rPr>
        <w:t>impairment"</w:t>
      </w:r>
      <w:proofErr w:type="gramStart"/>
      <w:r w:rsidRPr="00A94875">
        <w:rPr>
          <w:rFonts w:asciiTheme="majorBidi" w:hAnsiTheme="majorBidi" w:cstheme="majorBidi"/>
          <w:szCs w:val="20"/>
          <w:lang w:val="en-GB" w:eastAsia="en-US"/>
        </w:rPr>
        <w:t>was</w:t>
      </w:r>
      <w:proofErr w:type="spellEnd"/>
      <w:r w:rsidRPr="00A94875">
        <w:rPr>
          <w:rFonts w:asciiTheme="majorBidi" w:hAnsiTheme="majorBidi" w:cstheme="majorBidi"/>
          <w:szCs w:val="20"/>
          <w:lang w:val="en-GB" w:eastAsia="en-US"/>
        </w:rPr>
        <w:t xml:space="preserve"> also approved</w:t>
      </w:r>
      <w:proofErr w:type="gramEnd"/>
      <w:r w:rsidRPr="00A94875">
        <w:rPr>
          <w:rFonts w:asciiTheme="majorBidi" w:hAnsiTheme="majorBidi" w:cstheme="majorBidi"/>
          <w:szCs w:val="20"/>
          <w:lang w:val="en-GB" w:eastAsia="en-US"/>
        </w:rPr>
        <w:t>, which allows conformance testing of deployments of compliant ITU-T F.921 systems.</w:t>
      </w:r>
    </w:p>
    <w:p w14:paraId="0E14A76F" w14:textId="77777777" w:rsidR="006944F8" w:rsidRPr="00A94875" w:rsidRDefault="006944F8" w:rsidP="006944F8">
      <w:pPr>
        <w:spacing w:before="240"/>
        <w:rPr>
          <w:b/>
          <w:sz w:val="22"/>
          <w:szCs w:val="22"/>
          <w:lang w:val="en-GB"/>
        </w:rPr>
      </w:pPr>
      <w:r w:rsidRPr="00A94875">
        <w:rPr>
          <w:b/>
          <w:sz w:val="22"/>
          <w:szCs w:val="22"/>
          <w:lang w:val="en-GB"/>
        </w:rPr>
        <w:t>I.12</w:t>
      </w:r>
      <w:r w:rsidRPr="00A94875">
        <w:rPr>
          <w:b/>
          <w:sz w:val="22"/>
          <w:szCs w:val="22"/>
          <w:lang w:val="en-GB"/>
        </w:rPr>
        <w:tab/>
        <w:t>Combating Counterfeiting</w:t>
      </w:r>
    </w:p>
    <w:p w14:paraId="496810D6" w14:textId="77777777" w:rsidR="006944F8" w:rsidRPr="00A94875" w:rsidRDefault="006944F8" w:rsidP="006944F8">
      <w:pPr>
        <w:pStyle w:val="NormalWeb"/>
        <w:spacing w:before="120" w:beforeAutospacing="0" w:after="0" w:afterAutospacing="0"/>
        <w:rPr>
          <w:rFonts w:asciiTheme="majorBidi" w:hAnsiTheme="majorBidi" w:cstheme="majorBidi"/>
          <w:szCs w:val="20"/>
          <w:lang w:val="en-GB" w:eastAsia="en-US"/>
        </w:rPr>
      </w:pPr>
      <w:r w:rsidRPr="00A94875">
        <w:rPr>
          <w:rFonts w:asciiTheme="majorBidi" w:hAnsiTheme="majorBidi" w:cstheme="majorBidi"/>
          <w:b/>
          <w:szCs w:val="20"/>
          <w:lang w:val="en-GB" w:eastAsia="en-US"/>
        </w:rPr>
        <w:t>ITU-T Q.5050 “Framework for solution to combat counterfeit ICT devices”</w:t>
      </w:r>
      <w:r w:rsidRPr="00A94875">
        <w:rPr>
          <w:rFonts w:asciiTheme="majorBidi" w:hAnsiTheme="majorBidi" w:cstheme="majorBidi"/>
          <w:szCs w:val="20"/>
          <w:lang w:val="en-GB" w:eastAsia="en-US"/>
        </w:rPr>
        <w:t xml:space="preserve"> (under approval) aims to describe a reference framework, with high level challenges and requirements, that should be considered when deploying solutions to combat the circulation and use of counterfeit ICT devices.</w:t>
      </w:r>
    </w:p>
    <w:p w14:paraId="385AAE78" w14:textId="77777777" w:rsidR="006944F8" w:rsidRPr="00A94875" w:rsidRDefault="006944F8" w:rsidP="006944F8">
      <w:pPr>
        <w:spacing w:before="240"/>
        <w:rPr>
          <w:b/>
          <w:sz w:val="22"/>
          <w:szCs w:val="22"/>
          <w:lang w:val="en-GB"/>
        </w:rPr>
      </w:pPr>
      <w:r w:rsidRPr="00A94875">
        <w:rPr>
          <w:b/>
          <w:sz w:val="22"/>
          <w:szCs w:val="22"/>
          <w:lang w:val="en-GB"/>
        </w:rPr>
        <w:t>I.30</w:t>
      </w:r>
      <w:r w:rsidRPr="00A94875">
        <w:rPr>
          <w:b/>
          <w:sz w:val="22"/>
          <w:szCs w:val="22"/>
          <w:lang w:val="en-GB"/>
        </w:rPr>
        <w:tab/>
        <w:t>Formal Languages and Identification</w:t>
      </w:r>
    </w:p>
    <w:p w14:paraId="09E40B70" w14:textId="77777777" w:rsidR="006944F8" w:rsidRPr="00A94875" w:rsidRDefault="006944F8" w:rsidP="006944F8">
      <w:pPr>
        <w:rPr>
          <w:highlight w:val="yellow"/>
          <w:lang w:val="en-GB"/>
        </w:rPr>
      </w:pPr>
      <w:r w:rsidRPr="00A94875">
        <w:rPr>
          <w:b/>
          <w:lang w:val="en-GB"/>
        </w:rPr>
        <w:t>ITU-T E.217 (revised) “Maritime communications - Ship station identity”</w:t>
      </w:r>
      <w:r w:rsidRPr="00A94875">
        <w:rPr>
          <w:lang w:val="en-GB"/>
        </w:rPr>
        <w:t xml:space="preserve"> (under approval): For the purposes of International Public Correspondence Telecommunication, the ship station identity is now only relevant for those existing systems that have the ship station identity embedded in the numbering scheme as illustrated in Annexes A and B. For future systems that will not embed the ship station identity in their numbering scheme the ship station identity ceases to have any relevance for public correspondence telecommunication purposes. This revision of E.217 includes relevant text from E.210 as it combines both of those Recommendations into E.217. In </w:t>
      </w:r>
      <w:proofErr w:type="gramStart"/>
      <w:r w:rsidRPr="00A94875">
        <w:rPr>
          <w:lang w:val="en-GB"/>
        </w:rPr>
        <w:t>addition</w:t>
      </w:r>
      <w:proofErr w:type="gramEnd"/>
      <w:r w:rsidRPr="00A94875">
        <w:rPr>
          <w:lang w:val="en-GB"/>
        </w:rPr>
        <w:t xml:space="preserve"> it reflects changes that have occurred within the existing family of services provided by Inmarsat that impact the provision of Global Maritime Distress and Safety System (GMDSS). For historical accuracy this revised version also reflects details of the provision of Inmarsat services prior to the expansion of the E.164 numbering plan (ITU-T Recommendation E.164 'The international public telecommunication numbering plan') from a maximum of 12 to 15 digits.</w:t>
      </w:r>
    </w:p>
    <w:p w14:paraId="0C977300" w14:textId="77777777" w:rsidR="006944F8" w:rsidRPr="00A94875" w:rsidRDefault="006944F8" w:rsidP="006944F8">
      <w:pPr>
        <w:rPr>
          <w:highlight w:val="yellow"/>
          <w:lang w:val="en-GB"/>
        </w:rPr>
      </w:pPr>
      <w:r w:rsidRPr="00A94875">
        <w:rPr>
          <w:b/>
          <w:lang w:val="en-GB"/>
        </w:rPr>
        <w:t xml:space="preserve">ITU-T X.676 “Object identifier-based resolution framework for </w:t>
      </w:r>
      <w:proofErr w:type="spellStart"/>
      <w:r w:rsidRPr="00A94875">
        <w:rPr>
          <w:b/>
          <w:lang w:val="en-GB"/>
        </w:rPr>
        <w:t>IoT</w:t>
      </w:r>
      <w:proofErr w:type="spellEnd"/>
      <w:r w:rsidRPr="00A94875">
        <w:rPr>
          <w:b/>
          <w:lang w:val="en-GB"/>
        </w:rPr>
        <w:t xml:space="preserve"> grouped services”</w:t>
      </w:r>
      <w:r w:rsidRPr="00A94875">
        <w:rPr>
          <w:lang w:val="en-GB"/>
        </w:rPr>
        <w:t xml:space="preserve"> </w:t>
      </w:r>
      <w:r w:rsidRPr="00A94875">
        <w:rPr>
          <w:rFonts w:asciiTheme="majorBidi" w:hAnsiTheme="majorBidi" w:cstheme="majorBidi"/>
          <w:lang w:val="en-GB" w:eastAsia="en-US"/>
        </w:rPr>
        <w:t xml:space="preserve">(under approval) </w:t>
      </w:r>
      <w:r w:rsidRPr="00A94875">
        <w:rPr>
          <w:lang w:val="en-GB"/>
        </w:rPr>
        <w:t xml:space="preserve">specifies an OID-based resolution framework for identifying various services in </w:t>
      </w:r>
      <w:proofErr w:type="spellStart"/>
      <w:r w:rsidRPr="00A94875">
        <w:rPr>
          <w:lang w:val="en-GB"/>
        </w:rPr>
        <w:t>IoT</w:t>
      </w:r>
      <w:proofErr w:type="spellEnd"/>
      <w:r w:rsidRPr="00A94875">
        <w:rPr>
          <w:lang w:val="en-GB"/>
        </w:rPr>
        <w:t xml:space="preserve"> environments. This draft Recommendation describes the concepts of </w:t>
      </w:r>
      <w:proofErr w:type="spellStart"/>
      <w:r w:rsidRPr="00A94875">
        <w:rPr>
          <w:lang w:val="en-GB"/>
        </w:rPr>
        <w:t>IoT</w:t>
      </w:r>
      <w:proofErr w:type="spellEnd"/>
      <w:r w:rsidRPr="00A94875">
        <w:rPr>
          <w:lang w:val="en-GB"/>
        </w:rPr>
        <w:t xml:space="preserve"> grouped services, </w:t>
      </w:r>
      <w:r w:rsidRPr="00A94875">
        <w:rPr>
          <w:lang w:val="en-GB"/>
        </w:rPr>
        <w:lastRenderedPageBreak/>
        <w:t xml:space="preserve">considerations, architectures, and procedures for an OID-based resolution framework for </w:t>
      </w:r>
      <w:proofErr w:type="spellStart"/>
      <w:r w:rsidRPr="00A94875">
        <w:rPr>
          <w:lang w:val="en-GB"/>
        </w:rPr>
        <w:t>IoT</w:t>
      </w:r>
      <w:proofErr w:type="spellEnd"/>
      <w:r w:rsidRPr="00A94875">
        <w:rPr>
          <w:lang w:val="en-GB"/>
        </w:rPr>
        <w:t xml:space="preserve"> grouped services.</w:t>
      </w:r>
    </w:p>
    <w:p w14:paraId="29237A07" w14:textId="77777777" w:rsidR="006944F8" w:rsidRPr="00A94875" w:rsidRDefault="006944F8" w:rsidP="006944F8">
      <w:pPr>
        <w:tabs>
          <w:tab w:val="left" w:pos="284"/>
          <w:tab w:val="left" w:pos="567"/>
          <w:tab w:val="left" w:pos="851"/>
          <w:tab w:val="left" w:pos="1418"/>
          <w:tab w:val="left" w:pos="1701"/>
          <w:tab w:val="left" w:pos="2552"/>
          <w:tab w:val="left" w:pos="2835"/>
          <w:tab w:val="left" w:pos="3119"/>
          <w:tab w:val="left" w:pos="3402"/>
          <w:tab w:val="left" w:pos="3686"/>
          <w:tab w:val="left" w:pos="3969"/>
        </w:tabs>
        <w:spacing w:after="120"/>
        <w:rPr>
          <w:rFonts w:asciiTheme="majorBidi" w:hAnsiTheme="majorBidi" w:cstheme="majorBidi"/>
          <w:b/>
          <w:bCs/>
          <w:highlight w:val="yellow"/>
          <w:lang w:val="en-GB"/>
        </w:rPr>
      </w:pPr>
      <w:r w:rsidRPr="00A94875">
        <w:rPr>
          <w:rFonts w:asciiTheme="majorBidi" w:hAnsiTheme="majorBidi" w:cstheme="majorBidi"/>
          <w:b/>
          <w:bCs/>
          <w:lang w:val="en-GB"/>
        </w:rPr>
        <w:t>ITU-T X.680 Amd.1 “Information technology – Abstract Syntax Notation One (ASN.1): Specification of basic notation Amendment 1”</w:t>
      </w:r>
      <w:r w:rsidRPr="00A94875">
        <w:rPr>
          <w:rFonts w:asciiTheme="majorBidi" w:hAnsiTheme="majorBidi" w:cstheme="majorBidi"/>
          <w:bCs/>
          <w:lang w:val="en-GB"/>
        </w:rPr>
        <w:t xml:space="preserve"> relaxes the IMPORTS clause to allow importation of definitions from new versions of a given module.</w:t>
      </w:r>
    </w:p>
    <w:p w14:paraId="510D2CC4" w14:textId="442380C3"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Z.100 Annex F1 (revised) “Specification and Description Language - Overview of SDL-2010 - Annex F1: SDL-2010 formal definition: General overview”</w:t>
      </w:r>
      <w:r w:rsidRPr="00A94875">
        <w:rPr>
          <w:rFonts w:asciiTheme="majorBidi" w:hAnsiTheme="majorBidi" w:cstheme="majorBidi"/>
          <w:bCs/>
          <w:lang w:val="en-GB"/>
        </w:rPr>
        <w:t xml:space="preserve"> </w:t>
      </w:r>
      <w:r w:rsidRPr="00A94875">
        <w:rPr>
          <w:rFonts w:asciiTheme="majorBidi" w:hAnsiTheme="majorBidi" w:cstheme="majorBidi"/>
          <w:lang w:val="en-GB" w:eastAsia="en-US"/>
        </w:rPr>
        <w:t xml:space="preserve">(under approval) </w:t>
      </w:r>
      <w:r w:rsidR="0096555C" w:rsidRPr="00A94875">
        <w:rPr>
          <w:lang w:val="en-GB"/>
        </w:rPr>
        <w:t xml:space="preserve">provides the motivation for and the main objectives of a formal semantics definition for SDL-2010. It gives an overview of the structure of the formal semantics, and </w:t>
      </w:r>
      <w:proofErr w:type="gramStart"/>
      <w:r w:rsidR="0096555C" w:rsidRPr="00A94875">
        <w:rPr>
          <w:lang w:val="en-GB"/>
        </w:rPr>
        <w:t>it also</w:t>
      </w:r>
      <w:proofErr w:type="gramEnd"/>
      <w:r w:rsidR="0096555C" w:rsidRPr="00A94875">
        <w:rPr>
          <w:lang w:val="en-GB"/>
        </w:rPr>
        <w:t xml:space="preserve"> contains an introduction to the Abstract State Machine (ASM) formalism, which is used to define the SDL</w:t>
      </w:r>
      <w:r w:rsidR="0096555C" w:rsidRPr="00A94875">
        <w:rPr>
          <w:lang w:val="en-GB"/>
        </w:rPr>
        <w:noBreakHyphen/>
        <w:t>2010 semantics</w:t>
      </w:r>
      <w:r w:rsidRPr="00A94875">
        <w:rPr>
          <w:rFonts w:asciiTheme="majorBidi" w:hAnsiTheme="majorBidi" w:cstheme="majorBidi"/>
          <w:bCs/>
          <w:lang w:val="en-GB"/>
        </w:rPr>
        <w:t>.</w:t>
      </w:r>
    </w:p>
    <w:p w14:paraId="017B4D53" w14:textId="2C9DA551" w:rsidR="006944F8" w:rsidRPr="00A94875" w:rsidRDefault="006944F8" w:rsidP="006944F8">
      <w:pPr>
        <w:rPr>
          <w:rFonts w:asciiTheme="majorBidi" w:hAnsiTheme="majorBidi" w:cstheme="majorBidi"/>
          <w:bCs/>
          <w:lang w:val="en-GB"/>
        </w:rPr>
      </w:pPr>
      <w:proofErr w:type="gramStart"/>
      <w:r w:rsidRPr="00A94875">
        <w:rPr>
          <w:rFonts w:asciiTheme="majorBidi" w:hAnsiTheme="majorBidi" w:cstheme="majorBidi"/>
          <w:b/>
          <w:bCs/>
          <w:lang w:val="en-GB"/>
        </w:rPr>
        <w:t>ITU-T Z.100 Annex F2 (revised) “Specification and Description Language – Overview of SDL 2010 - Annex F2: SDL 2010 formal definition: Static semantics”</w:t>
      </w:r>
      <w:r w:rsidRPr="00A94875">
        <w:rPr>
          <w:rFonts w:asciiTheme="majorBidi" w:hAnsiTheme="majorBidi" w:cstheme="majorBidi"/>
          <w:bCs/>
          <w:lang w:val="en-GB"/>
        </w:rPr>
        <w:t xml:space="preserve"> </w:t>
      </w:r>
      <w:r w:rsidRPr="00A94875">
        <w:rPr>
          <w:rFonts w:asciiTheme="majorBidi" w:hAnsiTheme="majorBidi" w:cstheme="majorBidi"/>
          <w:lang w:val="en-GB" w:eastAsia="en-US"/>
        </w:rPr>
        <w:t xml:space="preserve">(under approval) </w:t>
      </w:r>
      <w:r w:rsidR="0096555C" w:rsidRPr="00A94875">
        <w:rPr>
          <w:lang w:val="en-GB"/>
        </w:rPr>
        <w:t>describes the static semantic constraints of SDL-2010, the mapping to the abstract grammar and the transformations identified by the 'Model' clauses of Recommendations ITU-T Z.101, Z.102, Z.103, Z.104, Z.105 and Z.107, that are included by reference in Recommendation ITU-T Z.100</w:t>
      </w:r>
      <w:r w:rsidRPr="00A94875">
        <w:rPr>
          <w:rFonts w:asciiTheme="majorBidi" w:hAnsiTheme="majorBidi" w:cstheme="majorBidi"/>
          <w:bCs/>
          <w:lang w:val="en-GB"/>
        </w:rPr>
        <w:t>.</w:t>
      </w:r>
      <w:proofErr w:type="gramEnd"/>
    </w:p>
    <w:p w14:paraId="72520EC3" w14:textId="77777777" w:rsidR="006944F8" w:rsidRPr="00A94875" w:rsidRDefault="006944F8" w:rsidP="006944F8">
      <w:pPr>
        <w:rPr>
          <w:rFonts w:asciiTheme="majorBidi" w:hAnsiTheme="majorBidi" w:cstheme="majorBidi"/>
          <w:bCs/>
          <w:lang w:val="en-GB"/>
        </w:rPr>
      </w:pPr>
      <w:r w:rsidRPr="00A94875">
        <w:rPr>
          <w:rFonts w:asciiTheme="majorBidi" w:hAnsiTheme="majorBidi" w:cstheme="majorBidi"/>
          <w:b/>
          <w:bCs/>
          <w:lang w:val="en-GB"/>
        </w:rPr>
        <w:t>ITU-T Z.100 Annex F3 (revised) “Specification and Description Language – Overview of SDL 2010 - Annex F3: SDL 2010 formal definition: Dynamic semantics”</w:t>
      </w:r>
      <w:r w:rsidRPr="00A94875">
        <w:rPr>
          <w:rFonts w:asciiTheme="majorBidi" w:hAnsiTheme="majorBidi" w:cstheme="majorBidi"/>
          <w:bCs/>
          <w:lang w:val="en-GB"/>
        </w:rPr>
        <w:t xml:space="preserve"> </w:t>
      </w:r>
      <w:r w:rsidRPr="00A94875">
        <w:rPr>
          <w:rFonts w:asciiTheme="majorBidi" w:hAnsiTheme="majorBidi" w:cstheme="majorBidi"/>
          <w:lang w:val="en-GB" w:eastAsia="en-US"/>
        </w:rPr>
        <w:t>(under approval)</w:t>
      </w:r>
      <w:r w:rsidRPr="00A94875">
        <w:rPr>
          <w:rFonts w:asciiTheme="majorBidi" w:hAnsiTheme="majorBidi" w:cstheme="majorBidi"/>
          <w:b/>
          <w:lang w:val="en-GB" w:eastAsia="en-US"/>
        </w:rPr>
        <w:t xml:space="preserve"> </w:t>
      </w:r>
      <w:r w:rsidRPr="00A94875">
        <w:rPr>
          <w:rFonts w:asciiTheme="majorBidi" w:hAnsiTheme="majorBidi" w:cstheme="majorBidi"/>
          <w:bCs/>
          <w:lang w:val="en-GB"/>
        </w:rPr>
        <w:t>defines the SDL 2010 dynamic semantics.</w:t>
      </w:r>
    </w:p>
    <w:p w14:paraId="510D5616" w14:textId="0A50CBDD" w:rsidR="006944F8" w:rsidRPr="00A94875" w:rsidRDefault="006944F8" w:rsidP="006944F8">
      <w:pPr>
        <w:rPr>
          <w:rFonts w:asciiTheme="majorBidi" w:hAnsiTheme="majorBidi" w:cstheme="majorBidi"/>
          <w:bCs/>
          <w:highlight w:val="yellow"/>
          <w:lang w:val="en-GB"/>
        </w:rPr>
      </w:pPr>
      <w:r w:rsidRPr="00A94875">
        <w:rPr>
          <w:rFonts w:asciiTheme="majorBidi" w:hAnsiTheme="majorBidi" w:cstheme="majorBidi"/>
          <w:b/>
          <w:bCs/>
          <w:lang w:val="en-GB"/>
        </w:rPr>
        <w:t xml:space="preserve">ITU-T Z.151 (revised) “User Requirements Notation (URN) - Language definition” </w:t>
      </w:r>
      <w:r w:rsidRPr="00A94875">
        <w:rPr>
          <w:rFonts w:asciiTheme="majorBidi" w:hAnsiTheme="majorBidi" w:cstheme="majorBidi"/>
          <w:bCs/>
          <w:lang w:val="en-GB"/>
        </w:rPr>
        <w:t xml:space="preserve">(under approval) </w:t>
      </w:r>
      <w:r w:rsidR="0096555C" w:rsidRPr="00A94875">
        <w:rPr>
          <w:lang w:val="en-GB"/>
        </w:rPr>
        <w:t xml:space="preserve">defines the User Requirements Notation (URN) intended for the elicitation, analysis, specification and validation of requirements. URN combines modelling concepts and notations for goals (mainly for </w:t>
      </w:r>
      <w:r w:rsidR="0096555C" w:rsidRPr="00A94875">
        <w:rPr>
          <w:iCs/>
          <w:lang w:val="en-GB"/>
        </w:rPr>
        <w:t>non-functional requirements</w:t>
      </w:r>
      <w:r w:rsidR="0096555C" w:rsidRPr="00A94875">
        <w:rPr>
          <w:lang w:val="en-GB"/>
        </w:rPr>
        <w:t xml:space="preserve"> and quality attributes) and scenarios (mainly for operational requirements, functional requirements and performance and architectural reasoning). The goal sub-notation </w:t>
      </w:r>
      <w:proofErr w:type="gramStart"/>
      <w:r w:rsidR="0096555C" w:rsidRPr="00A94875">
        <w:rPr>
          <w:lang w:val="en-GB"/>
        </w:rPr>
        <w:t>is called</w:t>
      </w:r>
      <w:proofErr w:type="gramEnd"/>
      <w:r w:rsidR="0096555C" w:rsidRPr="00A94875">
        <w:rPr>
          <w:lang w:val="en-GB"/>
        </w:rPr>
        <w:t xml:space="preserve"> Goal-oriented Requirements Language (GRL) and the scenario sub</w:t>
      </w:r>
      <w:r w:rsidR="0096555C" w:rsidRPr="00A94875">
        <w:rPr>
          <w:lang w:val="en-GB"/>
        </w:rPr>
        <w:noBreakHyphen/>
        <w:t>notation is called Use Case Map (UCM)</w:t>
      </w:r>
      <w:r w:rsidRPr="00A94875">
        <w:rPr>
          <w:rFonts w:asciiTheme="majorBidi" w:hAnsiTheme="majorBidi" w:cstheme="majorBidi"/>
          <w:bCs/>
          <w:lang w:val="en-GB"/>
        </w:rPr>
        <w:t>.</w:t>
      </w:r>
    </w:p>
    <w:p w14:paraId="07AC6A21" w14:textId="426ABFDA" w:rsidR="006944F8" w:rsidRPr="00A94875" w:rsidRDefault="006944F8" w:rsidP="006944F8">
      <w:pPr>
        <w:rPr>
          <w:lang w:val="en-GB"/>
        </w:rPr>
      </w:pPr>
      <w:r w:rsidRPr="00A94875">
        <w:rPr>
          <w:rFonts w:asciiTheme="majorBidi" w:hAnsiTheme="majorBidi" w:cstheme="majorBidi"/>
          <w:b/>
          <w:bCs/>
          <w:lang w:val="en-GB"/>
        </w:rPr>
        <w:t>ITU-T Z.161 (revised) “Testing and Test Control Notation version 3: TTCN-3 core language”</w:t>
      </w:r>
      <w:r w:rsidRPr="00A94875">
        <w:rPr>
          <w:rFonts w:asciiTheme="majorBidi" w:hAnsiTheme="majorBidi" w:cstheme="majorBidi"/>
          <w:bCs/>
          <w:lang w:val="en-GB"/>
        </w:rPr>
        <w:t xml:space="preserve"> (under approval)</w:t>
      </w:r>
      <w:r w:rsidRPr="00A94875">
        <w:rPr>
          <w:rFonts w:asciiTheme="majorBidi" w:hAnsiTheme="majorBidi" w:cstheme="majorBidi"/>
          <w:b/>
          <w:bCs/>
          <w:lang w:val="en-GB"/>
        </w:rPr>
        <w:t xml:space="preserve"> </w:t>
      </w:r>
      <w:r w:rsidRPr="00A94875">
        <w:rPr>
          <w:rFonts w:asciiTheme="majorBidi" w:hAnsiTheme="majorBidi" w:cstheme="majorBidi"/>
          <w:lang w:val="en-GB"/>
        </w:rPr>
        <w:t xml:space="preserve">defines TTCN-3 (Testing and Test Control Notation 3) </w:t>
      </w:r>
      <w:r w:rsidR="00AD4B55" w:rsidRPr="00A94875">
        <w:rPr>
          <w:lang w:val="en-GB"/>
        </w:rPr>
        <w:t xml:space="preserve">defines Testing and Test Control Notation 3 (TTCN-3) intended for specification of test suites that are independent of platforms, test methods, protocol layers and protocols. TTCN-3 </w:t>
      </w:r>
      <w:proofErr w:type="gramStart"/>
      <w:r w:rsidR="00AD4B55" w:rsidRPr="00A94875">
        <w:rPr>
          <w:lang w:val="en-GB"/>
        </w:rPr>
        <w:t>can be used</w:t>
      </w:r>
      <w:proofErr w:type="gramEnd"/>
      <w:r w:rsidR="00AD4B55" w:rsidRPr="00A94875">
        <w:rPr>
          <w:lang w:val="en-GB"/>
        </w:rPr>
        <w:t xml:space="preserve"> for specification of all types of reactive system tests over a variety of communication ports. Typical areas of application are protocol testing (including mobile and Internet protocols), service testing (including supplementary services), module testing, testing of Common Object Request Broker Architecture (CORBA) based platforms and application programming interfaces (APIs). The specification of test suites for physical layer protocols is outside the scope of this Recommendation.</w:t>
      </w:r>
    </w:p>
    <w:p w14:paraId="7C70292F" w14:textId="77777777" w:rsidR="006944F8" w:rsidRPr="00A94875" w:rsidRDefault="006944F8" w:rsidP="006944F8">
      <w:pPr>
        <w:rPr>
          <w:lang w:val="en-GB"/>
        </w:rPr>
      </w:pPr>
      <w:r w:rsidRPr="00A94875">
        <w:rPr>
          <w:b/>
          <w:bCs/>
          <w:lang w:val="en-GB"/>
        </w:rPr>
        <w:t>ITU-T Z.161.2 (revised) “Testing and Test Control Notation version 3: TTCN-3 language extensions: Configuration and deployment support”</w:t>
      </w:r>
      <w:r w:rsidRPr="00A94875">
        <w:rPr>
          <w:lang w:val="en-GB"/>
        </w:rPr>
        <w:t xml:space="preserve"> </w:t>
      </w:r>
      <w:r w:rsidRPr="00A94875">
        <w:rPr>
          <w:rFonts w:asciiTheme="majorBidi" w:hAnsiTheme="majorBidi" w:cstheme="majorBidi"/>
          <w:bCs/>
          <w:lang w:val="en-GB"/>
        </w:rPr>
        <w:t xml:space="preserve">(under approval) </w:t>
      </w:r>
      <w:r w:rsidRPr="00A94875">
        <w:rPr>
          <w:lang w:val="en-GB"/>
        </w:rPr>
        <w:t>defines the configuration and deployment support package of TTCN-3.</w:t>
      </w:r>
    </w:p>
    <w:p w14:paraId="75E8EEED" w14:textId="77777777" w:rsidR="006944F8" w:rsidRPr="00A94875" w:rsidRDefault="006944F8" w:rsidP="006944F8">
      <w:pPr>
        <w:rPr>
          <w:lang w:val="en-GB"/>
        </w:rPr>
      </w:pPr>
      <w:r w:rsidRPr="00A94875">
        <w:rPr>
          <w:rFonts w:asciiTheme="majorBidi" w:hAnsiTheme="majorBidi" w:cstheme="majorBidi"/>
          <w:b/>
          <w:bCs/>
          <w:lang w:val="en-GB"/>
        </w:rPr>
        <w:t>ITU-T Z.161.4 (revised) Testing and Test Control Notation version 3: TTCN-3 language extensions: Behaviour types”</w:t>
      </w:r>
      <w:r w:rsidRPr="00A94875">
        <w:rPr>
          <w:rFonts w:asciiTheme="majorBidi" w:hAnsiTheme="majorBidi" w:cstheme="majorBidi"/>
          <w:lang w:val="en-GB"/>
        </w:rPr>
        <w:t xml:space="preserve"> </w:t>
      </w:r>
      <w:r w:rsidRPr="00A94875">
        <w:rPr>
          <w:rFonts w:asciiTheme="majorBidi" w:hAnsiTheme="majorBidi" w:cstheme="majorBidi"/>
          <w:bCs/>
          <w:lang w:val="en-GB"/>
        </w:rPr>
        <w:t>(under approval)</w:t>
      </w:r>
      <w:r w:rsidRPr="00A94875">
        <w:rPr>
          <w:rFonts w:asciiTheme="majorBidi" w:hAnsiTheme="majorBidi" w:cstheme="majorBidi"/>
          <w:b/>
          <w:bCs/>
          <w:lang w:val="en-GB"/>
        </w:rPr>
        <w:t xml:space="preserve"> </w:t>
      </w:r>
      <w:r w:rsidRPr="00A94875">
        <w:rPr>
          <w:lang w:val="en-GB"/>
        </w:rPr>
        <w:t>defines the behaviour types package of TTCN</w:t>
      </w:r>
      <w:r w:rsidRPr="00A94875">
        <w:rPr>
          <w:lang w:val="en-GB"/>
        </w:rPr>
        <w:noBreakHyphen/>
        <w:t>3.</w:t>
      </w:r>
    </w:p>
    <w:p w14:paraId="0422E7DF" w14:textId="77777777" w:rsidR="006944F8" w:rsidRPr="00A94875" w:rsidRDefault="006944F8" w:rsidP="006944F8">
      <w:pPr>
        <w:rPr>
          <w:rFonts w:asciiTheme="majorBidi" w:hAnsiTheme="majorBidi" w:cstheme="majorBidi"/>
          <w:b/>
          <w:bCs/>
          <w:lang w:val="en-GB"/>
        </w:rPr>
      </w:pPr>
      <w:r w:rsidRPr="00A94875">
        <w:rPr>
          <w:rFonts w:asciiTheme="majorBidi" w:hAnsiTheme="majorBidi" w:cstheme="majorBidi"/>
          <w:b/>
          <w:bCs/>
          <w:lang w:val="en-GB"/>
        </w:rPr>
        <w:t>ITU-T Z.161.6 (revised) “Testing and Test Control Notation version 3: TTCN-3 language extensions: Advanced matching”</w:t>
      </w:r>
      <w:r w:rsidRPr="00A94875">
        <w:rPr>
          <w:rFonts w:asciiTheme="majorBidi" w:hAnsiTheme="majorBidi" w:cstheme="majorBidi"/>
          <w:lang w:val="en-GB"/>
        </w:rPr>
        <w:t xml:space="preserve"> </w:t>
      </w:r>
      <w:r w:rsidRPr="00A94875">
        <w:rPr>
          <w:rFonts w:asciiTheme="majorBidi" w:hAnsiTheme="majorBidi" w:cstheme="majorBidi"/>
          <w:bCs/>
          <w:lang w:val="en-GB"/>
        </w:rPr>
        <w:t>(under approval)</w:t>
      </w:r>
      <w:r w:rsidRPr="00A94875">
        <w:rPr>
          <w:rFonts w:asciiTheme="majorBidi" w:hAnsiTheme="majorBidi" w:cstheme="majorBidi"/>
          <w:b/>
          <w:bCs/>
          <w:lang w:val="en-GB"/>
        </w:rPr>
        <w:t xml:space="preserve"> </w:t>
      </w:r>
      <w:r w:rsidRPr="00A94875">
        <w:rPr>
          <w:lang w:val="en-GB"/>
        </w:rPr>
        <w:t xml:space="preserve">defines the support of advance matching of TTCN-3. TTCN-3 </w:t>
      </w:r>
      <w:proofErr w:type="gramStart"/>
      <w:r w:rsidRPr="00A94875">
        <w:rPr>
          <w:lang w:val="en-GB"/>
        </w:rPr>
        <w:t>can be used</w:t>
      </w:r>
      <w:proofErr w:type="gramEnd"/>
      <w:r w:rsidRPr="00A94875">
        <w:rPr>
          <w:lang w:val="en-GB"/>
        </w:rPr>
        <w:t xml:space="preserve"> for the specification of all types of reactive system tests over a variety of communication ports. Typical areas of application are protocol testing (including mobile and Internet protocols), service testing (including supplementary services), module testing, testing of OMG CORBA based platforms, APIs, etc. TTCN-3 is not restricted to conformance testing and </w:t>
      </w:r>
      <w:proofErr w:type="gramStart"/>
      <w:r w:rsidRPr="00A94875">
        <w:rPr>
          <w:lang w:val="en-GB"/>
        </w:rPr>
        <w:t>can be used</w:t>
      </w:r>
      <w:proofErr w:type="gramEnd"/>
      <w:r w:rsidRPr="00A94875">
        <w:rPr>
          <w:lang w:val="en-GB"/>
        </w:rPr>
        <w:t xml:space="preserve"> for many other kinds of testing including interoperability, robustness, regression, system and integration testing. The specification of test suites for physical layer protocols is outside the scope of the present document. TTCN-3 packages are intended to define additional TTCN-3 </w:t>
      </w:r>
      <w:r w:rsidRPr="00A94875">
        <w:rPr>
          <w:lang w:val="en-GB"/>
        </w:rPr>
        <w:lastRenderedPageBreak/>
        <w:t xml:space="preserve">concepts, which are not mandatory as concepts in the TTCN-3 core language, but which are optional as part of a </w:t>
      </w:r>
      <w:proofErr w:type="gramStart"/>
      <w:r w:rsidRPr="00A94875">
        <w:rPr>
          <w:lang w:val="en-GB"/>
        </w:rPr>
        <w:t>package which is suited for</w:t>
      </w:r>
      <w:proofErr w:type="gramEnd"/>
      <w:r w:rsidRPr="00A94875">
        <w:rPr>
          <w:lang w:val="en-GB"/>
        </w:rPr>
        <w:t xml:space="preserve"> dedicated applications and/or usages of TTCN-3. While the design of TTCN-3 package has taken into </w:t>
      </w:r>
      <w:proofErr w:type="gramStart"/>
      <w:r w:rsidRPr="00A94875">
        <w:rPr>
          <w:lang w:val="en-GB"/>
        </w:rPr>
        <w:t>account</w:t>
      </w:r>
      <w:proofErr w:type="gramEnd"/>
      <w:r w:rsidRPr="00A94875">
        <w:rPr>
          <w:lang w:val="en-GB"/>
        </w:rPr>
        <w:t xml:space="preserve"> the consistency of a combined usage of the core language with a number of packages, the concrete usages of and guidelines for this package in combination with other packages is outside the scope of the present document.</w:t>
      </w:r>
    </w:p>
    <w:p w14:paraId="4A260D89"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bCs/>
          <w:lang w:val="en-GB"/>
        </w:rPr>
        <w:t>ITU-T Z.166 (revised) “Testing and Test Control Notation version 3: TTCN-3 control interface (TCI)”</w:t>
      </w:r>
      <w:r w:rsidRPr="00A94875">
        <w:rPr>
          <w:rFonts w:asciiTheme="majorBidi" w:hAnsiTheme="majorBidi" w:cstheme="majorBidi"/>
          <w:lang w:val="en-GB"/>
        </w:rPr>
        <w:t xml:space="preserve"> </w:t>
      </w:r>
      <w:r w:rsidRPr="00A94875">
        <w:rPr>
          <w:rFonts w:asciiTheme="majorBidi" w:hAnsiTheme="majorBidi" w:cstheme="majorBidi"/>
          <w:bCs/>
          <w:lang w:val="en-GB"/>
        </w:rPr>
        <w:t>(under approval)</w:t>
      </w:r>
      <w:r w:rsidRPr="00A94875">
        <w:rPr>
          <w:rFonts w:asciiTheme="majorBidi" w:hAnsiTheme="majorBidi" w:cstheme="majorBidi"/>
          <w:b/>
          <w:bCs/>
          <w:lang w:val="en-GB"/>
        </w:rPr>
        <w:t xml:space="preserve"> </w:t>
      </w:r>
      <w:r w:rsidRPr="00A94875">
        <w:rPr>
          <w:rFonts w:asciiTheme="majorBidi" w:hAnsiTheme="majorBidi" w:cstheme="majorBidi"/>
          <w:lang w:val="en-GB"/>
        </w:rPr>
        <w:t>specifies the control interfaces for TTCN-3 test system implementations, and provides a standardized adaptation for management, test component handling and encoding/decoding of a test system to a particular test platform.</w:t>
      </w:r>
    </w:p>
    <w:p w14:paraId="30E20B1A" w14:textId="77777777" w:rsidR="006944F8" w:rsidRPr="00A94875" w:rsidRDefault="006944F8" w:rsidP="006944F8">
      <w:pPr>
        <w:rPr>
          <w:lang w:val="en-GB"/>
        </w:rPr>
      </w:pPr>
      <w:r w:rsidRPr="00A94875">
        <w:rPr>
          <w:rFonts w:asciiTheme="majorBidi" w:hAnsiTheme="majorBidi" w:cstheme="majorBidi"/>
          <w:b/>
          <w:bCs/>
          <w:lang w:val="en-GB"/>
        </w:rPr>
        <w:t>ITU-T Z.167 (revised) “Testing and Test Control Notation version 3: Using ASN.1 with TTCN-3”</w:t>
      </w:r>
      <w:r w:rsidRPr="00A94875">
        <w:rPr>
          <w:rFonts w:asciiTheme="majorBidi" w:hAnsiTheme="majorBidi" w:cstheme="majorBidi"/>
          <w:lang w:val="en-GB"/>
        </w:rPr>
        <w:t xml:space="preserve"> </w:t>
      </w:r>
      <w:r w:rsidRPr="00A94875">
        <w:rPr>
          <w:rFonts w:asciiTheme="majorBidi" w:hAnsiTheme="majorBidi" w:cstheme="majorBidi"/>
          <w:bCs/>
          <w:lang w:val="en-GB"/>
        </w:rPr>
        <w:t>(under approval)</w:t>
      </w:r>
      <w:r w:rsidRPr="00A94875">
        <w:rPr>
          <w:rFonts w:asciiTheme="majorBidi" w:hAnsiTheme="majorBidi" w:cstheme="majorBidi"/>
          <w:b/>
          <w:bCs/>
          <w:lang w:val="en-GB"/>
        </w:rPr>
        <w:t xml:space="preserve"> </w:t>
      </w:r>
      <w:r w:rsidRPr="00A94875">
        <w:rPr>
          <w:lang w:val="en-GB"/>
        </w:rPr>
        <w:t>defines a normative way of using ASN.1 as defined in Recommendations ITU-T X.680, ITU-T X.681, ITU-T X.682 and ITU-T X.683 with TTCN-3.</w:t>
      </w:r>
    </w:p>
    <w:p w14:paraId="6AD09F1D" w14:textId="77777777" w:rsidR="006944F8" w:rsidRPr="00A94875" w:rsidRDefault="006944F8" w:rsidP="006944F8">
      <w:pPr>
        <w:rPr>
          <w:rFonts w:asciiTheme="majorBidi" w:hAnsiTheme="majorBidi" w:cstheme="majorBidi"/>
          <w:lang w:val="en-GB"/>
        </w:rPr>
      </w:pPr>
      <w:r w:rsidRPr="00A94875">
        <w:rPr>
          <w:rFonts w:asciiTheme="majorBidi" w:hAnsiTheme="majorBidi" w:cstheme="majorBidi"/>
          <w:b/>
          <w:bCs/>
          <w:lang w:val="en-GB"/>
        </w:rPr>
        <w:t>ITU-T Z.169 (revised) “Testing and Test Control Notation version 3: Using XML schema with TTCN-3”</w:t>
      </w:r>
      <w:r w:rsidRPr="00A94875">
        <w:rPr>
          <w:rFonts w:asciiTheme="majorBidi" w:hAnsiTheme="majorBidi" w:cstheme="majorBidi"/>
          <w:lang w:val="en-GB"/>
        </w:rPr>
        <w:t xml:space="preserve"> </w:t>
      </w:r>
      <w:r w:rsidRPr="00A94875">
        <w:rPr>
          <w:rFonts w:asciiTheme="majorBidi" w:hAnsiTheme="majorBidi" w:cstheme="majorBidi"/>
          <w:bCs/>
          <w:lang w:val="en-GB"/>
        </w:rPr>
        <w:t>(under approval)</w:t>
      </w:r>
      <w:r w:rsidRPr="00A94875">
        <w:rPr>
          <w:rFonts w:asciiTheme="majorBidi" w:hAnsiTheme="majorBidi" w:cstheme="majorBidi"/>
          <w:b/>
          <w:bCs/>
          <w:lang w:val="en-GB"/>
        </w:rPr>
        <w:t xml:space="preserve"> </w:t>
      </w:r>
      <w:r w:rsidRPr="00A94875">
        <w:rPr>
          <w:rFonts w:asciiTheme="majorBidi" w:hAnsiTheme="majorBidi" w:cstheme="majorBidi"/>
          <w:lang w:val="en-GB"/>
        </w:rPr>
        <w:t>defines the mapping rules for W3C Schema to TTCN-3 to enable testing of XML-based systems, interfaces and protocols.</w:t>
      </w:r>
    </w:p>
    <w:p w14:paraId="6074FDFD" w14:textId="77777777" w:rsidR="006944F8" w:rsidRPr="00A94875" w:rsidRDefault="006944F8" w:rsidP="006944F8">
      <w:pPr>
        <w:rPr>
          <w:rFonts w:asciiTheme="majorBidi" w:hAnsiTheme="majorBidi" w:cstheme="majorBidi"/>
          <w:b/>
          <w:bCs/>
          <w:lang w:val="en-GB"/>
        </w:rPr>
      </w:pPr>
      <w:r w:rsidRPr="00A94875">
        <w:rPr>
          <w:rFonts w:asciiTheme="majorBidi" w:hAnsiTheme="majorBidi" w:cstheme="majorBidi"/>
          <w:b/>
          <w:bCs/>
          <w:lang w:val="en-GB"/>
        </w:rPr>
        <w:t>ITU-T Z.171 (revised) “Testing and Test Control Notation version 3: Using JSON with TTCN-3”</w:t>
      </w:r>
      <w:r w:rsidRPr="00A94875">
        <w:rPr>
          <w:rFonts w:asciiTheme="majorBidi" w:hAnsiTheme="majorBidi" w:cstheme="majorBidi"/>
          <w:lang w:val="en-GB"/>
        </w:rPr>
        <w:t xml:space="preserve"> </w:t>
      </w:r>
      <w:r w:rsidRPr="00A94875">
        <w:rPr>
          <w:rFonts w:asciiTheme="majorBidi" w:hAnsiTheme="majorBidi" w:cstheme="majorBidi"/>
          <w:bCs/>
          <w:lang w:val="en-GB"/>
        </w:rPr>
        <w:t>(under approval)</w:t>
      </w:r>
      <w:r w:rsidRPr="00A94875">
        <w:rPr>
          <w:rFonts w:asciiTheme="majorBidi" w:hAnsiTheme="majorBidi" w:cstheme="majorBidi"/>
          <w:b/>
          <w:bCs/>
          <w:lang w:val="en-GB"/>
        </w:rPr>
        <w:t xml:space="preserve"> </w:t>
      </w:r>
      <w:r w:rsidRPr="00A94875">
        <w:rPr>
          <w:lang w:val="en-GB"/>
        </w:rPr>
        <w:t>specifies the rules to define schemas for JSON data structures in TTCN 3, to enable testing of JSON-based systems, interfaces and protocols, and the conversion rules between TTCN-3 and JSON to enable exchanging TTCN 3 data in JSON format between different systems.</w:t>
      </w:r>
    </w:p>
    <w:bookmarkEnd w:id="210"/>
    <w:p w14:paraId="16AB967C" w14:textId="036E765B" w:rsidR="00373D43" w:rsidRPr="00A94875" w:rsidRDefault="006944F8" w:rsidP="006944F8">
      <w:pPr>
        <w:jc w:val="center"/>
        <w:rPr>
          <w:rFonts w:asciiTheme="majorBidi" w:hAnsiTheme="majorBidi" w:cstheme="majorBidi"/>
          <w:lang w:val="en-GB"/>
        </w:rPr>
      </w:pPr>
      <w:r w:rsidRPr="00A94875">
        <w:rPr>
          <w:rFonts w:asciiTheme="majorBidi" w:hAnsiTheme="majorBidi" w:cstheme="majorBidi"/>
          <w:lang w:val="en-GB"/>
        </w:rPr>
        <w:t>________________</w:t>
      </w:r>
    </w:p>
    <w:sectPr w:rsidR="00373D43" w:rsidRPr="00A94875" w:rsidSect="0004500A">
      <w:headerReference w:type="default" r:id="rId160"/>
      <w:pgSz w:w="11907" w:h="16840" w:code="9"/>
      <w:pgMar w:top="1134" w:right="1134" w:bottom="1134" w:left="1134" w:header="567" w:footer="567"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55F9A" w14:textId="77777777" w:rsidR="00D30378" w:rsidRDefault="00D30378">
      <w:r>
        <w:separator/>
      </w:r>
    </w:p>
  </w:endnote>
  <w:endnote w:type="continuationSeparator" w:id="0">
    <w:p w14:paraId="5CC1A3DA" w14:textId="77777777" w:rsidR="00D30378" w:rsidRDefault="00D30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Simplified Arabic">
    <w:panose1 w:val="02020603050405020304"/>
    <w:charset w:val="00"/>
    <w:family w:val="roman"/>
    <w:pitch w:val="variable"/>
    <w:sig w:usb0="00002003" w:usb1="00000000" w:usb2="00000000" w:usb3="00000000" w:csb0="00000041"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PMincho">
    <w:panose1 w:val="02020600040205080304"/>
    <w:charset w:val="80"/>
    <w:family w:val="roman"/>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Bitter">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0F7EA" w14:textId="77777777" w:rsidR="00D30378" w:rsidRDefault="00D30378">
      <w:r>
        <w:separator/>
      </w:r>
    </w:p>
  </w:footnote>
  <w:footnote w:type="continuationSeparator" w:id="0">
    <w:p w14:paraId="6CB9F27F" w14:textId="77777777" w:rsidR="00D30378" w:rsidRDefault="00D30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B96C3" w14:textId="01649BBC" w:rsidR="00950992" w:rsidRDefault="00950992">
    <w:pPr>
      <w:pStyle w:val="Header"/>
    </w:pPr>
    <w:r>
      <w:fldChar w:fldCharType="begin"/>
    </w:r>
    <w:r>
      <w:instrText xml:space="preserve"> PAGE  \* MERGEFORMAT </w:instrText>
    </w:r>
    <w:r>
      <w:fldChar w:fldCharType="separate"/>
    </w:r>
    <w:r w:rsidR="00770A8C">
      <w:rPr>
        <w:noProof/>
      </w:rPr>
      <w:t>- 2 -</w:t>
    </w:r>
    <w:r>
      <w:fldChar w:fldCharType="end"/>
    </w:r>
  </w:p>
  <w:p w14:paraId="16AB96C4" w14:textId="0091F339" w:rsidR="00950992" w:rsidRDefault="00950992" w:rsidP="0004500A">
    <w:pPr>
      <w:pStyle w:val="Header"/>
    </w:pPr>
    <w:r>
      <w:t>T</w:t>
    </w:r>
    <w:r w:rsidR="0004500A">
      <w:t>SAG-TD</w:t>
    </w:r>
    <w:r>
      <w:t>291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3D0074DA"/>
    <w:lvl w:ilvl="0">
      <w:start w:val="1"/>
      <w:numFmt w:val="lowerLetter"/>
      <w:pStyle w:val="HeaderLevel2"/>
      <w:lvlText w:val="%1)"/>
      <w:lvlJc w:val="left"/>
      <w:pPr>
        <w:tabs>
          <w:tab w:val="num" w:pos="926"/>
        </w:tabs>
        <w:ind w:left="926" w:hanging="360"/>
      </w:pPr>
      <w:rPr>
        <w:rFonts w:cs="Times New Roman" w:hint="default"/>
      </w:rPr>
    </w:lvl>
  </w:abstractNum>
  <w:abstractNum w:abstractNumId="1" w15:restartNumberingAfterBreak="0">
    <w:nsid w:val="FFFFFF7F"/>
    <w:multiLevelType w:val="singleLevel"/>
    <w:tmpl w:val="71846262"/>
    <w:lvl w:ilvl="0">
      <w:start w:val="1"/>
      <w:numFmt w:val="decimal"/>
      <w:pStyle w:val="BodyText3"/>
      <w:lvlText w:val="%1."/>
      <w:lvlJc w:val="left"/>
      <w:pPr>
        <w:tabs>
          <w:tab w:val="num" w:pos="643"/>
        </w:tabs>
        <w:ind w:left="643" w:hanging="360"/>
      </w:pPr>
      <w:rPr>
        <w:rFonts w:cs="Times New Roman" w:hint="default"/>
      </w:rPr>
    </w:lvl>
  </w:abstractNum>
  <w:abstractNum w:abstractNumId="2" w15:restartNumberingAfterBreak="0">
    <w:nsid w:val="FFFFFF81"/>
    <w:multiLevelType w:val="singleLevel"/>
    <w:tmpl w:val="7C123098"/>
    <w:lvl w:ilvl="0">
      <w:start w:val="1"/>
      <w:numFmt w:val="bullet"/>
      <w:pStyle w:val="TABLE"/>
      <w:lvlText w:val=""/>
      <w:lvlJc w:val="left"/>
      <w:pPr>
        <w:tabs>
          <w:tab w:val="num" w:pos="1209"/>
        </w:tabs>
        <w:ind w:left="1209" w:hanging="360"/>
      </w:pPr>
      <w:rPr>
        <w:rFonts w:ascii="Symbol" w:hAnsi="Symbol" w:hint="default"/>
      </w:rPr>
    </w:lvl>
  </w:abstractNum>
  <w:abstractNum w:abstractNumId="3" w15:restartNumberingAfterBreak="0">
    <w:nsid w:val="FFFFFF88"/>
    <w:multiLevelType w:val="singleLevel"/>
    <w:tmpl w:val="6E727234"/>
    <w:lvl w:ilvl="0">
      <w:start w:val="1"/>
      <w:numFmt w:val="decimal"/>
      <w:pStyle w:val="CharCharCharCharCharChar"/>
      <w:lvlText w:val="%1."/>
      <w:lvlJc w:val="left"/>
      <w:pPr>
        <w:tabs>
          <w:tab w:val="num" w:pos="360"/>
        </w:tabs>
        <w:ind w:left="360" w:hanging="360"/>
      </w:pPr>
      <w:rPr>
        <w:rFonts w:cs="Times New Roman"/>
      </w:rPr>
    </w:lvl>
  </w:abstractNum>
  <w:abstractNum w:abstractNumId="4" w15:restartNumberingAfterBreak="0">
    <w:nsid w:val="FFFFFF89"/>
    <w:multiLevelType w:val="singleLevel"/>
    <w:tmpl w:val="906A9A38"/>
    <w:lvl w:ilvl="0">
      <w:start w:val="1"/>
      <w:numFmt w:val="bullet"/>
      <w:pStyle w:val="Annexref"/>
      <w:lvlText w:val=""/>
      <w:lvlJc w:val="left"/>
      <w:pPr>
        <w:tabs>
          <w:tab w:val="num" w:pos="360"/>
        </w:tabs>
        <w:ind w:left="360" w:hanging="360"/>
      </w:pPr>
      <w:rPr>
        <w:rFonts w:ascii="Symbol" w:hAnsi="Symbol" w:hint="default"/>
      </w:rPr>
    </w:lvl>
  </w:abstractNum>
  <w:abstractNum w:abstractNumId="5" w15:restartNumberingAfterBreak="0">
    <w:nsid w:val="00461D5A"/>
    <w:multiLevelType w:val="hybridMultilevel"/>
    <w:tmpl w:val="22A0BD10"/>
    <w:lvl w:ilvl="0" w:tplc="1BE46174">
      <w:start w:val="9"/>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F411B7"/>
    <w:multiLevelType w:val="hybridMultilevel"/>
    <w:tmpl w:val="17603D6C"/>
    <w:lvl w:ilvl="0" w:tplc="E6C84972">
      <w:start w:val="1"/>
      <w:numFmt w:val="decimal"/>
      <w:pStyle w:val="Numerowanie"/>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48649C3"/>
    <w:multiLevelType w:val="hybridMultilevel"/>
    <w:tmpl w:val="0AF25112"/>
    <w:lvl w:ilvl="0" w:tplc="D4ECF3F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EA3292"/>
    <w:multiLevelType w:val="hybridMultilevel"/>
    <w:tmpl w:val="7CB220FC"/>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5665186"/>
    <w:multiLevelType w:val="hybridMultilevel"/>
    <w:tmpl w:val="B0BA441E"/>
    <w:lvl w:ilvl="0" w:tplc="6F5EEE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2851E3"/>
    <w:multiLevelType w:val="hybridMultilevel"/>
    <w:tmpl w:val="4ACCF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E784112"/>
    <w:multiLevelType w:val="hybridMultilevel"/>
    <w:tmpl w:val="7056F8B0"/>
    <w:lvl w:ilvl="0" w:tplc="849A6C4E">
      <w:start w:val="9"/>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068078A"/>
    <w:multiLevelType w:val="hybridMultilevel"/>
    <w:tmpl w:val="E3CCA812"/>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94013"/>
    <w:multiLevelType w:val="hybridMultilevel"/>
    <w:tmpl w:val="C73E3414"/>
    <w:lvl w:ilvl="0" w:tplc="BBF6815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BBF6815E">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6021B2"/>
    <w:multiLevelType w:val="hybridMultilevel"/>
    <w:tmpl w:val="DF5691D6"/>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744B4F"/>
    <w:multiLevelType w:val="hybridMultilevel"/>
    <w:tmpl w:val="B9DE25DA"/>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BD859DF"/>
    <w:multiLevelType w:val="multilevel"/>
    <w:tmpl w:val="605C2B8A"/>
    <w:lvl w:ilvl="0">
      <w:start w:val="1"/>
      <w:numFmt w:val="decimal"/>
      <w:pStyle w:val="heading0"/>
      <w:lvlText w:val="Table %1 - "/>
      <w:lvlJc w:val="left"/>
      <w:pPr>
        <w:tabs>
          <w:tab w:val="num" w:pos="1539"/>
        </w:tabs>
        <w:ind w:left="891" w:hanging="432"/>
      </w:pPr>
      <w:rPr>
        <w:rFonts w:ascii="Times New Roman" w:hAnsi="Times New Roman" w:cs="Times New Roman" w:hint="default"/>
        <w:b/>
        <w:i w:val="0"/>
        <w:sz w:val="24"/>
      </w:rPr>
    </w:lvl>
    <w:lvl w:ilvl="1">
      <w:start w:val="1"/>
      <w:numFmt w:val="decimal"/>
      <w:lvlText w:val="%1.%2"/>
      <w:lvlJc w:val="left"/>
      <w:pPr>
        <w:tabs>
          <w:tab w:val="num" w:pos="1035"/>
        </w:tabs>
        <w:ind w:left="1035" w:hanging="576"/>
      </w:pPr>
      <w:rPr>
        <w:rFonts w:ascii="Times New Roman" w:hAnsi="Times New Roman" w:cs="Times New Roman" w:hint="default"/>
        <w:b/>
        <w:i w:val="0"/>
        <w:sz w:val="22"/>
      </w:rPr>
    </w:lvl>
    <w:lvl w:ilvl="2">
      <w:start w:val="1"/>
      <w:numFmt w:val="decimal"/>
      <w:lvlText w:val="%1.%2.%3"/>
      <w:lvlJc w:val="left"/>
      <w:pPr>
        <w:tabs>
          <w:tab w:val="num" w:pos="1179"/>
        </w:tabs>
        <w:ind w:left="1179" w:hanging="720"/>
      </w:pPr>
      <w:rPr>
        <w:rFonts w:cs="Times New Roman" w:hint="default"/>
      </w:rPr>
    </w:lvl>
    <w:lvl w:ilvl="3">
      <w:start w:val="1"/>
      <w:numFmt w:val="decimal"/>
      <w:lvlText w:val="%1.%2.%3.%4"/>
      <w:lvlJc w:val="left"/>
      <w:pPr>
        <w:tabs>
          <w:tab w:val="num" w:pos="1323"/>
        </w:tabs>
        <w:ind w:left="1323" w:hanging="864"/>
      </w:pPr>
      <w:rPr>
        <w:rFonts w:cs="Times New Roman" w:hint="default"/>
      </w:rPr>
    </w:lvl>
    <w:lvl w:ilvl="4">
      <w:start w:val="1"/>
      <w:numFmt w:val="decimal"/>
      <w:lvlText w:val="%1.%2.%3.%4.%5"/>
      <w:lvlJc w:val="left"/>
      <w:pPr>
        <w:tabs>
          <w:tab w:val="num" w:pos="1467"/>
        </w:tabs>
        <w:ind w:left="1467" w:hanging="1008"/>
      </w:pPr>
      <w:rPr>
        <w:rFonts w:cs="Times New Roman" w:hint="default"/>
      </w:rPr>
    </w:lvl>
    <w:lvl w:ilvl="5">
      <w:start w:val="1"/>
      <w:numFmt w:val="decimal"/>
      <w:lvlText w:val="%1.%2.%3.%4.%5.%6"/>
      <w:lvlJc w:val="left"/>
      <w:pPr>
        <w:tabs>
          <w:tab w:val="num" w:pos="1611"/>
        </w:tabs>
        <w:ind w:left="1611" w:hanging="1152"/>
      </w:pPr>
      <w:rPr>
        <w:rFonts w:cs="Times New Roman" w:hint="default"/>
      </w:rPr>
    </w:lvl>
    <w:lvl w:ilvl="6">
      <w:start w:val="1"/>
      <w:numFmt w:val="decimal"/>
      <w:lvlText w:val="%1.%2.%3.%4.%5.%6.%7"/>
      <w:lvlJc w:val="left"/>
      <w:pPr>
        <w:tabs>
          <w:tab w:val="num" w:pos="1755"/>
        </w:tabs>
        <w:ind w:left="1755" w:hanging="1296"/>
      </w:pPr>
      <w:rPr>
        <w:rFonts w:cs="Times New Roman" w:hint="default"/>
      </w:rPr>
    </w:lvl>
    <w:lvl w:ilvl="7">
      <w:start w:val="1"/>
      <w:numFmt w:val="decimal"/>
      <w:lvlText w:val="%1.%2.%3.%4.%5.%6.%7.%8"/>
      <w:lvlJc w:val="left"/>
      <w:pPr>
        <w:tabs>
          <w:tab w:val="num" w:pos="1899"/>
        </w:tabs>
        <w:ind w:left="1899" w:hanging="1440"/>
      </w:pPr>
      <w:rPr>
        <w:rFonts w:cs="Times New Roman" w:hint="default"/>
      </w:rPr>
    </w:lvl>
    <w:lvl w:ilvl="8">
      <w:start w:val="1"/>
      <w:numFmt w:val="decimal"/>
      <w:lvlText w:val="%1.%2.%3.%4.%5.%6.%7.%8.%9"/>
      <w:lvlJc w:val="left"/>
      <w:pPr>
        <w:tabs>
          <w:tab w:val="num" w:pos="2043"/>
        </w:tabs>
        <w:ind w:left="2043" w:hanging="1584"/>
      </w:pPr>
      <w:rPr>
        <w:rFonts w:cs="Times New Roman" w:hint="default"/>
      </w:rPr>
    </w:lvl>
  </w:abstractNum>
  <w:abstractNum w:abstractNumId="17" w15:restartNumberingAfterBreak="0">
    <w:nsid w:val="214E77DC"/>
    <w:multiLevelType w:val="hybridMultilevel"/>
    <w:tmpl w:val="139C8944"/>
    <w:lvl w:ilvl="0" w:tplc="D4ECF3F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D95235"/>
    <w:multiLevelType w:val="hybridMultilevel"/>
    <w:tmpl w:val="0FCE8FF8"/>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0E3561"/>
    <w:multiLevelType w:val="hybridMultilevel"/>
    <w:tmpl w:val="916202DE"/>
    <w:lvl w:ilvl="0" w:tplc="261676D0">
      <w:start w:val="1"/>
      <w:numFmt w:val="decimal"/>
      <w:pStyle w:val="normalWSIS"/>
      <w:lvlText w:val="%1."/>
      <w:lvlJc w:val="left"/>
      <w:pPr>
        <w:ind w:left="360" w:hanging="360"/>
      </w:pPr>
      <w:rPr>
        <w:rFonts w:asciiTheme="majorBidi" w:hAnsiTheme="majorBidi" w:cstheme="majorBidi" w:hint="default"/>
        <w:b w:val="0"/>
        <w:bCs w:val="0"/>
        <w:i w:val="0"/>
        <w:iCs w:val="0"/>
        <w:color w:val="auto"/>
        <w:sz w:val="22"/>
        <w:szCs w:val="22"/>
        <w:lang w:val="en-US"/>
      </w:rPr>
    </w:lvl>
    <w:lvl w:ilvl="1" w:tplc="04090019">
      <w:start w:val="1"/>
      <w:numFmt w:val="lowerLetter"/>
      <w:lvlText w:val="%2."/>
      <w:lvlJc w:val="left"/>
      <w:pPr>
        <w:ind w:left="-2247" w:hanging="360"/>
      </w:pPr>
    </w:lvl>
    <w:lvl w:ilvl="2" w:tplc="0409001B">
      <w:start w:val="1"/>
      <w:numFmt w:val="lowerRoman"/>
      <w:lvlText w:val="%3."/>
      <w:lvlJc w:val="right"/>
      <w:pPr>
        <w:ind w:left="-1527" w:hanging="180"/>
      </w:pPr>
    </w:lvl>
    <w:lvl w:ilvl="3" w:tplc="0409000F">
      <w:start w:val="1"/>
      <w:numFmt w:val="decimal"/>
      <w:lvlText w:val="%4."/>
      <w:lvlJc w:val="left"/>
      <w:pPr>
        <w:ind w:left="-807" w:hanging="360"/>
      </w:pPr>
    </w:lvl>
    <w:lvl w:ilvl="4" w:tplc="04090019">
      <w:start w:val="1"/>
      <w:numFmt w:val="lowerLetter"/>
      <w:lvlText w:val="%5."/>
      <w:lvlJc w:val="left"/>
      <w:pPr>
        <w:ind w:left="-87" w:hanging="360"/>
      </w:pPr>
    </w:lvl>
    <w:lvl w:ilvl="5" w:tplc="CF6AB378">
      <w:start w:val="10"/>
      <w:numFmt w:val="bullet"/>
      <w:lvlText w:val="–"/>
      <w:lvlJc w:val="left"/>
      <w:pPr>
        <w:ind w:left="888" w:hanging="435"/>
      </w:pPr>
      <w:rPr>
        <w:rFonts w:ascii="Times New Roman" w:eastAsia="Batang" w:hAnsi="Times New Roman" w:cs="Times New Roman" w:hint="default"/>
        <w:color w:val="92D050"/>
      </w:rPr>
    </w:lvl>
    <w:lvl w:ilvl="6" w:tplc="0409000F">
      <w:start w:val="1"/>
      <w:numFmt w:val="decimal"/>
      <w:lvlText w:val="%7."/>
      <w:lvlJc w:val="left"/>
      <w:pPr>
        <w:ind w:left="1353" w:hanging="360"/>
      </w:pPr>
    </w:lvl>
    <w:lvl w:ilvl="7" w:tplc="04090019" w:tentative="1">
      <w:start w:val="1"/>
      <w:numFmt w:val="lowerLetter"/>
      <w:lvlText w:val="%8."/>
      <w:lvlJc w:val="left"/>
      <w:pPr>
        <w:ind w:left="2073" w:hanging="360"/>
      </w:pPr>
    </w:lvl>
    <w:lvl w:ilvl="8" w:tplc="0409001B" w:tentative="1">
      <w:start w:val="1"/>
      <w:numFmt w:val="lowerRoman"/>
      <w:lvlText w:val="%9."/>
      <w:lvlJc w:val="right"/>
      <w:pPr>
        <w:ind w:left="2793" w:hanging="180"/>
      </w:pPr>
    </w:lvl>
  </w:abstractNum>
  <w:abstractNum w:abstractNumId="20" w15:restartNumberingAfterBreak="0">
    <w:nsid w:val="32477ABC"/>
    <w:multiLevelType w:val="hybridMultilevel"/>
    <w:tmpl w:val="B568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5F2813"/>
    <w:multiLevelType w:val="hybridMultilevel"/>
    <w:tmpl w:val="13DC29D4"/>
    <w:lvl w:ilvl="0" w:tplc="D4ECF3F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10725A"/>
    <w:multiLevelType w:val="hybridMultilevel"/>
    <w:tmpl w:val="90B4EB60"/>
    <w:lvl w:ilvl="0" w:tplc="C1EAA0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844FC1"/>
    <w:multiLevelType w:val="hybridMultilevel"/>
    <w:tmpl w:val="02C6B5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9360740"/>
    <w:multiLevelType w:val="hybridMultilevel"/>
    <w:tmpl w:val="69461760"/>
    <w:lvl w:ilvl="0" w:tplc="1716255A">
      <w:start w:val="9"/>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D63486"/>
    <w:multiLevelType w:val="hybridMultilevel"/>
    <w:tmpl w:val="2FDC77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BFC697F"/>
    <w:multiLevelType w:val="hybridMultilevel"/>
    <w:tmpl w:val="0428E7E6"/>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6B65E5"/>
    <w:multiLevelType w:val="hybridMultilevel"/>
    <w:tmpl w:val="2026A0AE"/>
    <w:lvl w:ilvl="0" w:tplc="D6446A48">
      <w:start w:val="1"/>
      <w:numFmt w:val="decimal"/>
      <w:pStyle w:val="SectionHeader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1C0F7C"/>
    <w:multiLevelType w:val="hybridMultilevel"/>
    <w:tmpl w:val="65FC0136"/>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25C784E"/>
    <w:multiLevelType w:val="hybridMultilevel"/>
    <w:tmpl w:val="3B9AF0DE"/>
    <w:lvl w:ilvl="0" w:tplc="D4ECF3F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36C3BDE"/>
    <w:multiLevelType w:val="hybridMultilevel"/>
    <w:tmpl w:val="056C5CAA"/>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0F475F"/>
    <w:multiLevelType w:val="hybridMultilevel"/>
    <w:tmpl w:val="6DD4DD5A"/>
    <w:lvl w:ilvl="0" w:tplc="C1EAA074">
      <w:start w:val="1"/>
      <w:numFmt w:val="bullet"/>
      <w:lvlText w:val=""/>
      <w:lvlJc w:val="left"/>
      <w:pPr>
        <w:ind w:left="720" w:hanging="360"/>
      </w:pPr>
      <w:rPr>
        <w:rFonts w:ascii="Symbol" w:hAnsi="Symbol" w:hint="default"/>
      </w:rPr>
    </w:lvl>
    <w:lvl w:ilvl="1" w:tplc="BE10E978">
      <w:numFmt w:val="bullet"/>
      <w:lvlText w:val="−"/>
      <w:lvlJc w:val="left"/>
      <w:pPr>
        <w:ind w:left="1875" w:hanging="795"/>
      </w:pPr>
      <w:rPr>
        <w:rFonts w:ascii="Times New Roman" w:eastAsia="Times New Roman" w:hAnsi="Times New Roman" w:cs="Times New Roman" w:hint="default"/>
      </w:rPr>
    </w:lvl>
    <w:lvl w:ilvl="2" w:tplc="6060BBBA">
      <w:numFmt w:val="bullet"/>
      <w:lvlText w:val="•"/>
      <w:lvlJc w:val="left"/>
      <w:pPr>
        <w:ind w:left="2595" w:hanging="795"/>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324288"/>
    <w:multiLevelType w:val="singleLevel"/>
    <w:tmpl w:val="D5F81BE2"/>
    <w:lvl w:ilvl="0">
      <w:start w:val="5"/>
      <w:numFmt w:val="bullet"/>
      <w:lvlText w:val="-"/>
      <w:lvlJc w:val="left"/>
      <w:pPr>
        <w:tabs>
          <w:tab w:val="num" w:pos="360"/>
        </w:tabs>
        <w:ind w:left="340" w:hanging="340"/>
      </w:pPr>
      <w:rPr>
        <w:rFonts w:ascii="Times New Roman" w:hAnsi="Times New Roman" w:hint="default"/>
      </w:rPr>
    </w:lvl>
  </w:abstractNum>
  <w:abstractNum w:abstractNumId="33" w15:restartNumberingAfterBreak="0">
    <w:nsid w:val="463D42A8"/>
    <w:multiLevelType w:val="hybridMultilevel"/>
    <w:tmpl w:val="C7688132"/>
    <w:lvl w:ilvl="0" w:tplc="BBF6815E">
      <w:start w:val="1"/>
      <w:numFmt w:val="bullet"/>
      <w:lvlText w:val=""/>
      <w:lvlJc w:val="left"/>
      <w:pPr>
        <w:ind w:left="726" w:hanging="363"/>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34" w15:restartNumberingAfterBreak="0">
    <w:nsid w:val="4D364403"/>
    <w:multiLevelType w:val="hybridMultilevel"/>
    <w:tmpl w:val="D3480B98"/>
    <w:lvl w:ilvl="0" w:tplc="D4ECF3F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856DE0"/>
    <w:multiLevelType w:val="hybridMultilevel"/>
    <w:tmpl w:val="1332ED14"/>
    <w:lvl w:ilvl="0" w:tplc="BBF6815E">
      <w:start w:val="1"/>
      <w:numFmt w:val="bullet"/>
      <w:lvlText w:val=""/>
      <w:lvlJc w:val="left"/>
      <w:pPr>
        <w:ind w:left="1362" w:hanging="795"/>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6" w15:restartNumberingAfterBreak="0">
    <w:nsid w:val="5320299F"/>
    <w:multiLevelType w:val="hybridMultilevel"/>
    <w:tmpl w:val="26BEC38A"/>
    <w:lvl w:ilvl="0" w:tplc="98D47BFE">
      <w:start w:val="9"/>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3549CB"/>
    <w:multiLevelType w:val="hybridMultilevel"/>
    <w:tmpl w:val="5956C296"/>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310C45"/>
    <w:multiLevelType w:val="hybridMultilevel"/>
    <w:tmpl w:val="CF987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658444C"/>
    <w:multiLevelType w:val="hybridMultilevel"/>
    <w:tmpl w:val="BE00B03E"/>
    <w:lvl w:ilvl="0" w:tplc="D4ECF3F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1B3E1C"/>
    <w:multiLevelType w:val="hybridMultilevel"/>
    <w:tmpl w:val="13BC880E"/>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DA6014"/>
    <w:multiLevelType w:val="hybridMultilevel"/>
    <w:tmpl w:val="F1FCE834"/>
    <w:lvl w:ilvl="0" w:tplc="D0F8770E">
      <w:start w:val="5"/>
      <w:numFmt w:val="bullet"/>
      <w:lvlText w:val="•"/>
      <w:lvlJc w:val="left"/>
      <w:pPr>
        <w:ind w:left="1155" w:hanging="795"/>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E761CBE"/>
    <w:multiLevelType w:val="hybridMultilevel"/>
    <w:tmpl w:val="5B0AFE78"/>
    <w:lvl w:ilvl="0" w:tplc="E22E8A1E">
      <w:start w:val="1"/>
      <w:numFmt w:val="bullet"/>
      <w:pStyle w:val="el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5F4A6070"/>
    <w:multiLevelType w:val="hybridMultilevel"/>
    <w:tmpl w:val="C92A0120"/>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4CE01FE"/>
    <w:multiLevelType w:val="hybridMultilevel"/>
    <w:tmpl w:val="1CF2B242"/>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7631489"/>
    <w:multiLevelType w:val="hybridMultilevel"/>
    <w:tmpl w:val="0EE23168"/>
    <w:lvl w:ilvl="0" w:tplc="D4ECF3F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D87269"/>
    <w:multiLevelType w:val="hybridMultilevel"/>
    <w:tmpl w:val="0ADAA88E"/>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DE162A"/>
    <w:multiLevelType w:val="hybridMultilevel"/>
    <w:tmpl w:val="113ED448"/>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03E48B2"/>
    <w:multiLevelType w:val="hybridMultilevel"/>
    <w:tmpl w:val="0FEE8710"/>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8B6680"/>
    <w:multiLevelType w:val="hybridMultilevel"/>
    <w:tmpl w:val="1FB8306C"/>
    <w:lvl w:ilvl="0" w:tplc="8000EAF4">
      <w:start w:val="14"/>
      <w:numFmt w:val="bullet"/>
      <w:lvlText w:val="-"/>
      <w:lvlJc w:val="left"/>
      <w:pPr>
        <w:ind w:left="720" w:hanging="360"/>
      </w:pPr>
      <w:rPr>
        <w:rFonts w:ascii="Times New Roman" w:eastAsiaTheme="minorEastAsia"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3140D37"/>
    <w:multiLevelType w:val="hybridMultilevel"/>
    <w:tmpl w:val="543A9E7E"/>
    <w:lvl w:ilvl="0" w:tplc="BBF681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38C11F9"/>
    <w:multiLevelType w:val="hybridMultilevel"/>
    <w:tmpl w:val="6C044DF4"/>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71825C2"/>
    <w:multiLevelType w:val="hybridMultilevel"/>
    <w:tmpl w:val="83A4B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3864B3"/>
    <w:multiLevelType w:val="hybridMultilevel"/>
    <w:tmpl w:val="CCF8FE4A"/>
    <w:lvl w:ilvl="0" w:tplc="D4ECF3F4">
      <w:start w:val="1"/>
      <w:numFmt w:val="bullet"/>
      <w:lvlText w:val="–"/>
      <w:lvlJc w:val="left"/>
      <w:pPr>
        <w:ind w:left="720" w:hanging="360"/>
      </w:pPr>
      <w:rPr>
        <w:rFonts w:ascii="Arial" w:hAnsi="Arial"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91569E9"/>
    <w:multiLevelType w:val="hybridMultilevel"/>
    <w:tmpl w:val="95B6D754"/>
    <w:lvl w:ilvl="0" w:tplc="D4ECF3F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AAB3DCE"/>
    <w:multiLevelType w:val="hybridMultilevel"/>
    <w:tmpl w:val="A286557E"/>
    <w:lvl w:ilvl="0" w:tplc="0EDED95A">
      <w:start w:val="1"/>
      <w:numFmt w:val="decimal"/>
      <w:pStyle w:val="hstyle0"/>
      <w:lvlText w:val="[%1]"/>
      <w:lvlJc w:val="left"/>
      <w:pPr>
        <w:tabs>
          <w:tab w:val="num" w:pos="624"/>
        </w:tabs>
        <w:ind w:left="624" w:hanging="524"/>
      </w:pPr>
      <w:rPr>
        <w:rFonts w:ascii="Times New Roman" w:hAnsi="Times New Roman" w:cs="Times New Roman" w:hint="default"/>
        <w:b w:val="0"/>
        <w:i w:val="0"/>
        <w:sz w:val="24"/>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56" w15:restartNumberingAfterBreak="0">
    <w:nsid w:val="7AB55486"/>
    <w:multiLevelType w:val="hybridMultilevel"/>
    <w:tmpl w:val="A4BEA98E"/>
    <w:lvl w:ilvl="0" w:tplc="BBF6815E">
      <w:start w:val="1"/>
      <w:numFmt w:val="bullet"/>
      <w:lvlText w:val=""/>
      <w:lvlJc w:val="left"/>
      <w:pPr>
        <w:ind w:left="726" w:hanging="363"/>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57" w15:restartNumberingAfterBreak="0">
    <w:nsid w:val="7BA24570"/>
    <w:multiLevelType w:val="hybridMultilevel"/>
    <w:tmpl w:val="44EEC606"/>
    <w:lvl w:ilvl="0" w:tplc="D4ECF3F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9F36F8"/>
    <w:multiLevelType w:val="hybridMultilevel"/>
    <w:tmpl w:val="1A64E8F4"/>
    <w:lvl w:ilvl="0" w:tplc="D4ECF3F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35700E"/>
    <w:multiLevelType w:val="multilevel"/>
    <w:tmpl w:val="232A4E4C"/>
    <w:lvl w:ilvl="0">
      <w:start w:val="1"/>
      <w:numFmt w:val="decimal"/>
      <w:pStyle w:val="Heading1Q"/>
      <w:lvlText w:val="%1"/>
      <w:lvlJc w:val="left"/>
      <w:pPr>
        <w:tabs>
          <w:tab w:val="num" w:pos="64"/>
        </w:tabs>
        <w:ind w:left="64" w:hanging="432"/>
      </w:pPr>
      <w:rPr>
        <w:rFonts w:ascii="Times New Roman" w:hAnsi="Times New Roman" w:cs="Times New Roman" w:hint="default"/>
        <w:b/>
        <w:i w:val="0"/>
        <w:sz w:val="22"/>
      </w:rPr>
    </w:lvl>
    <w:lvl w:ilvl="1">
      <w:start w:val="1"/>
      <w:numFmt w:val="decimal"/>
      <w:suff w:val="space"/>
      <w:lvlText w:val="%1.%2"/>
      <w:lvlJc w:val="left"/>
      <w:pPr>
        <w:ind w:left="208" w:hanging="576"/>
      </w:pPr>
      <w:rPr>
        <w:rFonts w:ascii="Times New Roman" w:hAnsi="Times New Roman" w:cs="Times New Roman" w:hint="default"/>
        <w:b/>
        <w:i w:val="0"/>
        <w:sz w:val="22"/>
      </w:rPr>
    </w:lvl>
    <w:lvl w:ilvl="2">
      <w:start w:val="1"/>
      <w:numFmt w:val="decimal"/>
      <w:lvlText w:val="%1.%2.%3"/>
      <w:lvlJc w:val="left"/>
      <w:pPr>
        <w:tabs>
          <w:tab w:val="num" w:pos="352"/>
        </w:tabs>
        <w:ind w:left="352" w:hanging="720"/>
      </w:pPr>
      <w:rPr>
        <w:rFonts w:cs="Times New Roman" w:hint="default"/>
      </w:rPr>
    </w:lvl>
    <w:lvl w:ilvl="3">
      <w:start w:val="1"/>
      <w:numFmt w:val="decimal"/>
      <w:lvlText w:val="%1.%2.%3.%4"/>
      <w:lvlJc w:val="left"/>
      <w:pPr>
        <w:tabs>
          <w:tab w:val="num" w:pos="496"/>
        </w:tabs>
        <w:ind w:left="496" w:hanging="864"/>
      </w:pPr>
      <w:rPr>
        <w:rFonts w:cs="Times New Roman" w:hint="default"/>
      </w:rPr>
    </w:lvl>
    <w:lvl w:ilvl="4">
      <w:start w:val="1"/>
      <w:numFmt w:val="decimal"/>
      <w:lvlText w:val="%1.%2.%3.%4.%5"/>
      <w:lvlJc w:val="left"/>
      <w:pPr>
        <w:tabs>
          <w:tab w:val="num" w:pos="640"/>
        </w:tabs>
        <w:ind w:left="640" w:hanging="1008"/>
      </w:pPr>
      <w:rPr>
        <w:rFonts w:cs="Times New Roman" w:hint="default"/>
      </w:rPr>
    </w:lvl>
    <w:lvl w:ilvl="5">
      <w:start w:val="1"/>
      <w:numFmt w:val="decimal"/>
      <w:lvlText w:val="%1.%2.%3.%4.%5.%6"/>
      <w:lvlJc w:val="left"/>
      <w:pPr>
        <w:tabs>
          <w:tab w:val="num" w:pos="784"/>
        </w:tabs>
        <w:ind w:left="784" w:hanging="1152"/>
      </w:pPr>
      <w:rPr>
        <w:rFonts w:cs="Times New Roman" w:hint="default"/>
      </w:rPr>
    </w:lvl>
    <w:lvl w:ilvl="6">
      <w:start w:val="1"/>
      <w:numFmt w:val="decimal"/>
      <w:lvlText w:val="%1.%2.%3.%4.%5.%6.%7"/>
      <w:lvlJc w:val="left"/>
      <w:pPr>
        <w:tabs>
          <w:tab w:val="num" w:pos="928"/>
        </w:tabs>
        <w:ind w:left="928" w:hanging="1296"/>
      </w:pPr>
      <w:rPr>
        <w:rFonts w:cs="Times New Roman" w:hint="default"/>
      </w:rPr>
    </w:lvl>
    <w:lvl w:ilvl="7">
      <w:start w:val="1"/>
      <w:numFmt w:val="decimal"/>
      <w:lvlText w:val="%1.%2.%3.%4.%5.%6.%7.%8"/>
      <w:lvlJc w:val="left"/>
      <w:pPr>
        <w:tabs>
          <w:tab w:val="num" w:pos="1072"/>
        </w:tabs>
        <w:ind w:left="1072" w:hanging="1440"/>
      </w:pPr>
      <w:rPr>
        <w:rFonts w:cs="Times New Roman" w:hint="default"/>
      </w:rPr>
    </w:lvl>
    <w:lvl w:ilvl="8">
      <w:start w:val="1"/>
      <w:numFmt w:val="decimal"/>
      <w:lvlText w:val="%1.%2.%3.%4.%5.%6.%7.%8.%9"/>
      <w:lvlJc w:val="left"/>
      <w:pPr>
        <w:tabs>
          <w:tab w:val="num" w:pos="1216"/>
        </w:tabs>
        <w:ind w:left="1216" w:hanging="1584"/>
      </w:pPr>
      <w:rPr>
        <w:rFonts w:cs="Times New Roman" w:hint="default"/>
      </w:rPr>
    </w:lvl>
  </w:abstractNum>
  <w:num w:numId="1">
    <w:abstractNumId w:val="6"/>
  </w:num>
  <w:num w:numId="2">
    <w:abstractNumId w:val="4"/>
  </w:num>
  <w:num w:numId="3">
    <w:abstractNumId w:val="3"/>
  </w:num>
  <w:num w:numId="4">
    <w:abstractNumId w:val="1"/>
  </w:num>
  <w:num w:numId="5">
    <w:abstractNumId w:val="0"/>
  </w:num>
  <w:num w:numId="6">
    <w:abstractNumId w:val="2"/>
  </w:num>
  <w:num w:numId="7">
    <w:abstractNumId w:val="16"/>
  </w:num>
  <w:num w:numId="8">
    <w:abstractNumId w:val="55"/>
  </w:num>
  <w:num w:numId="9">
    <w:abstractNumId w:val="59"/>
  </w:num>
  <w:num w:numId="10">
    <w:abstractNumId w:val="27"/>
  </w:num>
  <w:num w:numId="11">
    <w:abstractNumId w:val="42"/>
  </w:num>
  <w:num w:numId="12">
    <w:abstractNumId w:val="44"/>
  </w:num>
  <w:num w:numId="13">
    <w:abstractNumId w:val="50"/>
  </w:num>
  <w:num w:numId="14">
    <w:abstractNumId w:val="19"/>
  </w:num>
  <w:num w:numId="15">
    <w:abstractNumId w:val="31"/>
  </w:num>
  <w:num w:numId="16">
    <w:abstractNumId w:val="33"/>
  </w:num>
  <w:num w:numId="17">
    <w:abstractNumId w:val="35"/>
  </w:num>
  <w:num w:numId="18">
    <w:abstractNumId w:val="56"/>
  </w:num>
  <w:num w:numId="19">
    <w:abstractNumId w:val="48"/>
  </w:num>
  <w:num w:numId="20">
    <w:abstractNumId w:val="13"/>
  </w:num>
  <w:num w:numId="21">
    <w:abstractNumId w:val="49"/>
  </w:num>
  <w:num w:numId="22">
    <w:abstractNumId w:val="22"/>
  </w:num>
  <w:num w:numId="23">
    <w:abstractNumId w:val="9"/>
  </w:num>
  <w:num w:numId="24">
    <w:abstractNumId w:val="41"/>
  </w:num>
  <w:num w:numId="25">
    <w:abstractNumId w:val="20"/>
  </w:num>
  <w:num w:numId="26">
    <w:abstractNumId w:val="38"/>
  </w:num>
  <w:num w:numId="27">
    <w:abstractNumId w:val="52"/>
  </w:num>
  <w:num w:numId="28">
    <w:abstractNumId w:val="25"/>
  </w:num>
  <w:num w:numId="29">
    <w:abstractNumId w:val="23"/>
  </w:num>
  <w:num w:numId="30">
    <w:abstractNumId w:val="10"/>
  </w:num>
  <w:num w:numId="31">
    <w:abstractNumId w:val="32"/>
  </w:num>
  <w:num w:numId="32">
    <w:abstractNumId w:val="5"/>
  </w:num>
  <w:num w:numId="33">
    <w:abstractNumId w:val="11"/>
  </w:num>
  <w:num w:numId="34">
    <w:abstractNumId w:val="24"/>
  </w:num>
  <w:num w:numId="35">
    <w:abstractNumId w:val="36"/>
  </w:num>
  <w:num w:numId="36">
    <w:abstractNumId w:val="53"/>
  </w:num>
  <w:num w:numId="37">
    <w:abstractNumId w:val="58"/>
  </w:num>
  <w:num w:numId="38">
    <w:abstractNumId w:val="46"/>
  </w:num>
  <w:num w:numId="39">
    <w:abstractNumId w:val="14"/>
  </w:num>
  <w:num w:numId="40">
    <w:abstractNumId w:val="30"/>
  </w:num>
  <w:num w:numId="41">
    <w:abstractNumId w:val="15"/>
  </w:num>
  <w:num w:numId="42">
    <w:abstractNumId w:val="40"/>
  </w:num>
  <w:num w:numId="43">
    <w:abstractNumId w:val="51"/>
  </w:num>
  <w:num w:numId="44">
    <w:abstractNumId w:val="57"/>
  </w:num>
  <w:num w:numId="45">
    <w:abstractNumId w:val="12"/>
  </w:num>
  <w:num w:numId="46">
    <w:abstractNumId w:val="47"/>
  </w:num>
  <w:num w:numId="47">
    <w:abstractNumId w:val="18"/>
  </w:num>
  <w:num w:numId="48">
    <w:abstractNumId w:val="43"/>
  </w:num>
  <w:num w:numId="49">
    <w:abstractNumId w:val="28"/>
  </w:num>
  <w:num w:numId="50">
    <w:abstractNumId w:val="26"/>
  </w:num>
  <w:num w:numId="51">
    <w:abstractNumId w:val="8"/>
  </w:num>
  <w:num w:numId="52">
    <w:abstractNumId w:val="21"/>
  </w:num>
  <w:num w:numId="53">
    <w:abstractNumId w:val="7"/>
  </w:num>
  <w:num w:numId="54">
    <w:abstractNumId w:val="39"/>
  </w:num>
  <w:num w:numId="55">
    <w:abstractNumId w:val="45"/>
  </w:num>
  <w:num w:numId="56">
    <w:abstractNumId w:val="54"/>
  </w:num>
  <w:num w:numId="57">
    <w:abstractNumId w:val="17"/>
  </w:num>
  <w:num w:numId="58">
    <w:abstractNumId w:val="29"/>
  </w:num>
  <w:num w:numId="59">
    <w:abstractNumId w:val="34"/>
  </w:num>
  <w:num w:numId="60">
    <w:abstractNumId w:val="37"/>
  </w:num>
  <w:num w:numId="61">
    <w:abstractNumId w:val="2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hideSpellingErrors/>
  <w:hideGrammaticalErrors/>
  <w:activeWritingStyle w:appName="MSWord" w:lang="fr-CH"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0"/>
  <w:activeWritingStyle w:appName="MSWord" w:lang="en-CA"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1"/>
  <w:activeWritingStyle w:appName="MSWord" w:lang="es-ES" w:vendorID="64" w:dllVersion="131078" w:nlCheck="1" w:checkStyle="0"/>
  <w:activeWritingStyle w:appName="MSWord" w:lang="en-CA" w:vendorID="64" w:dllVersion="131078" w:nlCheck="1" w:checkStyle="1"/>
  <w:activeWritingStyle w:appName="MSWord" w:lang="fr-CH" w:vendorID="64" w:dllVersion="131078" w:nlCheck="1" w:checkStyle="0"/>
  <w:activeWritingStyle w:appName="MSWord" w:lang="es-ES_tradnl"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D43"/>
    <w:rsid w:val="0000140C"/>
    <w:rsid w:val="00002222"/>
    <w:rsid w:val="0000222C"/>
    <w:rsid w:val="00003923"/>
    <w:rsid w:val="00003FF1"/>
    <w:rsid w:val="00004872"/>
    <w:rsid w:val="000078F8"/>
    <w:rsid w:val="00007FD3"/>
    <w:rsid w:val="000105C5"/>
    <w:rsid w:val="00010878"/>
    <w:rsid w:val="00011A8E"/>
    <w:rsid w:val="000122F9"/>
    <w:rsid w:val="00013F5C"/>
    <w:rsid w:val="00014788"/>
    <w:rsid w:val="00015831"/>
    <w:rsid w:val="00015DF0"/>
    <w:rsid w:val="00023D1E"/>
    <w:rsid w:val="00024ED3"/>
    <w:rsid w:val="0002651A"/>
    <w:rsid w:val="00026FA5"/>
    <w:rsid w:val="00032542"/>
    <w:rsid w:val="000333AA"/>
    <w:rsid w:val="00034364"/>
    <w:rsid w:val="00034BF6"/>
    <w:rsid w:val="0003707F"/>
    <w:rsid w:val="00037943"/>
    <w:rsid w:val="000401E9"/>
    <w:rsid w:val="00040344"/>
    <w:rsid w:val="00040AAC"/>
    <w:rsid w:val="00041507"/>
    <w:rsid w:val="00043327"/>
    <w:rsid w:val="0004394F"/>
    <w:rsid w:val="0004500A"/>
    <w:rsid w:val="000453B4"/>
    <w:rsid w:val="00045486"/>
    <w:rsid w:val="000464F4"/>
    <w:rsid w:val="00047F89"/>
    <w:rsid w:val="00051696"/>
    <w:rsid w:val="00052C1C"/>
    <w:rsid w:val="000533A3"/>
    <w:rsid w:val="00055D32"/>
    <w:rsid w:val="000563B5"/>
    <w:rsid w:val="000568BC"/>
    <w:rsid w:val="00057DFA"/>
    <w:rsid w:val="00057EFE"/>
    <w:rsid w:val="000606B4"/>
    <w:rsid w:val="00061D49"/>
    <w:rsid w:val="00061FA4"/>
    <w:rsid w:val="00062C3F"/>
    <w:rsid w:val="00064D0D"/>
    <w:rsid w:val="00065304"/>
    <w:rsid w:val="00065D24"/>
    <w:rsid w:val="00067B13"/>
    <w:rsid w:val="00067E2F"/>
    <w:rsid w:val="0007021C"/>
    <w:rsid w:val="00071381"/>
    <w:rsid w:val="00071495"/>
    <w:rsid w:val="00072261"/>
    <w:rsid w:val="00072A51"/>
    <w:rsid w:val="000731A4"/>
    <w:rsid w:val="000736A9"/>
    <w:rsid w:val="00076D20"/>
    <w:rsid w:val="00082CC2"/>
    <w:rsid w:val="00083BF0"/>
    <w:rsid w:val="00083D88"/>
    <w:rsid w:val="0008639B"/>
    <w:rsid w:val="00086DCD"/>
    <w:rsid w:val="00087F02"/>
    <w:rsid w:val="00091DA8"/>
    <w:rsid w:val="00092E6D"/>
    <w:rsid w:val="000942DC"/>
    <w:rsid w:val="00094A93"/>
    <w:rsid w:val="00095083"/>
    <w:rsid w:val="000950E0"/>
    <w:rsid w:val="0009510C"/>
    <w:rsid w:val="000952E6"/>
    <w:rsid w:val="00095961"/>
    <w:rsid w:val="00096128"/>
    <w:rsid w:val="00096A69"/>
    <w:rsid w:val="000A0D69"/>
    <w:rsid w:val="000A2874"/>
    <w:rsid w:val="000A4189"/>
    <w:rsid w:val="000A4884"/>
    <w:rsid w:val="000A77DC"/>
    <w:rsid w:val="000B140F"/>
    <w:rsid w:val="000B1B66"/>
    <w:rsid w:val="000B365B"/>
    <w:rsid w:val="000B3827"/>
    <w:rsid w:val="000B5709"/>
    <w:rsid w:val="000B6626"/>
    <w:rsid w:val="000C0361"/>
    <w:rsid w:val="000C06D0"/>
    <w:rsid w:val="000C109A"/>
    <w:rsid w:val="000C2528"/>
    <w:rsid w:val="000C5287"/>
    <w:rsid w:val="000C556D"/>
    <w:rsid w:val="000C6CAA"/>
    <w:rsid w:val="000C764B"/>
    <w:rsid w:val="000C77D4"/>
    <w:rsid w:val="000C7C43"/>
    <w:rsid w:val="000D1229"/>
    <w:rsid w:val="000D1479"/>
    <w:rsid w:val="000D33D2"/>
    <w:rsid w:val="000D36E0"/>
    <w:rsid w:val="000D3D47"/>
    <w:rsid w:val="000D5420"/>
    <w:rsid w:val="000D5BC7"/>
    <w:rsid w:val="000D77AD"/>
    <w:rsid w:val="000E0047"/>
    <w:rsid w:val="000E0512"/>
    <w:rsid w:val="000E1490"/>
    <w:rsid w:val="000E19D9"/>
    <w:rsid w:val="000E1A14"/>
    <w:rsid w:val="000E5559"/>
    <w:rsid w:val="000E6653"/>
    <w:rsid w:val="000E7076"/>
    <w:rsid w:val="000E7D2E"/>
    <w:rsid w:val="000F08C3"/>
    <w:rsid w:val="000F09F4"/>
    <w:rsid w:val="000F0DEF"/>
    <w:rsid w:val="000F10CE"/>
    <w:rsid w:val="000F11C0"/>
    <w:rsid w:val="000F233C"/>
    <w:rsid w:val="000F2B43"/>
    <w:rsid w:val="000F360D"/>
    <w:rsid w:val="000F474A"/>
    <w:rsid w:val="000F4E2A"/>
    <w:rsid w:val="000F6D6F"/>
    <w:rsid w:val="000F7F84"/>
    <w:rsid w:val="001046DF"/>
    <w:rsid w:val="001067CB"/>
    <w:rsid w:val="00107B8C"/>
    <w:rsid w:val="00107F05"/>
    <w:rsid w:val="00111469"/>
    <w:rsid w:val="001114FA"/>
    <w:rsid w:val="00112B50"/>
    <w:rsid w:val="00113B8D"/>
    <w:rsid w:val="00113FD1"/>
    <w:rsid w:val="00116DF7"/>
    <w:rsid w:val="00117FCB"/>
    <w:rsid w:val="00120328"/>
    <w:rsid w:val="00123385"/>
    <w:rsid w:val="00124651"/>
    <w:rsid w:val="00125298"/>
    <w:rsid w:val="00127A50"/>
    <w:rsid w:val="001300E9"/>
    <w:rsid w:val="001308AA"/>
    <w:rsid w:val="00136907"/>
    <w:rsid w:val="00136A56"/>
    <w:rsid w:val="00136EF1"/>
    <w:rsid w:val="00144A71"/>
    <w:rsid w:val="001452D7"/>
    <w:rsid w:val="001457DC"/>
    <w:rsid w:val="00146099"/>
    <w:rsid w:val="001473BF"/>
    <w:rsid w:val="00151E55"/>
    <w:rsid w:val="001536FC"/>
    <w:rsid w:val="0015539B"/>
    <w:rsid w:val="00155970"/>
    <w:rsid w:val="00155AC4"/>
    <w:rsid w:val="00155D1C"/>
    <w:rsid w:val="00155D7A"/>
    <w:rsid w:val="00155E34"/>
    <w:rsid w:val="001577E3"/>
    <w:rsid w:val="00160718"/>
    <w:rsid w:val="00160CB7"/>
    <w:rsid w:val="00161735"/>
    <w:rsid w:val="0016563F"/>
    <w:rsid w:val="001659E1"/>
    <w:rsid w:val="00165A85"/>
    <w:rsid w:val="001663B8"/>
    <w:rsid w:val="00167F84"/>
    <w:rsid w:val="001702DE"/>
    <w:rsid w:val="0017094D"/>
    <w:rsid w:val="00173E95"/>
    <w:rsid w:val="00173FDF"/>
    <w:rsid w:val="001758DE"/>
    <w:rsid w:val="00177A35"/>
    <w:rsid w:val="00181442"/>
    <w:rsid w:val="001834A0"/>
    <w:rsid w:val="00183E89"/>
    <w:rsid w:val="00184198"/>
    <w:rsid w:val="00194F77"/>
    <w:rsid w:val="001951B6"/>
    <w:rsid w:val="00195340"/>
    <w:rsid w:val="001954C9"/>
    <w:rsid w:val="00195688"/>
    <w:rsid w:val="00196B8F"/>
    <w:rsid w:val="0019797F"/>
    <w:rsid w:val="001A2829"/>
    <w:rsid w:val="001A3EF0"/>
    <w:rsid w:val="001A5106"/>
    <w:rsid w:val="001A5609"/>
    <w:rsid w:val="001A5838"/>
    <w:rsid w:val="001A6D43"/>
    <w:rsid w:val="001B0878"/>
    <w:rsid w:val="001B0C01"/>
    <w:rsid w:val="001B0D76"/>
    <w:rsid w:val="001B2774"/>
    <w:rsid w:val="001B3932"/>
    <w:rsid w:val="001B3E90"/>
    <w:rsid w:val="001B4F89"/>
    <w:rsid w:val="001B6021"/>
    <w:rsid w:val="001B71D4"/>
    <w:rsid w:val="001B720F"/>
    <w:rsid w:val="001B7C5B"/>
    <w:rsid w:val="001C275C"/>
    <w:rsid w:val="001C28BB"/>
    <w:rsid w:val="001C30EF"/>
    <w:rsid w:val="001C46B6"/>
    <w:rsid w:val="001C494F"/>
    <w:rsid w:val="001C5654"/>
    <w:rsid w:val="001C6A23"/>
    <w:rsid w:val="001D1129"/>
    <w:rsid w:val="001D1654"/>
    <w:rsid w:val="001D26FA"/>
    <w:rsid w:val="001D573C"/>
    <w:rsid w:val="001D6D2D"/>
    <w:rsid w:val="001D7B96"/>
    <w:rsid w:val="001E2644"/>
    <w:rsid w:val="001E4EDB"/>
    <w:rsid w:val="001E5397"/>
    <w:rsid w:val="001E6E8F"/>
    <w:rsid w:val="001F0198"/>
    <w:rsid w:val="001F01C3"/>
    <w:rsid w:val="001F08FB"/>
    <w:rsid w:val="001F0C31"/>
    <w:rsid w:val="001F2D5C"/>
    <w:rsid w:val="001F30DE"/>
    <w:rsid w:val="001F5E41"/>
    <w:rsid w:val="001F5ED2"/>
    <w:rsid w:val="001F7D83"/>
    <w:rsid w:val="00200DE6"/>
    <w:rsid w:val="002026E9"/>
    <w:rsid w:val="00203D88"/>
    <w:rsid w:val="00204616"/>
    <w:rsid w:val="002078CC"/>
    <w:rsid w:val="0021417E"/>
    <w:rsid w:val="002162C3"/>
    <w:rsid w:val="002175D1"/>
    <w:rsid w:val="00220082"/>
    <w:rsid w:val="00220CF1"/>
    <w:rsid w:val="00222C54"/>
    <w:rsid w:val="002244F3"/>
    <w:rsid w:val="002258B4"/>
    <w:rsid w:val="00235677"/>
    <w:rsid w:val="0023573D"/>
    <w:rsid w:val="00235C12"/>
    <w:rsid w:val="002409C6"/>
    <w:rsid w:val="00241277"/>
    <w:rsid w:val="00242317"/>
    <w:rsid w:val="00243B9F"/>
    <w:rsid w:val="00244089"/>
    <w:rsid w:val="0024588E"/>
    <w:rsid w:val="0025167A"/>
    <w:rsid w:val="00253402"/>
    <w:rsid w:val="002534EE"/>
    <w:rsid w:val="002541BC"/>
    <w:rsid w:val="00254A00"/>
    <w:rsid w:val="00256C4B"/>
    <w:rsid w:val="002571C0"/>
    <w:rsid w:val="00261881"/>
    <w:rsid w:val="0026190E"/>
    <w:rsid w:val="00261F00"/>
    <w:rsid w:val="00262800"/>
    <w:rsid w:val="0026678E"/>
    <w:rsid w:val="00266CB1"/>
    <w:rsid w:val="002672A2"/>
    <w:rsid w:val="00267E96"/>
    <w:rsid w:val="00271814"/>
    <w:rsid w:val="00272844"/>
    <w:rsid w:val="00272C70"/>
    <w:rsid w:val="00273213"/>
    <w:rsid w:val="00273549"/>
    <w:rsid w:val="0027396C"/>
    <w:rsid w:val="00273BA9"/>
    <w:rsid w:val="002811F6"/>
    <w:rsid w:val="00282D0E"/>
    <w:rsid w:val="00282EDF"/>
    <w:rsid w:val="00284EE7"/>
    <w:rsid w:val="002857E4"/>
    <w:rsid w:val="00286D30"/>
    <w:rsid w:val="00287743"/>
    <w:rsid w:val="00290069"/>
    <w:rsid w:val="002A1BB9"/>
    <w:rsid w:val="002A2966"/>
    <w:rsid w:val="002A34E6"/>
    <w:rsid w:val="002A4FEE"/>
    <w:rsid w:val="002B2851"/>
    <w:rsid w:val="002B4310"/>
    <w:rsid w:val="002B5172"/>
    <w:rsid w:val="002B52EC"/>
    <w:rsid w:val="002B60E2"/>
    <w:rsid w:val="002B67D0"/>
    <w:rsid w:val="002B7F8C"/>
    <w:rsid w:val="002C20D2"/>
    <w:rsid w:val="002C2866"/>
    <w:rsid w:val="002D18EC"/>
    <w:rsid w:val="002D463F"/>
    <w:rsid w:val="002D47C8"/>
    <w:rsid w:val="002D4FC8"/>
    <w:rsid w:val="002D5E76"/>
    <w:rsid w:val="002D6531"/>
    <w:rsid w:val="002E4C70"/>
    <w:rsid w:val="002E5784"/>
    <w:rsid w:val="002E6839"/>
    <w:rsid w:val="002F01BD"/>
    <w:rsid w:val="002F0DD6"/>
    <w:rsid w:val="002F0E38"/>
    <w:rsid w:val="002F225B"/>
    <w:rsid w:val="002F23F8"/>
    <w:rsid w:val="002F37E4"/>
    <w:rsid w:val="002F3F17"/>
    <w:rsid w:val="002F40C6"/>
    <w:rsid w:val="002F500B"/>
    <w:rsid w:val="002F62A6"/>
    <w:rsid w:val="00300CBA"/>
    <w:rsid w:val="003040F1"/>
    <w:rsid w:val="003046CE"/>
    <w:rsid w:val="00311216"/>
    <w:rsid w:val="00311B9B"/>
    <w:rsid w:val="003132DD"/>
    <w:rsid w:val="0031468E"/>
    <w:rsid w:val="00314E2C"/>
    <w:rsid w:val="00315436"/>
    <w:rsid w:val="0031655F"/>
    <w:rsid w:val="00317140"/>
    <w:rsid w:val="00321BAB"/>
    <w:rsid w:val="00323060"/>
    <w:rsid w:val="00323751"/>
    <w:rsid w:val="003239D7"/>
    <w:rsid w:val="00324425"/>
    <w:rsid w:val="003252C7"/>
    <w:rsid w:val="00327C00"/>
    <w:rsid w:val="0033037C"/>
    <w:rsid w:val="003313FE"/>
    <w:rsid w:val="0033393D"/>
    <w:rsid w:val="00333E5A"/>
    <w:rsid w:val="0033412F"/>
    <w:rsid w:val="0033447D"/>
    <w:rsid w:val="00335443"/>
    <w:rsid w:val="003358E6"/>
    <w:rsid w:val="0033606E"/>
    <w:rsid w:val="003400E1"/>
    <w:rsid w:val="00341832"/>
    <w:rsid w:val="003419BA"/>
    <w:rsid w:val="00342279"/>
    <w:rsid w:val="00344CDC"/>
    <w:rsid w:val="00344F18"/>
    <w:rsid w:val="003450A7"/>
    <w:rsid w:val="00345610"/>
    <w:rsid w:val="00345CCB"/>
    <w:rsid w:val="00346DF0"/>
    <w:rsid w:val="00346F99"/>
    <w:rsid w:val="00351083"/>
    <w:rsid w:val="003510CE"/>
    <w:rsid w:val="00352249"/>
    <w:rsid w:val="003547B9"/>
    <w:rsid w:val="003603C7"/>
    <w:rsid w:val="00361B19"/>
    <w:rsid w:val="00366F98"/>
    <w:rsid w:val="003671DA"/>
    <w:rsid w:val="00367749"/>
    <w:rsid w:val="003707FE"/>
    <w:rsid w:val="003718AC"/>
    <w:rsid w:val="00371B60"/>
    <w:rsid w:val="003738A6"/>
    <w:rsid w:val="00373D43"/>
    <w:rsid w:val="0037553F"/>
    <w:rsid w:val="003810C5"/>
    <w:rsid w:val="00381E67"/>
    <w:rsid w:val="00382610"/>
    <w:rsid w:val="00383506"/>
    <w:rsid w:val="00383C4C"/>
    <w:rsid w:val="00385A6D"/>
    <w:rsid w:val="00386B08"/>
    <w:rsid w:val="00387161"/>
    <w:rsid w:val="003908F6"/>
    <w:rsid w:val="00392C04"/>
    <w:rsid w:val="00392C57"/>
    <w:rsid w:val="00393834"/>
    <w:rsid w:val="00393AE8"/>
    <w:rsid w:val="003958DA"/>
    <w:rsid w:val="003959D8"/>
    <w:rsid w:val="0039641C"/>
    <w:rsid w:val="003972E5"/>
    <w:rsid w:val="003A0D11"/>
    <w:rsid w:val="003A2714"/>
    <w:rsid w:val="003A3D45"/>
    <w:rsid w:val="003A4212"/>
    <w:rsid w:val="003A7E77"/>
    <w:rsid w:val="003B1824"/>
    <w:rsid w:val="003B2AD1"/>
    <w:rsid w:val="003B56F6"/>
    <w:rsid w:val="003B577A"/>
    <w:rsid w:val="003B7051"/>
    <w:rsid w:val="003B7325"/>
    <w:rsid w:val="003B7BA9"/>
    <w:rsid w:val="003C1FE2"/>
    <w:rsid w:val="003C3100"/>
    <w:rsid w:val="003C3CA8"/>
    <w:rsid w:val="003C44C9"/>
    <w:rsid w:val="003C4BC5"/>
    <w:rsid w:val="003C5177"/>
    <w:rsid w:val="003D0D76"/>
    <w:rsid w:val="003D14F9"/>
    <w:rsid w:val="003D33A9"/>
    <w:rsid w:val="003D4120"/>
    <w:rsid w:val="003E0D98"/>
    <w:rsid w:val="003E1500"/>
    <w:rsid w:val="003E1D04"/>
    <w:rsid w:val="003E2490"/>
    <w:rsid w:val="003E45AF"/>
    <w:rsid w:val="003E4E71"/>
    <w:rsid w:val="003E633C"/>
    <w:rsid w:val="003F28D7"/>
    <w:rsid w:val="003F2924"/>
    <w:rsid w:val="003F36F7"/>
    <w:rsid w:val="003F40B4"/>
    <w:rsid w:val="003F4FC4"/>
    <w:rsid w:val="003F58B9"/>
    <w:rsid w:val="003F677C"/>
    <w:rsid w:val="003F7D47"/>
    <w:rsid w:val="00401B95"/>
    <w:rsid w:val="00403A2F"/>
    <w:rsid w:val="00403A96"/>
    <w:rsid w:val="00403EC2"/>
    <w:rsid w:val="00404AD8"/>
    <w:rsid w:val="0040651F"/>
    <w:rsid w:val="004079CB"/>
    <w:rsid w:val="00407CBD"/>
    <w:rsid w:val="004115D6"/>
    <w:rsid w:val="00412E28"/>
    <w:rsid w:val="00413321"/>
    <w:rsid w:val="00415A05"/>
    <w:rsid w:val="0042082E"/>
    <w:rsid w:val="004209FC"/>
    <w:rsid w:val="00422088"/>
    <w:rsid w:val="0042281A"/>
    <w:rsid w:val="004240FA"/>
    <w:rsid w:val="004244D4"/>
    <w:rsid w:val="004254AB"/>
    <w:rsid w:val="004258B1"/>
    <w:rsid w:val="00426673"/>
    <w:rsid w:val="004271EF"/>
    <w:rsid w:val="0042733D"/>
    <w:rsid w:val="004277FB"/>
    <w:rsid w:val="004278A8"/>
    <w:rsid w:val="00431173"/>
    <w:rsid w:val="00434A8E"/>
    <w:rsid w:val="00435186"/>
    <w:rsid w:val="004369C7"/>
    <w:rsid w:val="00440657"/>
    <w:rsid w:val="004427AC"/>
    <w:rsid w:val="00442997"/>
    <w:rsid w:val="00443DF0"/>
    <w:rsid w:val="0044529F"/>
    <w:rsid w:val="004467E5"/>
    <w:rsid w:val="004501D5"/>
    <w:rsid w:val="00450233"/>
    <w:rsid w:val="004521C5"/>
    <w:rsid w:val="004528C5"/>
    <w:rsid w:val="00453010"/>
    <w:rsid w:val="004551B0"/>
    <w:rsid w:val="004565CD"/>
    <w:rsid w:val="0045687F"/>
    <w:rsid w:val="004572BB"/>
    <w:rsid w:val="00457E37"/>
    <w:rsid w:val="00460909"/>
    <w:rsid w:val="00461144"/>
    <w:rsid w:val="004615BE"/>
    <w:rsid w:val="004627C0"/>
    <w:rsid w:val="00463B40"/>
    <w:rsid w:val="00466315"/>
    <w:rsid w:val="004668E2"/>
    <w:rsid w:val="0047095D"/>
    <w:rsid w:val="0047288C"/>
    <w:rsid w:val="0047677A"/>
    <w:rsid w:val="00480360"/>
    <w:rsid w:val="004823F8"/>
    <w:rsid w:val="00484652"/>
    <w:rsid w:val="00484D60"/>
    <w:rsid w:val="00485518"/>
    <w:rsid w:val="00487781"/>
    <w:rsid w:val="00492790"/>
    <w:rsid w:val="00493424"/>
    <w:rsid w:val="00493815"/>
    <w:rsid w:val="00494504"/>
    <w:rsid w:val="0049568B"/>
    <w:rsid w:val="00495D51"/>
    <w:rsid w:val="0049751F"/>
    <w:rsid w:val="004A0177"/>
    <w:rsid w:val="004A4879"/>
    <w:rsid w:val="004A6A76"/>
    <w:rsid w:val="004A6D8E"/>
    <w:rsid w:val="004A709C"/>
    <w:rsid w:val="004B01C8"/>
    <w:rsid w:val="004B05E1"/>
    <w:rsid w:val="004B1A6A"/>
    <w:rsid w:val="004B4D80"/>
    <w:rsid w:val="004B556A"/>
    <w:rsid w:val="004B5943"/>
    <w:rsid w:val="004B5DCF"/>
    <w:rsid w:val="004B5ED2"/>
    <w:rsid w:val="004B67C7"/>
    <w:rsid w:val="004C0A18"/>
    <w:rsid w:val="004C2993"/>
    <w:rsid w:val="004C2B37"/>
    <w:rsid w:val="004C5850"/>
    <w:rsid w:val="004C7176"/>
    <w:rsid w:val="004C7FD8"/>
    <w:rsid w:val="004D057F"/>
    <w:rsid w:val="004D07B4"/>
    <w:rsid w:val="004D1112"/>
    <w:rsid w:val="004D275F"/>
    <w:rsid w:val="004D2924"/>
    <w:rsid w:val="004D6383"/>
    <w:rsid w:val="004D66B8"/>
    <w:rsid w:val="004D7447"/>
    <w:rsid w:val="004E531D"/>
    <w:rsid w:val="004E568B"/>
    <w:rsid w:val="004E5E2B"/>
    <w:rsid w:val="004E6F00"/>
    <w:rsid w:val="004E7F49"/>
    <w:rsid w:val="004F10D8"/>
    <w:rsid w:val="004F1D31"/>
    <w:rsid w:val="004F3194"/>
    <w:rsid w:val="004F45A7"/>
    <w:rsid w:val="004F69F0"/>
    <w:rsid w:val="004F7513"/>
    <w:rsid w:val="004F7902"/>
    <w:rsid w:val="00501387"/>
    <w:rsid w:val="00502FC4"/>
    <w:rsid w:val="005039F4"/>
    <w:rsid w:val="005104AE"/>
    <w:rsid w:val="0051205A"/>
    <w:rsid w:val="00512900"/>
    <w:rsid w:val="00512956"/>
    <w:rsid w:val="00513EF2"/>
    <w:rsid w:val="00514E0B"/>
    <w:rsid w:val="005204C5"/>
    <w:rsid w:val="00521110"/>
    <w:rsid w:val="0052414C"/>
    <w:rsid w:val="00526467"/>
    <w:rsid w:val="00526510"/>
    <w:rsid w:val="00530CFA"/>
    <w:rsid w:val="00531584"/>
    <w:rsid w:val="00531E39"/>
    <w:rsid w:val="00532D61"/>
    <w:rsid w:val="00532E37"/>
    <w:rsid w:val="00534298"/>
    <w:rsid w:val="005345D4"/>
    <w:rsid w:val="005352F4"/>
    <w:rsid w:val="00536036"/>
    <w:rsid w:val="005368BA"/>
    <w:rsid w:val="00536CB7"/>
    <w:rsid w:val="00541269"/>
    <w:rsid w:val="005413BB"/>
    <w:rsid w:val="00545A32"/>
    <w:rsid w:val="00545DAC"/>
    <w:rsid w:val="00545F8F"/>
    <w:rsid w:val="005460B9"/>
    <w:rsid w:val="00546B79"/>
    <w:rsid w:val="00551632"/>
    <w:rsid w:val="00551783"/>
    <w:rsid w:val="0055355E"/>
    <w:rsid w:val="00556A5C"/>
    <w:rsid w:val="00557EBA"/>
    <w:rsid w:val="0056047D"/>
    <w:rsid w:val="00560CD7"/>
    <w:rsid w:val="00561B39"/>
    <w:rsid w:val="00562B40"/>
    <w:rsid w:val="005641EC"/>
    <w:rsid w:val="00564FEE"/>
    <w:rsid w:val="0056676B"/>
    <w:rsid w:val="0056771D"/>
    <w:rsid w:val="0056785A"/>
    <w:rsid w:val="00567B70"/>
    <w:rsid w:val="00567CBC"/>
    <w:rsid w:val="00570990"/>
    <w:rsid w:val="00573A21"/>
    <w:rsid w:val="00573BB8"/>
    <w:rsid w:val="00574A30"/>
    <w:rsid w:val="005762AE"/>
    <w:rsid w:val="00576C09"/>
    <w:rsid w:val="00580017"/>
    <w:rsid w:val="00580341"/>
    <w:rsid w:val="00581B53"/>
    <w:rsid w:val="00582EFF"/>
    <w:rsid w:val="005837E2"/>
    <w:rsid w:val="00584FD7"/>
    <w:rsid w:val="00585012"/>
    <w:rsid w:val="00585CBC"/>
    <w:rsid w:val="00590617"/>
    <w:rsid w:val="0059090A"/>
    <w:rsid w:val="005927AA"/>
    <w:rsid w:val="005937C6"/>
    <w:rsid w:val="00593C53"/>
    <w:rsid w:val="00593F7D"/>
    <w:rsid w:val="005A0875"/>
    <w:rsid w:val="005A1BB9"/>
    <w:rsid w:val="005A2319"/>
    <w:rsid w:val="005A2938"/>
    <w:rsid w:val="005A65A8"/>
    <w:rsid w:val="005A6621"/>
    <w:rsid w:val="005A71DA"/>
    <w:rsid w:val="005A72C9"/>
    <w:rsid w:val="005A7E21"/>
    <w:rsid w:val="005B00D7"/>
    <w:rsid w:val="005B089C"/>
    <w:rsid w:val="005B0DE1"/>
    <w:rsid w:val="005B1C0A"/>
    <w:rsid w:val="005B41DE"/>
    <w:rsid w:val="005B4D1F"/>
    <w:rsid w:val="005B6827"/>
    <w:rsid w:val="005B771C"/>
    <w:rsid w:val="005C0D53"/>
    <w:rsid w:val="005C0F58"/>
    <w:rsid w:val="005C2AA4"/>
    <w:rsid w:val="005C3985"/>
    <w:rsid w:val="005C7DEF"/>
    <w:rsid w:val="005D01C6"/>
    <w:rsid w:val="005D0E4B"/>
    <w:rsid w:val="005D1A66"/>
    <w:rsid w:val="005D1DAE"/>
    <w:rsid w:val="005D38E7"/>
    <w:rsid w:val="005D3FA7"/>
    <w:rsid w:val="005D4263"/>
    <w:rsid w:val="005E1251"/>
    <w:rsid w:val="005E3F30"/>
    <w:rsid w:val="005E445F"/>
    <w:rsid w:val="005E4CE7"/>
    <w:rsid w:val="005E4FD3"/>
    <w:rsid w:val="005E533F"/>
    <w:rsid w:val="005F2082"/>
    <w:rsid w:val="005F563A"/>
    <w:rsid w:val="005F635C"/>
    <w:rsid w:val="00600D6B"/>
    <w:rsid w:val="00600E6D"/>
    <w:rsid w:val="00600F37"/>
    <w:rsid w:val="0060285D"/>
    <w:rsid w:val="00602980"/>
    <w:rsid w:val="006048A6"/>
    <w:rsid w:val="006056B8"/>
    <w:rsid w:val="00606970"/>
    <w:rsid w:val="00606A86"/>
    <w:rsid w:val="00611778"/>
    <w:rsid w:val="00611C38"/>
    <w:rsid w:val="0061278C"/>
    <w:rsid w:val="00616633"/>
    <w:rsid w:val="006169A2"/>
    <w:rsid w:val="0061725D"/>
    <w:rsid w:val="006200F1"/>
    <w:rsid w:val="0062086A"/>
    <w:rsid w:val="00621D2B"/>
    <w:rsid w:val="00622014"/>
    <w:rsid w:val="00622B92"/>
    <w:rsid w:val="0062333D"/>
    <w:rsid w:val="00623A56"/>
    <w:rsid w:val="006241AB"/>
    <w:rsid w:val="00625D58"/>
    <w:rsid w:val="0062634D"/>
    <w:rsid w:val="0062676F"/>
    <w:rsid w:val="00627EFD"/>
    <w:rsid w:val="00632908"/>
    <w:rsid w:val="00632EF3"/>
    <w:rsid w:val="0063300D"/>
    <w:rsid w:val="00634016"/>
    <w:rsid w:val="00634097"/>
    <w:rsid w:val="006340DE"/>
    <w:rsid w:val="006360A7"/>
    <w:rsid w:val="00637336"/>
    <w:rsid w:val="00637E34"/>
    <w:rsid w:val="006421CD"/>
    <w:rsid w:val="00642554"/>
    <w:rsid w:val="006433A7"/>
    <w:rsid w:val="006433DC"/>
    <w:rsid w:val="00647A98"/>
    <w:rsid w:val="00647D76"/>
    <w:rsid w:val="006504D4"/>
    <w:rsid w:val="006534DC"/>
    <w:rsid w:val="00653C5B"/>
    <w:rsid w:val="00654A98"/>
    <w:rsid w:val="00655A34"/>
    <w:rsid w:val="006564FA"/>
    <w:rsid w:val="006567C6"/>
    <w:rsid w:val="00660B1C"/>
    <w:rsid w:val="006610D6"/>
    <w:rsid w:val="006660F8"/>
    <w:rsid w:val="006661C7"/>
    <w:rsid w:val="00666B39"/>
    <w:rsid w:val="00667216"/>
    <w:rsid w:val="006678AD"/>
    <w:rsid w:val="0067057F"/>
    <w:rsid w:val="00671717"/>
    <w:rsid w:val="006725AB"/>
    <w:rsid w:val="006742D3"/>
    <w:rsid w:val="00676053"/>
    <w:rsid w:val="0067619F"/>
    <w:rsid w:val="00676525"/>
    <w:rsid w:val="0067658F"/>
    <w:rsid w:val="0068078A"/>
    <w:rsid w:val="00682CE0"/>
    <w:rsid w:val="00686DD3"/>
    <w:rsid w:val="006879A8"/>
    <w:rsid w:val="00690DCA"/>
    <w:rsid w:val="006937F8"/>
    <w:rsid w:val="006944F8"/>
    <w:rsid w:val="00695AFD"/>
    <w:rsid w:val="0069690C"/>
    <w:rsid w:val="00696C5F"/>
    <w:rsid w:val="00697967"/>
    <w:rsid w:val="006A3CC5"/>
    <w:rsid w:val="006A4036"/>
    <w:rsid w:val="006A44B1"/>
    <w:rsid w:val="006A55B8"/>
    <w:rsid w:val="006A73F5"/>
    <w:rsid w:val="006A7765"/>
    <w:rsid w:val="006B0D93"/>
    <w:rsid w:val="006B2182"/>
    <w:rsid w:val="006B228B"/>
    <w:rsid w:val="006B2BB8"/>
    <w:rsid w:val="006B2E90"/>
    <w:rsid w:val="006B310E"/>
    <w:rsid w:val="006B45A3"/>
    <w:rsid w:val="006B4FEB"/>
    <w:rsid w:val="006B5A79"/>
    <w:rsid w:val="006B6D63"/>
    <w:rsid w:val="006B787B"/>
    <w:rsid w:val="006B7DA9"/>
    <w:rsid w:val="006C2522"/>
    <w:rsid w:val="006C2A12"/>
    <w:rsid w:val="006C3052"/>
    <w:rsid w:val="006C547C"/>
    <w:rsid w:val="006D02A2"/>
    <w:rsid w:val="006D0AB1"/>
    <w:rsid w:val="006D37AF"/>
    <w:rsid w:val="006D4D11"/>
    <w:rsid w:val="006D520D"/>
    <w:rsid w:val="006E06DE"/>
    <w:rsid w:val="006E19AC"/>
    <w:rsid w:val="006E22EF"/>
    <w:rsid w:val="006E29F8"/>
    <w:rsid w:val="006E439B"/>
    <w:rsid w:val="006E5D42"/>
    <w:rsid w:val="006E5FC2"/>
    <w:rsid w:val="006E6B4E"/>
    <w:rsid w:val="006E706E"/>
    <w:rsid w:val="006E7FED"/>
    <w:rsid w:val="006F0045"/>
    <w:rsid w:val="006F07A4"/>
    <w:rsid w:val="006F198B"/>
    <w:rsid w:val="006F6AC2"/>
    <w:rsid w:val="00702BFE"/>
    <w:rsid w:val="00705376"/>
    <w:rsid w:val="007078E8"/>
    <w:rsid w:val="00710F19"/>
    <w:rsid w:val="0071159C"/>
    <w:rsid w:val="0071264F"/>
    <w:rsid w:val="00713E4F"/>
    <w:rsid w:val="0071560B"/>
    <w:rsid w:val="007159D9"/>
    <w:rsid w:val="00716078"/>
    <w:rsid w:val="00721A9D"/>
    <w:rsid w:val="00722D82"/>
    <w:rsid w:val="0072496D"/>
    <w:rsid w:val="007265D1"/>
    <w:rsid w:val="0072672B"/>
    <w:rsid w:val="00726B0E"/>
    <w:rsid w:val="0072758D"/>
    <w:rsid w:val="007331A7"/>
    <w:rsid w:val="00734B03"/>
    <w:rsid w:val="00734B6A"/>
    <w:rsid w:val="0073692F"/>
    <w:rsid w:val="007379A3"/>
    <w:rsid w:val="00742D4E"/>
    <w:rsid w:val="00743F9E"/>
    <w:rsid w:val="007459F9"/>
    <w:rsid w:val="00745CD8"/>
    <w:rsid w:val="00746E92"/>
    <w:rsid w:val="00750D11"/>
    <w:rsid w:val="00753428"/>
    <w:rsid w:val="00754131"/>
    <w:rsid w:val="00754978"/>
    <w:rsid w:val="007552E9"/>
    <w:rsid w:val="00756723"/>
    <w:rsid w:val="0075753F"/>
    <w:rsid w:val="00763062"/>
    <w:rsid w:val="007679EC"/>
    <w:rsid w:val="00770665"/>
    <w:rsid w:val="00770A8C"/>
    <w:rsid w:val="0077116C"/>
    <w:rsid w:val="0077339C"/>
    <w:rsid w:val="00773F0D"/>
    <w:rsid w:val="00775824"/>
    <w:rsid w:val="0077658C"/>
    <w:rsid w:val="0077757C"/>
    <w:rsid w:val="007807D7"/>
    <w:rsid w:val="00781AF1"/>
    <w:rsid w:val="00783514"/>
    <w:rsid w:val="00784D05"/>
    <w:rsid w:val="00785270"/>
    <w:rsid w:val="007855E7"/>
    <w:rsid w:val="007856B2"/>
    <w:rsid w:val="00786847"/>
    <w:rsid w:val="00787ADE"/>
    <w:rsid w:val="00791B91"/>
    <w:rsid w:val="00792DA3"/>
    <w:rsid w:val="00793CC1"/>
    <w:rsid w:val="00795547"/>
    <w:rsid w:val="00796386"/>
    <w:rsid w:val="007A04C2"/>
    <w:rsid w:val="007A20DA"/>
    <w:rsid w:val="007A45C4"/>
    <w:rsid w:val="007A556F"/>
    <w:rsid w:val="007A6263"/>
    <w:rsid w:val="007A678E"/>
    <w:rsid w:val="007B0B08"/>
    <w:rsid w:val="007B0C38"/>
    <w:rsid w:val="007B10E5"/>
    <w:rsid w:val="007B185C"/>
    <w:rsid w:val="007B1C76"/>
    <w:rsid w:val="007B2629"/>
    <w:rsid w:val="007B2B0A"/>
    <w:rsid w:val="007B2BB6"/>
    <w:rsid w:val="007B3840"/>
    <w:rsid w:val="007B45F8"/>
    <w:rsid w:val="007B6F4C"/>
    <w:rsid w:val="007B7393"/>
    <w:rsid w:val="007B77BE"/>
    <w:rsid w:val="007C0180"/>
    <w:rsid w:val="007C1BD8"/>
    <w:rsid w:val="007C213D"/>
    <w:rsid w:val="007C2832"/>
    <w:rsid w:val="007C44F7"/>
    <w:rsid w:val="007C48D8"/>
    <w:rsid w:val="007C519F"/>
    <w:rsid w:val="007C6883"/>
    <w:rsid w:val="007C7076"/>
    <w:rsid w:val="007D053E"/>
    <w:rsid w:val="007D3859"/>
    <w:rsid w:val="007D61AB"/>
    <w:rsid w:val="007D6346"/>
    <w:rsid w:val="007D64F1"/>
    <w:rsid w:val="007D74A5"/>
    <w:rsid w:val="007E1B44"/>
    <w:rsid w:val="007E230A"/>
    <w:rsid w:val="007E4DA4"/>
    <w:rsid w:val="007E4E15"/>
    <w:rsid w:val="007E60A7"/>
    <w:rsid w:val="007E7802"/>
    <w:rsid w:val="007F09E6"/>
    <w:rsid w:val="007F1EA9"/>
    <w:rsid w:val="007F2294"/>
    <w:rsid w:val="007F23CB"/>
    <w:rsid w:val="007F5C4A"/>
    <w:rsid w:val="007F67EA"/>
    <w:rsid w:val="007F781C"/>
    <w:rsid w:val="007F7A05"/>
    <w:rsid w:val="00800A22"/>
    <w:rsid w:val="00800F4F"/>
    <w:rsid w:val="0080160A"/>
    <w:rsid w:val="00801BF9"/>
    <w:rsid w:val="0080365F"/>
    <w:rsid w:val="00806950"/>
    <w:rsid w:val="00806C70"/>
    <w:rsid w:val="008123C5"/>
    <w:rsid w:val="008124AD"/>
    <w:rsid w:val="008223F6"/>
    <w:rsid w:val="00822948"/>
    <w:rsid w:val="00823C08"/>
    <w:rsid w:val="00825559"/>
    <w:rsid w:val="00826009"/>
    <w:rsid w:val="00827DF6"/>
    <w:rsid w:val="00834C4C"/>
    <w:rsid w:val="008352BD"/>
    <w:rsid w:val="008353DF"/>
    <w:rsid w:val="00837742"/>
    <w:rsid w:val="00843696"/>
    <w:rsid w:val="00843826"/>
    <w:rsid w:val="00843F6D"/>
    <w:rsid w:val="0084477D"/>
    <w:rsid w:val="008468F7"/>
    <w:rsid w:val="00846F89"/>
    <w:rsid w:val="0084775E"/>
    <w:rsid w:val="0085032F"/>
    <w:rsid w:val="008542E8"/>
    <w:rsid w:val="00854698"/>
    <w:rsid w:val="008549FE"/>
    <w:rsid w:val="00857D24"/>
    <w:rsid w:val="0086052A"/>
    <w:rsid w:val="008610A7"/>
    <w:rsid w:val="00861539"/>
    <w:rsid w:val="00862C34"/>
    <w:rsid w:val="00863791"/>
    <w:rsid w:val="0086381B"/>
    <w:rsid w:val="00871C68"/>
    <w:rsid w:val="00875964"/>
    <w:rsid w:val="00875BDD"/>
    <w:rsid w:val="00877DC4"/>
    <w:rsid w:val="008821A1"/>
    <w:rsid w:val="0088224D"/>
    <w:rsid w:val="00882451"/>
    <w:rsid w:val="008828FB"/>
    <w:rsid w:val="00882CE0"/>
    <w:rsid w:val="00883ECC"/>
    <w:rsid w:val="00886599"/>
    <w:rsid w:val="0088660A"/>
    <w:rsid w:val="00886DAC"/>
    <w:rsid w:val="008870EA"/>
    <w:rsid w:val="00887552"/>
    <w:rsid w:val="00887CF1"/>
    <w:rsid w:val="0089106F"/>
    <w:rsid w:val="00892257"/>
    <w:rsid w:val="008925CE"/>
    <w:rsid w:val="00893D84"/>
    <w:rsid w:val="0089421A"/>
    <w:rsid w:val="008955B9"/>
    <w:rsid w:val="00896E82"/>
    <w:rsid w:val="008A1214"/>
    <w:rsid w:val="008A2C01"/>
    <w:rsid w:val="008A2C0B"/>
    <w:rsid w:val="008A2C3A"/>
    <w:rsid w:val="008A3843"/>
    <w:rsid w:val="008A65DD"/>
    <w:rsid w:val="008B1830"/>
    <w:rsid w:val="008B1EC2"/>
    <w:rsid w:val="008B2715"/>
    <w:rsid w:val="008B451B"/>
    <w:rsid w:val="008B45AA"/>
    <w:rsid w:val="008B4CCA"/>
    <w:rsid w:val="008B6085"/>
    <w:rsid w:val="008B60D1"/>
    <w:rsid w:val="008B6265"/>
    <w:rsid w:val="008C0E49"/>
    <w:rsid w:val="008C2133"/>
    <w:rsid w:val="008C302E"/>
    <w:rsid w:val="008C631F"/>
    <w:rsid w:val="008D0026"/>
    <w:rsid w:val="008D184E"/>
    <w:rsid w:val="008D39EF"/>
    <w:rsid w:val="008D3B69"/>
    <w:rsid w:val="008D43BB"/>
    <w:rsid w:val="008D4CAB"/>
    <w:rsid w:val="008D73E7"/>
    <w:rsid w:val="008E120F"/>
    <w:rsid w:val="008E2556"/>
    <w:rsid w:val="008E436E"/>
    <w:rsid w:val="008E45F5"/>
    <w:rsid w:val="008E6048"/>
    <w:rsid w:val="008F00FD"/>
    <w:rsid w:val="008F0A10"/>
    <w:rsid w:val="008F1189"/>
    <w:rsid w:val="008F1548"/>
    <w:rsid w:val="008F1E49"/>
    <w:rsid w:val="008F3E59"/>
    <w:rsid w:val="008F5426"/>
    <w:rsid w:val="008F5A9E"/>
    <w:rsid w:val="008F6308"/>
    <w:rsid w:val="008F6F0D"/>
    <w:rsid w:val="00900720"/>
    <w:rsid w:val="00901034"/>
    <w:rsid w:val="00901CF2"/>
    <w:rsid w:val="0090212C"/>
    <w:rsid w:val="009051AA"/>
    <w:rsid w:val="009057D4"/>
    <w:rsid w:val="0090595D"/>
    <w:rsid w:val="00911699"/>
    <w:rsid w:val="00914696"/>
    <w:rsid w:val="009150F2"/>
    <w:rsid w:val="00916254"/>
    <w:rsid w:val="00917351"/>
    <w:rsid w:val="00917C60"/>
    <w:rsid w:val="00920827"/>
    <w:rsid w:val="00920B4F"/>
    <w:rsid w:val="0092254A"/>
    <w:rsid w:val="00924976"/>
    <w:rsid w:val="00925B72"/>
    <w:rsid w:val="009261B2"/>
    <w:rsid w:val="00926458"/>
    <w:rsid w:val="00927739"/>
    <w:rsid w:val="00930961"/>
    <w:rsid w:val="00931CDE"/>
    <w:rsid w:val="00931D3F"/>
    <w:rsid w:val="00932425"/>
    <w:rsid w:val="009324E0"/>
    <w:rsid w:val="00932CB6"/>
    <w:rsid w:val="00933791"/>
    <w:rsid w:val="009338F2"/>
    <w:rsid w:val="00934302"/>
    <w:rsid w:val="00937399"/>
    <w:rsid w:val="00940F51"/>
    <w:rsid w:val="00941777"/>
    <w:rsid w:val="00943B4C"/>
    <w:rsid w:val="0094405B"/>
    <w:rsid w:val="0094519B"/>
    <w:rsid w:val="0094538E"/>
    <w:rsid w:val="00950992"/>
    <w:rsid w:val="009528B8"/>
    <w:rsid w:val="00953233"/>
    <w:rsid w:val="009548E4"/>
    <w:rsid w:val="0095581C"/>
    <w:rsid w:val="00957819"/>
    <w:rsid w:val="00960686"/>
    <w:rsid w:val="009606DA"/>
    <w:rsid w:val="00960A39"/>
    <w:rsid w:val="00960E98"/>
    <w:rsid w:val="00961EE2"/>
    <w:rsid w:val="009633C3"/>
    <w:rsid w:val="00963CD6"/>
    <w:rsid w:val="00963FBC"/>
    <w:rsid w:val="00964E1F"/>
    <w:rsid w:val="00965157"/>
    <w:rsid w:val="0096555C"/>
    <w:rsid w:val="009656B4"/>
    <w:rsid w:val="009669F6"/>
    <w:rsid w:val="009673A2"/>
    <w:rsid w:val="009723D4"/>
    <w:rsid w:val="009752A3"/>
    <w:rsid w:val="009753A8"/>
    <w:rsid w:val="00976ADB"/>
    <w:rsid w:val="00977936"/>
    <w:rsid w:val="00981737"/>
    <w:rsid w:val="00981FB1"/>
    <w:rsid w:val="00984A80"/>
    <w:rsid w:val="00984B5B"/>
    <w:rsid w:val="0098557B"/>
    <w:rsid w:val="00986C2A"/>
    <w:rsid w:val="009872CC"/>
    <w:rsid w:val="00991D83"/>
    <w:rsid w:val="00992A05"/>
    <w:rsid w:val="00992E72"/>
    <w:rsid w:val="00992E78"/>
    <w:rsid w:val="00993523"/>
    <w:rsid w:val="00994D6D"/>
    <w:rsid w:val="00994E85"/>
    <w:rsid w:val="00995271"/>
    <w:rsid w:val="009953BB"/>
    <w:rsid w:val="00995FF9"/>
    <w:rsid w:val="00996552"/>
    <w:rsid w:val="009A0673"/>
    <w:rsid w:val="009A0EC0"/>
    <w:rsid w:val="009A1576"/>
    <w:rsid w:val="009A397F"/>
    <w:rsid w:val="009A39BE"/>
    <w:rsid w:val="009A65C2"/>
    <w:rsid w:val="009B3D3B"/>
    <w:rsid w:val="009B4136"/>
    <w:rsid w:val="009B4ECA"/>
    <w:rsid w:val="009B6DCF"/>
    <w:rsid w:val="009B7CFE"/>
    <w:rsid w:val="009C2639"/>
    <w:rsid w:val="009C28C5"/>
    <w:rsid w:val="009C2F17"/>
    <w:rsid w:val="009C4D1A"/>
    <w:rsid w:val="009C6D4A"/>
    <w:rsid w:val="009D06C4"/>
    <w:rsid w:val="009D1171"/>
    <w:rsid w:val="009D1DC2"/>
    <w:rsid w:val="009D2AC6"/>
    <w:rsid w:val="009D4009"/>
    <w:rsid w:val="009D4FF6"/>
    <w:rsid w:val="009E20CF"/>
    <w:rsid w:val="009E2219"/>
    <w:rsid w:val="009E2F11"/>
    <w:rsid w:val="009E4020"/>
    <w:rsid w:val="009E4AAC"/>
    <w:rsid w:val="009E5FFA"/>
    <w:rsid w:val="009F0C2E"/>
    <w:rsid w:val="009F0D52"/>
    <w:rsid w:val="009F1F1B"/>
    <w:rsid w:val="009F223B"/>
    <w:rsid w:val="009F320A"/>
    <w:rsid w:val="009F3401"/>
    <w:rsid w:val="009F3E6B"/>
    <w:rsid w:val="009F47A6"/>
    <w:rsid w:val="009F4F07"/>
    <w:rsid w:val="009F6D5D"/>
    <w:rsid w:val="009F7404"/>
    <w:rsid w:val="009F78FB"/>
    <w:rsid w:val="00A003DC"/>
    <w:rsid w:val="00A01038"/>
    <w:rsid w:val="00A03811"/>
    <w:rsid w:val="00A05F66"/>
    <w:rsid w:val="00A060FA"/>
    <w:rsid w:val="00A0629B"/>
    <w:rsid w:val="00A10CFE"/>
    <w:rsid w:val="00A13366"/>
    <w:rsid w:val="00A14388"/>
    <w:rsid w:val="00A14B4A"/>
    <w:rsid w:val="00A14E24"/>
    <w:rsid w:val="00A15A61"/>
    <w:rsid w:val="00A16F2F"/>
    <w:rsid w:val="00A1772B"/>
    <w:rsid w:val="00A1791C"/>
    <w:rsid w:val="00A20192"/>
    <w:rsid w:val="00A20BA8"/>
    <w:rsid w:val="00A21C39"/>
    <w:rsid w:val="00A23389"/>
    <w:rsid w:val="00A23EE2"/>
    <w:rsid w:val="00A24FAD"/>
    <w:rsid w:val="00A25958"/>
    <w:rsid w:val="00A25F49"/>
    <w:rsid w:val="00A266E1"/>
    <w:rsid w:val="00A26840"/>
    <w:rsid w:val="00A2760E"/>
    <w:rsid w:val="00A27B69"/>
    <w:rsid w:val="00A300A3"/>
    <w:rsid w:val="00A31A1D"/>
    <w:rsid w:val="00A31C67"/>
    <w:rsid w:val="00A31C8C"/>
    <w:rsid w:val="00A33B4C"/>
    <w:rsid w:val="00A34125"/>
    <w:rsid w:val="00A35319"/>
    <w:rsid w:val="00A360A2"/>
    <w:rsid w:val="00A366AA"/>
    <w:rsid w:val="00A37273"/>
    <w:rsid w:val="00A37EB4"/>
    <w:rsid w:val="00A400FC"/>
    <w:rsid w:val="00A41766"/>
    <w:rsid w:val="00A4278A"/>
    <w:rsid w:val="00A435C2"/>
    <w:rsid w:val="00A43B61"/>
    <w:rsid w:val="00A445DB"/>
    <w:rsid w:val="00A4470F"/>
    <w:rsid w:val="00A448E9"/>
    <w:rsid w:val="00A46090"/>
    <w:rsid w:val="00A50B80"/>
    <w:rsid w:val="00A51743"/>
    <w:rsid w:val="00A51B29"/>
    <w:rsid w:val="00A521A0"/>
    <w:rsid w:val="00A53E3B"/>
    <w:rsid w:val="00A54A3C"/>
    <w:rsid w:val="00A55ED4"/>
    <w:rsid w:val="00A56883"/>
    <w:rsid w:val="00A569A6"/>
    <w:rsid w:val="00A57051"/>
    <w:rsid w:val="00A57768"/>
    <w:rsid w:val="00A57D5B"/>
    <w:rsid w:val="00A6117A"/>
    <w:rsid w:val="00A6136B"/>
    <w:rsid w:val="00A61D1C"/>
    <w:rsid w:val="00A62007"/>
    <w:rsid w:val="00A626D7"/>
    <w:rsid w:val="00A645E4"/>
    <w:rsid w:val="00A648DA"/>
    <w:rsid w:val="00A66D3C"/>
    <w:rsid w:val="00A672AC"/>
    <w:rsid w:val="00A709E6"/>
    <w:rsid w:val="00A71CF9"/>
    <w:rsid w:val="00A73071"/>
    <w:rsid w:val="00A74E8B"/>
    <w:rsid w:val="00A75F13"/>
    <w:rsid w:val="00A8125A"/>
    <w:rsid w:val="00A820D0"/>
    <w:rsid w:val="00A830AE"/>
    <w:rsid w:val="00A842AB"/>
    <w:rsid w:val="00A84ECA"/>
    <w:rsid w:val="00A8643D"/>
    <w:rsid w:val="00A87283"/>
    <w:rsid w:val="00A87668"/>
    <w:rsid w:val="00A90BC1"/>
    <w:rsid w:val="00A90CB6"/>
    <w:rsid w:val="00A915D2"/>
    <w:rsid w:val="00A91632"/>
    <w:rsid w:val="00A9378E"/>
    <w:rsid w:val="00A94875"/>
    <w:rsid w:val="00A95631"/>
    <w:rsid w:val="00A96A69"/>
    <w:rsid w:val="00A97E3F"/>
    <w:rsid w:val="00AA06E0"/>
    <w:rsid w:val="00AA0929"/>
    <w:rsid w:val="00AA40A9"/>
    <w:rsid w:val="00AB44A5"/>
    <w:rsid w:val="00AB521E"/>
    <w:rsid w:val="00AB73D3"/>
    <w:rsid w:val="00AC1DC5"/>
    <w:rsid w:val="00AC3158"/>
    <w:rsid w:val="00AC4B35"/>
    <w:rsid w:val="00AC50DE"/>
    <w:rsid w:val="00AC542A"/>
    <w:rsid w:val="00AC6B11"/>
    <w:rsid w:val="00AC7010"/>
    <w:rsid w:val="00AD0B14"/>
    <w:rsid w:val="00AD3A79"/>
    <w:rsid w:val="00AD42F9"/>
    <w:rsid w:val="00AD440F"/>
    <w:rsid w:val="00AD4B55"/>
    <w:rsid w:val="00AD5110"/>
    <w:rsid w:val="00AD5B20"/>
    <w:rsid w:val="00AD5B9B"/>
    <w:rsid w:val="00AD5BD0"/>
    <w:rsid w:val="00AD63FC"/>
    <w:rsid w:val="00AD6561"/>
    <w:rsid w:val="00AE04A9"/>
    <w:rsid w:val="00AE3383"/>
    <w:rsid w:val="00AE4627"/>
    <w:rsid w:val="00AE494C"/>
    <w:rsid w:val="00AE55D9"/>
    <w:rsid w:val="00AE6C76"/>
    <w:rsid w:val="00AF29B6"/>
    <w:rsid w:val="00AF35D9"/>
    <w:rsid w:val="00AF3F5C"/>
    <w:rsid w:val="00AF76DA"/>
    <w:rsid w:val="00AF7743"/>
    <w:rsid w:val="00AF78B4"/>
    <w:rsid w:val="00B00975"/>
    <w:rsid w:val="00B01193"/>
    <w:rsid w:val="00B018B9"/>
    <w:rsid w:val="00B028E5"/>
    <w:rsid w:val="00B03B9F"/>
    <w:rsid w:val="00B0441E"/>
    <w:rsid w:val="00B052EE"/>
    <w:rsid w:val="00B0550E"/>
    <w:rsid w:val="00B05739"/>
    <w:rsid w:val="00B05BBD"/>
    <w:rsid w:val="00B06D0A"/>
    <w:rsid w:val="00B12C75"/>
    <w:rsid w:val="00B1396D"/>
    <w:rsid w:val="00B14982"/>
    <w:rsid w:val="00B157C8"/>
    <w:rsid w:val="00B17FAF"/>
    <w:rsid w:val="00B225E8"/>
    <w:rsid w:val="00B23862"/>
    <w:rsid w:val="00B25E89"/>
    <w:rsid w:val="00B26AB5"/>
    <w:rsid w:val="00B27A22"/>
    <w:rsid w:val="00B302F7"/>
    <w:rsid w:val="00B33533"/>
    <w:rsid w:val="00B33BBA"/>
    <w:rsid w:val="00B352A9"/>
    <w:rsid w:val="00B35D78"/>
    <w:rsid w:val="00B37743"/>
    <w:rsid w:val="00B411FB"/>
    <w:rsid w:val="00B44BFF"/>
    <w:rsid w:val="00B47CFF"/>
    <w:rsid w:val="00B50D2B"/>
    <w:rsid w:val="00B50EE3"/>
    <w:rsid w:val="00B51623"/>
    <w:rsid w:val="00B52B82"/>
    <w:rsid w:val="00B53714"/>
    <w:rsid w:val="00B53EA4"/>
    <w:rsid w:val="00B54C7D"/>
    <w:rsid w:val="00B55D28"/>
    <w:rsid w:val="00B60A2E"/>
    <w:rsid w:val="00B61A21"/>
    <w:rsid w:val="00B61BA2"/>
    <w:rsid w:val="00B6252A"/>
    <w:rsid w:val="00B63D4F"/>
    <w:rsid w:val="00B71CDE"/>
    <w:rsid w:val="00B72A2A"/>
    <w:rsid w:val="00B731CD"/>
    <w:rsid w:val="00B73413"/>
    <w:rsid w:val="00B744CF"/>
    <w:rsid w:val="00B76116"/>
    <w:rsid w:val="00B76AB0"/>
    <w:rsid w:val="00B77154"/>
    <w:rsid w:val="00B80B86"/>
    <w:rsid w:val="00B80C45"/>
    <w:rsid w:val="00B8195E"/>
    <w:rsid w:val="00B81E87"/>
    <w:rsid w:val="00B828D2"/>
    <w:rsid w:val="00B83230"/>
    <w:rsid w:val="00B84EE8"/>
    <w:rsid w:val="00B8567E"/>
    <w:rsid w:val="00B8675E"/>
    <w:rsid w:val="00B86F74"/>
    <w:rsid w:val="00B87178"/>
    <w:rsid w:val="00B87F55"/>
    <w:rsid w:val="00B901CC"/>
    <w:rsid w:val="00B90BF4"/>
    <w:rsid w:val="00B90D9A"/>
    <w:rsid w:val="00B953CF"/>
    <w:rsid w:val="00B95C32"/>
    <w:rsid w:val="00B96146"/>
    <w:rsid w:val="00B962CC"/>
    <w:rsid w:val="00B96370"/>
    <w:rsid w:val="00B96A73"/>
    <w:rsid w:val="00B9768B"/>
    <w:rsid w:val="00B979C9"/>
    <w:rsid w:val="00B97EAB"/>
    <w:rsid w:val="00BA02B2"/>
    <w:rsid w:val="00BA08AF"/>
    <w:rsid w:val="00BA09B0"/>
    <w:rsid w:val="00BA0BE0"/>
    <w:rsid w:val="00BA38EC"/>
    <w:rsid w:val="00BA786B"/>
    <w:rsid w:val="00BB1673"/>
    <w:rsid w:val="00BB1A24"/>
    <w:rsid w:val="00BB20F7"/>
    <w:rsid w:val="00BB2216"/>
    <w:rsid w:val="00BB27C2"/>
    <w:rsid w:val="00BB27CA"/>
    <w:rsid w:val="00BB5C05"/>
    <w:rsid w:val="00BB7C7A"/>
    <w:rsid w:val="00BC0EFD"/>
    <w:rsid w:val="00BC20DF"/>
    <w:rsid w:val="00BC2835"/>
    <w:rsid w:val="00BC2B73"/>
    <w:rsid w:val="00BC5767"/>
    <w:rsid w:val="00BC58A6"/>
    <w:rsid w:val="00BC5DFC"/>
    <w:rsid w:val="00BC5F1B"/>
    <w:rsid w:val="00BC63A8"/>
    <w:rsid w:val="00BC79A8"/>
    <w:rsid w:val="00BC7FDB"/>
    <w:rsid w:val="00BD0B83"/>
    <w:rsid w:val="00BD1378"/>
    <w:rsid w:val="00BD3BD1"/>
    <w:rsid w:val="00BD67D4"/>
    <w:rsid w:val="00BE2644"/>
    <w:rsid w:val="00BE2F68"/>
    <w:rsid w:val="00BE36D2"/>
    <w:rsid w:val="00BE5DB8"/>
    <w:rsid w:val="00BE7988"/>
    <w:rsid w:val="00BF08DF"/>
    <w:rsid w:val="00BF0DA0"/>
    <w:rsid w:val="00BF1067"/>
    <w:rsid w:val="00BF4201"/>
    <w:rsid w:val="00BF7779"/>
    <w:rsid w:val="00BF79E2"/>
    <w:rsid w:val="00C010A9"/>
    <w:rsid w:val="00C01815"/>
    <w:rsid w:val="00C02718"/>
    <w:rsid w:val="00C029AD"/>
    <w:rsid w:val="00C02FCB"/>
    <w:rsid w:val="00C040AD"/>
    <w:rsid w:val="00C04492"/>
    <w:rsid w:val="00C04790"/>
    <w:rsid w:val="00C04E79"/>
    <w:rsid w:val="00C120F5"/>
    <w:rsid w:val="00C12136"/>
    <w:rsid w:val="00C13E08"/>
    <w:rsid w:val="00C15190"/>
    <w:rsid w:val="00C1522F"/>
    <w:rsid w:val="00C15288"/>
    <w:rsid w:val="00C171F9"/>
    <w:rsid w:val="00C20319"/>
    <w:rsid w:val="00C20CC2"/>
    <w:rsid w:val="00C22354"/>
    <w:rsid w:val="00C2256E"/>
    <w:rsid w:val="00C22837"/>
    <w:rsid w:val="00C23391"/>
    <w:rsid w:val="00C25AD0"/>
    <w:rsid w:val="00C27CDF"/>
    <w:rsid w:val="00C312FB"/>
    <w:rsid w:val="00C31E51"/>
    <w:rsid w:val="00C338E3"/>
    <w:rsid w:val="00C33A40"/>
    <w:rsid w:val="00C33C5C"/>
    <w:rsid w:val="00C34975"/>
    <w:rsid w:val="00C37105"/>
    <w:rsid w:val="00C40067"/>
    <w:rsid w:val="00C413A4"/>
    <w:rsid w:val="00C41433"/>
    <w:rsid w:val="00C418E5"/>
    <w:rsid w:val="00C443B5"/>
    <w:rsid w:val="00C46E14"/>
    <w:rsid w:val="00C512BC"/>
    <w:rsid w:val="00C52670"/>
    <w:rsid w:val="00C563E3"/>
    <w:rsid w:val="00C57970"/>
    <w:rsid w:val="00C57A53"/>
    <w:rsid w:val="00C60CFC"/>
    <w:rsid w:val="00C61ED3"/>
    <w:rsid w:val="00C634F2"/>
    <w:rsid w:val="00C63DA9"/>
    <w:rsid w:val="00C65C25"/>
    <w:rsid w:val="00C666C1"/>
    <w:rsid w:val="00C7058D"/>
    <w:rsid w:val="00C70AB5"/>
    <w:rsid w:val="00C70AF3"/>
    <w:rsid w:val="00C70FEC"/>
    <w:rsid w:val="00C72357"/>
    <w:rsid w:val="00C72643"/>
    <w:rsid w:val="00C73844"/>
    <w:rsid w:val="00C7503F"/>
    <w:rsid w:val="00C7614B"/>
    <w:rsid w:val="00C7693A"/>
    <w:rsid w:val="00C77427"/>
    <w:rsid w:val="00C807F0"/>
    <w:rsid w:val="00C8080B"/>
    <w:rsid w:val="00C857A7"/>
    <w:rsid w:val="00C85F5B"/>
    <w:rsid w:val="00C86F1B"/>
    <w:rsid w:val="00C87F20"/>
    <w:rsid w:val="00C92043"/>
    <w:rsid w:val="00C94061"/>
    <w:rsid w:val="00C9637F"/>
    <w:rsid w:val="00C97A1E"/>
    <w:rsid w:val="00CA180E"/>
    <w:rsid w:val="00CA1931"/>
    <w:rsid w:val="00CA518F"/>
    <w:rsid w:val="00CA5A57"/>
    <w:rsid w:val="00CA5D94"/>
    <w:rsid w:val="00CB0D5B"/>
    <w:rsid w:val="00CB14DA"/>
    <w:rsid w:val="00CB353C"/>
    <w:rsid w:val="00CB3D15"/>
    <w:rsid w:val="00CB4D7D"/>
    <w:rsid w:val="00CB53E1"/>
    <w:rsid w:val="00CB5887"/>
    <w:rsid w:val="00CB6946"/>
    <w:rsid w:val="00CC08C3"/>
    <w:rsid w:val="00CC1532"/>
    <w:rsid w:val="00CC199C"/>
    <w:rsid w:val="00CC2D79"/>
    <w:rsid w:val="00CC4C3D"/>
    <w:rsid w:val="00CC7D95"/>
    <w:rsid w:val="00CD000E"/>
    <w:rsid w:val="00CD267A"/>
    <w:rsid w:val="00CD460D"/>
    <w:rsid w:val="00CD6B9C"/>
    <w:rsid w:val="00CE412D"/>
    <w:rsid w:val="00CE720B"/>
    <w:rsid w:val="00CE7B20"/>
    <w:rsid w:val="00CF01E4"/>
    <w:rsid w:val="00CF05A5"/>
    <w:rsid w:val="00CF30D6"/>
    <w:rsid w:val="00CF6822"/>
    <w:rsid w:val="00CF7490"/>
    <w:rsid w:val="00CF7D1D"/>
    <w:rsid w:val="00D006F1"/>
    <w:rsid w:val="00D02C78"/>
    <w:rsid w:val="00D02E97"/>
    <w:rsid w:val="00D0343C"/>
    <w:rsid w:val="00D03CA9"/>
    <w:rsid w:val="00D05450"/>
    <w:rsid w:val="00D07289"/>
    <w:rsid w:val="00D078A1"/>
    <w:rsid w:val="00D10319"/>
    <w:rsid w:val="00D107C4"/>
    <w:rsid w:val="00D11110"/>
    <w:rsid w:val="00D118FF"/>
    <w:rsid w:val="00D14AC3"/>
    <w:rsid w:val="00D1518F"/>
    <w:rsid w:val="00D1642F"/>
    <w:rsid w:val="00D17102"/>
    <w:rsid w:val="00D17736"/>
    <w:rsid w:val="00D2003F"/>
    <w:rsid w:val="00D229C9"/>
    <w:rsid w:val="00D23277"/>
    <w:rsid w:val="00D236B5"/>
    <w:rsid w:val="00D241F7"/>
    <w:rsid w:val="00D25134"/>
    <w:rsid w:val="00D2597B"/>
    <w:rsid w:val="00D30378"/>
    <w:rsid w:val="00D3197C"/>
    <w:rsid w:val="00D3248B"/>
    <w:rsid w:val="00D3423D"/>
    <w:rsid w:val="00D3433D"/>
    <w:rsid w:val="00D370D2"/>
    <w:rsid w:val="00D37B4F"/>
    <w:rsid w:val="00D41BA8"/>
    <w:rsid w:val="00D42726"/>
    <w:rsid w:val="00D42EC0"/>
    <w:rsid w:val="00D43929"/>
    <w:rsid w:val="00D462E4"/>
    <w:rsid w:val="00D474D8"/>
    <w:rsid w:val="00D51233"/>
    <w:rsid w:val="00D52711"/>
    <w:rsid w:val="00D5367B"/>
    <w:rsid w:val="00D53C1F"/>
    <w:rsid w:val="00D54CD2"/>
    <w:rsid w:val="00D54EE1"/>
    <w:rsid w:val="00D55D68"/>
    <w:rsid w:val="00D560F5"/>
    <w:rsid w:val="00D62F3D"/>
    <w:rsid w:val="00D6394A"/>
    <w:rsid w:val="00D63A0A"/>
    <w:rsid w:val="00D64365"/>
    <w:rsid w:val="00D64AF8"/>
    <w:rsid w:val="00D65593"/>
    <w:rsid w:val="00D66BCF"/>
    <w:rsid w:val="00D66D11"/>
    <w:rsid w:val="00D67334"/>
    <w:rsid w:val="00D67E99"/>
    <w:rsid w:val="00D71351"/>
    <w:rsid w:val="00D73BD9"/>
    <w:rsid w:val="00D74068"/>
    <w:rsid w:val="00D7420C"/>
    <w:rsid w:val="00D766FE"/>
    <w:rsid w:val="00D827D3"/>
    <w:rsid w:val="00D85739"/>
    <w:rsid w:val="00D85AB0"/>
    <w:rsid w:val="00D85AD4"/>
    <w:rsid w:val="00D85F92"/>
    <w:rsid w:val="00D86DFB"/>
    <w:rsid w:val="00D875EB"/>
    <w:rsid w:val="00D87B39"/>
    <w:rsid w:val="00D903E6"/>
    <w:rsid w:val="00D90561"/>
    <w:rsid w:val="00D93B9E"/>
    <w:rsid w:val="00D94C24"/>
    <w:rsid w:val="00D95DE4"/>
    <w:rsid w:val="00D9794B"/>
    <w:rsid w:val="00DA072C"/>
    <w:rsid w:val="00DA3AD5"/>
    <w:rsid w:val="00DA71AC"/>
    <w:rsid w:val="00DB0471"/>
    <w:rsid w:val="00DB05EB"/>
    <w:rsid w:val="00DB179D"/>
    <w:rsid w:val="00DB1C61"/>
    <w:rsid w:val="00DB2A6D"/>
    <w:rsid w:val="00DB2F21"/>
    <w:rsid w:val="00DB3514"/>
    <w:rsid w:val="00DB4628"/>
    <w:rsid w:val="00DB5315"/>
    <w:rsid w:val="00DB540E"/>
    <w:rsid w:val="00DC1B4A"/>
    <w:rsid w:val="00DC27BF"/>
    <w:rsid w:val="00DC4B14"/>
    <w:rsid w:val="00DD016B"/>
    <w:rsid w:val="00DD0517"/>
    <w:rsid w:val="00DD1183"/>
    <w:rsid w:val="00DD1CC4"/>
    <w:rsid w:val="00DD2729"/>
    <w:rsid w:val="00DD288D"/>
    <w:rsid w:val="00DD4A6F"/>
    <w:rsid w:val="00DD4ADB"/>
    <w:rsid w:val="00DD7C59"/>
    <w:rsid w:val="00DE10D4"/>
    <w:rsid w:val="00DE2218"/>
    <w:rsid w:val="00DE292C"/>
    <w:rsid w:val="00DE3568"/>
    <w:rsid w:val="00DE35ED"/>
    <w:rsid w:val="00DE3762"/>
    <w:rsid w:val="00DE5545"/>
    <w:rsid w:val="00DE6902"/>
    <w:rsid w:val="00DE6F8D"/>
    <w:rsid w:val="00DE77E2"/>
    <w:rsid w:val="00DF06DC"/>
    <w:rsid w:val="00DF154A"/>
    <w:rsid w:val="00DF3B32"/>
    <w:rsid w:val="00DF42F0"/>
    <w:rsid w:val="00DF57F3"/>
    <w:rsid w:val="00DF7EA6"/>
    <w:rsid w:val="00E001D8"/>
    <w:rsid w:val="00E04799"/>
    <w:rsid w:val="00E0547F"/>
    <w:rsid w:val="00E05D7B"/>
    <w:rsid w:val="00E06348"/>
    <w:rsid w:val="00E100E1"/>
    <w:rsid w:val="00E16F98"/>
    <w:rsid w:val="00E17086"/>
    <w:rsid w:val="00E1748D"/>
    <w:rsid w:val="00E17628"/>
    <w:rsid w:val="00E20204"/>
    <w:rsid w:val="00E248E4"/>
    <w:rsid w:val="00E25B68"/>
    <w:rsid w:val="00E263C2"/>
    <w:rsid w:val="00E2729E"/>
    <w:rsid w:val="00E31940"/>
    <w:rsid w:val="00E32AC2"/>
    <w:rsid w:val="00E338FB"/>
    <w:rsid w:val="00E33E33"/>
    <w:rsid w:val="00E37269"/>
    <w:rsid w:val="00E37E0D"/>
    <w:rsid w:val="00E452F5"/>
    <w:rsid w:val="00E45C2B"/>
    <w:rsid w:val="00E46028"/>
    <w:rsid w:val="00E46E70"/>
    <w:rsid w:val="00E47AAB"/>
    <w:rsid w:val="00E51075"/>
    <w:rsid w:val="00E5115C"/>
    <w:rsid w:val="00E5269B"/>
    <w:rsid w:val="00E566D6"/>
    <w:rsid w:val="00E573F1"/>
    <w:rsid w:val="00E6409E"/>
    <w:rsid w:val="00E643EA"/>
    <w:rsid w:val="00E6704A"/>
    <w:rsid w:val="00E67FBF"/>
    <w:rsid w:val="00E74675"/>
    <w:rsid w:val="00E758A5"/>
    <w:rsid w:val="00E7798C"/>
    <w:rsid w:val="00E8083C"/>
    <w:rsid w:val="00E80E7E"/>
    <w:rsid w:val="00E81B1B"/>
    <w:rsid w:val="00E82A97"/>
    <w:rsid w:val="00E84024"/>
    <w:rsid w:val="00E8713F"/>
    <w:rsid w:val="00E87F2F"/>
    <w:rsid w:val="00E95699"/>
    <w:rsid w:val="00E95C06"/>
    <w:rsid w:val="00E95E52"/>
    <w:rsid w:val="00E9702D"/>
    <w:rsid w:val="00E976AE"/>
    <w:rsid w:val="00EA1C03"/>
    <w:rsid w:val="00EA1CF6"/>
    <w:rsid w:val="00EA1EB3"/>
    <w:rsid w:val="00EA21CF"/>
    <w:rsid w:val="00EA233B"/>
    <w:rsid w:val="00EA2701"/>
    <w:rsid w:val="00EA2C0D"/>
    <w:rsid w:val="00EA43A0"/>
    <w:rsid w:val="00EA6A9A"/>
    <w:rsid w:val="00EB068D"/>
    <w:rsid w:val="00EB19F8"/>
    <w:rsid w:val="00EB1EBF"/>
    <w:rsid w:val="00EB1FD0"/>
    <w:rsid w:val="00EB40D5"/>
    <w:rsid w:val="00EB6F61"/>
    <w:rsid w:val="00EB78C3"/>
    <w:rsid w:val="00EC0A78"/>
    <w:rsid w:val="00EC0E38"/>
    <w:rsid w:val="00EC25FA"/>
    <w:rsid w:val="00EC3154"/>
    <w:rsid w:val="00EC611A"/>
    <w:rsid w:val="00EC6E6F"/>
    <w:rsid w:val="00ED22F7"/>
    <w:rsid w:val="00ED2359"/>
    <w:rsid w:val="00ED26C1"/>
    <w:rsid w:val="00ED2CF2"/>
    <w:rsid w:val="00ED3418"/>
    <w:rsid w:val="00ED465D"/>
    <w:rsid w:val="00ED5CBD"/>
    <w:rsid w:val="00ED6EB7"/>
    <w:rsid w:val="00EE1349"/>
    <w:rsid w:val="00EE348C"/>
    <w:rsid w:val="00EE360C"/>
    <w:rsid w:val="00EE4719"/>
    <w:rsid w:val="00EE4F94"/>
    <w:rsid w:val="00EF080A"/>
    <w:rsid w:val="00EF1001"/>
    <w:rsid w:val="00EF1657"/>
    <w:rsid w:val="00EF3143"/>
    <w:rsid w:val="00EF3930"/>
    <w:rsid w:val="00EF4259"/>
    <w:rsid w:val="00EF667A"/>
    <w:rsid w:val="00EF6D28"/>
    <w:rsid w:val="00EF7C7B"/>
    <w:rsid w:val="00EF7E83"/>
    <w:rsid w:val="00F00F46"/>
    <w:rsid w:val="00F015B5"/>
    <w:rsid w:val="00F02E16"/>
    <w:rsid w:val="00F07BB5"/>
    <w:rsid w:val="00F07E4E"/>
    <w:rsid w:val="00F11642"/>
    <w:rsid w:val="00F1168C"/>
    <w:rsid w:val="00F14345"/>
    <w:rsid w:val="00F143E0"/>
    <w:rsid w:val="00F14CDD"/>
    <w:rsid w:val="00F14F5B"/>
    <w:rsid w:val="00F1675B"/>
    <w:rsid w:val="00F209F1"/>
    <w:rsid w:val="00F22078"/>
    <w:rsid w:val="00F22E15"/>
    <w:rsid w:val="00F258BB"/>
    <w:rsid w:val="00F26DE9"/>
    <w:rsid w:val="00F327D9"/>
    <w:rsid w:val="00F3330F"/>
    <w:rsid w:val="00F35CF6"/>
    <w:rsid w:val="00F35E23"/>
    <w:rsid w:val="00F366A0"/>
    <w:rsid w:val="00F41AE2"/>
    <w:rsid w:val="00F42857"/>
    <w:rsid w:val="00F4338D"/>
    <w:rsid w:val="00F454A4"/>
    <w:rsid w:val="00F51161"/>
    <w:rsid w:val="00F51383"/>
    <w:rsid w:val="00F526F7"/>
    <w:rsid w:val="00F54071"/>
    <w:rsid w:val="00F549B0"/>
    <w:rsid w:val="00F54D07"/>
    <w:rsid w:val="00F55790"/>
    <w:rsid w:val="00F55B73"/>
    <w:rsid w:val="00F567E1"/>
    <w:rsid w:val="00F577EB"/>
    <w:rsid w:val="00F577F7"/>
    <w:rsid w:val="00F6083A"/>
    <w:rsid w:val="00F6230B"/>
    <w:rsid w:val="00F64A6B"/>
    <w:rsid w:val="00F65E46"/>
    <w:rsid w:val="00F66615"/>
    <w:rsid w:val="00F72B2E"/>
    <w:rsid w:val="00F72F3D"/>
    <w:rsid w:val="00F73FC0"/>
    <w:rsid w:val="00F74C33"/>
    <w:rsid w:val="00F74C6C"/>
    <w:rsid w:val="00F81569"/>
    <w:rsid w:val="00F81632"/>
    <w:rsid w:val="00F829FC"/>
    <w:rsid w:val="00F8374F"/>
    <w:rsid w:val="00F840F9"/>
    <w:rsid w:val="00F919F8"/>
    <w:rsid w:val="00F91B67"/>
    <w:rsid w:val="00F93328"/>
    <w:rsid w:val="00F93B44"/>
    <w:rsid w:val="00F94471"/>
    <w:rsid w:val="00F96480"/>
    <w:rsid w:val="00F97473"/>
    <w:rsid w:val="00F97EC2"/>
    <w:rsid w:val="00FA2418"/>
    <w:rsid w:val="00FA64C8"/>
    <w:rsid w:val="00FA75CC"/>
    <w:rsid w:val="00FB008B"/>
    <w:rsid w:val="00FB24ED"/>
    <w:rsid w:val="00FB262E"/>
    <w:rsid w:val="00FB481F"/>
    <w:rsid w:val="00FB64D7"/>
    <w:rsid w:val="00FB75DD"/>
    <w:rsid w:val="00FB7CDF"/>
    <w:rsid w:val="00FC0854"/>
    <w:rsid w:val="00FC2EE6"/>
    <w:rsid w:val="00FC36D0"/>
    <w:rsid w:val="00FC43FA"/>
    <w:rsid w:val="00FC4617"/>
    <w:rsid w:val="00FC4796"/>
    <w:rsid w:val="00FC7295"/>
    <w:rsid w:val="00FD02B1"/>
    <w:rsid w:val="00FD14DB"/>
    <w:rsid w:val="00FD14FB"/>
    <w:rsid w:val="00FD2435"/>
    <w:rsid w:val="00FD48D7"/>
    <w:rsid w:val="00FD4AFB"/>
    <w:rsid w:val="00FD52E6"/>
    <w:rsid w:val="00FD5944"/>
    <w:rsid w:val="00FD5BF7"/>
    <w:rsid w:val="00FD7C67"/>
    <w:rsid w:val="00FE09A3"/>
    <w:rsid w:val="00FE0A07"/>
    <w:rsid w:val="00FE0E2E"/>
    <w:rsid w:val="00FE388C"/>
    <w:rsid w:val="00FE4F27"/>
    <w:rsid w:val="00FE5F71"/>
    <w:rsid w:val="00FE6830"/>
    <w:rsid w:val="00FF26DF"/>
    <w:rsid w:val="00FF283E"/>
    <w:rsid w:val="00FF2CBE"/>
    <w:rsid w:val="00FF3E95"/>
    <w:rsid w:val="00FF6B3F"/>
    <w:rsid w:val="00FF6B47"/>
    <w:rsid w:val="00FF6E99"/>
    <w:rsid w:val="00FF71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6AB8FD9"/>
  <w15:docId w15:val="{940406F9-3A96-4E3B-9971-B84F928F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iPriority="0" w:unhideWhenUsed="1"/>
    <w:lsdException w:name="caption" w:locked="1"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locked="1" w:semiHidden="1" w:uiPriority="0" w:unhideWhenUsed="1"/>
    <w:lsdException w:name="page number" w:locked="1" w:semiHidden="1" w:uiPriority="0" w:unhideWhenUsed="1"/>
    <w:lsdException w:name="endnote reference" w:locked="1" w:semiHidden="1" w:uiPriority="0"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nhideWhenUsed="1"/>
    <w:lsdException w:name="List Bullet 3" w:semiHidden="1" w:unhideWhenUsed="1"/>
    <w:lsdException w:name="List Bullet 4" w:locked="1" w:semiHidden="1" w:unhideWhenUsed="1"/>
    <w:lsdException w:name="List Bullet 5" w:semiHidden="1" w:unhideWhenUsed="1"/>
    <w:lsdException w:name="List Number 2" w:locked="1" w:semiHidden="1" w:unhideWhenUsed="1"/>
    <w:lsdException w:name="List Number 3" w:locked="1"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iPriority="0" w:unhideWhenUsed="1"/>
    <w:lsdException w:name="Body Text First Indent" w:locked="1" w:uiPriority="0"/>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qFormat="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locked="1" w:semiHidden="1" w:unhideWhenUsed="1"/>
    <w:lsdException w:name="HTML Definition"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A2F"/>
    <w:pPr>
      <w:tabs>
        <w:tab w:val="left" w:pos="794"/>
        <w:tab w:val="left" w:pos="1191"/>
        <w:tab w:val="left" w:pos="1588"/>
        <w:tab w:val="left" w:pos="1985"/>
      </w:tabs>
      <w:overflowPunct w:val="0"/>
      <w:autoSpaceDE w:val="0"/>
      <w:autoSpaceDN w:val="0"/>
      <w:adjustRightInd w:val="0"/>
      <w:spacing w:before="120"/>
      <w:textAlignment w:val="baseline"/>
    </w:pPr>
    <w:rPr>
      <w:sz w:val="24"/>
    </w:rPr>
  </w:style>
  <w:style w:type="paragraph" w:styleId="Heading1">
    <w:name w:val="heading 1"/>
    <w:aliases w:val="h1,1st level,l1,1,I1,toc1,título 1,level 0,l0,Normal + Font: Helvetica,Bold,Space Before 12 pt,Not Bold,Titre 1b,le1,Char1 Char,Section of paper,tÌtulo 1,heading 1"/>
    <w:basedOn w:val="Normal"/>
    <w:next w:val="Normal"/>
    <w:link w:val="Heading1Char"/>
    <w:qFormat/>
    <w:pPr>
      <w:keepNext/>
      <w:keepLines/>
      <w:spacing w:before="360"/>
      <w:ind w:left="794" w:hanging="794"/>
      <w:outlineLvl w:val="0"/>
    </w:pPr>
    <w:rPr>
      <w:b/>
    </w:rPr>
  </w:style>
  <w:style w:type="paragraph" w:styleId="Heading2">
    <w:name w:val="heading 2"/>
    <w:aliases w:val="2,h2,2nd level,heading 2+ Indent: Left 0.25 in,título 2,l2,UNDERRUBRIK 1-2,H2,H2-Heading 2,Header 2,Header2,22,heading2,list2,A,A.B.C.,list 2,Heading2,Heading Indent No L2,Titre 2 Car"/>
    <w:basedOn w:val="Heading1"/>
    <w:next w:val="Normal"/>
    <w:link w:val="Heading2Char1"/>
    <w:qFormat/>
    <w:pPr>
      <w:spacing w:before="240"/>
      <w:outlineLvl w:val="1"/>
    </w:pPr>
  </w:style>
  <w:style w:type="paragraph" w:styleId="Heading3">
    <w:name w:val="heading 3"/>
    <w:aliases w:val="h3,l3,H3,Underrubrik2,Titre 3 Car Car Car"/>
    <w:basedOn w:val="Heading1"/>
    <w:next w:val="Normal"/>
    <w:link w:val="Heading3Char"/>
    <w:qFormat/>
    <w:pPr>
      <w:spacing w:before="160"/>
      <w:outlineLvl w:val="2"/>
    </w:pPr>
  </w:style>
  <w:style w:type="paragraph" w:styleId="Heading4">
    <w:name w:val="heading 4"/>
    <w:basedOn w:val="Heading3"/>
    <w:next w:val="Normal"/>
    <w:link w:val="Heading4Char"/>
    <w:qFormat/>
    <w:pPr>
      <w:tabs>
        <w:tab w:val="clear" w:pos="794"/>
        <w:tab w:val="left" w:pos="1021"/>
      </w:tabs>
      <w:ind w:left="1021" w:hanging="1021"/>
      <w:outlineLvl w:val="3"/>
    </w:pPr>
  </w:style>
  <w:style w:type="paragraph" w:styleId="Heading5">
    <w:name w:val="heading 5"/>
    <w:aliases w:val="5,l4"/>
    <w:basedOn w:val="Heading4"/>
    <w:next w:val="Normal"/>
    <w:link w:val="Heading5Char"/>
    <w:qFormat/>
    <w:pPr>
      <w:outlineLvl w:val="4"/>
    </w:pPr>
  </w:style>
  <w:style w:type="paragraph" w:styleId="Heading6">
    <w:name w:val="heading 6"/>
    <w:basedOn w:val="Heading4"/>
    <w:next w:val="Normal"/>
    <w:link w:val="Heading6Char"/>
    <w:qFormat/>
    <w:pPr>
      <w:tabs>
        <w:tab w:val="clear" w:pos="1021"/>
        <w:tab w:val="clear" w:pos="1191"/>
      </w:tabs>
      <w:ind w:left="1588" w:hanging="1588"/>
      <w:outlineLvl w:val="5"/>
    </w:pPr>
  </w:style>
  <w:style w:type="paragraph" w:styleId="Heading7">
    <w:name w:val="heading 7"/>
    <w:basedOn w:val="Heading6"/>
    <w:next w:val="Normal"/>
    <w:link w:val="Heading7Char"/>
    <w:qFormat/>
    <w:pPr>
      <w:outlineLvl w:val="6"/>
    </w:pPr>
  </w:style>
  <w:style w:type="paragraph" w:styleId="Heading8">
    <w:name w:val="heading 8"/>
    <w:basedOn w:val="Heading6"/>
    <w:next w:val="Normal"/>
    <w:link w:val="Heading8Char"/>
    <w:qFormat/>
    <w:pPr>
      <w:outlineLvl w:val="7"/>
    </w:pPr>
  </w:style>
  <w:style w:type="paragraph" w:styleId="Heading9">
    <w:name w:val="heading 9"/>
    <w:basedOn w:val="Heading6"/>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l1 Char,1 Char,I1 Char,toc1 Char,título 1 Char,level 0 Char,l0 Char,Normal + Font: Helvetica Char,Bold Char,Space Before 12 pt Char,Not Bold Char,Titre 1b Char,le1 Char,Char1 Char Char,Section of paper Char"/>
    <w:basedOn w:val="DefaultParagraphFont"/>
    <w:link w:val="Heading1"/>
    <w:rPr>
      <w:rFonts w:asciiTheme="majorHAnsi" w:eastAsiaTheme="majorEastAsia" w:hAnsiTheme="majorHAnsi" w:cstheme="majorBidi"/>
      <w:b/>
      <w:bCs/>
      <w:kern w:val="32"/>
      <w:sz w:val="32"/>
      <w:szCs w:val="32"/>
      <w:lang w:val="en-GB"/>
    </w:rPr>
  </w:style>
  <w:style w:type="character" w:customStyle="1" w:styleId="Heading2Char1">
    <w:name w:val="Heading 2 Char1"/>
    <w:aliases w:val="2 Char1,h2 Char1,2nd level Char1,heading 2+ Indent: Left 0.25 in Char1,título 2 Char1,l2 Char1,UNDERRUBRIK 1-2 Char1,H2 Char1,H2-Heading 2 Char1,Header 2 Char1,Header2 Char1,22 Char1,heading2 Char1,list2 Char1,A Char1,A.B.C. Char1"/>
    <w:basedOn w:val="DefaultParagraphFont"/>
    <w:link w:val="Heading2"/>
    <w:locked/>
    <w:rPr>
      <w:rFonts w:cs="Times New Roman"/>
      <w:b/>
      <w:sz w:val="24"/>
      <w:lang w:val="en-GB" w:eastAsia="en-US" w:bidi="ar-SA"/>
    </w:rPr>
  </w:style>
  <w:style w:type="character" w:customStyle="1" w:styleId="Heading3Char">
    <w:name w:val="Heading 3 Char"/>
    <w:aliases w:val="h3 Char,l3 Char,H3 Char,Underrubrik2 Char,Titre 3 Car Car Car Char"/>
    <w:basedOn w:val="Heading1Char1"/>
    <w:link w:val="Heading3"/>
    <w:locked/>
    <w:rPr>
      <w:rFonts w:cs="Times New Roman"/>
      <w:b/>
      <w:sz w:val="24"/>
      <w:lang w:val="en-GB" w:eastAsia="en-US" w:bidi="ar-SA"/>
    </w:rPr>
  </w:style>
  <w:style w:type="character" w:customStyle="1" w:styleId="Heading1Char1">
    <w:name w:val="Heading 1 Char1"/>
    <w:aliases w:val="h1 Char1,1st level Char1,l1 Char1,1 Char1,I1 Char1,toc1 Char1,título 1 Char1,level 0 Char1,l0 Char1,heading 1 Char,Normal + Font: Helvetica Char1,Bold Char1,Space Before 12 pt Char1,Not Bold Char1,Titre 1b Char1,le1 Char1,h1 Char11"/>
    <w:basedOn w:val="DefaultParagraphFont"/>
    <w:uiPriority w:val="99"/>
    <w:rPr>
      <w:rFonts w:cs="Times New Roman"/>
      <w:b/>
      <w:sz w:val="24"/>
      <w:lang w:val="en-GB" w:eastAsia="en-US" w:bidi="ar-SA"/>
    </w:rPr>
  </w:style>
  <w:style w:type="character" w:customStyle="1" w:styleId="Heading4Char">
    <w:name w:val="Heading 4 Char"/>
    <w:basedOn w:val="DefaultParagraphFont"/>
    <w:link w:val="Heading4"/>
    <w:locked/>
    <w:rPr>
      <w:rFonts w:cs="Times New Roman"/>
      <w:b/>
      <w:sz w:val="24"/>
      <w:lang w:val="en-GB" w:eastAsia="en-US"/>
    </w:rPr>
  </w:style>
  <w:style w:type="character" w:customStyle="1" w:styleId="Heading5Char">
    <w:name w:val="Heading 5 Char"/>
    <w:aliases w:val="5 Char,l4 Char"/>
    <w:basedOn w:val="DefaultParagraphFont"/>
    <w:link w:val="Heading5"/>
    <w:locked/>
    <w:rPr>
      <w:rFonts w:cs="Times New Roman"/>
      <w:b/>
      <w:sz w:val="24"/>
      <w:lang w:val="en-GB" w:eastAsia="en-US"/>
    </w:rPr>
  </w:style>
  <w:style w:type="character" w:customStyle="1" w:styleId="Heading6Char">
    <w:name w:val="Heading 6 Char"/>
    <w:basedOn w:val="DefaultParagraphFont"/>
    <w:link w:val="Heading6"/>
    <w:locked/>
    <w:rPr>
      <w:rFonts w:cs="Times New Roman"/>
      <w:b/>
      <w:sz w:val="24"/>
      <w:lang w:val="en-GB" w:eastAsia="en-US"/>
    </w:rPr>
  </w:style>
  <w:style w:type="character" w:customStyle="1" w:styleId="Heading7Char">
    <w:name w:val="Heading 7 Char"/>
    <w:basedOn w:val="DefaultParagraphFont"/>
    <w:link w:val="Heading7"/>
    <w:locked/>
    <w:rPr>
      <w:rFonts w:cs="Times New Roman"/>
      <w:b/>
      <w:sz w:val="24"/>
      <w:lang w:val="en-GB" w:eastAsia="en-US"/>
    </w:rPr>
  </w:style>
  <w:style w:type="character" w:customStyle="1" w:styleId="Heading8Char">
    <w:name w:val="Heading 8 Char"/>
    <w:basedOn w:val="DefaultParagraphFont"/>
    <w:link w:val="Heading8"/>
    <w:locked/>
    <w:rPr>
      <w:rFonts w:cs="Times New Roman"/>
      <w:b/>
      <w:sz w:val="24"/>
      <w:lang w:val="en-GB" w:eastAsia="en-US"/>
    </w:rPr>
  </w:style>
  <w:style w:type="character" w:customStyle="1" w:styleId="Heading9Char">
    <w:name w:val="Heading 9 Char"/>
    <w:basedOn w:val="DefaultParagraphFont"/>
    <w:link w:val="Heading9"/>
    <w:locked/>
    <w:rPr>
      <w:rFonts w:cs="Times New Roman"/>
      <w:b/>
      <w:sz w:val="24"/>
      <w:lang w:val="en-GB" w:eastAsia="en-US"/>
    </w:rPr>
  </w:style>
  <w:style w:type="character" w:customStyle="1" w:styleId="Heading2Char">
    <w:name w:val="Heading 2 Char"/>
    <w:aliases w:val="2 Char,h2 Char,2nd level Char,heading 2+ Indent: Left 0.25 in Char,título 2 Char,l2 Char,UNDERRUBRIK 1-2 Char,H2 Char,H2-Heading 2 Char,Header 2 Char,Header2 Char,22 Char,heading2 Char,list2 Char,A Char,A.B.C. Char,list 2 Char"/>
    <w:basedOn w:val="Heading1Char1"/>
    <w:rPr>
      <w:rFonts w:cs="Times New Roman"/>
      <w:b/>
      <w:sz w:val="24"/>
      <w:lang w:val="en-GB" w:eastAsia="en-US" w:bidi="ar-SA"/>
    </w:rPr>
  </w:style>
  <w:style w:type="paragraph" w:customStyle="1" w:styleId="AnnexNotitle">
    <w:name w:val="Annex_No &amp; title"/>
    <w:basedOn w:val="Normal"/>
    <w:next w:val="Normal"/>
    <w:link w:val="AnnexNotitleChar"/>
    <w:pPr>
      <w:keepNext/>
      <w:keepLines/>
      <w:pageBreakBefore/>
      <w:spacing w:before="480"/>
      <w:jc w:val="center"/>
    </w:pPr>
    <w:rPr>
      <w:b/>
      <w:sz w:val="28"/>
    </w:rPr>
  </w:style>
  <w:style w:type="character" w:customStyle="1" w:styleId="AnnexNotitleChar">
    <w:name w:val="Annex_No &amp; title Char"/>
    <w:basedOn w:val="DefaultParagraphFont"/>
    <w:link w:val="AnnexNotitle"/>
    <w:locked/>
    <w:rPr>
      <w:b/>
      <w:sz w:val="28"/>
    </w:rPr>
  </w:style>
  <w:style w:type="character" w:customStyle="1" w:styleId="Appdef">
    <w:name w:val="App_def"/>
    <w:basedOn w:val="DefaultParagraphFont"/>
    <w:rPr>
      <w:rFonts w:ascii="Times New Roman" w:hAnsi="Times New Roman" w:cs="Times New Roman"/>
      <w:b/>
    </w:rPr>
  </w:style>
  <w:style w:type="character" w:customStyle="1" w:styleId="Appref">
    <w:name w:val="App_ref"/>
    <w:basedOn w:val="DefaultParagraphFont"/>
    <w:rPr>
      <w:rFonts w:cs="Times New Roman"/>
    </w:rPr>
  </w:style>
  <w:style w:type="paragraph" w:customStyle="1" w:styleId="AppendixNotitle">
    <w:name w:val="Appendix_No &amp; title"/>
    <w:basedOn w:val="AnnexNotitle"/>
    <w:next w:val="Normal"/>
  </w:style>
  <w:style w:type="character" w:customStyle="1" w:styleId="Artdef">
    <w:name w:val="Art_def"/>
    <w:basedOn w:val="DefaultParagraphFont"/>
    <w:rPr>
      <w:rFonts w:ascii="Times New Roman" w:hAnsi="Times New Roman" w:cs="Times New Roman"/>
      <w:b/>
    </w:rPr>
  </w:style>
  <w:style w:type="paragraph" w:customStyle="1" w:styleId="Artheading">
    <w:name w:val="Art_heading"/>
    <w:basedOn w:val="Normal"/>
    <w:next w:val="Normal"/>
    <w:pPr>
      <w:spacing w:before="480"/>
      <w:jc w:val="center"/>
    </w:pPr>
    <w:rPr>
      <w:b/>
      <w:sz w:val="28"/>
    </w:rPr>
  </w:style>
  <w:style w:type="paragraph" w:customStyle="1" w:styleId="ArtNo">
    <w:name w:val="Art_No"/>
    <w:basedOn w:val="Normal"/>
    <w:next w:val="Normal"/>
    <w:pPr>
      <w:keepNext/>
      <w:keepLines/>
      <w:spacing w:before="480"/>
      <w:jc w:val="center"/>
    </w:pPr>
    <w:rPr>
      <w:caps/>
      <w:sz w:val="28"/>
    </w:rPr>
  </w:style>
  <w:style w:type="character" w:customStyle="1" w:styleId="Artref">
    <w:name w:val="Art_ref"/>
    <w:basedOn w:val="DefaultParagraphFont"/>
    <w:rPr>
      <w:rFonts w:cs="Times New Roman"/>
    </w:rPr>
  </w:style>
  <w:style w:type="paragraph" w:customStyle="1" w:styleId="Arttitle">
    <w:name w:val="Art_title"/>
    <w:basedOn w:val="Normal"/>
    <w:next w:val="Normal"/>
    <w:pPr>
      <w:keepNext/>
      <w:keepLines/>
      <w:spacing w:before="240"/>
      <w:jc w:val="center"/>
    </w:pPr>
    <w:rPr>
      <w:b/>
      <w:sz w:val="28"/>
    </w:rPr>
  </w:style>
  <w:style w:type="paragraph" w:customStyle="1" w:styleId="ASN1">
    <w:name w:val="ASN.1"/>
    <w:basedOn w:val="Normal"/>
    <w:link w:val="ASN1Car"/>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SN1Car">
    <w:name w:val="ASN.1 Car"/>
    <w:basedOn w:val="DefaultParagraphFont"/>
    <w:link w:val="ASN1"/>
    <w:locked/>
    <w:rPr>
      <w:rFonts w:ascii="Courier New" w:hAnsi="Courier New" w:cs="Times New Roman"/>
      <w:b/>
      <w:noProof/>
      <w:lang w:val="en-GB" w:eastAsia="en-US" w:bidi="ar-SA"/>
    </w:rPr>
  </w:style>
  <w:style w:type="paragraph" w:customStyle="1" w:styleId="Call">
    <w:name w:val="Call"/>
    <w:basedOn w:val="Normal"/>
    <w:next w:val="Normal"/>
    <w:link w:val="CallChar"/>
    <w:pPr>
      <w:keepNext/>
      <w:keepLines/>
      <w:spacing w:before="160"/>
      <w:ind w:left="794"/>
    </w:pPr>
    <w:rPr>
      <w:i/>
    </w:rPr>
  </w:style>
  <w:style w:type="paragraph" w:customStyle="1" w:styleId="ChapNo">
    <w:name w:val="Chap_No"/>
    <w:basedOn w:val="Normal"/>
    <w:next w:val="Normal"/>
    <w:pPr>
      <w:keepNext/>
      <w:keepLines/>
      <w:spacing w:before="480"/>
      <w:jc w:val="center"/>
    </w:pPr>
    <w:rPr>
      <w:b/>
      <w:caps/>
      <w:sz w:val="28"/>
    </w:rPr>
  </w:style>
  <w:style w:type="paragraph" w:customStyle="1" w:styleId="Chaptitle">
    <w:name w:val="Chap_title"/>
    <w:basedOn w:val="Normal"/>
    <w:next w:val="Normal"/>
    <w:pPr>
      <w:keepNext/>
      <w:keepLines/>
      <w:spacing w:before="240"/>
      <w:jc w:val="center"/>
    </w:pPr>
    <w:rPr>
      <w:b/>
      <w:sz w:val="28"/>
    </w:rPr>
  </w:style>
  <w:style w:type="character" w:styleId="EndnoteReference">
    <w:name w:val="endnote reference"/>
    <w:basedOn w:val="DefaultParagraphFont"/>
    <w:rPr>
      <w:rFonts w:cs="Times New Roman"/>
      <w:vertAlign w:val="superscript"/>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basedOn w:val="DefaultParagraphFont"/>
    <w:link w:val="enumlev1"/>
    <w:locked/>
    <w:rPr>
      <w:sz w:val="24"/>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
    <w:name w:val="Figure"/>
    <w:basedOn w:val="Normal"/>
    <w:next w:val="Normal"/>
    <w:pPr>
      <w:keepNext/>
      <w:keepLines/>
      <w:spacing w:before="240" w:after="120"/>
      <w:jc w:val="center"/>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
    <w:pPr>
      <w:keepLines/>
      <w:spacing w:before="240" w:after="120"/>
      <w:jc w:val="center"/>
    </w:pPr>
    <w:rPr>
      <w:b/>
    </w:rPr>
  </w:style>
  <w:style w:type="paragraph" w:customStyle="1" w:styleId="FigureNoBR">
    <w:name w:val="Figure_No_BR"/>
    <w:basedOn w:val="Normal"/>
    <w:next w:val="Normal"/>
    <w:pPr>
      <w:keepNext/>
      <w:keepLines/>
      <w:spacing w:before="480" w:after="120"/>
      <w:jc w:val="center"/>
    </w:pPr>
    <w:rPr>
      <w:caps/>
    </w:rPr>
  </w:style>
  <w:style w:type="paragraph" w:customStyle="1" w:styleId="TabletitleBR">
    <w:name w:val="Table_title_BR"/>
    <w:basedOn w:val="Normal"/>
    <w:next w:val="Normal"/>
    <w:pPr>
      <w:keepNext/>
      <w:keepLines/>
      <w:spacing w:before="0" w:after="120"/>
      <w:jc w:val="center"/>
    </w:pPr>
    <w:rPr>
      <w:b/>
    </w:rPr>
  </w:style>
  <w:style w:type="paragraph" w:customStyle="1" w:styleId="FiguretitleBR">
    <w:name w:val="Figure_title_BR"/>
    <w:basedOn w:val="TabletitleBR"/>
    <w:next w:val="Normal"/>
    <w:pPr>
      <w:keepNext w:val="0"/>
      <w:spacing w:after="480"/>
    </w:pPr>
  </w:style>
  <w:style w:type="paragraph" w:customStyle="1" w:styleId="Figurewithouttitle">
    <w:name w:val="Figure_without_title"/>
    <w:basedOn w:val="Normal"/>
    <w:next w:val="Normal"/>
    <w:pPr>
      <w:keepLines/>
      <w:spacing w:before="240" w:after="120"/>
      <w:jc w:val="center"/>
    </w:pPr>
  </w:style>
  <w:style w:type="paragraph" w:styleId="Footer">
    <w:name w:val="footer"/>
    <w:aliases w:val="pie de página,fo"/>
    <w:basedOn w:val="Normal"/>
    <w:link w:val="FooterChar"/>
    <w:uiPriority w:val="99"/>
    <w:pPr>
      <w:tabs>
        <w:tab w:val="clear" w:pos="794"/>
        <w:tab w:val="clear" w:pos="1191"/>
        <w:tab w:val="clear" w:pos="1588"/>
        <w:tab w:val="clear" w:pos="1985"/>
        <w:tab w:val="left" w:pos="5954"/>
        <w:tab w:val="right" w:pos="9639"/>
      </w:tabs>
      <w:spacing w:before="0"/>
    </w:pPr>
    <w:rPr>
      <w:caps/>
      <w:noProof/>
      <w:sz w:val="16"/>
    </w:rPr>
  </w:style>
  <w:style w:type="character" w:customStyle="1" w:styleId="FooterChar">
    <w:name w:val="Footer Char"/>
    <w:aliases w:val="pie de página Char,fo Char"/>
    <w:basedOn w:val="DefaultParagraphFont"/>
    <w:link w:val="Footer"/>
    <w:uiPriority w:val="99"/>
    <w:locked/>
    <w:rPr>
      <w:rFonts w:cs="Times New Roman"/>
      <w:caps/>
      <w:noProof/>
      <w:sz w:val="16"/>
      <w:lang w:val="en-GB" w:eastAsia="en-US"/>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pPr>
    <w:rPr>
      <w:b/>
      <w:sz w:val="22"/>
    </w:rPr>
  </w:style>
  <w:style w:type="character" w:styleId="FootnoteReference">
    <w:name w:val="footnote reference"/>
    <w:aliases w:val="Appel note de bas de p,Footnote Reference/,Footnote symbol,Ref,de nota al pie,Footnote,Style 12,(NECG) Footnote Reference,FR,Style 13,Style 124,o,fr,Style 3,Voetnootverwijzing,Times 10 Point,Exposant 3 Point,footnote ref"/>
    <w:basedOn w:val="DefaultParagraphFont"/>
    <w:rPr>
      <w:rFonts w:cs="Times New Roman"/>
      <w:position w:val="6"/>
      <w:sz w:val="18"/>
    </w:rPr>
  </w:style>
  <w:style w:type="paragraph" w:customStyle="1" w:styleId="Note">
    <w:name w:val="Note"/>
    <w:basedOn w:val="Normal"/>
    <w:pPr>
      <w:spacing w:before="80"/>
    </w:pPr>
  </w:style>
  <w:style w:type="paragraph" w:styleId="FootnoteText">
    <w:name w:val="footnote text"/>
    <w:aliases w:val="ACMA Footnote Text,ALTS FOOTNOTE,Footnote Text Char1,Footnote Text Char Char1,Footnote Text Char4 Char Char,Footnote Text Char1 Char1 Char1 Char,Footnote Text Char Char1 Char1 Char Char,Footnote Text Char1 Char1 Char1 Char Char Char1,DNV-"/>
    <w:basedOn w:val="Note"/>
    <w:link w:val="FootnoteTextChar"/>
    <w:pPr>
      <w:keepLines/>
      <w:tabs>
        <w:tab w:val="left" w:pos="255"/>
      </w:tabs>
      <w:ind w:left="255" w:hanging="255"/>
    </w:pPr>
  </w:style>
  <w:style w:type="character" w:customStyle="1" w:styleId="FootnoteTextChar">
    <w:name w:val="Footnote Text Char"/>
    <w:aliases w:val="ACMA Footnote Text Char,ALTS FOOTNOTE Char,Footnote Text Char1 Char,Footnote Text Char Char1 Char,Footnote Text Char4 Char Char Char,Footnote Text Char1 Char1 Char1 Char Char,Footnote Text Char Char1 Char1 Char Char Char,DNV- Char"/>
    <w:basedOn w:val="DefaultParagraphFont"/>
    <w:link w:val="FootnoteText"/>
    <w:locked/>
    <w:rPr>
      <w:rFonts w:cs="Times New Roman"/>
      <w:sz w:val="24"/>
      <w:lang w:val="en-GB" w:eastAsia="en-US"/>
    </w:rPr>
  </w:style>
  <w:style w:type="paragraph" w:customStyle="1" w:styleId="Formal">
    <w:name w:val="Formal"/>
    <w:basedOn w:val="ASN1"/>
    <w:rPr>
      <w:b w:val="0"/>
    </w:rPr>
  </w:style>
  <w:style w:type="paragraph" w:styleId="Header">
    <w:name w:val="header"/>
    <w:aliases w:val="header odd,header entry,HE,h,Header/Footer,页眉"/>
    <w:basedOn w:val="Normal"/>
    <w:link w:val="HeaderChar1"/>
    <w:pPr>
      <w:tabs>
        <w:tab w:val="clear" w:pos="794"/>
        <w:tab w:val="clear" w:pos="1191"/>
        <w:tab w:val="clear" w:pos="1588"/>
        <w:tab w:val="clear" w:pos="1985"/>
      </w:tabs>
      <w:spacing w:before="0"/>
      <w:jc w:val="center"/>
    </w:pPr>
    <w:rPr>
      <w:sz w:val="18"/>
    </w:rPr>
  </w:style>
  <w:style w:type="character" w:customStyle="1" w:styleId="HeaderChar1">
    <w:name w:val="Header Char1"/>
    <w:aliases w:val="header odd Char1,header entry Char1,HE Char1,h Char1,Header/Footer Char1,页眉 Char"/>
    <w:basedOn w:val="DefaultParagraphFont"/>
    <w:link w:val="Header"/>
    <w:locked/>
    <w:rPr>
      <w:rFonts w:cs="Times New Roman"/>
      <w:sz w:val="18"/>
      <w:lang w:val="en-GB" w:eastAsia="en-US" w:bidi="ar-SA"/>
    </w:rPr>
  </w:style>
  <w:style w:type="character" w:customStyle="1" w:styleId="HeaderChar">
    <w:name w:val="Header Char"/>
    <w:aliases w:val="header odd Char,header entry Char,HE Char,h Char,Header/Footer Char,页眉 Char1"/>
    <w:basedOn w:val="DefaultParagraphFont"/>
    <w:rPr>
      <w:rFonts w:eastAsia="Batang" w:cs="Times New Roman"/>
      <w:sz w:val="18"/>
      <w:lang w:val="en-GB" w:eastAsia="en-US" w:bidi="ar-SA"/>
    </w:rPr>
  </w:style>
  <w:style w:type="character" w:customStyle="1" w:styleId="CommentSubjectChar">
    <w:name w:val="Comment Subject Char"/>
    <w:basedOn w:val="DefaultParagraphFont"/>
    <w:link w:val="CommentSubject"/>
    <w:locked/>
    <w:rPr>
      <w:rFonts w:cs="Times New Roman"/>
      <w:sz w:val="18"/>
      <w:lang w:val="en-GB" w:eastAsia="en-US" w:bidi="ar-SA"/>
    </w:rPr>
  </w:style>
  <w:style w:type="paragraph" w:styleId="CommentSubject">
    <w:name w:val="annotation subject"/>
    <w:basedOn w:val="CommentText"/>
    <w:next w:val="CommentText"/>
    <w:link w:val="CommentSubjectChar"/>
    <w:rPr>
      <w:rFonts w:eastAsia="Times New Roman"/>
      <w:sz w:val="18"/>
    </w:rPr>
  </w:style>
  <w:style w:type="paragraph" w:styleId="CommentText">
    <w:name w:val="annotation text"/>
    <w:basedOn w:val="Normal"/>
    <w:link w:val="CommentTextChar"/>
    <w:rPr>
      <w:rFonts w:eastAsia="SimSun"/>
    </w:rPr>
  </w:style>
  <w:style w:type="character" w:customStyle="1" w:styleId="CommentTextChar">
    <w:name w:val="Comment Text Char"/>
    <w:basedOn w:val="DefaultParagraphFont"/>
    <w:link w:val="CommentText"/>
    <w:locked/>
    <w:rPr>
      <w:rFonts w:eastAsia="SimSun" w:cs="Times New Roman"/>
      <w:sz w:val="24"/>
      <w:lang w:val="en-GB" w:eastAsia="en-US" w:bidi="ar-SA"/>
    </w:rPr>
  </w:style>
  <w:style w:type="character" w:customStyle="1" w:styleId="CommentSubjectChar1">
    <w:name w:val="Comment Subject Char1"/>
    <w:basedOn w:val="CharChar8"/>
    <w:uiPriority w:val="99"/>
    <w:rPr>
      <w:rFonts w:cs="Times New Roman"/>
      <w:b/>
      <w:bCs/>
      <w:lang w:val="en-GB"/>
    </w:rPr>
  </w:style>
  <w:style w:type="character" w:customStyle="1" w:styleId="CharChar8">
    <w:name w:val="Char Char8"/>
    <w:basedOn w:val="DefaultParagraphFont"/>
    <w:uiPriority w:val="99"/>
    <w:rPr>
      <w:rFonts w:cs="Times New Roman"/>
      <w:lang w:val="en-GB"/>
    </w:rPr>
  </w:style>
  <w:style w:type="paragraph" w:customStyle="1" w:styleId="Headingb">
    <w:name w:val="Heading_b"/>
    <w:basedOn w:val="Normal"/>
    <w:next w:val="Normal"/>
    <w:qFormat/>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Normalaftertitle">
    <w:name w:val="Normal_after_title"/>
    <w:basedOn w:val="Normal"/>
    <w:next w:val="Normal"/>
    <w:uiPriority w:val="99"/>
    <w:pPr>
      <w:spacing w:before="360"/>
    </w:pPr>
  </w:style>
  <w:style w:type="character" w:styleId="PageNumber">
    <w:name w:val="page number"/>
    <w:basedOn w:val="DefaultParagraphFont"/>
    <w:rPr>
      <w:rFonts w:cs="Times New Roman"/>
    </w:rPr>
  </w:style>
  <w:style w:type="paragraph" w:customStyle="1" w:styleId="PartNo">
    <w:name w:val="Part_No"/>
    <w:basedOn w:val="Normal"/>
    <w:next w:val="Normal"/>
    <w:pPr>
      <w:keepNext/>
      <w:keepLines/>
      <w:spacing w:before="480" w:after="80"/>
      <w:jc w:val="center"/>
    </w:pPr>
    <w:rPr>
      <w:caps/>
      <w:sz w:val="28"/>
    </w:rPr>
  </w:style>
  <w:style w:type="paragraph" w:customStyle="1" w:styleId="Partref">
    <w:name w:val="Part_ref"/>
    <w:basedOn w:val="Normal"/>
    <w:next w:val="Normal"/>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
  </w:style>
  <w:style w:type="paragraph" w:customStyle="1" w:styleId="RecNo">
    <w:name w:val="Rec_No"/>
    <w:basedOn w:val="Normal"/>
    <w:next w:val="Normal"/>
    <w:pPr>
      <w:keepNext/>
      <w:keepLines/>
      <w:spacing w:before="0"/>
    </w:pPr>
    <w:rPr>
      <w:b/>
      <w:sz w:val="28"/>
    </w:rPr>
  </w:style>
  <w:style w:type="paragraph" w:customStyle="1" w:styleId="QuestionNo">
    <w:name w:val="Question_No"/>
    <w:basedOn w:val="RecNo"/>
    <w:next w:val="Normal"/>
  </w:style>
  <w:style w:type="paragraph" w:customStyle="1" w:styleId="RecNoBR">
    <w:name w:val="Rec_No_BR"/>
    <w:basedOn w:val="Normal"/>
    <w:next w:val="Normal"/>
    <w:pPr>
      <w:keepNext/>
      <w:keepLines/>
      <w:spacing w:before="480"/>
      <w:jc w:val="center"/>
    </w:pPr>
    <w:rPr>
      <w:caps/>
      <w:sz w:val="28"/>
    </w:rPr>
  </w:style>
  <w:style w:type="paragraph" w:customStyle="1" w:styleId="QuestionNoBR">
    <w:name w:val="Question_No_BR"/>
    <w:basedOn w:val="RecNoBR"/>
    <w:next w:val="Normal"/>
  </w:style>
  <w:style w:type="paragraph" w:customStyle="1" w:styleId="Recref">
    <w:name w:val="Rec_ref"/>
    <w:basedOn w:val="Normal"/>
    <w:next w:val="Recdate"/>
    <w:uiPriority w:val="99"/>
    <w:qFormat/>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style>
  <w:style w:type="paragraph" w:customStyle="1" w:styleId="Rectitle">
    <w:name w:val="Rec_title"/>
    <w:basedOn w:val="Normal"/>
    <w:next w:val="Normalaftertitle"/>
    <w:pPr>
      <w:keepNext/>
      <w:keepLines/>
      <w:spacing w:before="360"/>
      <w:jc w:val="center"/>
    </w:pPr>
    <w:rPr>
      <w:b/>
      <w:sz w:val="28"/>
    </w:rPr>
  </w:style>
  <w:style w:type="paragraph" w:customStyle="1" w:styleId="Questiontitle">
    <w:name w:val="Question_title"/>
    <w:basedOn w:val="Rectitle"/>
    <w:next w:val="Questionref"/>
  </w:style>
  <w:style w:type="character" w:customStyle="1" w:styleId="Recdef">
    <w:name w:val="Rec_def"/>
    <w:basedOn w:val="DefaultParagraphFont"/>
    <w:rPr>
      <w:rFonts w:cs="Times New Roman"/>
      <w:b/>
    </w:rPr>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date">
    <w:name w:val="Rep_date"/>
    <w:basedOn w:val="Recdate"/>
    <w:next w:val="Normalaftertitle"/>
  </w:style>
  <w:style w:type="paragraph" w:customStyle="1" w:styleId="RepNo">
    <w:name w:val="Rep_No"/>
    <w:basedOn w:val="RecNo"/>
    <w:next w:val="Normal"/>
  </w:style>
  <w:style w:type="paragraph" w:customStyle="1" w:styleId="RepNoBR">
    <w:name w:val="Rep_No_BR"/>
    <w:basedOn w:val="RecNoBR"/>
    <w:next w:val="Normal"/>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character" w:customStyle="1" w:styleId="Resdef">
    <w:name w:val="Res_def"/>
    <w:basedOn w:val="DefaultParagraphFont"/>
    <w:rPr>
      <w:rFonts w:ascii="Times New Roman" w:hAnsi="Times New Roman" w:cs="Times New Roman"/>
      <w:b/>
    </w:rPr>
  </w:style>
  <w:style w:type="paragraph" w:customStyle="1" w:styleId="ResNo">
    <w:name w:val="Res_No"/>
    <w:basedOn w:val="RecNo"/>
    <w:next w:val="Normal"/>
  </w:style>
  <w:style w:type="paragraph" w:customStyle="1" w:styleId="ResNoBR">
    <w:name w:val="Res_No_BR"/>
    <w:basedOn w:val="RecNoBR"/>
    <w:next w:val="Normal"/>
  </w:style>
  <w:style w:type="paragraph" w:customStyle="1" w:styleId="Resref">
    <w:name w:val="Res_ref"/>
    <w:basedOn w:val="Recref"/>
    <w:next w:val="Resdate"/>
    <w:qFormat/>
  </w:style>
  <w:style w:type="paragraph" w:customStyle="1" w:styleId="Restitle">
    <w:name w:val="Res_title"/>
    <w:basedOn w:val="Rectitle"/>
    <w:next w:val="Resref"/>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SectionNo">
    <w:name w:val="Section_No"/>
    <w:basedOn w:val="Normal"/>
    <w:next w:val="Normal"/>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Pr>
      <w:rFonts w:cs="Times New Roman"/>
      <w:b/>
      <w:color w:val="auto"/>
    </w:rPr>
  </w:style>
  <w:style w:type="paragraph" w:customStyle="1" w:styleId="Tablehead">
    <w:name w:val="Table_head"/>
    <w:basedOn w:val="Normal"/>
    <w:next w:val="Normal"/>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
    <w:qFormat/>
    <w:pPr>
      <w:keepNext/>
      <w:keepLines/>
      <w:spacing w:before="360" w:after="120"/>
      <w:jc w:val="center"/>
    </w:pPr>
    <w:rPr>
      <w:b/>
    </w:rPr>
  </w:style>
  <w:style w:type="character" w:customStyle="1" w:styleId="TableNotitleChar">
    <w:name w:val="Table_No &amp; title Char"/>
    <w:basedOn w:val="DefaultParagraphFont"/>
    <w:uiPriority w:val="99"/>
    <w:rPr>
      <w:rFonts w:cs="Times New Roman"/>
      <w:b/>
      <w:sz w:val="24"/>
      <w:lang w:val="en-GB" w:eastAsia="en-US" w:bidi="ar-SA"/>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character" w:customStyle="1" w:styleId="TabletextChar">
    <w:name w:val="Table_text Char"/>
    <w:basedOn w:val="DefaultParagraphFont"/>
    <w:rPr>
      <w:rFonts w:cs="Times New Roman"/>
      <w:sz w:val="22"/>
      <w:lang w:val="en-GB" w:eastAsia="en-US" w:bidi="ar-SA"/>
    </w:rPr>
  </w:style>
  <w:style w:type="paragraph" w:customStyle="1" w:styleId="Title1">
    <w:name w:val="Title 1"/>
    <w:basedOn w:val="Source"/>
    <w:next w:val="Normal"/>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style>
  <w:style w:type="paragraph" w:customStyle="1" w:styleId="Title3">
    <w:name w:val="Title 3"/>
    <w:basedOn w:val="Title2"/>
    <w:next w:val="Normal"/>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uiPriority w:val="3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uiPriority w:val="39"/>
    <w:pPr>
      <w:spacing w:before="80"/>
      <w:ind w:left="1531" w:hanging="851"/>
    </w:pPr>
  </w:style>
  <w:style w:type="paragraph" w:styleId="TOC3">
    <w:name w:val="toc 3"/>
    <w:basedOn w:val="TOC2"/>
    <w:uiPriority w:val="39"/>
  </w:style>
  <w:style w:type="paragraph" w:styleId="TOC4">
    <w:name w:val="toc 4"/>
    <w:basedOn w:val="TOC3"/>
    <w:uiPriority w:val="39"/>
  </w:style>
  <w:style w:type="paragraph" w:styleId="TOC5">
    <w:name w:val="toc 5"/>
    <w:basedOn w:val="TOC4"/>
    <w:uiPriority w:val="39"/>
  </w:style>
  <w:style w:type="paragraph" w:styleId="TOC6">
    <w:name w:val="toc 6"/>
    <w:basedOn w:val="TOC4"/>
    <w:uiPriority w:val="39"/>
  </w:style>
  <w:style w:type="paragraph" w:styleId="TOC7">
    <w:name w:val="toc 7"/>
    <w:basedOn w:val="TOC4"/>
    <w:uiPriority w:val="39"/>
  </w:style>
  <w:style w:type="paragraph" w:styleId="TOC8">
    <w:name w:val="toc 8"/>
    <w:basedOn w:val="TOC4"/>
    <w:uiPriority w:val="39"/>
  </w:style>
  <w:style w:type="character" w:styleId="Hyperlink">
    <w:name w:val="Hyperlink"/>
    <w:aliases w:val="超级链接,Style 58,超????,超?级链,하이퍼링크2,하이퍼링크21,CEO_Hyperlink"/>
    <w:basedOn w:val="DefaultParagraphFont"/>
    <w:uiPriority w:val="99"/>
    <w:qFormat/>
    <w:rPr>
      <w:rFonts w:cs="Times New Roman"/>
      <w:color w:val="0000FF"/>
      <w:u w:val="single"/>
    </w:rPr>
  </w:style>
  <w:style w:type="paragraph" w:customStyle="1" w:styleId="Normalaftertitle0">
    <w:name w:val="Normal after title"/>
    <w:basedOn w:val="Normal"/>
    <w:next w:val="Normal"/>
    <w:pPr>
      <w:overflowPunct/>
      <w:autoSpaceDE/>
      <w:autoSpaceDN/>
      <w:adjustRightInd/>
      <w:spacing w:before="320"/>
      <w:textAlignment w:val="auto"/>
    </w:pPr>
  </w:style>
  <w:style w:type="paragraph" w:customStyle="1" w:styleId="TableHead0">
    <w:name w:val="Table_Head"/>
    <w:basedOn w:val="TableText0"/>
    <w:link w:val="TableHeadChar"/>
    <w:pPr>
      <w:keepNext/>
      <w:spacing w:before="80" w:after="80"/>
      <w:jc w:val="center"/>
    </w:pPr>
    <w:rPr>
      <w:b/>
    </w:rPr>
  </w:style>
  <w:style w:type="paragraph" w:customStyle="1" w:styleId="TableText0">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character" w:customStyle="1" w:styleId="TableHeadChar">
    <w:name w:val="Table_Head Char"/>
    <w:basedOn w:val="TableTextChar0"/>
    <w:link w:val="TableHead0"/>
    <w:locked/>
    <w:rPr>
      <w:rFonts w:eastAsia="Batang" w:cs="Times New Roman"/>
      <w:b/>
      <w:sz w:val="22"/>
      <w:lang w:val="en-GB" w:eastAsia="en-US" w:bidi="ar-SA"/>
    </w:rPr>
  </w:style>
  <w:style w:type="character" w:customStyle="1" w:styleId="TableTextChar0">
    <w:name w:val="Table_Text Char"/>
    <w:basedOn w:val="DefaultParagraphFont"/>
    <w:rPr>
      <w:rFonts w:eastAsia="Batang" w:cs="Times New Roman"/>
      <w:sz w:val="22"/>
      <w:lang w:val="en-GB" w:eastAsia="en-US" w:bidi="ar-SA"/>
    </w:rPr>
  </w:style>
  <w:style w:type="character" w:styleId="Strong">
    <w:name w:val="Strong"/>
    <w:basedOn w:val="DefaultParagraphFont"/>
    <w:uiPriority w:val="22"/>
    <w:qFormat/>
    <w:rPr>
      <w:rFonts w:cs="Times New Roman"/>
      <w:b/>
      <w:bCs/>
    </w:rPr>
  </w:style>
  <w:style w:type="paragraph" w:styleId="BodyTextIndent">
    <w:name w:val="Body Text Indent"/>
    <w:basedOn w:val="Normal"/>
    <w:link w:val="BodyTextIndentChar"/>
    <w:pPr>
      <w:tabs>
        <w:tab w:val="clear" w:pos="794"/>
        <w:tab w:val="clear" w:pos="1191"/>
        <w:tab w:val="clear" w:pos="1588"/>
        <w:tab w:val="clear" w:pos="1985"/>
      </w:tabs>
      <w:overflowPunct/>
      <w:spacing w:before="60"/>
      <w:ind w:left="720" w:hanging="720"/>
      <w:textAlignment w:val="auto"/>
    </w:pPr>
  </w:style>
  <w:style w:type="character" w:customStyle="1" w:styleId="BodyTextIndentChar">
    <w:name w:val="Body Text Indent Char"/>
    <w:basedOn w:val="DefaultParagraphFont"/>
    <w:link w:val="BodyTextIndent"/>
    <w:locked/>
    <w:rPr>
      <w:rFonts w:cs="Times New Roman"/>
      <w:sz w:val="24"/>
      <w:lang w:val="en-US" w:eastAsia="en-US" w:bidi="ar-SA"/>
    </w:rPr>
  </w:style>
  <w:style w:type="paragraph" w:customStyle="1" w:styleId="AnnexTitle">
    <w:name w:val="Annex_Title"/>
    <w:basedOn w:val="Normal"/>
    <w:next w:val="Normal"/>
    <w:uiPriority w:val="99"/>
    <w:pPr>
      <w:keepNext/>
      <w:keepLines/>
      <w:spacing w:before="0" w:after="480"/>
      <w:jc w:val="center"/>
    </w:pPr>
    <w:rPr>
      <w:rFonts w:ascii="Times New Roman Bold" w:hAnsi="Times New Roman Bold"/>
      <w:b/>
      <w:u w:val="single"/>
    </w:rPr>
  </w:style>
  <w:style w:type="paragraph" w:customStyle="1" w:styleId="indented">
    <w:name w:val="indented"/>
    <w:basedOn w:val="Normal"/>
    <w:uiPriority w:val="99"/>
    <w:pPr>
      <w:tabs>
        <w:tab w:val="clear" w:pos="794"/>
        <w:tab w:val="clear" w:pos="1191"/>
        <w:tab w:val="clear" w:pos="1588"/>
        <w:tab w:val="clear" w:pos="1985"/>
      </w:tabs>
      <w:spacing w:before="0"/>
    </w:pPr>
    <w:rPr>
      <w:rFonts w:ascii="CG Times" w:hAnsi="CG Times"/>
      <w:sz w:val="20"/>
    </w:rPr>
  </w:style>
  <w:style w:type="paragraph" w:customStyle="1" w:styleId="EUListBullet">
    <w:name w:val="EUList Bullet"/>
    <w:basedOn w:val="Normal"/>
    <w:uiPriority w:val="99"/>
    <w:pPr>
      <w:tabs>
        <w:tab w:val="num" w:pos="397"/>
      </w:tabs>
      <w:ind w:left="397" w:hanging="284"/>
    </w:pPr>
  </w:style>
  <w:style w:type="paragraph" w:customStyle="1" w:styleId="Relationships">
    <w:name w:val="Relationships"/>
    <w:basedOn w:val="Normal"/>
    <w:uiPriority w:val="99"/>
    <w:pPr>
      <w:tabs>
        <w:tab w:val="clear" w:pos="794"/>
        <w:tab w:val="clear" w:pos="1191"/>
        <w:tab w:val="clear" w:pos="1588"/>
        <w:tab w:val="clear" w:pos="1985"/>
        <w:tab w:val="left" w:pos="2410"/>
        <w:tab w:val="left" w:pos="2835"/>
        <w:tab w:val="left" w:pos="3402"/>
        <w:tab w:val="left" w:pos="3969"/>
        <w:tab w:val="left" w:pos="4536"/>
        <w:tab w:val="left" w:pos="5103"/>
        <w:tab w:val="left" w:pos="5670"/>
        <w:tab w:val="left" w:pos="6030"/>
      </w:tabs>
      <w:spacing w:before="60"/>
      <w:ind w:left="2405" w:hanging="2405"/>
      <w:textAlignment w:val="auto"/>
    </w:pPr>
    <w:rPr>
      <w:szCs w:val="24"/>
    </w:rPr>
  </w:style>
  <w:style w:type="paragraph" w:customStyle="1" w:styleId="Item">
    <w:name w:val="Item"/>
    <w:basedOn w:val="Normal"/>
    <w:uiPriority w:val="99"/>
    <w:pPr>
      <w:tabs>
        <w:tab w:val="num" w:pos="432"/>
      </w:tabs>
      <w:ind w:left="432" w:hanging="432"/>
    </w:pPr>
    <w:rPr>
      <w:szCs w:val="24"/>
    </w:rPr>
  </w:style>
  <w:style w:type="paragraph" w:customStyle="1" w:styleId="AnnexNo">
    <w:name w:val="Annex_No"/>
    <w:basedOn w:val="Normal"/>
    <w:next w:val="AnnexTitle"/>
    <w:pPr>
      <w:keepNext/>
      <w:keepLines/>
      <w:overflowPunct/>
      <w:autoSpaceDE/>
      <w:autoSpaceDN/>
      <w:adjustRightInd/>
      <w:spacing w:before="480" w:after="80"/>
      <w:jc w:val="center"/>
      <w:textAlignment w:val="auto"/>
    </w:pPr>
    <w:rPr>
      <w:caps/>
      <w:sz w:val="28"/>
      <w:szCs w:val="28"/>
    </w:rPr>
  </w:style>
  <w:style w:type="paragraph" w:customStyle="1" w:styleId="endash">
    <w:name w:val="endash"/>
    <w:uiPriority w:val="99"/>
    <w:pPr>
      <w:tabs>
        <w:tab w:val="left" w:pos="794"/>
        <w:tab w:val="left" w:pos="1191"/>
        <w:tab w:val="left" w:pos="1588"/>
        <w:tab w:val="left" w:pos="1985"/>
      </w:tabs>
      <w:overflowPunct w:val="0"/>
      <w:autoSpaceDE w:val="0"/>
      <w:autoSpaceDN w:val="0"/>
      <w:adjustRightInd w:val="0"/>
      <w:spacing w:before="120"/>
      <w:textAlignment w:val="baseline"/>
    </w:pPr>
    <w:rPr>
      <w:sz w:val="24"/>
      <w:szCs w:val="24"/>
      <w:lang w:val="en-GB"/>
    </w:rPr>
  </w:style>
  <w:style w:type="character" w:customStyle="1" w:styleId="mnavtext">
    <w:name w:val="mnavtext"/>
    <w:basedOn w:val="DefaultParagraphFont"/>
    <w:uiPriority w:val="99"/>
    <w:rPr>
      <w:rFonts w:cs="Times New Roman"/>
    </w:rPr>
  </w:style>
  <w:style w:type="paragraph" w:customStyle="1" w:styleId="proposedtext">
    <w:name w:val="proposed text"/>
    <w:basedOn w:val="Normal"/>
    <w:uiPriority w:val="99"/>
    <w:pPr>
      <w:tabs>
        <w:tab w:val="clear" w:pos="794"/>
        <w:tab w:val="clear" w:pos="1191"/>
        <w:tab w:val="clear" w:pos="1588"/>
        <w:tab w:val="clear" w:pos="1985"/>
      </w:tabs>
      <w:overflowPunct/>
      <w:autoSpaceDE/>
      <w:autoSpaceDN/>
      <w:adjustRightInd/>
      <w:ind w:left="1021"/>
      <w:textAlignment w:val="auto"/>
    </w:pPr>
  </w:style>
  <w:style w:type="paragraph" w:customStyle="1" w:styleId="CharCharCar">
    <w:name w:val="Char Char Car"/>
    <w:basedOn w:val="Normal"/>
    <w:uiPriority w:val="99"/>
    <w:pPr>
      <w:widowControl w:val="0"/>
      <w:tabs>
        <w:tab w:val="clear" w:pos="794"/>
        <w:tab w:val="clear" w:pos="1191"/>
        <w:tab w:val="clear" w:pos="1588"/>
        <w:tab w:val="clear" w:pos="1985"/>
      </w:tabs>
      <w:overflowPunct/>
      <w:autoSpaceDE/>
      <w:autoSpaceDN/>
      <w:adjustRightInd/>
      <w:spacing w:before="0"/>
      <w:jc w:val="both"/>
      <w:textAlignment w:val="auto"/>
    </w:pPr>
    <w:rPr>
      <w:rFonts w:eastAsia="SimSun"/>
      <w:kern w:val="2"/>
      <w:sz w:val="21"/>
      <w:szCs w:val="24"/>
    </w:rPr>
  </w:style>
  <w:style w:type="paragraph" w:customStyle="1" w:styleId="headingb0">
    <w:name w:val="heading_b"/>
    <w:basedOn w:val="Heading3"/>
    <w:next w:val="Normal"/>
    <w:pPr>
      <w:tabs>
        <w:tab w:val="clear" w:pos="1191"/>
        <w:tab w:val="clear" w:pos="1588"/>
        <w:tab w:val="clear" w:pos="1985"/>
        <w:tab w:val="left" w:pos="2127"/>
        <w:tab w:val="left" w:pos="2410"/>
        <w:tab w:val="left" w:pos="2921"/>
        <w:tab w:val="left" w:pos="3261"/>
      </w:tabs>
      <w:overflowPunct/>
      <w:autoSpaceDE/>
      <w:autoSpaceDN/>
      <w:adjustRightInd/>
      <w:ind w:left="0" w:firstLine="0"/>
      <w:textAlignment w:val="auto"/>
      <w:outlineLvl w:val="9"/>
    </w:pPr>
  </w:style>
  <w:style w:type="character" w:customStyle="1" w:styleId="headingbChar">
    <w:name w:val="heading_b Char"/>
    <w:basedOn w:val="DefaultParagraphFont"/>
    <w:rPr>
      <w:rFonts w:cs="Times New Roman"/>
      <w:b/>
      <w:sz w:val="24"/>
      <w:lang w:val="en-GB" w:eastAsia="en-US" w:bidi="ar-SA"/>
    </w:rPr>
  </w:style>
  <w:style w:type="character" w:customStyle="1" w:styleId="italic">
    <w:name w:val="italic"/>
    <w:basedOn w:val="DefaultParagraphFont"/>
    <w:rPr>
      <w:rFonts w:cs="Times New Roman"/>
      <w:i/>
    </w:rPr>
  </w:style>
  <w:style w:type="character" w:styleId="FollowedHyperlink">
    <w:name w:val="FollowedHyperlink"/>
    <w:basedOn w:val="DefaultParagraphFont"/>
    <w:uiPriority w:val="99"/>
    <w:rPr>
      <w:rFonts w:cs="Times New Roman"/>
      <w:color w:val="800080"/>
      <w:u w:val="single"/>
    </w:rPr>
  </w:style>
  <w:style w:type="paragraph" w:customStyle="1" w:styleId="CharCharCharChar">
    <w:name w:val="Char Char Char (文字) (文字) Char"/>
    <w:basedOn w:val="Normal"/>
    <w:autoRedefine/>
    <w:uiPriority w:val="99"/>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en-GB" w:eastAsia="en-US" w:bidi="ar-SA"/>
    </w:rPr>
  </w:style>
  <w:style w:type="paragraph" w:customStyle="1" w:styleId="Numerowanie">
    <w:name w:val="Numerowanie"/>
    <w:aliases w:val="Z lewej:  0,63 cm,Wysunięcie:  0"/>
    <w:basedOn w:val="Normal"/>
    <w:uiPriority w:val="99"/>
    <w:pPr>
      <w:numPr>
        <w:numId w:val="1"/>
      </w:numPr>
      <w:tabs>
        <w:tab w:val="clear" w:pos="794"/>
        <w:tab w:val="clear" w:pos="1191"/>
        <w:tab w:val="clear" w:pos="1588"/>
        <w:tab w:val="clear" w:pos="1985"/>
      </w:tabs>
      <w:overflowPunct/>
      <w:autoSpaceDE/>
      <w:autoSpaceDN/>
      <w:adjustRightInd/>
      <w:spacing w:before="0"/>
      <w:textAlignment w:val="auto"/>
    </w:pPr>
    <w:rPr>
      <w:rFonts w:eastAsia="Batang"/>
      <w:szCs w:val="24"/>
    </w:rPr>
  </w:style>
  <w:style w:type="paragraph" w:customStyle="1" w:styleId="NormalIndent1">
    <w:name w:val="Normal Indent1"/>
    <w:basedOn w:val="Normal"/>
    <w:uiPriority w:val="99"/>
    <w:pPr>
      <w:tabs>
        <w:tab w:val="clear" w:pos="794"/>
        <w:tab w:val="clear" w:pos="1191"/>
        <w:tab w:val="clear" w:pos="1588"/>
        <w:tab w:val="clear" w:pos="1985"/>
      </w:tabs>
      <w:overflowPunct/>
      <w:autoSpaceDE/>
      <w:autoSpaceDN/>
      <w:adjustRightInd/>
      <w:ind w:left="284"/>
      <w:textAlignment w:val="auto"/>
    </w:pPr>
    <w:rPr>
      <w:rFonts w:ascii="Arial" w:hAnsi="Arial"/>
      <w:sz w:val="22"/>
      <w:szCs w:val="24"/>
    </w:rPr>
  </w:style>
  <w:style w:type="paragraph" w:styleId="BodyText2">
    <w:name w:val="Body Text 2"/>
    <w:basedOn w:val="Normal"/>
    <w:link w:val="BodyText2Char"/>
    <w:pPr>
      <w:jc w:val="both"/>
    </w:pPr>
    <w:rPr>
      <w:rFonts w:eastAsia="Batang"/>
      <w:lang w:eastAsia="ko-KR"/>
    </w:rPr>
  </w:style>
  <w:style w:type="character" w:customStyle="1" w:styleId="BodyText2Char">
    <w:name w:val="Body Text 2 Char"/>
    <w:basedOn w:val="DefaultParagraphFont"/>
    <w:link w:val="BodyText2"/>
    <w:locked/>
    <w:rPr>
      <w:rFonts w:eastAsia="Batang" w:cs="Times New Roman"/>
      <w:sz w:val="24"/>
      <w:lang w:val="en-GB" w:eastAsia="ko-KR" w:bidi="ar-SA"/>
    </w:rPr>
  </w:style>
  <w:style w:type="paragraph" w:styleId="BodyText">
    <w:name w:val="Body Text"/>
    <w:basedOn w:val="Normal"/>
    <w:link w:val="BodyTextChar1"/>
    <w:rPr>
      <w:rFonts w:eastAsia="SimSun"/>
      <w:color w:val="FF0000"/>
    </w:rPr>
  </w:style>
  <w:style w:type="character" w:customStyle="1" w:styleId="BodyTextChar1">
    <w:name w:val="Body Text Char1"/>
    <w:basedOn w:val="DefaultParagraphFont"/>
    <w:link w:val="BodyText"/>
    <w:locked/>
    <w:rPr>
      <w:rFonts w:eastAsia="SimSun" w:cs="Times New Roman"/>
      <w:color w:val="FF0000"/>
      <w:sz w:val="24"/>
      <w:lang w:val="en-US" w:eastAsia="zh-CN" w:bidi="ar-SA"/>
    </w:rPr>
  </w:style>
  <w:style w:type="character" w:customStyle="1" w:styleId="BodyTextChar">
    <w:name w:val="Body Text Char"/>
    <w:basedOn w:val="DefaultParagraphFont"/>
    <w:rPr>
      <w:rFonts w:cs="Times New Roman"/>
      <w:b/>
      <w:sz w:val="24"/>
      <w:szCs w:val="24"/>
      <w:lang w:val="en-US" w:eastAsia="en-US" w:bidi="ar-SA"/>
    </w:rPr>
  </w:style>
  <w:style w:type="paragraph" w:customStyle="1" w:styleId="author">
    <w:name w:val="author"/>
    <w:basedOn w:val="Normal"/>
    <w:next w:val="Normal"/>
    <w:uiPriority w:val="99"/>
    <w:pPr>
      <w:tabs>
        <w:tab w:val="clear" w:pos="794"/>
        <w:tab w:val="clear" w:pos="1191"/>
        <w:tab w:val="clear" w:pos="1588"/>
        <w:tab w:val="clear" w:pos="1985"/>
      </w:tabs>
      <w:overflowPunct/>
      <w:autoSpaceDE/>
      <w:autoSpaceDN/>
      <w:adjustRightInd/>
      <w:spacing w:before="0" w:after="220"/>
      <w:jc w:val="center"/>
      <w:textAlignment w:val="auto"/>
    </w:pPr>
    <w:rPr>
      <w:rFonts w:ascii="Times" w:eastAsia="Batang" w:hAnsi="Times"/>
      <w:sz w:val="20"/>
      <w:lang w:eastAsia="ko-KR"/>
    </w:rPr>
  </w:style>
  <w:style w:type="paragraph" w:customStyle="1" w:styleId="p1a">
    <w:name w:val="p1a"/>
    <w:basedOn w:val="Normal"/>
    <w:next w:val="Normal"/>
    <w:uiPriority w:val="99"/>
    <w:pPr>
      <w:tabs>
        <w:tab w:val="clear" w:pos="794"/>
        <w:tab w:val="clear" w:pos="1191"/>
        <w:tab w:val="clear" w:pos="1588"/>
        <w:tab w:val="clear" w:pos="1985"/>
      </w:tabs>
      <w:overflowPunct/>
      <w:autoSpaceDE/>
      <w:autoSpaceDN/>
      <w:adjustRightInd/>
      <w:spacing w:before="0"/>
      <w:jc w:val="both"/>
      <w:textAlignment w:val="auto"/>
    </w:pPr>
    <w:rPr>
      <w:rFonts w:ascii="Times" w:eastAsia="Batang" w:hAnsi="Times"/>
      <w:sz w:val="20"/>
      <w:lang w:eastAsia="ko-KR"/>
    </w:rPr>
  </w:style>
  <w:style w:type="paragraph" w:customStyle="1" w:styleId="tabletitle">
    <w:name w:val="table title"/>
    <w:basedOn w:val="Normal"/>
    <w:next w:val="Normal"/>
    <w:uiPriority w:val="99"/>
    <w:pPr>
      <w:keepNext/>
      <w:keepLines/>
      <w:tabs>
        <w:tab w:val="clear" w:pos="794"/>
        <w:tab w:val="clear" w:pos="1191"/>
        <w:tab w:val="clear" w:pos="1588"/>
        <w:tab w:val="clear" w:pos="1985"/>
      </w:tabs>
      <w:overflowPunct/>
      <w:autoSpaceDE/>
      <w:autoSpaceDN/>
      <w:adjustRightInd/>
      <w:spacing w:before="240" w:after="120"/>
      <w:jc w:val="both"/>
      <w:textAlignment w:val="auto"/>
    </w:pPr>
    <w:rPr>
      <w:rFonts w:ascii="Times" w:eastAsia="Batang" w:hAnsi="Times"/>
      <w:sz w:val="18"/>
      <w:lang w:val="de-DE" w:eastAsia="ko-KR"/>
    </w:rPr>
  </w:style>
  <w:style w:type="paragraph" w:customStyle="1" w:styleId="BodyText21">
    <w:name w:val="Body Text 21"/>
    <w:basedOn w:val="Normal"/>
    <w:uiPriority w:val="99"/>
    <w:pPr>
      <w:tabs>
        <w:tab w:val="clear" w:pos="794"/>
        <w:tab w:val="clear" w:pos="1191"/>
        <w:tab w:val="clear" w:pos="1588"/>
        <w:tab w:val="clear" w:pos="1985"/>
      </w:tabs>
      <w:overflowPunct/>
      <w:autoSpaceDE/>
      <w:autoSpaceDN/>
      <w:adjustRightInd/>
      <w:spacing w:before="0"/>
      <w:ind w:firstLineChars="100" w:firstLine="100"/>
      <w:jc w:val="both"/>
      <w:textAlignment w:val="auto"/>
    </w:pPr>
    <w:rPr>
      <w:rFonts w:ascii="Times" w:eastAsia="Batang" w:hAnsi="Times"/>
      <w:sz w:val="20"/>
      <w:lang w:eastAsia="ko-KR"/>
    </w:rPr>
  </w:style>
  <w:style w:type="paragraph" w:customStyle="1" w:styleId="a">
    <w:name w:val="正文 + 小四"/>
    <w:basedOn w:val="Normal"/>
    <w:uiPriority w:val="99"/>
    <w:pPr>
      <w:widowControl w:val="0"/>
      <w:tabs>
        <w:tab w:val="clear" w:pos="794"/>
        <w:tab w:val="clear" w:pos="1191"/>
        <w:tab w:val="clear" w:pos="1588"/>
        <w:tab w:val="clear" w:pos="1985"/>
      </w:tabs>
      <w:overflowPunct/>
      <w:autoSpaceDE/>
      <w:autoSpaceDN/>
      <w:adjustRightInd/>
      <w:spacing w:before="0" w:line="400" w:lineRule="exact"/>
      <w:jc w:val="both"/>
      <w:textAlignment w:val="auto"/>
    </w:pPr>
    <w:rPr>
      <w:rFonts w:eastAsia="SimSun"/>
      <w:kern w:val="2"/>
      <w:szCs w:val="24"/>
    </w:rPr>
  </w:style>
  <w:style w:type="paragraph" w:customStyle="1" w:styleId="a0">
    <w:name w:val="段"/>
    <w:uiPriority w:val="99"/>
    <w:pPr>
      <w:autoSpaceDE w:val="0"/>
      <w:autoSpaceDN w:val="0"/>
      <w:ind w:firstLineChars="200" w:firstLine="200"/>
      <w:jc w:val="both"/>
    </w:pPr>
    <w:rPr>
      <w:rFonts w:ascii="SimSun" w:eastAsia="SimSun"/>
      <w:noProof/>
      <w:sz w:val="21"/>
    </w:rPr>
  </w:style>
  <w:style w:type="paragraph" w:customStyle="1" w:styleId="pb1body1">
    <w:name w:val="pb1_body1"/>
    <w:basedOn w:val="Normal"/>
    <w:uiPriority w:val="9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Gulim" w:eastAsia="Gulim" w:hAnsi="Gulim" w:cs="Gulim"/>
      <w:szCs w:val="24"/>
      <w:lang w:eastAsia="ko-KR"/>
    </w:rPr>
  </w:style>
  <w:style w:type="paragraph" w:customStyle="1" w:styleId="pbu1bullet1">
    <w:name w:val="pbu1_bullet1"/>
    <w:basedOn w:val="Normal"/>
    <w:uiPriority w:val="9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Gulim" w:eastAsia="Gulim" w:hAnsi="Gulim" w:cs="Gulim"/>
      <w:szCs w:val="24"/>
      <w:lang w:eastAsia="ko-KR"/>
    </w:rPr>
  </w:style>
  <w:style w:type="paragraph" w:customStyle="1" w:styleId="Infodoc">
    <w:name w:val="Infodoc"/>
    <w:basedOn w:val="Normal"/>
    <w:link w:val="InfodocChar"/>
    <w:uiPriority w:val="99"/>
    <w:pPr>
      <w:tabs>
        <w:tab w:val="clear" w:pos="794"/>
        <w:tab w:val="clear" w:pos="1191"/>
        <w:tab w:val="clear" w:pos="1588"/>
        <w:tab w:val="clear" w:pos="1985"/>
        <w:tab w:val="left" w:pos="1418"/>
      </w:tabs>
      <w:spacing w:before="0"/>
      <w:ind w:left="1418" w:hanging="1418"/>
    </w:pPr>
    <w:rPr>
      <w:rFonts w:eastAsia="MS Mincho"/>
    </w:rPr>
  </w:style>
  <w:style w:type="character" w:customStyle="1" w:styleId="InfodocChar">
    <w:name w:val="Infodoc Char"/>
    <w:basedOn w:val="DefaultParagraphFont"/>
    <w:link w:val="Infodoc"/>
    <w:uiPriority w:val="99"/>
    <w:locked/>
    <w:rPr>
      <w:rFonts w:eastAsia="MS Mincho" w:cs="Times New Roman"/>
      <w:sz w:val="24"/>
      <w:lang w:val="en-GB" w:eastAsia="en-US" w:bidi="ar-SA"/>
    </w:rPr>
  </w:style>
  <w:style w:type="paragraph" w:styleId="Caption">
    <w:name w:val="caption"/>
    <w:basedOn w:val="Normal"/>
    <w:next w:val="Normal"/>
    <w:uiPriority w:val="35"/>
    <w:qFormat/>
    <w:rPr>
      <w:rFonts w:eastAsia="MS Mincho"/>
      <w:b/>
      <w:bCs/>
      <w:sz w:val="20"/>
    </w:rPr>
  </w:style>
  <w:style w:type="paragraph" w:styleId="NormalWeb">
    <w:name w:val="Normal (Web)"/>
    <w:basedOn w:val="Normal"/>
    <w:link w:val="NormalWebChar"/>
    <w:uiPriority w:val="99"/>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Gulim" w:eastAsia="Gulim" w:hAnsi="Gulim"/>
      <w:szCs w:val="24"/>
      <w:lang w:eastAsia="ko-KR"/>
    </w:rPr>
  </w:style>
  <w:style w:type="character" w:customStyle="1" w:styleId="MacroTextChar">
    <w:name w:val="Macro Text Char"/>
    <w:basedOn w:val="DefaultParagraphFont"/>
    <w:link w:val="MacroText"/>
    <w:uiPriority w:val="99"/>
    <w:locked/>
    <w:rPr>
      <w:rFonts w:eastAsia="Batang" w:cs="Times New Roman"/>
      <w:b/>
      <w:sz w:val="24"/>
      <w:lang w:val="en-GB" w:eastAsia="en-US" w:bidi="ar-SA"/>
    </w:rPr>
  </w:style>
  <w:style w:type="paragraph" w:styleId="MacroText">
    <w:name w:val="macro"/>
    <w:basedOn w:val="Normal"/>
    <w:link w:val="MacroTextChar"/>
    <w:uiPriority w:val="99"/>
    <w:pPr>
      <w:tabs>
        <w:tab w:val="clear" w:pos="794"/>
        <w:tab w:val="clear" w:pos="1191"/>
        <w:tab w:val="clear" w:pos="1588"/>
        <w:tab w:val="clear" w:pos="1985"/>
      </w:tabs>
      <w:overflowPunct/>
      <w:autoSpaceDE/>
      <w:autoSpaceDN/>
      <w:adjustRightInd/>
      <w:spacing w:before="0"/>
      <w:ind w:left="1080"/>
      <w:textAlignment w:val="auto"/>
    </w:pPr>
    <w:rPr>
      <w:rFonts w:eastAsia="Batang"/>
      <w:b/>
    </w:rPr>
  </w:style>
  <w:style w:type="character" w:customStyle="1" w:styleId="MacroTextChar1">
    <w:name w:val="Macro Text Char1"/>
    <w:basedOn w:val="DefaultParagraphFont"/>
    <w:uiPriority w:val="99"/>
    <w:rPr>
      <w:rFonts w:ascii="Courier New" w:hAnsi="Courier New" w:cs="Courier New"/>
      <w:lang w:val="en-GB"/>
    </w:rPr>
  </w:style>
  <w:style w:type="paragraph" w:customStyle="1" w:styleId="CharCharCharCharCharCharCharChar">
    <w:name w:val="Char Char Char Char Char Char Char Char"/>
    <w:basedOn w:val="Normal"/>
    <w:uiPriority w:val="99"/>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rPr>
  </w:style>
  <w:style w:type="paragraph" w:customStyle="1" w:styleId="CharCharCharCharCharCharCharChar2">
    <w:name w:val="Char Char Char Char Char Char Char Char2"/>
    <w:basedOn w:val="Normal"/>
    <w:uiPriority w:val="99"/>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rPr>
  </w:style>
  <w:style w:type="character" w:customStyle="1" w:styleId="CharChar">
    <w:name w:val="Char Char"/>
    <w:basedOn w:val="DefaultParagraphFont"/>
    <w:rPr>
      <w:rFonts w:eastAsia="Batang" w:cs="Times New Roman"/>
      <w:b/>
      <w:sz w:val="24"/>
      <w:lang w:val="en-GB" w:eastAsia="en-US" w:bidi="ar-SA"/>
    </w:rPr>
  </w:style>
  <w:style w:type="paragraph" w:customStyle="1" w:styleId="a1">
    <w:name w:val="목록 단락"/>
    <w:basedOn w:val="Normal"/>
    <w:uiPriority w:val="99"/>
    <w:pPr>
      <w:ind w:leftChars="400" w:left="800"/>
    </w:pPr>
    <w:rPr>
      <w:rFonts w:eastAsia="Batang"/>
    </w:rPr>
  </w:style>
  <w:style w:type="paragraph" w:customStyle="1" w:styleId="Char">
    <w:name w:val="Char"/>
    <w:basedOn w:val="Normal"/>
    <w:uiPriority w:val="99"/>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sz w:val="20"/>
      <w:szCs w:val="22"/>
    </w:rPr>
  </w:style>
  <w:style w:type="paragraph" w:customStyle="1" w:styleId="Note1">
    <w:name w:val="Note 1"/>
    <w:basedOn w:val="Normal"/>
    <w:next w:val="Normal"/>
    <w:uiPriority w:val="99"/>
    <w:pPr>
      <w:tabs>
        <w:tab w:val="clear" w:pos="794"/>
        <w:tab w:val="clear" w:pos="1588"/>
        <w:tab w:val="clear" w:pos="1985"/>
        <w:tab w:val="left" w:pos="1587"/>
        <w:tab w:val="left" w:pos="1984"/>
      </w:tabs>
      <w:overflowPunct/>
      <w:autoSpaceDE/>
      <w:autoSpaceDN/>
      <w:adjustRightInd/>
      <w:spacing w:before="60" w:line="199" w:lineRule="exact"/>
      <w:ind w:left="283"/>
      <w:jc w:val="both"/>
      <w:textAlignment w:val="auto"/>
    </w:pPr>
    <w:rPr>
      <w:sz w:val="18"/>
      <w:szCs w:val="24"/>
    </w:rPr>
  </w:style>
  <w:style w:type="paragraph" w:customStyle="1" w:styleId="HTMLBody">
    <w:name w:val="HTML Body"/>
    <w:uiPriority w:val="99"/>
    <w:pPr>
      <w:autoSpaceDE w:val="0"/>
      <w:autoSpaceDN w:val="0"/>
      <w:adjustRightInd w:val="0"/>
    </w:pPr>
    <w:rPr>
      <w:rFonts w:ascii="Courier New" w:eastAsia="MS Mincho" w:hAnsi="Courier New"/>
    </w:rPr>
  </w:style>
  <w:style w:type="paragraph" w:customStyle="1" w:styleId="a2">
    <w:name w:val="수정"/>
    <w:hidden/>
    <w:uiPriority w:val="99"/>
    <w:semiHidden/>
    <w:rPr>
      <w:rFonts w:eastAsia="SimSun"/>
      <w:sz w:val="24"/>
      <w:lang w:val="en-GB"/>
    </w:rPr>
  </w:style>
  <w:style w:type="paragraph" w:styleId="Title">
    <w:name w:val="Title"/>
    <w:basedOn w:val="Normal"/>
    <w:next w:val="Normal"/>
    <w:link w:val="TitleChar"/>
    <w:uiPriority w:val="10"/>
    <w:qFormat/>
    <w:pPr>
      <w:spacing w:before="240" w:after="120"/>
      <w:jc w:val="center"/>
      <w:outlineLvl w:val="0"/>
    </w:pPr>
    <w:rPr>
      <w:rFonts w:ascii="Malgun Gothic" w:eastAsia="Dotum" w:hAnsi="Malgun Gothic"/>
      <w:b/>
      <w:bCs/>
      <w:sz w:val="32"/>
      <w:szCs w:val="32"/>
    </w:rPr>
  </w:style>
  <w:style w:type="character" w:customStyle="1" w:styleId="TitleChar">
    <w:name w:val="Title Char"/>
    <w:basedOn w:val="DefaultParagraphFont"/>
    <w:link w:val="Title"/>
    <w:uiPriority w:val="10"/>
    <w:locked/>
    <w:rPr>
      <w:rFonts w:ascii="Malgun Gothic" w:eastAsia="Dotum" w:hAnsi="Malgun Gothic" w:cs="Times New Roman"/>
      <w:b/>
      <w:bCs/>
      <w:sz w:val="32"/>
      <w:szCs w:val="32"/>
      <w:lang w:val="en-GB" w:eastAsia="en-US"/>
    </w:rPr>
  </w:style>
  <w:style w:type="paragraph" w:styleId="EndnoteText">
    <w:name w:val="endnote text"/>
    <w:basedOn w:val="Normal"/>
    <w:link w:val="EndnoteTextChar"/>
    <w:uiPriority w:val="99"/>
    <w:pPr>
      <w:snapToGrid w:val="0"/>
    </w:pPr>
    <w:rPr>
      <w:rFonts w:eastAsia="Malgun Gothic"/>
    </w:rPr>
  </w:style>
  <w:style w:type="character" w:customStyle="1" w:styleId="EndnoteTextChar">
    <w:name w:val="Endnote Text Char"/>
    <w:basedOn w:val="DefaultParagraphFont"/>
    <w:link w:val="EndnoteText"/>
    <w:uiPriority w:val="99"/>
    <w:locked/>
    <w:rPr>
      <w:rFonts w:eastAsia="Malgun Gothic" w:cs="Times New Roman"/>
      <w:sz w:val="24"/>
      <w:lang w:val="en-GB" w:eastAsia="en-US"/>
    </w:rPr>
  </w:style>
  <w:style w:type="character" w:styleId="CommentReference">
    <w:name w:val="annotation reference"/>
    <w:basedOn w:val="DefaultParagraphFont"/>
    <w:rPr>
      <w:rFonts w:cs="Times New Roman"/>
      <w:sz w:val="16"/>
      <w:szCs w:val="16"/>
    </w:rPr>
  </w:style>
  <w:style w:type="paragraph" w:customStyle="1" w:styleId="StyleRequirement12ptBold">
    <w:name w:val="Style Requirement + 12 pt Bold"/>
    <w:basedOn w:val="Normal"/>
    <w:uiPriority w:val="99"/>
    <w:pPr>
      <w:pBdr>
        <w:top w:val="single" w:sz="4" w:space="3" w:color="auto"/>
        <w:left w:val="single" w:sz="4" w:space="4" w:color="auto"/>
        <w:bottom w:val="single" w:sz="4" w:space="3" w:color="auto"/>
        <w:right w:val="single" w:sz="4" w:space="4" w:color="auto"/>
      </w:pBdr>
      <w:tabs>
        <w:tab w:val="clear" w:pos="794"/>
        <w:tab w:val="clear" w:pos="1191"/>
        <w:tab w:val="clear" w:pos="1588"/>
        <w:tab w:val="clear" w:pos="1985"/>
      </w:tabs>
      <w:overflowPunct/>
      <w:autoSpaceDE/>
      <w:autoSpaceDN/>
      <w:adjustRightInd/>
      <w:ind w:left="270" w:right="315"/>
      <w:textAlignment w:val="auto"/>
    </w:pPr>
    <w:rPr>
      <w:rFonts w:ascii="Arial" w:hAnsi="Arial"/>
      <w:b/>
      <w:bCs/>
    </w:rPr>
  </w:style>
  <w:style w:type="paragraph" w:styleId="Quote">
    <w:name w:val="Quote"/>
    <w:basedOn w:val="Normal"/>
    <w:next w:val="Normal"/>
    <w:link w:val="QuoteChar"/>
    <w:uiPriority w:val="99"/>
    <w:qFormat/>
    <w:rPr>
      <w:i/>
      <w:iCs/>
      <w:color w:val="000000"/>
    </w:rPr>
  </w:style>
  <w:style w:type="character" w:customStyle="1" w:styleId="QuoteChar">
    <w:name w:val="Quote Char"/>
    <w:basedOn w:val="DefaultParagraphFont"/>
    <w:link w:val="Quote"/>
    <w:uiPriority w:val="99"/>
    <w:locked/>
    <w:rPr>
      <w:rFonts w:cs="Times New Roman"/>
      <w:i/>
      <w:iCs/>
      <w:color w:val="000000"/>
      <w:sz w:val="24"/>
      <w:lang w:val="en-GB" w:eastAsia="en-US" w:bidi="ar-SA"/>
    </w:rPr>
  </w:style>
  <w:style w:type="paragraph" w:customStyle="1" w:styleId="TitleCover">
    <w:name w:val="Title Cover"/>
    <w:basedOn w:val="Normal"/>
    <w:next w:val="Normal"/>
    <w:link w:val="TitleCoverChar"/>
    <w:uiPriority w:val="99"/>
    <w:pPr>
      <w:keepNext/>
      <w:keepLines/>
      <w:tabs>
        <w:tab w:val="clear" w:pos="794"/>
        <w:tab w:val="clear" w:pos="1191"/>
        <w:tab w:val="clear" w:pos="1588"/>
        <w:tab w:val="clear" w:pos="1985"/>
      </w:tabs>
      <w:overflowPunct/>
      <w:autoSpaceDE/>
      <w:autoSpaceDN/>
      <w:adjustRightInd/>
      <w:spacing w:before="1600" w:after="200" w:line="600" w:lineRule="exact"/>
      <w:textAlignment w:val="auto"/>
    </w:pPr>
    <w:rPr>
      <w:rFonts w:ascii="Tahoma" w:hAnsi="Tahoma"/>
      <w:b/>
      <w:spacing w:val="20"/>
      <w:kern w:val="28"/>
      <w:sz w:val="60"/>
      <w:szCs w:val="72"/>
    </w:rPr>
  </w:style>
  <w:style w:type="character" w:customStyle="1" w:styleId="TitleCoverChar">
    <w:name w:val="Title Cover Char"/>
    <w:basedOn w:val="DefaultParagraphFont"/>
    <w:link w:val="TitleCover"/>
    <w:uiPriority w:val="99"/>
    <w:locked/>
    <w:rPr>
      <w:rFonts w:ascii="Tahoma" w:hAnsi="Tahoma" w:cs="Times New Roman"/>
      <w:b/>
      <w:spacing w:val="20"/>
      <w:kern w:val="28"/>
      <w:sz w:val="72"/>
      <w:szCs w:val="72"/>
      <w:lang w:val="en-US" w:eastAsia="en-US" w:bidi="ar-SA"/>
    </w:rPr>
  </w:style>
  <w:style w:type="paragraph" w:customStyle="1" w:styleId="CompanyName">
    <w:name w:val="Company Name"/>
    <w:basedOn w:val="Normal"/>
    <w:uiPriority w:val="99"/>
    <w:pPr>
      <w:keepNext/>
      <w:keepLines/>
      <w:pBdr>
        <w:bottom w:val="single" w:sz="6" w:space="2" w:color="999999"/>
      </w:pBdr>
      <w:tabs>
        <w:tab w:val="clear" w:pos="794"/>
        <w:tab w:val="clear" w:pos="1191"/>
        <w:tab w:val="clear" w:pos="1588"/>
        <w:tab w:val="clear" w:pos="1985"/>
      </w:tabs>
      <w:overflowPunct/>
      <w:autoSpaceDE/>
      <w:autoSpaceDN/>
      <w:adjustRightInd/>
      <w:spacing w:before="0" w:line="220" w:lineRule="atLeast"/>
      <w:textAlignment w:val="auto"/>
    </w:pPr>
    <w:rPr>
      <w:rFonts w:ascii="Tahoma" w:hAnsi="Tahoma"/>
      <w:spacing w:val="10"/>
      <w:kern w:val="28"/>
      <w:sz w:val="32"/>
      <w:szCs w:val="32"/>
    </w:rPr>
  </w:style>
  <w:style w:type="paragraph" w:styleId="TOCHeading">
    <w:name w:val="TOC Heading"/>
    <w:basedOn w:val="Heading1"/>
    <w:next w:val="Normal"/>
    <w:uiPriority w:val="39"/>
    <w:qFormat/>
    <w:pPr>
      <w:tabs>
        <w:tab w:val="clear" w:pos="794"/>
        <w:tab w:val="clear" w:pos="1191"/>
        <w:tab w:val="clear" w:pos="1588"/>
        <w:tab w:val="clear" w:pos="1985"/>
      </w:tabs>
      <w:overflowPunct/>
      <w:autoSpaceDE/>
      <w:autoSpaceDN/>
      <w:adjustRightInd/>
      <w:spacing w:before="480" w:line="276" w:lineRule="auto"/>
      <w:ind w:left="0" w:firstLine="0"/>
      <w:textAlignment w:val="auto"/>
      <w:outlineLvl w:val="9"/>
    </w:pPr>
    <w:rPr>
      <w:rFonts w:ascii="Cambria" w:hAnsi="Cambria"/>
      <w:bCs/>
      <w:color w:val="365F91"/>
      <w:sz w:val="28"/>
      <w:szCs w:val="28"/>
    </w:rPr>
  </w:style>
  <w:style w:type="paragraph" w:customStyle="1" w:styleId="SubtitleSecondPage">
    <w:name w:val="Subtitle Second Page"/>
    <w:uiPriority w:val="99"/>
    <w:pPr>
      <w:spacing w:after="200"/>
    </w:pPr>
    <w:rPr>
      <w:rFonts w:ascii="Tahoma" w:hAnsi="Tahoma"/>
      <w:i/>
      <w:iCs/>
      <w:color w:val="808080"/>
      <w:spacing w:val="10"/>
    </w:rPr>
  </w:style>
  <w:style w:type="paragraph" w:customStyle="1" w:styleId="TableTextBold">
    <w:name w:val="Table Text Bold"/>
    <w:uiPriority w:val="99"/>
    <w:rPr>
      <w:rFonts w:ascii="Tahoma" w:hAnsi="Tahoma"/>
      <w:b/>
      <w:spacing w:val="6"/>
      <w:sz w:val="15"/>
      <w:szCs w:val="16"/>
    </w:rPr>
  </w:style>
  <w:style w:type="paragraph" w:customStyle="1" w:styleId="BlockQuotation">
    <w:name w:val="Block Quotation"/>
    <w:basedOn w:val="BodyText"/>
    <w:link w:val="BlockQuotationChar"/>
    <w:uiPriority w:val="99"/>
    <w:pPr>
      <w:keepLines/>
      <w:tabs>
        <w:tab w:val="clear" w:pos="794"/>
        <w:tab w:val="clear" w:pos="1191"/>
        <w:tab w:val="clear" w:pos="1588"/>
        <w:tab w:val="clear" w:pos="1985"/>
      </w:tabs>
      <w:overflowPunct/>
      <w:autoSpaceDE/>
      <w:autoSpaceDN/>
      <w:adjustRightInd/>
      <w:spacing w:before="0" w:after="120" w:line="240" w:lineRule="exact"/>
      <w:ind w:left="360"/>
      <w:textAlignment w:val="auto"/>
    </w:pPr>
    <w:rPr>
      <w:rFonts w:ascii="Tahoma" w:eastAsia="Times New Roman" w:hAnsi="Tahoma"/>
      <w:i/>
      <w:color w:val="auto"/>
      <w:spacing w:val="10"/>
      <w:sz w:val="17"/>
      <w:lang w:eastAsia="en-US"/>
    </w:rPr>
  </w:style>
  <w:style w:type="character" w:customStyle="1" w:styleId="BlockQuotationChar">
    <w:name w:val="Block Quotation Char"/>
    <w:basedOn w:val="DefaultParagraphFont"/>
    <w:link w:val="BlockQuotation"/>
    <w:uiPriority w:val="99"/>
    <w:locked/>
    <w:rPr>
      <w:rFonts w:ascii="Tahoma" w:hAnsi="Tahoma" w:cs="Times New Roman"/>
      <w:i/>
      <w:spacing w:val="10"/>
      <w:sz w:val="17"/>
      <w:lang w:val="en-US" w:eastAsia="en-US" w:bidi="ar-SA"/>
    </w:rPr>
  </w:style>
  <w:style w:type="paragraph" w:styleId="Index4">
    <w:name w:val="index 4"/>
    <w:basedOn w:val="Normal"/>
    <w:pPr>
      <w:tabs>
        <w:tab w:val="clear" w:pos="794"/>
        <w:tab w:val="clear" w:pos="1191"/>
        <w:tab w:val="clear" w:pos="1588"/>
        <w:tab w:val="clear" w:pos="1985"/>
        <w:tab w:val="right" w:pos="4080"/>
      </w:tabs>
      <w:overflowPunct/>
      <w:autoSpaceDE/>
      <w:autoSpaceDN/>
      <w:adjustRightInd/>
      <w:spacing w:before="0"/>
      <w:ind w:left="720" w:hanging="360"/>
      <w:textAlignment w:val="auto"/>
    </w:pPr>
    <w:rPr>
      <w:rFonts w:ascii="Tahoma" w:hAnsi="Tahoma"/>
      <w:sz w:val="20"/>
    </w:rPr>
  </w:style>
  <w:style w:type="paragraph" w:styleId="Index5">
    <w:name w:val="index 5"/>
    <w:basedOn w:val="Normal"/>
    <w:pPr>
      <w:tabs>
        <w:tab w:val="clear" w:pos="794"/>
        <w:tab w:val="clear" w:pos="1191"/>
        <w:tab w:val="clear" w:pos="1588"/>
        <w:tab w:val="clear" w:pos="1985"/>
        <w:tab w:val="right" w:pos="4080"/>
      </w:tabs>
      <w:overflowPunct/>
      <w:autoSpaceDE/>
      <w:autoSpaceDN/>
      <w:adjustRightInd/>
      <w:spacing w:before="0"/>
      <w:ind w:left="720" w:hanging="360"/>
      <w:textAlignment w:val="auto"/>
    </w:pPr>
    <w:rPr>
      <w:rFonts w:ascii="Tahoma" w:hAnsi="Tahoma"/>
      <w:sz w:val="20"/>
    </w:rPr>
  </w:style>
  <w:style w:type="paragraph" w:styleId="IndexHeading">
    <w:name w:val="index heading"/>
    <w:basedOn w:val="Normal"/>
    <w:next w:val="Index1"/>
    <w:pPr>
      <w:keepNext/>
      <w:tabs>
        <w:tab w:val="clear" w:pos="794"/>
        <w:tab w:val="clear" w:pos="1191"/>
        <w:tab w:val="clear" w:pos="1588"/>
        <w:tab w:val="clear" w:pos="1985"/>
      </w:tabs>
      <w:overflowPunct/>
      <w:autoSpaceDE/>
      <w:autoSpaceDN/>
      <w:adjustRightInd/>
      <w:spacing w:before="440" w:line="220" w:lineRule="atLeast"/>
      <w:textAlignment w:val="auto"/>
    </w:pPr>
    <w:rPr>
      <w:rFonts w:ascii="Tahoma" w:hAnsi="Tahoma"/>
      <w:b/>
      <w:caps/>
    </w:rPr>
  </w:style>
  <w:style w:type="character" w:customStyle="1" w:styleId="Lead-inEmphasis">
    <w:name w:val="Lead-in Emphasis"/>
    <w:uiPriority w:val="99"/>
    <w:rPr>
      <w:rFonts w:ascii="Tahoma" w:hAnsi="Tahoma"/>
      <w:b/>
      <w:spacing w:val="4"/>
      <w:kern w:val="0"/>
    </w:rPr>
  </w:style>
  <w:style w:type="paragraph" w:styleId="ListBullet">
    <w:name w:val="List Bullet"/>
    <w:basedOn w:val="Normal"/>
    <w:uiPriority w:val="99"/>
    <w:pPr>
      <w:tabs>
        <w:tab w:val="clear" w:pos="794"/>
        <w:tab w:val="clear" w:pos="1191"/>
        <w:tab w:val="clear" w:pos="1588"/>
        <w:tab w:val="clear" w:pos="1985"/>
        <w:tab w:val="num" w:pos="360"/>
      </w:tabs>
      <w:overflowPunct/>
      <w:autoSpaceDE/>
      <w:autoSpaceDN/>
      <w:adjustRightInd/>
      <w:spacing w:before="0" w:after="200" w:line="240" w:lineRule="exact"/>
      <w:ind w:left="720" w:hanging="216"/>
      <w:textAlignment w:val="auto"/>
    </w:pPr>
    <w:rPr>
      <w:rFonts w:ascii="Tahoma" w:hAnsi="Tahoma"/>
      <w:spacing w:val="10"/>
      <w:sz w:val="17"/>
    </w:rPr>
  </w:style>
  <w:style w:type="paragraph" w:styleId="ListNumber">
    <w:name w:val="List Number"/>
    <w:basedOn w:val="Normal"/>
    <w:uiPriority w:val="99"/>
    <w:pPr>
      <w:tabs>
        <w:tab w:val="clear" w:pos="794"/>
        <w:tab w:val="clear" w:pos="1191"/>
        <w:tab w:val="clear" w:pos="1588"/>
        <w:tab w:val="clear" w:pos="1985"/>
        <w:tab w:val="num" w:pos="720"/>
      </w:tabs>
      <w:overflowPunct/>
      <w:autoSpaceDE/>
      <w:autoSpaceDN/>
      <w:adjustRightInd/>
      <w:spacing w:before="0" w:after="200" w:line="240" w:lineRule="exact"/>
      <w:ind w:left="720" w:hanging="360"/>
      <w:textAlignment w:val="auto"/>
    </w:pPr>
    <w:rPr>
      <w:rFonts w:ascii="Tahoma" w:hAnsi="Tahoma"/>
      <w:spacing w:val="10"/>
      <w:sz w:val="17"/>
    </w:rPr>
  </w:style>
  <w:style w:type="paragraph" w:customStyle="1" w:styleId="SubtitleItalic">
    <w:name w:val="Subtitle Italic"/>
    <w:next w:val="BodyText"/>
    <w:uiPriority w:val="99"/>
    <w:pPr>
      <w:spacing w:after="200" w:line="320" w:lineRule="exact"/>
    </w:pPr>
    <w:rPr>
      <w:rFonts w:ascii="Tahoma" w:hAnsi="Tahoma"/>
      <w:i/>
      <w:color w:val="808080"/>
      <w:spacing w:val="20"/>
      <w:kern w:val="28"/>
      <w:sz w:val="28"/>
      <w:szCs w:val="40"/>
    </w:rPr>
  </w:style>
  <w:style w:type="paragraph" w:styleId="TableofFigures">
    <w:name w:val="table of figures"/>
    <w:basedOn w:val="Normal"/>
    <w:uiPriority w:val="99"/>
    <w:pPr>
      <w:tabs>
        <w:tab w:val="clear" w:pos="794"/>
        <w:tab w:val="clear" w:pos="1191"/>
        <w:tab w:val="clear" w:pos="1588"/>
        <w:tab w:val="clear" w:pos="1985"/>
      </w:tabs>
      <w:overflowPunct/>
      <w:autoSpaceDE/>
      <w:autoSpaceDN/>
      <w:adjustRightInd/>
      <w:spacing w:before="0"/>
      <w:ind w:left="1440" w:hanging="360"/>
      <w:textAlignment w:val="auto"/>
    </w:pPr>
    <w:rPr>
      <w:rFonts w:ascii="Tahoma" w:hAnsi="Tahoma"/>
      <w:sz w:val="20"/>
    </w:rPr>
  </w:style>
  <w:style w:type="paragraph" w:styleId="TableofAuthorities">
    <w:name w:val="table of authorities"/>
    <w:basedOn w:val="Normal"/>
    <w:uiPriority w:val="99"/>
    <w:pPr>
      <w:tabs>
        <w:tab w:val="clear" w:pos="794"/>
        <w:tab w:val="clear" w:pos="1191"/>
        <w:tab w:val="clear" w:pos="1588"/>
        <w:tab w:val="clear" w:pos="1985"/>
        <w:tab w:val="right" w:leader="dot" w:pos="7560"/>
      </w:tabs>
      <w:overflowPunct/>
      <w:autoSpaceDE/>
      <w:autoSpaceDN/>
      <w:adjustRightInd/>
      <w:spacing w:before="0"/>
      <w:ind w:left="1440" w:hanging="360"/>
      <w:textAlignment w:val="auto"/>
    </w:pPr>
    <w:rPr>
      <w:rFonts w:ascii="Tahoma" w:hAnsi="Tahoma"/>
      <w:sz w:val="20"/>
    </w:rPr>
  </w:style>
  <w:style w:type="paragraph" w:styleId="TOAHeading">
    <w:name w:val="toa heading"/>
    <w:basedOn w:val="Normal"/>
    <w:next w:val="TableofAuthorities"/>
    <w:uiPriority w:val="99"/>
    <w:pPr>
      <w:keepNext/>
      <w:tabs>
        <w:tab w:val="clear" w:pos="794"/>
        <w:tab w:val="clear" w:pos="1191"/>
        <w:tab w:val="clear" w:pos="1588"/>
        <w:tab w:val="clear" w:pos="1985"/>
      </w:tabs>
      <w:overflowPunct/>
      <w:autoSpaceDE/>
      <w:autoSpaceDN/>
      <w:adjustRightInd/>
      <w:spacing w:before="240" w:after="120" w:line="360" w:lineRule="exact"/>
      <w:ind w:left="1080"/>
      <w:textAlignment w:val="auto"/>
    </w:pPr>
    <w:rPr>
      <w:rFonts w:ascii="Arial" w:hAnsi="Arial"/>
      <w:b/>
      <w:kern w:val="28"/>
      <w:sz w:val="28"/>
    </w:rPr>
  </w:style>
  <w:style w:type="paragraph" w:customStyle="1" w:styleId="TableText1">
    <w:name w:val="Table Text"/>
    <w:uiPriority w:val="99"/>
    <w:pPr>
      <w:spacing w:before="40" w:line="200" w:lineRule="atLeast"/>
    </w:pPr>
    <w:rPr>
      <w:rFonts w:ascii="Tahoma" w:hAnsi="Tahoma"/>
      <w:spacing w:val="6"/>
      <w:sz w:val="15"/>
      <w:szCs w:val="16"/>
    </w:rPr>
  </w:style>
  <w:style w:type="paragraph" w:customStyle="1" w:styleId="IndentedBodyText">
    <w:name w:val="Indented Body Text"/>
    <w:basedOn w:val="Normal"/>
    <w:link w:val="IndentedBodyTextChar"/>
    <w:uiPriority w:val="99"/>
    <w:pPr>
      <w:tabs>
        <w:tab w:val="clear" w:pos="794"/>
        <w:tab w:val="clear" w:pos="1191"/>
        <w:tab w:val="clear" w:pos="1588"/>
        <w:tab w:val="clear" w:pos="1985"/>
      </w:tabs>
      <w:overflowPunct/>
      <w:autoSpaceDE/>
      <w:autoSpaceDN/>
      <w:adjustRightInd/>
      <w:spacing w:before="0" w:after="80" w:line="312" w:lineRule="auto"/>
      <w:ind w:left="360"/>
      <w:textAlignment w:val="auto"/>
    </w:pPr>
    <w:rPr>
      <w:rFonts w:ascii="Verdana" w:hAnsi="Verdana"/>
      <w:sz w:val="17"/>
    </w:rPr>
  </w:style>
  <w:style w:type="character" w:customStyle="1" w:styleId="IndentedBodyTextChar">
    <w:name w:val="Indented Body Text Char"/>
    <w:basedOn w:val="DefaultParagraphFont"/>
    <w:link w:val="IndentedBodyText"/>
    <w:uiPriority w:val="99"/>
    <w:locked/>
    <w:rPr>
      <w:rFonts w:ascii="Verdana" w:hAnsi="Verdana" w:cs="Times New Roman"/>
      <w:sz w:val="17"/>
      <w:lang w:val="en-US" w:eastAsia="en-US" w:bidi="ar-SA"/>
    </w:rPr>
  </w:style>
  <w:style w:type="paragraph" w:customStyle="1" w:styleId="StyleTOC1Left0Hanging038">
    <w:name w:val="Style TOC 1 + Left:  0&quot; Hanging:  0.38&quot;"/>
    <w:basedOn w:val="TOC1"/>
    <w:uiPriority w:val="99"/>
    <w:pPr>
      <w:keepLines w:val="0"/>
      <w:tabs>
        <w:tab w:val="clear" w:pos="964"/>
        <w:tab w:val="clear" w:pos="8789"/>
        <w:tab w:val="clear" w:pos="9639"/>
        <w:tab w:val="right" w:leader="dot" w:pos="6480"/>
      </w:tabs>
      <w:overflowPunct/>
      <w:autoSpaceDE/>
      <w:autoSpaceDN/>
      <w:adjustRightInd/>
      <w:spacing w:before="0"/>
      <w:ind w:left="540" w:right="0" w:hanging="540"/>
      <w:textAlignment w:val="auto"/>
    </w:pPr>
    <w:rPr>
      <w:rFonts w:ascii="Tahoma" w:hAnsi="Tahoma"/>
      <w:b/>
      <w:bCs/>
      <w:spacing w:val="-4"/>
      <w:sz w:val="20"/>
    </w:rPr>
  </w:style>
  <w:style w:type="paragraph" w:customStyle="1" w:styleId="StyleTOC1Left0Hanging0381">
    <w:name w:val="Style TOC 1 + Left:  0&quot; Hanging:  0.38&quot;1"/>
    <w:basedOn w:val="TOC1"/>
    <w:autoRedefine/>
    <w:uiPriority w:val="99"/>
    <w:pPr>
      <w:keepLines w:val="0"/>
      <w:tabs>
        <w:tab w:val="clear" w:pos="964"/>
        <w:tab w:val="clear" w:pos="8789"/>
        <w:tab w:val="clear" w:pos="9639"/>
        <w:tab w:val="right" w:leader="dot" w:pos="6480"/>
      </w:tabs>
      <w:overflowPunct/>
      <w:autoSpaceDE/>
      <w:autoSpaceDN/>
      <w:adjustRightInd/>
      <w:spacing w:before="0"/>
      <w:ind w:left="540" w:right="0" w:hanging="540"/>
      <w:textAlignment w:val="auto"/>
    </w:pPr>
    <w:rPr>
      <w:rFonts w:ascii="Tahoma" w:hAnsi="Tahoma"/>
      <w:b/>
      <w:bCs/>
      <w:spacing w:val="-4"/>
      <w:sz w:val="20"/>
    </w:rPr>
  </w:style>
  <w:style w:type="paragraph" w:styleId="ListParagraph">
    <w:name w:val="List Paragraph"/>
    <w:aliases w:val="NUMBERED PARAGRAPH,List Paragraph 1,List Paragraph (numbered (a)),Use Case List Paragraph,References,ReferencesCxSpLast,lp1"/>
    <w:basedOn w:val="Normal"/>
    <w:link w:val="ListParagraphChar"/>
    <w:uiPriority w:val="34"/>
    <w:qFormat/>
    <w:pPr>
      <w:tabs>
        <w:tab w:val="clear" w:pos="794"/>
        <w:tab w:val="clear" w:pos="1191"/>
        <w:tab w:val="clear" w:pos="1588"/>
        <w:tab w:val="clear" w:pos="1985"/>
      </w:tabs>
      <w:overflowPunct/>
      <w:autoSpaceDE/>
      <w:autoSpaceDN/>
      <w:adjustRightInd/>
      <w:spacing w:before="0"/>
      <w:ind w:left="720"/>
      <w:contextualSpacing/>
      <w:textAlignment w:val="auto"/>
    </w:pPr>
    <w:rPr>
      <w:rFonts w:ascii="Tahoma" w:hAnsi="Tahoma"/>
      <w:sz w:val="20"/>
    </w:rPr>
  </w:style>
  <w:style w:type="paragraph" w:customStyle="1" w:styleId="Requirement">
    <w:name w:val="Requirement"/>
    <w:basedOn w:val="Normal"/>
    <w:link w:val="RequirementChar"/>
    <w:uiPriority w:val="99"/>
    <w:pPr>
      <w:pBdr>
        <w:top w:val="single" w:sz="4" w:space="1" w:color="auto"/>
        <w:left w:val="single" w:sz="4" w:space="4" w:color="auto"/>
        <w:bottom w:val="single" w:sz="4" w:space="1" w:color="auto"/>
        <w:right w:val="single" w:sz="4" w:space="4" w:color="auto"/>
      </w:pBdr>
      <w:tabs>
        <w:tab w:val="clear" w:pos="794"/>
        <w:tab w:val="clear" w:pos="1191"/>
        <w:tab w:val="clear" w:pos="1588"/>
        <w:tab w:val="clear" w:pos="1985"/>
      </w:tabs>
      <w:overflowPunct/>
      <w:autoSpaceDE/>
      <w:autoSpaceDN/>
      <w:adjustRightInd/>
      <w:spacing w:before="240" w:after="120"/>
      <w:ind w:left="270" w:right="315"/>
      <w:textAlignment w:val="auto"/>
    </w:pPr>
    <w:rPr>
      <w:sz w:val="22"/>
    </w:rPr>
  </w:style>
  <w:style w:type="character" w:customStyle="1" w:styleId="RequirementChar">
    <w:name w:val="Requirement Char"/>
    <w:basedOn w:val="DefaultParagraphFont"/>
    <w:link w:val="Requirement"/>
    <w:uiPriority w:val="99"/>
    <w:locked/>
    <w:rPr>
      <w:rFonts w:cs="Times New Roman"/>
      <w:sz w:val="22"/>
      <w:lang w:val="en-US" w:eastAsia="en-US" w:bidi="ar-SA"/>
    </w:rPr>
  </w:style>
  <w:style w:type="character" w:customStyle="1" w:styleId="2Char2">
    <w:name w:val="2 Char2"/>
    <w:aliases w:val="h2 Char2,2nd level Char2,heading 2+ Indent: Left 0.25 in Char2,título 2 Char2,l2 Char2,UNDERRUBRIK 1-2 Char Char,2 Char21,h2 Char21,2nd level Char21,heading 2+ Indent: Left 0.25 in Char21,título 2 Char21,l2 Char21"/>
    <w:basedOn w:val="DefaultParagraphFont"/>
    <w:uiPriority w:val="99"/>
    <w:rPr>
      <w:rFonts w:cs="Times New Roman"/>
      <w:b/>
      <w:sz w:val="24"/>
      <w:lang w:val="en-GB"/>
    </w:rPr>
  </w:style>
  <w:style w:type="paragraph" w:styleId="DocumentMap">
    <w:name w:val="Document Map"/>
    <w:basedOn w:val="Normal"/>
    <w:link w:val="DocumentMapChar"/>
    <w:uiPriority w:val="99"/>
    <w:rPr>
      <w:rFonts w:ascii="Gulim" w:eastAsia="Gulim"/>
      <w:sz w:val="18"/>
      <w:szCs w:val="18"/>
    </w:rPr>
  </w:style>
  <w:style w:type="character" w:customStyle="1" w:styleId="DocumentMapChar">
    <w:name w:val="Document Map Char"/>
    <w:basedOn w:val="DefaultParagraphFont"/>
    <w:link w:val="DocumentMap"/>
    <w:uiPriority w:val="99"/>
    <w:locked/>
    <w:rPr>
      <w:rFonts w:ascii="Gulim" w:eastAsia="Gulim" w:cs="Times New Roman"/>
      <w:sz w:val="18"/>
      <w:szCs w:val="18"/>
      <w:lang w:val="en-GB" w:eastAsia="en-US"/>
    </w:rPr>
  </w:style>
  <w:style w:type="paragraph" w:customStyle="1" w:styleId="3">
    <w:name w:val="스타일 제목 3 + (한글) 맑은 고딕 굵게 없음 검정"/>
    <w:basedOn w:val="Heading3"/>
    <w:uiPriority w:val="99"/>
    <w:pPr>
      <w:keepNext w:val="0"/>
      <w:keepLines w:val="0"/>
      <w:widowControl w:val="0"/>
      <w:numPr>
        <w:ilvl w:val="2"/>
      </w:numPr>
      <w:ind w:left="794" w:hanging="794"/>
    </w:pPr>
    <w:rPr>
      <w:rFonts w:eastAsia="Malgun Gothic"/>
      <w:b w:val="0"/>
      <w:color w:val="000000"/>
    </w:rPr>
  </w:style>
  <w:style w:type="paragraph" w:styleId="TOC9">
    <w:name w:val="toc 9"/>
    <w:basedOn w:val="Normal"/>
    <w:next w:val="Normal"/>
    <w:autoRedefine/>
    <w:uiPriority w:val="39"/>
    <w:pPr>
      <w:tabs>
        <w:tab w:val="clear" w:pos="794"/>
        <w:tab w:val="clear" w:pos="1191"/>
        <w:tab w:val="clear" w:pos="1588"/>
        <w:tab w:val="clear" w:pos="1985"/>
      </w:tabs>
      <w:ind w:leftChars="1600" w:left="3400"/>
    </w:pPr>
    <w:rPr>
      <w:rFonts w:eastAsia="Malgun Gothic"/>
    </w:rPr>
  </w:style>
  <w:style w:type="character" w:customStyle="1" w:styleId="HeadingbChar1">
    <w:name w:val="Heading_b Char1"/>
    <w:basedOn w:val="DefaultParagraphFont"/>
    <w:rPr>
      <w:rFonts w:eastAsia="Batang" w:cs="Times New Roman"/>
      <w:b/>
      <w:sz w:val="24"/>
      <w:lang w:val="en-GB" w:eastAsia="en-US" w:bidi="ar-SA"/>
    </w:rPr>
  </w:style>
  <w:style w:type="character" w:customStyle="1" w:styleId="TableheadChar0">
    <w:name w:val="Table_head Char"/>
    <w:basedOn w:val="DefaultParagraphFont"/>
    <w:uiPriority w:val="99"/>
    <w:rPr>
      <w:rFonts w:cs="Times New Roman"/>
      <w:b/>
      <w:sz w:val="22"/>
      <w:lang w:val="en-GB" w:eastAsia="en-US" w:bidi="ar-SA"/>
    </w:rPr>
  </w:style>
  <w:style w:type="paragraph" w:styleId="BodyTextIndent2">
    <w:name w:val="Body Text Indent 2"/>
    <w:basedOn w:val="Normal"/>
    <w:link w:val="BodyTextIndent2Char"/>
    <w:pPr>
      <w:spacing w:after="120" w:line="480" w:lineRule="auto"/>
      <w:ind w:left="283"/>
    </w:pPr>
    <w:rPr>
      <w:rFonts w:eastAsia="Batang"/>
    </w:rPr>
  </w:style>
  <w:style w:type="character" w:customStyle="1" w:styleId="BodyTextIndent2Char">
    <w:name w:val="Body Text Indent 2 Char"/>
    <w:basedOn w:val="DefaultParagraphFont"/>
    <w:link w:val="BodyTextIndent2"/>
    <w:locked/>
    <w:rPr>
      <w:rFonts w:eastAsia="Batang" w:cs="Times New Roman"/>
      <w:sz w:val="24"/>
      <w:lang w:val="en-GB" w:eastAsia="en-US"/>
    </w:rPr>
  </w:style>
  <w:style w:type="character" w:customStyle="1" w:styleId="name">
    <w:name w:val="name"/>
    <w:basedOn w:val="DefaultParagraphFont"/>
    <w:uiPriority w:val="99"/>
    <w:rPr>
      <w:rFonts w:cs="Times New Roman"/>
    </w:rPr>
  </w:style>
  <w:style w:type="paragraph" w:customStyle="1" w:styleId="AnnexRef0">
    <w:name w:val="Annex_Ref"/>
    <w:basedOn w:val="Normal"/>
    <w:next w:val="Normal"/>
    <w:uiPriority w:val="99"/>
    <w:pPr>
      <w:keepNext/>
      <w:keepLines/>
      <w:overflowPunct/>
      <w:autoSpaceDE/>
      <w:autoSpaceDN/>
      <w:adjustRightInd/>
      <w:spacing w:after="280"/>
      <w:jc w:val="center"/>
      <w:textAlignment w:val="auto"/>
    </w:pPr>
    <w:rPr>
      <w:rFonts w:eastAsia="Batang"/>
    </w:rPr>
  </w:style>
  <w:style w:type="paragraph" w:styleId="Subtitle">
    <w:name w:val="Subtitle"/>
    <w:basedOn w:val="Normal"/>
    <w:link w:val="SubtitleChar"/>
    <w:uiPriority w:val="99"/>
    <w:qFormat/>
    <w:pPr>
      <w:tabs>
        <w:tab w:val="clear" w:pos="794"/>
        <w:tab w:val="clear" w:pos="1191"/>
        <w:tab w:val="clear" w:pos="1588"/>
        <w:tab w:val="clear" w:pos="1985"/>
      </w:tabs>
      <w:overflowPunct/>
      <w:autoSpaceDE/>
      <w:autoSpaceDN/>
      <w:adjustRightInd/>
      <w:spacing w:before="0"/>
      <w:textAlignment w:val="auto"/>
    </w:pPr>
    <w:rPr>
      <w:rFonts w:eastAsia="MS Mincho"/>
      <w:b/>
      <w:sz w:val="20"/>
      <w:lang w:eastAsia="ja-JP"/>
    </w:rPr>
  </w:style>
  <w:style w:type="character" w:customStyle="1" w:styleId="SubtitleChar">
    <w:name w:val="Subtitle Char"/>
    <w:basedOn w:val="DefaultParagraphFont"/>
    <w:link w:val="Subtitle"/>
    <w:uiPriority w:val="99"/>
    <w:locked/>
    <w:rPr>
      <w:rFonts w:eastAsia="MS Mincho" w:cs="Times New Roman"/>
      <w:b/>
      <w:lang w:eastAsia="ja-JP"/>
    </w:rPr>
  </w:style>
  <w:style w:type="character" w:styleId="LineNumber">
    <w:name w:val="line number"/>
    <w:basedOn w:val="DefaultParagraphFont"/>
    <w:rPr>
      <w:rFonts w:cs="Times New Roman"/>
    </w:rPr>
  </w:style>
  <w:style w:type="paragraph" w:styleId="NormalIndent">
    <w:name w:val="Normal Indent"/>
    <w:basedOn w:val="Normal"/>
    <w:pPr>
      <w:overflowPunct/>
      <w:autoSpaceDE/>
      <w:autoSpaceDN/>
      <w:adjustRightInd/>
      <w:ind w:left="794"/>
      <w:textAlignment w:val="auto"/>
    </w:pPr>
    <w:rPr>
      <w:rFonts w:eastAsia="Batang"/>
    </w:rPr>
  </w:style>
  <w:style w:type="paragraph" w:customStyle="1" w:styleId="TableLegend0">
    <w:name w:val="Table_Legend"/>
    <w:basedOn w:val="TableText0"/>
    <w:uiPriority w:val="99"/>
    <w:pPr>
      <w:spacing w:before="120"/>
    </w:pPr>
    <w:rPr>
      <w:rFonts w:eastAsia="Batang"/>
    </w:rPr>
  </w:style>
  <w:style w:type="paragraph" w:customStyle="1" w:styleId="TableTitle0">
    <w:name w:val="Table_Title"/>
    <w:basedOn w:val="Normal"/>
    <w:next w:val="TableText0"/>
    <w:uiPriority w:val="99"/>
    <w:pPr>
      <w:keepNext/>
      <w:keepLines/>
      <w:tabs>
        <w:tab w:val="left" w:pos="2948"/>
        <w:tab w:val="left" w:pos="4082"/>
      </w:tabs>
      <w:overflowPunct/>
      <w:autoSpaceDE/>
      <w:autoSpaceDN/>
      <w:adjustRightInd/>
      <w:spacing w:before="480" w:after="120"/>
      <w:jc w:val="center"/>
      <w:textAlignment w:val="auto"/>
    </w:pPr>
    <w:rPr>
      <w:rFonts w:eastAsia="Batang"/>
      <w:b/>
    </w:rPr>
  </w:style>
  <w:style w:type="paragraph" w:customStyle="1" w:styleId="FigureLegend0">
    <w:name w:val="Figure_Legend"/>
    <w:basedOn w:val="Normal"/>
    <w:uiPriority w:val="99"/>
    <w:pPr>
      <w:keepNext/>
      <w:keepLines/>
      <w:tabs>
        <w:tab w:val="clear" w:pos="794"/>
        <w:tab w:val="clear" w:pos="1191"/>
        <w:tab w:val="clear" w:pos="1588"/>
        <w:tab w:val="clear" w:pos="1985"/>
      </w:tabs>
      <w:overflowPunct/>
      <w:autoSpaceDE/>
      <w:autoSpaceDN/>
      <w:adjustRightInd/>
      <w:spacing w:before="20" w:after="20"/>
      <w:textAlignment w:val="auto"/>
    </w:pPr>
    <w:rPr>
      <w:rFonts w:eastAsia="Batang"/>
      <w:sz w:val="18"/>
    </w:rPr>
  </w:style>
  <w:style w:type="paragraph" w:customStyle="1" w:styleId="FigureTitle">
    <w:name w:val="Figure_Title"/>
    <w:basedOn w:val="TableTitle0"/>
    <w:next w:val="Normalaftertitle0"/>
    <w:uiPriority w:val="99"/>
    <w:pPr>
      <w:keepNext w:val="0"/>
      <w:spacing w:before="240" w:after="480"/>
    </w:pPr>
  </w:style>
  <w:style w:type="paragraph" w:customStyle="1" w:styleId="AppendixRef">
    <w:name w:val="Appendix_Ref"/>
    <w:basedOn w:val="AnnexRef0"/>
    <w:next w:val="Normalaftertitle0"/>
    <w:uiPriority w:val="99"/>
  </w:style>
  <w:style w:type="paragraph" w:customStyle="1" w:styleId="AppendixTitle">
    <w:name w:val="Appendix_Title"/>
    <w:basedOn w:val="AnnexTitle"/>
    <w:next w:val="AppendixRef"/>
    <w:uiPriority w:val="99"/>
    <w:pPr>
      <w:overflowPunct/>
      <w:autoSpaceDE/>
      <w:autoSpaceDN/>
      <w:adjustRightInd/>
      <w:spacing w:before="240" w:after="280"/>
      <w:textAlignment w:val="auto"/>
    </w:pPr>
    <w:rPr>
      <w:rFonts w:ascii="Times New Roman" w:eastAsia="Batang" w:hAnsi="Times New Roman"/>
      <w:sz w:val="28"/>
      <w:u w:val="none"/>
    </w:rPr>
  </w:style>
  <w:style w:type="paragraph" w:customStyle="1" w:styleId="RefTitle0">
    <w:name w:val="Ref_Title"/>
    <w:basedOn w:val="Normal"/>
    <w:next w:val="RefText0"/>
    <w:uiPriority w:val="99"/>
    <w:pPr>
      <w:overflowPunct/>
      <w:autoSpaceDE/>
      <w:autoSpaceDN/>
      <w:adjustRightInd/>
      <w:spacing w:before="480"/>
      <w:jc w:val="center"/>
      <w:textAlignment w:val="auto"/>
    </w:pPr>
    <w:rPr>
      <w:rFonts w:eastAsia="Batang"/>
      <w:caps/>
    </w:rPr>
  </w:style>
  <w:style w:type="paragraph" w:customStyle="1" w:styleId="RefText0">
    <w:name w:val="Ref_Text"/>
    <w:basedOn w:val="Normal"/>
    <w:uiPriority w:val="99"/>
    <w:pPr>
      <w:overflowPunct/>
      <w:autoSpaceDE/>
      <w:autoSpaceDN/>
      <w:adjustRightInd/>
      <w:ind w:left="794" w:hanging="794"/>
      <w:textAlignment w:val="auto"/>
    </w:pPr>
    <w:rPr>
      <w:rFonts w:eastAsia="Batang"/>
    </w:rPr>
  </w:style>
  <w:style w:type="paragraph" w:customStyle="1" w:styleId="Head">
    <w:name w:val="Head"/>
    <w:basedOn w:val="Normal"/>
    <w:pPr>
      <w:tabs>
        <w:tab w:val="clear" w:pos="794"/>
        <w:tab w:val="clear" w:pos="1191"/>
        <w:tab w:val="clear" w:pos="1588"/>
        <w:tab w:val="clear" w:pos="1985"/>
        <w:tab w:val="left" w:pos="6663"/>
      </w:tabs>
      <w:overflowPunct/>
      <w:autoSpaceDE/>
      <w:autoSpaceDN/>
      <w:adjustRightInd/>
      <w:spacing w:before="0"/>
      <w:textAlignment w:val="auto"/>
    </w:pPr>
    <w:rPr>
      <w:rFonts w:eastAsia="Batang"/>
    </w:rPr>
  </w:style>
  <w:style w:type="paragraph" w:customStyle="1" w:styleId="RecTitle0">
    <w:name w:val="Rec_Title"/>
    <w:basedOn w:val="RecNo"/>
    <w:next w:val="RecRef0"/>
    <w:uiPriority w:val="99"/>
    <w:pPr>
      <w:overflowPunct/>
      <w:autoSpaceDE/>
      <w:autoSpaceDN/>
      <w:adjustRightInd/>
      <w:spacing w:before="240"/>
      <w:jc w:val="center"/>
      <w:textAlignment w:val="auto"/>
    </w:pPr>
    <w:rPr>
      <w:rFonts w:eastAsia="Batang"/>
    </w:rPr>
  </w:style>
  <w:style w:type="paragraph" w:customStyle="1" w:styleId="RecRef0">
    <w:name w:val="Rec_Ref"/>
    <w:basedOn w:val="RecTitle0"/>
    <w:next w:val="Normal"/>
    <w:uiPriority w:val="99"/>
    <w:pPr>
      <w:tabs>
        <w:tab w:val="clear" w:pos="794"/>
        <w:tab w:val="clear" w:pos="1191"/>
        <w:tab w:val="clear" w:pos="1588"/>
        <w:tab w:val="clear" w:pos="1985"/>
      </w:tabs>
      <w:spacing w:before="120"/>
    </w:pPr>
    <w:rPr>
      <w:b w:val="0"/>
    </w:rPr>
  </w:style>
  <w:style w:type="paragraph" w:customStyle="1" w:styleId="call0">
    <w:name w:val="call"/>
    <w:basedOn w:val="Normal"/>
    <w:next w:val="Normal"/>
    <w:uiPriority w:val="99"/>
    <w:pPr>
      <w:keepNext/>
      <w:keepLines/>
      <w:overflowPunct/>
      <w:autoSpaceDE/>
      <w:autoSpaceDN/>
      <w:adjustRightInd/>
      <w:spacing w:before="160"/>
      <w:ind w:left="794"/>
      <w:textAlignment w:val="auto"/>
    </w:pPr>
    <w:rPr>
      <w:rFonts w:eastAsia="Batang"/>
      <w:i/>
    </w:rPr>
  </w:style>
  <w:style w:type="paragraph" w:styleId="List">
    <w:name w:val="List"/>
    <w:basedOn w:val="Normal"/>
    <w:uiPriority w:val="99"/>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eastAsia="Batang"/>
    </w:rPr>
  </w:style>
  <w:style w:type="paragraph" w:customStyle="1" w:styleId="Part">
    <w:name w:val="Part"/>
    <w:basedOn w:val="Normal"/>
    <w:uiPriority w:val="99"/>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rFonts w:eastAsia="Batang"/>
      <w:caps/>
    </w:rPr>
  </w:style>
  <w:style w:type="paragraph" w:customStyle="1" w:styleId="Keywords">
    <w:name w:val="Keywords"/>
    <w:basedOn w:val="Normal"/>
    <w:uiPriority w:val="99"/>
    <w:pPr>
      <w:tabs>
        <w:tab w:val="clear" w:pos="1191"/>
        <w:tab w:val="clear" w:pos="1588"/>
      </w:tabs>
      <w:overflowPunct/>
      <w:autoSpaceDE/>
      <w:autoSpaceDN/>
      <w:adjustRightInd/>
      <w:ind w:left="794" w:hanging="794"/>
      <w:textAlignment w:val="auto"/>
    </w:pPr>
    <w:rPr>
      <w:rFonts w:eastAsia="Batang"/>
    </w:rPr>
  </w:style>
  <w:style w:type="paragraph" w:customStyle="1" w:styleId="EquationLegend0">
    <w:name w:val="Equation_Legend"/>
    <w:basedOn w:val="Normal"/>
    <w:uiPriority w:val="99"/>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rPr>
      <w:rFonts w:eastAsia="Batang"/>
    </w:rPr>
  </w:style>
  <w:style w:type="paragraph" w:customStyle="1" w:styleId="Qlist">
    <w:name w:val="Qlist"/>
    <w:basedOn w:val="Normal"/>
    <w:uiPriority w:val="99"/>
    <w:pPr>
      <w:tabs>
        <w:tab w:val="clear" w:pos="794"/>
        <w:tab w:val="clear" w:pos="1191"/>
        <w:tab w:val="clear" w:pos="1588"/>
        <w:tab w:val="clear" w:pos="1985"/>
        <w:tab w:val="left" w:pos="1843"/>
        <w:tab w:val="left" w:pos="2268"/>
      </w:tabs>
      <w:overflowPunct/>
      <w:autoSpaceDE/>
      <w:autoSpaceDN/>
      <w:adjustRightInd/>
      <w:ind w:left="2268" w:hanging="2268"/>
      <w:textAlignment w:val="auto"/>
    </w:pPr>
    <w:rPr>
      <w:rFonts w:eastAsia="Batang"/>
      <w:b/>
    </w:rPr>
  </w:style>
  <w:style w:type="paragraph" w:customStyle="1" w:styleId="meeting">
    <w:name w:val="meeting"/>
    <w:basedOn w:val="Head"/>
    <w:next w:val="Head"/>
    <w:uiPriority w:val="99"/>
    <w:pPr>
      <w:tabs>
        <w:tab w:val="left" w:pos="7371"/>
      </w:tabs>
      <w:spacing w:after="560"/>
    </w:pPr>
  </w:style>
  <w:style w:type="paragraph" w:customStyle="1" w:styleId="headingi0">
    <w:name w:val="heading_i"/>
    <w:basedOn w:val="Heading3"/>
    <w:next w:val="Normal"/>
    <w:uiPriority w:val="99"/>
    <w:pPr>
      <w:overflowPunct/>
      <w:autoSpaceDE/>
      <w:autoSpaceDN/>
      <w:adjustRightInd/>
      <w:ind w:left="0" w:firstLine="0"/>
      <w:textAlignment w:val="auto"/>
      <w:outlineLvl w:val="9"/>
    </w:pPr>
    <w:rPr>
      <w:rFonts w:eastAsia="Batang"/>
      <w:b w:val="0"/>
      <w:i/>
    </w:rPr>
  </w:style>
  <w:style w:type="paragraph" w:customStyle="1" w:styleId="AppendixNo">
    <w:name w:val="Appendix_No"/>
    <w:basedOn w:val="AnnexNo"/>
    <w:next w:val="AppendixTitle"/>
    <w:rPr>
      <w:rFonts w:eastAsia="Batang"/>
      <w:szCs w:val="20"/>
    </w:rPr>
  </w:style>
  <w:style w:type="paragraph" w:customStyle="1" w:styleId="ArtHeading0">
    <w:name w:val="Art_Heading"/>
    <w:basedOn w:val="Normal"/>
    <w:next w:val="Normalaftertitle0"/>
    <w:uiPriority w:val="99"/>
    <w:pPr>
      <w:overflowPunct/>
      <w:autoSpaceDE/>
      <w:autoSpaceDN/>
      <w:adjustRightInd/>
      <w:spacing w:before="480"/>
      <w:jc w:val="center"/>
      <w:textAlignment w:val="auto"/>
    </w:pPr>
    <w:rPr>
      <w:rFonts w:eastAsia="Batang"/>
      <w:b/>
      <w:sz w:val="28"/>
    </w:rPr>
  </w:style>
  <w:style w:type="paragraph" w:customStyle="1" w:styleId="ArtTitle0">
    <w:name w:val="Art_Title"/>
    <w:basedOn w:val="Normal"/>
    <w:next w:val="Normalaftertitle0"/>
    <w:uiPriority w:val="99"/>
    <w:pPr>
      <w:overflowPunct/>
      <w:autoSpaceDE/>
      <w:autoSpaceDN/>
      <w:adjustRightInd/>
      <w:spacing w:before="240"/>
      <w:jc w:val="center"/>
      <w:textAlignment w:val="auto"/>
    </w:pPr>
    <w:rPr>
      <w:rFonts w:eastAsia="Batang"/>
      <w:b/>
      <w:sz w:val="28"/>
    </w:rPr>
  </w:style>
  <w:style w:type="paragraph" w:customStyle="1" w:styleId="ChapTitle0">
    <w:name w:val="Chap_Title"/>
    <w:basedOn w:val="ArtTitle0"/>
    <w:next w:val="Normalaftertitle0"/>
    <w:uiPriority w:val="99"/>
  </w:style>
  <w:style w:type="paragraph" w:customStyle="1" w:styleId="PartRef0">
    <w:name w:val="Part_Ref"/>
    <w:basedOn w:val="AnnexRef0"/>
    <w:next w:val="Normalaftertitle0"/>
    <w:uiPriority w:val="99"/>
  </w:style>
  <w:style w:type="paragraph" w:customStyle="1" w:styleId="PartTitle0">
    <w:name w:val="Part_Title"/>
    <w:basedOn w:val="AnnexTitle"/>
    <w:next w:val="PartRef0"/>
    <w:uiPriority w:val="99"/>
    <w:pPr>
      <w:overflowPunct/>
      <w:autoSpaceDE/>
      <w:autoSpaceDN/>
      <w:adjustRightInd/>
      <w:spacing w:before="240" w:after="280"/>
      <w:textAlignment w:val="auto"/>
    </w:pPr>
    <w:rPr>
      <w:rFonts w:ascii="Times New Roman" w:eastAsia="Batang" w:hAnsi="Times New Roman"/>
      <w:sz w:val="28"/>
      <w:u w:val="none"/>
    </w:rPr>
  </w:style>
  <w:style w:type="paragraph" w:customStyle="1" w:styleId="RecDate0">
    <w:name w:val="Rec_Date"/>
    <w:basedOn w:val="RecRef0"/>
    <w:next w:val="Normalaftertitle0"/>
    <w:uiPriority w:val="99"/>
    <w:pPr>
      <w:jc w:val="right"/>
    </w:pPr>
  </w:style>
  <w:style w:type="paragraph" w:customStyle="1" w:styleId="ResDate0">
    <w:name w:val="Res_Date"/>
    <w:basedOn w:val="RecDate0"/>
    <w:next w:val="Normalaftertitle0"/>
    <w:uiPriority w:val="99"/>
    <w:rPr>
      <w:sz w:val="24"/>
    </w:rPr>
  </w:style>
  <w:style w:type="paragraph" w:customStyle="1" w:styleId="ResRef0">
    <w:name w:val="Res_Ref"/>
    <w:basedOn w:val="RecRef0"/>
    <w:next w:val="ResDate0"/>
    <w:uiPriority w:val="99"/>
    <w:rPr>
      <w:sz w:val="24"/>
    </w:rPr>
  </w:style>
  <w:style w:type="paragraph" w:customStyle="1" w:styleId="ResTitle0">
    <w:name w:val="Res_Title"/>
    <w:basedOn w:val="RecTitle0"/>
    <w:next w:val="ResRef0"/>
    <w:uiPriority w:val="99"/>
  </w:style>
  <w:style w:type="paragraph" w:customStyle="1" w:styleId="SectionTitle0">
    <w:name w:val="Section_Title"/>
    <w:basedOn w:val="Normal"/>
    <w:next w:val="Normalaftertitle0"/>
    <w:uiPriority w:val="99"/>
    <w:pPr>
      <w:overflowPunct/>
      <w:autoSpaceDE/>
      <w:autoSpaceDN/>
      <w:adjustRightInd/>
      <w:textAlignment w:val="auto"/>
    </w:pPr>
    <w:rPr>
      <w:rFonts w:eastAsia="Batang"/>
      <w:sz w:val="28"/>
    </w:rPr>
  </w:style>
  <w:style w:type="paragraph" w:customStyle="1" w:styleId="sgmSPLML">
    <w:name w:val="sgmSPLML"/>
    <w:basedOn w:val="Normal"/>
    <w:uiPriority w:val="99"/>
    <w:pPr>
      <w:widowControl w:val="0"/>
      <w:tabs>
        <w:tab w:val="clear" w:pos="794"/>
        <w:tab w:val="clear" w:pos="1191"/>
        <w:tab w:val="clear" w:pos="1588"/>
        <w:tab w:val="clear" w:pos="1985"/>
      </w:tabs>
      <w:spacing w:before="0" w:after="240" w:line="240" w:lineRule="exact"/>
    </w:pPr>
    <w:rPr>
      <w:rFonts w:ascii="Arial" w:eastAsia="Batang" w:hAnsi="Arial"/>
      <w:b/>
      <w:spacing w:val="4"/>
      <w:kern w:val="18"/>
      <w:sz w:val="22"/>
    </w:rPr>
  </w:style>
  <w:style w:type="paragraph" w:customStyle="1" w:styleId="Table0">
    <w:name w:val="Table_#"/>
    <w:basedOn w:val="Normal"/>
    <w:next w:val="TableTitle0"/>
    <w:uiPriority w:val="99"/>
    <w:pPr>
      <w:keepNext/>
      <w:spacing w:before="560" w:after="120"/>
      <w:jc w:val="center"/>
    </w:pPr>
    <w:rPr>
      <w:rFonts w:eastAsia="Batang"/>
      <w:caps/>
    </w:rPr>
  </w:style>
  <w:style w:type="paragraph" w:customStyle="1" w:styleId="Fig">
    <w:name w:val="Fig"/>
    <w:basedOn w:val="Normal"/>
    <w:next w:val="Normal"/>
    <w:uiPriority w:val="99"/>
    <w:pPr>
      <w:spacing w:before="136"/>
      <w:jc w:val="center"/>
    </w:pPr>
    <w:rPr>
      <w:rFonts w:ascii="Arial" w:eastAsia="Batang" w:hAnsi="Arial"/>
      <w:sz w:val="20"/>
    </w:rPr>
  </w:style>
  <w:style w:type="paragraph" w:styleId="PlainText">
    <w:name w:val="Plain Text"/>
    <w:basedOn w:val="Normal"/>
    <w:link w:val="PlainTextChar"/>
    <w:uiPriority w:val="99"/>
    <w:pPr>
      <w:widowControl w:val="0"/>
      <w:tabs>
        <w:tab w:val="clear" w:pos="794"/>
        <w:tab w:val="clear" w:pos="1191"/>
        <w:tab w:val="clear" w:pos="1588"/>
        <w:tab w:val="clear" w:pos="1985"/>
      </w:tabs>
      <w:spacing w:before="0"/>
    </w:pPr>
    <w:rPr>
      <w:rFonts w:ascii="Courier New" w:eastAsia="Batang" w:hAnsi="Courier New"/>
      <w:sz w:val="20"/>
    </w:rPr>
  </w:style>
  <w:style w:type="character" w:customStyle="1" w:styleId="PlainTextChar">
    <w:name w:val="Plain Text Char"/>
    <w:basedOn w:val="DefaultParagraphFont"/>
    <w:link w:val="PlainText"/>
    <w:uiPriority w:val="99"/>
    <w:locked/>
    <w:rPr>
      <w:rFonts w:ascii="Courier New" w:eastAsia="Batang" w:hAnsi="Courier New" w:cs="Times New Roman"/>
      <w:lang w:eastAsia="en-US"/>
    </w:rPr>
  </w:style>
  <w:style w:type="paragraph" w:customStyle="1" w:styleId="Terms">
    <w:name w:val="Term(s)"/>
    <w:basedOn w:val="Normal"/>
    <w:next w:val="Definition"/>
    <w:uiPriority w:val="99"/>
    <w:pPr>
      <w:keepNext/>
      <w:tabs>
        <w:tab w:val="left" w:pos="567"/>
      </w:tabs>
      <w:spacing w:before="136" w:line="220" w:lineRule="exact"/>
    </w:pPr>
    <w:rPr>
      <w:rFonts w:eastAsia="Batang"/>
      <w:b/>
      <w:sz w:val="20"/>
    </w:rPr>
  </w:style>
  <w:style w:type="paragraph" w:customStyle="1" w:styleId="Definition">
    <w:name w:val="Definition"/>
    <w:basedOn w:val="Normal"/>
    <w:uiPriority w:val="99"/>
    <w:pPr>
      <w:spacing w:before="136" w:line="260" w:lineRule="exact"/>
      <w:jc w:val="both"/>
    </w:pPr>
    <w:rPr>
      <w:rFonts w:eastAsia="Batang"/>
      <w:sz w:val="20"/>
    </w:rPr>
  </w:style>
  <w:style w:type="paragraph" w:customStyle="1" w:styleId="ASN1-Module">
    <w:name w:val="ASN1-Module"/>
    <w:basedOn w:val="Normal"/>
    <w:uiPriority w:val="99"/>
    <w:pPr>
      <w:widowControl w:val="0"/>
      <w:tabs>
        <w:tab w:val="clear" w:pos="794"/>
        <w:tab w:val="clear" w:pos="1191"/>
        <w:tab w:val="clear" w:pos="1588"/>
        <w:tab w:val="clear" w:pos="1985"/>
        <w:tab w:val="left" w:pos="567"/>
        <w:tab w:val="left" w:pos="1701"/>
        <w:tab w:val="left" w:pos="3686"/>
      </w:tabs>
      <w:spacing w:before="0" w:after="60"/>
    </w:pPr>
    <w:rPr>
      <w:rFonts w:ascii="Arial" w:eastAsia="Batang" w:hAnsi="Arial"/>
      <w:sz w:val="20"/>
    </w:rPr>
  </w:style>
  <w:style w:type="paragraph" w:styleId="HTMLPreformatted">
    <w:name w:val="HTML Preformatted"/>
    <w:basedOn w:val="Normal"/>
    <w:link w:val="HTMLPreformattedChar"/>
    <w:uiPriority w:val="99"/>
    <w:pPr>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uiPriority w:val="99"/>
    <w:locked/>
    <w:rPr>
      <w:rFonts w:ascii="Arial Unicode MS" w:eastAsia="Arial Unicode MS" w:hAnsi="Arial Unicode MS" w:cs="Arial Unicode MS"/>
      <w:lang w:eastAsia="en-US"/>
    </w:rPr>
  </w:style>
  <w:style w:type="paragraph" w:customStyle="1" w:styleId="Body">
    <w:name w:val="Body"/>
    <w:basedOn w:val="Normal"/>
    <w:uiPriority w:val="99"/>
    <w:pPr>
      <w:tabs>
        <w:tab w:val="clear" w:pos="794"/>
        <w:tab w:val="clear" w:pos="1191"/>
        <w:tab w:val="clear" w:pos="1588"/>
        <w:tab w:val="clear" w:pos="1985"/>
      </w:tabs>
      <w:overflowPunct/>
      <w:autoSpaceDE/>
      <w:autoSpaceDN/>
      <w:adjustRightInd/>
      <w:ind w:firstLine="432"/>
      <w:jc w:val="both"/>
      <w:textAlignment w:val="auto"/>
    </w:pPr>
    <w:rPr>
      <w:rFonts w:eastAsia="Batang"/>
    </w:rPr>
  </w:style>
  <w:style w:type="paragraph" w:customStyle="1" w:styleId="Annexref">
    <w:name w:val="Annex_ref"/>
    <w:basedOn w:val="Normal"/>
    <w:next w:val="Normal"/>
    <w:pPr>
      <w:keepNext/>
      <w:keepLines/>
      <w:numPr>
        <w:numId w:val="2"/>
      </w:numPr>
      <w:tabs>
        <w:tab w:val="clear" w:pos="360"/>
      </w:tabs>
      <w:overflowPunct/>
      <w:autoSpaceDE/>
      <w:autoSpaceDN/>
      <w:adjustRightInd/>
      <w:spacing w:after="280"/>
      <w:ind w:left="0" w:firstLine="0"/>
      <w:jc w:val="center"/>
      <w:textAlignment w:val="auto"/>
    </w:pPr>
    <w:rPr>
      <w:rFonts w:eastAsia="Batang"/>
      <w:i/>
      <w:iCs/>
      <w:sz w:val="20"/>
    </w:rPr>
  </w:style>
  <w:style w:type="paragraph" w:customStyle="1" w:styleId="Num-DocParagraph">
    <w:name w:val="Num-Doc Paragraph"/>
    <w:basedOn w:val="BodyText"/>
    <w:uiPriority w:val="99"/>
    <w:pPr>
      <w:tabs>
        <w:tab w:val="clear" w:pos="794"/>
        <w:tab w:val="clear" w:pos="1588"/>
        <w:tab w:val="clear" w:pos="1985"/>
        <w:tab w:val="left" w:pos="850"/>
        <w:tab w:val="left" w:pos="1531"/>
      </w:tabs>
      <w:overflowPunct/>
      <w:autoSpaceDE/>
      <w:autoSpaceDN/>
      <w:adjustRightInd/>
      <w:spacing w:before="0" w:after="240"/>
      <w:jc w:val="both"/>
      <w:textAlignment w:val="auto"/>
    </w:pPr>
    <w:rPr>
      <w:color w:val="auto"/>
      <w:sz w:val="22"/>
      <w:szCs w:val="22"/>
      <w:lang w:val="en-GB"/>
    </w:rPr>
  </w:style>
  <w:style w:type="character" w:customStyle="1" w:styleId="Num-DocParagraphChar">
    <w:name w:val="Num-Doc Paragraph Char"/>
    <w:basedOn w:val="DefaultParagraphFont"/>
    <w:uiPriority w:val="99"/>
    <w:rPr>
      <w:rFonts w:eastAsia="SimSun" w:cs="Times New Roman"/>
      <w:sz w:val="22"/>
      <w:szCs w:val="22"/>
      <w:lang w:val="en-GB" w:eastAsia="zh-CN" w:bidi="ar-SA"/>
    </w:rPr>
  </w:style>
  <w:style w:type="paragraph" w:customStyle="1" w:styleId="CharCharCharCharCharChar">
    <w:name w:val="Char Char Char Char Char Char"/>
    <w:basedOn w:val="Normal"/>
    <w:uiPriority w:val="99"/>
    <w:pPr>
      <w:widowControl w:val="0"/>
      <w:numPr>
        <w:numId w:val="3"/>
      </w:numPr>
      <w:tabs>
        <w:tab w:val="clear" w:pos="360"/>
        <w:tab w:val="clear" w:pos="794"/>
        <w:tab w:val="clear" w:pos="1191"/>
        <w:tab w:val="clear" w:pos="1588"/>
        <w:tab w:val="clear" w:pos="1985"/>
      </w:tabs>
      <w:overflowPunct/>
      <w:autoSpaceDE/>
      <w:autoSpaceDN/>
      <w:adjustRightInd/>
      <w:spacing w:before="0"/>
      <w:ind w:left="0" w:firstLine="0"/>
      <w:jc w:val="both"/>
      <w:textAlignment w:val="auto"/>
    </w:pPr>
    <w:rPr>
      <w:rFonts w:ascii="Tahoma" w:eastAsia="SimSun" w:hAnsi="Tahoma"/>
      <w:kern w:val="2"/>
    </w:rPr>
  </w:style>
  <w:style w:type="paragraph" w:customStyle="1" w:styleId="sgmH0">
    <w:name w:val="sgmH0"/>
    <w:basedOn w:val="Normal"/>
    <w:uiPriority w:val="99"/>
    <w:pPr>
      <w:keepNext/>
      <w:tabs>
        <w:tab w:val="clear" w:pos="794"/>
        <w:tab w:val="clear" w:pos="1191"/>
        <w:tab w:val="clear" w:pos="1588"/>
        <w:tab w:val="clear" w:pos="1985"/>
      </w:tabs>
      <w:overflowPunct/>
      <w:autoSpaceDE/>
      <w:autoSpaceDN/>
      <w:adjustRightInd/>
      <w:spacing w:before="0" w:after="900" w:line="300" w:lineRule="exact"/>
      <w:jc w:val="center"/>
      <w:textAlignment w:val="auto"/>
    </w:pPr>
    <w:rPr>
      <w:rFonts w:ascii="Arial" w:eastAsia="Batang" w:hAnsi="Arial"/>
      <w:b/>
      <w:spacing w:val="4"/>
      <w:kern w:val="18"/>
      <w:sz w:val="28"/>
      <w:szCs w:val="24"/>
    </w:rPr>
  </w:style>
  <w:style w:type="paragraph" w:customStyle="1" w:styleId="Style1">
    <w:name w:val="Style1"/>
    <w:basedOn w:val="Normal"/>
    <w:uiPriority w:val="99"/>
    <w:pPr>
      <w:overflowPunct/>
      <w:autoSpaceDE/>
      <w:autoSpaceDN/>
      <w:adjustRightInd/>
      <w:ind w:left="927" w:hanging="360"/>
      <w:textAlignment w:val="auto"/>
    </w:pPr>
    <w:rPr>
      <w:rFonts w:eastAsia="Batang"/>
    </w:rPr>
  </w:style>
  <w:style w:type="paragraph" w:styleId="BlockText">
    <w:name w:val="Block Text"/>
    <w:basedOn w:val="Normal"/>
    <w:uiPriority w:val="99"/>
    <w:pPr>
      <w:widowControl w:val="0"/>
      <w:tabs>
        <w:tab w:val="clear" w:pos="794"/>
        <w:tab w:val="clear" w:pos="1191"/>
        <w:tab w:val="clear" w:pos="1588"/>
        <w:tab w:val="clear" w:pos="1985"/>
      </w:tabs>
      <w:overflowPunct/>
      <w:autoSpaceDE/>
      <w:autoSpaceDN/>
      <w:adjustRightInd/>
      <w:spacing w:before="0"/>
      <w:ind w:left="720" w:right="-483"/>
      <w:textAlignment w:val="auto"/>
    </w:pPr>
    <w:rPr>
      <w:rFonts w:eastAsia="Batang"/>
      <w:sz w:val="20"/>
      <w:lang w:val="en-AU"/>
    </w:rPr>
  </w:style>
  <w:style w:type="paragraph" w:customStyle="1" w:styleId="FooterPubl">
    <w:name w:val="Footer_Publ"/>
    <w:basedOn w:val="Normal"/>
    <w:uiPriority w:val="99"/>
    <w:pPr>
      <w:tabs>
        <w:tab w:val="clear" w:pos="794"/>
        <w:tab w:val="clear" w:pos="1191"/>
        <w:tab w:val="clear" w:pos="1588"/>
        <w:tab w:val="clear" w:pos="1985"/>
        <w:tab w:val="left" w:pos="5954"/>
        <w:tab w:val="right" w:pos="9639"/>
      </w:tabs>
      <w:spacing w:before="60" w:after="60"/>
    </w:pPr>
    <w:rPr>
      <w:rFonts w:eastAsia="Batang"/>
      <w:sz w:val="18"/>
    </w:rPr>
  </w:style>
  <w:style w:type="character" w:customStyle="1" w:styleId="ASN1Text">
    <w:name w:val="ASN.1 Text"/>
    <w:basedOn w:val="DefaultParagraphFont"/>
    <w:rPr>
      <w:rFonts w:ascii="Courier New" w:hAnsi="Courier New" w:cs="Times New Roman"/>
      <w:b/>
      <w:noProof/>
      <w:color w:val="auto"/>
      <w:spacing w:val="-2"/>
      <w:w w:val="100"/>
      <w:kern w:val="0"/>
      <w:sz w:val="18"/>
      <w:u w:val="none"/>
      <w:effect w:val="none"/>
      <w:vertAlign w:val="baseline"/>
      <w:lang w:val="en-US"/>
    </w:rPr>
  </w:style>
  <w:style w:type="paragraph" w:customStyle="1" w:styleId="a4">
    <w:name w:val="a4"/>
    <w:basedOn w:val="Heading3"/>
    <w:next w:val="Normal"/>
    <w:uiPriority w:val="99"/>
    <w:pPr>
      <w:overflowPunct/>
      <w:autoSpaceDE/>
      <w:autoSpaceDN/>
      <w:adjustRightInd/>
      <w:spacing w:before="181"/>
      <w:ind w:left="0" w:firstLine="0"/>
      <w:jc w:val="both"/>
      <w:textAlignment w:val="auto"/>
      <w:outlineLvl w:val="9"/>
    </w:pPr>
    <w:rPr>
      <w:rFonts w:eastAsia="Batang"/>
      <w:sz w:val="20"/>
      <w:lang w:eastAsia="nb-NO"/>
    </w:rPr>
  </w:style>
  <w:style w:type="paragraph" w:customStyle="1" w:styleId="a3">
    <w:name w:val="索引"/>
    <w:basedOn w:val="Normal"/>
    <w:uiPriority w:val="99"/>
    <w:pPr>
      <w:suppressLineNumbers/>
      <w:tabs>
        <w:tab w:val="clear" w:pos="794"/>
        <w:tab w:val="clear" w:pos="1191"/>
        <w:tab w:val="clear" w:pos="1588"/>
        <w:tab w:val="clear" w:pos="1985"/>
      </w:tabs>
      <w:suppressAutoHyphens/>
      <w:overflowPunct/>
      <w:autoSpaceDE/>
      <w:autoSpaceDN/>
      <w:adjustRightInd/>
      <w:spacing w:before="240"/>
      <w:jc w:val="both"/>
      <w:textAlignment w:val="auto"/>
    </w:pPr>
    <w:rPr>
      <w:rFonts w:eastAsia="MS Mincho" w:cs="Tahoma"/>
      <w:lang w:eastAsia="ar-SA"/>
    </w:rPr>
  </w:style>
  <w:style w:type="paragraph" w:customStyle="1" w:styleId="paragraph">
    <w:name w:val="paragraph"/>
    <w:basedOn w:val="Normal"/>
    <w:uiPriority w:val="99"/>
    <w:pPr>
      <w:tabs>
        <w:tab w:val="clear" w:pos="794"/>
        <w:tab w:val="clear" w:pos="1191"/>
        <w:tab w:val="clear" w:pos="1588"/>
        <w:tab w:val="clear" w:pos="1985"/>
      </w:tabs>
      <w:suppressAutoHyphens/>
      <w:overflowPunct/>
      <w:autoSpaceDE/>
      <w:autoSpaceDN/>
      <w:adjustRightInd/>
      <w:spacing w:before="240" w:line="260" w:lineRule="atLeast"/>
      <w:jc w:val="both"/>
      <w:textAlignment w:val="auto"/>
    </w:pPr>
    <w:rPr>
      <w:rFonts w:ascii="Times" w:eastAsia="MS Mincho" w:hAnsi="Times"/>
      <w:lang w:eastAsia="ar-SA"/>
    </w:rPr>
  </w:style>
  <w:style w:type="paragraph" w:customStyle="1" w:styleId="NBComment">
    <w:name w:val="NB Comment"/>
    <w:basedOn w:val="Normal"/>
    <w:uiPriority w:val="99"/>
    <w:pPr>
      <w:tabs>
        <w:tab w:val="clear" w:pos="794"/>
        <w:tab w:val="clear" w:pos="1191"/>
        <w:tab w:val="clear" w:pos="1588"/>
        <w:tab w:val="clear" w:pos="1985"/>
      </w:tabs>
      <w:suppressAutoHyphens/>
      <w:overflowPunct/>
      <w:autoSpaceDE/>
      <w:autoSpaceDN/>
      <w:adjustRightInd/>
      <w:spacing w:before="240"/>
      <w:textAlignment w:val="auto"/>
    </w:pPr>
    <w:rPr>
      <w:rFonts w:eastAsia="MS Mincho"/>
      <w:lang w:eastAsia="ar-SA"/>
    </w:rPr>
  </w:style>
  <w:style w:type="paragraph" w:customStyle="1" w:styleId="NBCommentHdr">
    <w:name w:val="NB Comment Hdr"/>
    <w:basedOn w:val="NBComment"/>
    <w:next w:val="NBComment"/>
    <w:uiPriority w:val="99"/>
    <w:pPr>
      <w:keepNext/>
      <w:tabs>
        <w:tab w:val="left" w:pos="1418"/>
        <w:tab w:val="left" w:pos="2127"/>
        <w:tab w:val="left" w:pos="3119"/>
      </w:tabs>
    </w:pPr>
    <w:rPr>
      <w:b/>
    </w:rPr>
  </w:style>
  <w:style w:type="paragraph" w:customStyle="1" w:styleId="NBCommentL2Hdr">
    <w:name w:val="NB Comment L2 Hdr"/>
    <w:basedOn w:val="NBCommentHdr"/>
    <w:next w:val="NBComment"/>
    <w:uiPriority w:val="99"/>
  </w:style>
  <w:style w:type="paragraph" w:customStyle="1" w:styleId="WW-2">
    <w:name w:val="WW-箇条書き 2"/>
    <w:basedOn w:val="Normal"/>
    <w:uiPriority w:val="99"/>
    <w:pPr>
      <w:tabs>
        <w:tab w:val="clear" w:pos="794"/>
        <w:tab w:val="clear" w:pos="1191"/>
        <w:tab w:val="clear" w:pos="1588"/>
        <w:tab w:val="clear" w:pos="1985"/>
        <w:tab w:val="left" w:pos="151"/>
        <w:tab w:val="left" w:pos="548"/>
        <w:tab w:val="left" w:pos="945"/>
        <w:tab w:val="left" w:pos="1342"/>
      </w:tabs>
      <w:suppressAutoHyphens/>
      <w:autoSpaceDN/>
      <w:adjustRightInd/>
      <w:spacing w:before="136"/>
      <w:jc w:val="both"/>
    </w:pPr>
    <w:rPr>
      <w:rFonts w:eastAsia="MS Mincho"/>
      <w:sz w:val="20"/>
      <w:lang w:eastAsia="ar-SA"/>
    </w:rPr>
  </w:style>
  <w:style w:type="paragraph" w:customStyle="1" w:styleId="ASN1Continue">
    <w:name w:val="ASN.1 Continue"/>
    <w:basedOn w:val="BodyText"/>
    <w:uiPriority w:val="99"/>
    <w:pPr>
      <w:tabs>
        <w:tab w:val="clear" w:pos="794"/>
        <w:tab w:val="clear" w:pos="1191"/>
        <w:tab w:val="clear" w:pos="1588"/>
        <w:tab w:val="clear" w:pos="1985"/>
        <w:tab w:val="left" w:pos="1400"/>
        <w:tab w:val="left" w:pos="2007"/>
        <w:tab w:val="left" w:pos="2614"/>
        <w:tab w:val="left" w:pos="3220"/>
        <w:tab w:val="left" w:pos="3827"/>
        <w:tab w:val="left" w:pos="4433"/>
        <w:tab w:val="left" w:pos="5040"/>
        <w:tab w:val="left" w:pos="5647"/>
      </w:tabs>
      <w:suppressAutoHyphens/>
      <w:overflowPunct/>
      <w:autoSpaceDE/>
      <w:autoSpaceDN/>
      <w:adjustRightInd/>
      <w:spacing w:before="0"/>
      <w:ind w:left="1400"/>
      <w:textAlignment w:val="auto"/>
    </w:pPr>
    <w:rPr>
      <w:rFonts w:ascii="Courier New" w:eastAsia="Times New Roman" w:hAnsi="Courier New"/>
      <w:b/>
      <w:noProof/>
      <w:color w:val="auto"/>
      <w:spacing w:val="-2"/>
      <w:sz w:val="18"/>
      <w:szCs w:val="24"/>
      <w:lang w:eastAsia="en-US"/>
    </w:rPr>
  </w:style>
  <w:style w:type="paragraph" w:styleId="ListNumber2">
    <w:name w:val="List Number 2"/>
    <w:basedOn w:val="Normal"/>
    <w:uiPriority w:val="99"/>
    <w:pPr>
      <w:tabs>
        <w:tab w:val="clear" w:pos="794"/>
        <w:tab w:val="clear" w:pos="1191"/>
        <w:tab w:val="clear" w:pos="1588"/>
        <w:tab w:val="clear" w:pos="1985"/>
      </w:tabs>
      <w:overflowPunct/>
      <w:autoSpaceDE/>
      <w:autoSpaceDN/>
      <w:adjustRightInd/>
      <w:ind w:left="1287" w:hanging="360"/>
      <w:textAlignment w:val="auto"/>
    </w:pPr>
    <w:rPr>
      <w:rFonts w:eastAsia="MS Mincho"/>
      <w:szCs w:val="24"/>
      <w:lang w:eastAsia="ja-JP"/>
    </w:rPr>
  </w:style>
  <w:style w:type="paragraph" w:styleId="ListBullet2">
    <w:name w:val="List Bullet 2"/>
    <w:basedOn w:val="Normal"/>
    <w:uiPriority w:val="99"/>
    <w:pPr>
      <w:ind w:left="990" w:hanging="360"/>
    </w:pPr>
    <w:rPr>
      <w:rFonts w:eastAsia="Batang"/>
    </w:rPr>
  </w:style>
  <w:style w:type="paragraph" w:customStyle="1" w:styleId="EUListNumber2">
    <w:name w:val="EUList Number 2"/>
    <w:basedOn w:val="Normal"/>
    <w:uiPriority w:val="99"/>
    <w:pPr>
      <w:tabs>
        <w:tab w:val="clear" w:pos="794"/>
        <w:tab w:val="clear" w:pos="1191"/>
        <w:tab w:val="clear" w:pos="1588"/>
        <w:tab w:val="clear" w:pos="1985"/>
        <w:tab w:val="num" w:pos="432"/>
      </w:tabs>
      <w:overflowPunct/>
      <w:autoSpaceDE/>
      <w:autoSpaceDN/>
      <w:adjustRightInd/>
      <w:ind w:left="432" w:hanging="432"/>
      <w:textAlignment w:val="auto"/>
    </w:pPr>
    <w:rPr>
      <w:rFonts w:eastAsia="MS Mincho"/>
      <w:szCs w:val="24"/>
      <w:lang w:eastAsia="ja-JP"/>
    </w:rPr>
  </w:style>
  <w:style w:type="paragraph" w:styleId="ListNumber3">
    <w:name w:val="List Number 3"/>
    <w:basedOn w:val="Normal"/>
    <w:uiPriority w:val="99"/>
    <w:pPr>
      <w:ind w:left="1287" w:hanging="360"/>
    </w:pPr>
    <w:rPr>
      <w:rFonts w:eastAsia="Batang"/>
    </w:rPr>
  </w:style>
  <w:style w:type="paragraph" w:styleId="ListBullet4">
    <w:name w:val="List Bullet 4"/>
    <w:basedOn w:val="Normal"/>
    <w:uiPriority w:val="99"/>
    <w:pPr>
      <w:ind w:left="1287" w:hanging="360"/>
    </w:pPr>
    <w:rPr>
      <w:rFonts w:eastAsia="Batang"/>
    </w:rPr>
  </w:style>
  <w:style w:type="paragraph" w:customStyle="1" w:styleId="NO">
    <w:name w:val="NO"/>
    <w:basedOn w:val="Normal"/>
    <w:uiPriority w:val="99"/>
    <w:pPr>
      <w:keepLines/>
      <w:tabs>
        <w:tab w:val="clear" w:pos="794"/>
        <w:tab w:val="clear" w:pos="1191"/>
        <w:tab w:val="clear" w:pos="1588"/>
        <w:tab w:val="clear" w:pos="1985"/>
      </w:tabs>
      <w:spacing w:before="0" w:after="180"/>
      <w:ind w:left="1135" w:hanging="851"/>
    </w:pPr>
    <w:rPr>
      <w:rFonts w:eastAsia="Batang"/>
      <w:sz w:val="20"/>
    </w:rPr>
  </w:style>
  <w:style w:type="paragraph" w:styleId="BodyText3">
    <w:name w:val="Body Text 3"/>
    <w:basedOn w:val="Normal"/>
    <w:link w:val="BodyText3Char"/>
    <w:pPr>
      <w:keepNext/>
      <w:numPr>
        <w:numId w:val="4"/>
      </w:numPr>
      <w:tabs>
        <w:tab w:val="clear" w:pos="643"/>
        <w:tab w:val="clear" w:pos="794"/>
        <w:tab w:val="clear" w:pos="1191"/>
        <w:tab w:val="clear" w:pos="1588"/>
        <w:tab w:val="clear" w:pos="1985"/>
      </w:tabs>
      <w:overflowPunct/>
      <w:autoSpaceDE/>
      <w:autoSpaceDN/>
      <w:adjustRightInd/>
      <w:spacing w:before="0"/>
      <w:ind w:left="0" w:firstLine="0"/>
      <w:textAlignment w:val="auto"/>
    </w:pPr>
    <w:rPr>
      <w:rFonts w:ascii="Trebuchet MS" w:eastAsia="Batang" w:hAnsi="Trebuchet MS"/>
      <w:sz w:val="20"/>
    </w:rPr>
  </w:style>
  <w:style w:type="character" w:customStyle="1" w:styleId="BodyText3Char">
    <w:name w:val="Body Text 3 Char"/>
    <w:basedOn w:val="DefaultParagraphFont"/>
    <w:link w:val="BodyText3"/>
    <w:locked/>
    <w:rPr>
      <w:rFonts w:ascii="Trebuchet MS" w:eastAsia="Batang" w:hAnsi="Trebuchet MS"/>
    </w:rPr>
  </w:style>
  <w:style w:type="paragraph" w:customStyle="1" w:styleId="HeaderLevel1">
    <w:name w:val="Header Level 1"/>
    <w:basedOn w:val="Normal"/>
    <w:next w:val="BodyTextIndent"/>
    <w:autoRedefine/>
    <w:pPr>
      <w:tabs>
        <w:tab w:val="clear" w:pos="1588"/>
        <w:tab w:val="clear" w:pos="1985"/>
        <w:tab w:val="left" w:pos="1587"/>
        <w:tab w:val="left" w:pos="1984"/>
      </w:tabs>
      <w:overflowPunct/>
      <w:autoSpaceDE/>
      <w:autoSpaceDN/>
      <w:adjustRightInd/>
      <w:spacing w:before="360" w:after="120"/>
      <w:textAlignment w:val="auto"/>
    </w:pPr>
    <w:rPr>
      <w:rFonts w:eastAsia="Batang"/>
      <w:b/>
      <w:bCs/>
      <w:szCs w:val="32"/>
    </w:rPr>
  </w:style>
  <w:style w:type="paragraph" w:customStyle="1" w:styleId="HeaderLevel2">
    <w:name w:val="Header Level 2"/>
    <w:basedOn w:val="Normal"/>
    <w:next w:val="BodyTextIndent"/>
    <w:autoRedefine/>
    <w:uiPriority w:val="99"/>
    <w:pPr>
      <w:numPr>
        <w:numId w:val="5"/>
      </w:numPr>
      <w:tabs>
        <w:tab w:val="clear" w:pos="926"/>
        <w:tab w:val="clear" w:pos="1588"/>
        <w:tab w:val="clear" w:pos="1985"/>
        <w:tab w:val="left" w:pos="1587"/>
        <w:tab w:val="left" w:pos="1984"/>
      </w:tabs>
      <w:overflowPunct/>
      <w:autoSpaceDE/>
      <w:autoSpaceDN/>
      <w:adjustRightInd/>
      <w:spacing w:before="360" w:after="120"/>
      <w:ind w:left="0" w:firstLine="0"/>
      <w:jc w:val="both"/>
      <w:textAlignment w:val="auto"/>
    </w:pPr>
    <w:rPr>
      <w:rFonts w:eastAsia="Batang"/>
      <w:b/>
      <w:kern w:val="2"/>
      <w:sz w:val="22"/>
      <w:szCs w:val="24"/>
    </w:rPr>
  </w:style>
  <w:style w:type="paragraph" w:customStyle="1" w:styleId="TABLE">
    <w:name w:val="TABLE"/>
    <w:basedOn w:val="BodyTextIndent"/>
    <w:next w:val="BodyTextFirstIndent"/>
    <w:autoRedefine/>
    <w:uiPriority w:val="99"/>
    <w:pPr>
      <w:widowControl w:val="0"/>
      <w:numPr>
        <w:numId w:val="6"/>
      </w:numPr>
      <w:tabs>
        <w:tab w:val="clear" w:pos="1209"/>
        <w:tab w:val="num" w:pos="719"/>
      </w:tabs>
      <w:autoSpaceDE/>
      <w:autoSpaceDN/>
      <w:adjustRightInd/>
      <w:spacing w:before="240" w:after="120"/>
      <w:ind w:left="893" w:hanging="435"/>
      <w:jc w:val="center"/>
    </w:pPr>
    <w:rPr>
      <w:rFonts w:eastAsia="Batang"/>
      <w:b/>
      <w:szCs w:val="24"/>
      <w:lang w:val="en-GB"/>
    </w:rPr>
  </w:style>
  <w:style w:type="paragraph" w:styleId="BodyTextFirstIndent">
    <w:name w:val="Body Text First Indent"/>
    <w:basedOn w:val="BodyText"/>
    <w:link w:val="BodyTextFirstIndentChar"/>
    <w:pPr>
      <w:tabs>
        <w:tab w:val="clear" w:pos="1588"/>
        <w:tab w:val="clear" w:pos="1985"/>
        <w:tab w:val="left" w:pos="1587"/>
        <w:tab w:val="left" w:pos="1984"/>
      </w:tabs>
      <w:overflowPunct/>
      <w:autoSpaceDE/>
      <w:autoSpaceDN/>
      <w:adjustRightInd/>
      <w:spacing w:before="136" w:after="120"/>
      <w:ind w:firstLine="210"/>
      <w:jc w:val="both"/>
      <w:textAlignment w:val="auto"/>
    </w:pPr>
    <w:rPr>
      <w:rFonts w:eastAsia="Times New Roman"/>
      <w:color w:val="auto"/>
      <w:sz w:val="20"/>
      <w:szCs w:val="24"/>
      <w:lang w:val="en-GB" w:eastAsia="en-US"/>
    </w:rPr>
  </w:style>
  <w:style w:type="character" w:customStyle="1" w:styleId="BodyTextFirstIndentChar">
    <w:name w:val="Body Text First Indent Char"/>
    <w:basedOn w:val="BodyTextChar1"/>
    <w:link w:val="BodyTextFirstIndent"/>
    <w:locked/>
    <w:rPr>
      <w:rFonts w:eastAsia="SimSun" w:cs="Times New Roman"/>
      <w:color w:val="FF0000"/>
      <w:sz w:val="24"/>
      <w:szCs w:val="24"/>
      <w:lang w:val="en-GB" w:eastAsia="en-US" w:bidi="ar-SA"/>
    </w:rPr>
  </w:style>
  <w:style w:type="paragraph" w:customStyle="1" w:styleId="ReferenceList">
    <w:name w:val="ReferenceList"/>
    <w:basedOn w:val="Normal"/>
    <w:uiPriority w:val="99"/>
    <w:pPr>
      <w:tabs>
        <w:tab w:val="clear" w:pos="1588"/>
        <w:tab w:val="clear" w:pos="1985"/>
        <w:tab w:val="num" w:pos="720"/>
        <w:tab w:val="left" w:pos="1587"/>
        <w:tab w:val="left" w:pos="1984"/>
      </w:tabs>
      <w:overflowPunct/>
      <w:autoSpaceDE/>
      <w:autoSpaceDN/>
      <w:adjustRightInd/>
      <w:spacing w:before="136"/>
      <w:ind w:left="720" w:hanging="360"/>
      <w:jc w:val="both"/>
      <w:textAlignment w:val="auto"/>
    </w:pPr>
    <w:rPr>
      <w:rFonts w:eastAsia="Batang"/>
      <w:szCs w:val="24"/>
    </w:rPr>
  </w:style>
  <w:style w:type="paragraph" w:customStyle="1" w:styleId="aMyHeading1">
    <w:name w:val="aMyHeading1"/>
    <w:basedOn w:val="BodyTextIndent"/>
    <w:autoRedefine/>
    <w:uiPriority w:val="99"/>
    <w:pPr>
      <w:tabs>
        <w:tab w:val="num" w:pos="64"/>
        <w:tab w:val="left" w:pos="794"/>
        <w:tab w:val="left" w:pos="1191"/>
        <w:tab w:val="left" w:pos="1588"/>
        <w:tab w:val="left" w:pos="1985"/>
      </w:tabs>
      <w:overflowPunct w:val="0"/>
      <w:spacing w:before="240" w:after="120"/>
      <w:ind w:left="893" w:hanging="893"/>
    </w:pPr>
    <w:rPr>
      <w:rFonts w:eastAsia="Batang"/>
      <w:b/>
      <w:szCs w:val="24"/>
    </w:rPr>
  </w:style>
  <w:style w:type="paragraph" w:customStyle="1" w:styleId="aMyHeading2">
    <w:name w:val="aMyHeading2"/>
    <w:basedOn w:val="BodyTextIndent"/>
    <w:autoRedefine/>
    <w:uiPriority w:val="99"/>
    <w:pPr>
      <w:tabs>
        <w:tab w:val="left" w:pos="1191"/>
        <w:tab w:val="num" w:pos="1440"/>
        <w:tab w:val="left" w:pos="1588"/>
        <w:tab w:val="left" w:pos="1985"/>
      </w:tabs>
      <w:overflowPunct w:val="0"/>
      <w:spacing w:before="120" w:after="120"/>
      <w:ind w:left="0" w:firstLine="0"/>
      <w:outlineLvl w:val="1"/>
    </w:pPr>
    <w:rPr>
      <w:rFonts w:eastAsia="Batang"/>
      <w:b/>
      <w:sz w:val="22"/>
      <w:szCs w:val="24"/>
    </w:rPr>
  </w:style>
  <w:style w:type="paragraph" w:customStyle="1" w:styleId="aMyListabc">
    <w:name w:val="aMyList_abc"/>
    <w:basedOn w:val="Normal"/>
    <w:autoRedefine/>
    <w:uiPriority w:val="99"/>
    <w:pPr>
      <w:tabs>
        <w:tab w:val="num" w:pos="900"/>
      </w:tabs>
      <w:textAlignment w:val="auto"/>
    </w:pPr>
    <w:rPr>
      <w:rFonts w:eastAsia="Batang"/>
      <w:b/>
      <w:bCs/>
      <w:sz w:val="22"/>
      <w:szCs w:val="24"/>
    </w:rPr>
  </w:style>
  <w:style w:type="paragraph" w:styleId="BodyTextIndent3">
    <w:name w:val="Body Text Indent 3"/>
    <w:basedOn w:val="Normal"/>
    <w:link w:val="BodyTextIndent3Char"/>
    <w:pPr>
      <w:tabs>
        <w:tab w:val="clear" w:pos="1588"/>
        <w:tab w:val="clear" w:pos="1985"/>
        <w:tab w:val="left" w:pos="1587"/>
        <w:tab w:val="left" w:pos="1984"/>
      </w:tabs>
      <w:overflowPunct/>
      <w:autoSpaceDE/>
      <w:autoSpaceDN/>
      <w:adjustRightInd/>
      <w:spacing w:before="0" w:after="120"/>
      <w:ind w:left="357"/>
      <w:jc w:val="both"/>
      <w:textAlignment w:val="auto"/>
    </w:pPr>
    <w:rPr>
      <w:rFonts w:eastAsia="Batang"/>
      <w:szCs w:val="24"/>
    </w:rPr>
  </w:style>
  <w:style w:type="character" w:customStyle="1" w:styleId="BodyTextIndent3Char">
    <w:name w:val="Body Text Indent 3 Char"/>
    <w:basedOn w:val="DefaultParagraphFont"/>
    <w:link w:val="BodyTextIndent3"/>
    <w:locked/>
    <w:rPr>
      <w:rFonts w:eastAsia="Batang" w:cs="Times New Roman"/>
      <w:sz w:val="24"/>
      <w:szCs w:val="24"/>
      <w:lang w:val="en-GB" w:eastAsia="en-US"/>
    </w:rPr>
  </w:style>
  <w:style w:type="paragraph" w:customStyle="1" w:styleId="HeaderLevel3">
    <w:name w:val="Header Level 3"/>
    <w:basedOn w:val="Heading3"/>
    <w:next w:val="BodyTextIndent"/>
    <w:autoRedefine/>
    <w:uiPriority w:val="99"/>
    <w:pPr>
      <w:tabs>
        <w:tab w:val="clear" w:pos="794"/>
        <w:tab w:val="clear" w:pos="1191"/>
        <w:tab w:val="clear" w:pos="1588"/>
        <w:tab w:val="clear" w:pos="1985"/>
        <w:tab w:val="left" w:pos="1587"/>
        <w:tab w:val="left" w:pos="1984"/>
      </w:tabs>
      <w:overflowPunct/>
      <w:autoSpaceDE/>
      <w:autoSpaceDN/>
      <w:adjustRightInd/>
      <w:spacing w:before="240" w:after="120"/>
      <w:ind w:left="0" w:firstLine="0"/>
      <w:textAlignment w:val="auto"/>
    </w:pPr>
    <w:rPr>
      <w:rFonts w:eastAsia="Batang" w:cs="Arial"/>
      <w:bCs/>
      <w:kern w:val="2"/>
      <w:sz w:val="22"/>
      <w:szCs w:val="26"/>
    </w:rPr>
  </w:style>
  <w:style w:type="paragraph" w:customStyle="1" w:styleId="2HeaderLevel2">
    <w:name w:val="2 Header Level 2"/>
    <w:basedOn w:val="Header"/>
    <w:next w:val="BodyTextIndent"/>
    <w:autoRedefine/>
    <w:pPr>
      <w:tabs>
        <w:tab w:val="center" w:pos="4153"/>
        <w:tab w:val="right" w:pos="8306"/>
      </w:tabs>
      <w:overflowPunct/>
      <w:autoSpaceDE/>
      <w:autoSpaceDN/>
      <w:adjustRightInd/>
      <w:spacing w:before="240" w:after="120"/>
      <w:jc w:val="left"/>
      <w:textAlignment w:val="auto"/>
      <w:outlineLvl w:val="1"/>
    </w:pPr>
    <w:rPr>
      <w:rFonts w:eastAsia="Batang"/>
      <w:b/>
      <w:sz w:val="22"/>
      <w:szCs w:val="24"/>
    </w:rPr>
  </w:style>
  <w:style w:type="paragraph" w:customStyle="1" w:styleId="Appendixtitle0">
    <w:name w:val="Appendix_title"/>
    <w:basedOn w:val="AnnexTitle"/>
    <w:next w:val="Normalaftertitle0"/>
    <w:pPr>
      <w:spacing w:before="240" w:after="280"/>
    </w:pPr>
    <w:rPr>
      <w:rFonts w:eastAsia="Batang"/>
      <w:sz w:val="28"/>
      <w:u w:val="none"/>
    </w:rPr>
  </w:style>
  <w:style w:type="paragraph" w:customStyle="1" w:styleId="heading0">
    <w:name w:val="heading 0"/>
    <w:basedOn w:val="Heading1"/>
    <w:next w:val="Normal"/>
    <w:uiPriority w:val="99"/>
    <w:pPr>
      <w:numPr>
        <w:numId w:val="7"/>
      </w:numPr>
      <w:tabs>
        <w:tab w:val="clear" w:pos="1539"/>
      </w:tabs>
      <w:spacing w:before="240"/>
      <w:ind w:left="794" w:hanging="794"/>
      <w:outlineLvl w:val="9"/>
    </w:pPr>
    <w:rPr>
      <w:rFonts w:eastAsia="Batang"/>
      <w:sz w:val="28"/>
    </w:rPr>
  </w:style>
  <w:style w:type="paragraph" w:customStyle="1" w:styleId="List1">
    <w:name w:val="List1"/>
    <w:basedOn w:val="Normal"/>
    <w:uiPriority w:val="99"/>
    <w:pPr>
      <w:widowControl w:val="0"/>
      <w:tabs>
        <w:tab w:val="clear" w:pos="794"/>
        <w:tab w:val="clear" w:pos="1191"/>
        <w:tab w:val="clear" w:pos="1588"/>
        <w:tab w:val="clear" w:pos="1985"/>
        <w:tab w:val="left" w:pos="360"/>
      </w:tabs>
      <w:spacing w:before="0" w:after="120"/>
      <w:ind w:left="357" w:hanging="357"/>
    </w:pPr>
    <w:rPr>
      <w:rFonts w:eastAsia="Batang"/>
      <w:lang w:val="nb-NO"/>
    </w:rPr>
  </w:style>
  <w:style w:type="paragraph" w:customStyle="1" w:styleId="sistliste">
    <w:name w:val="sistliste"/>
    <w:basedOn w:val="Normal"/>
    <w:pPr>
      <w:widowControl w:val="0"/>
      <w:tabs>
        <w:tab w:val="clear" w:pos="794"/>
        <w:tab w:val="clear" w:pos="1191"/>
        <w:tab w:val="clear" w:pos="1588"/>
        <w:tab w:val="clear" w:pos="1985"/>
        <w:tab w:val="left" w:pos="360"/>
      </w:tabs>
      <w:spacing w:before="0" w:after="240"/>
      <w:ind w:left="360" w:hanging="360"/>
    </w:pPr>
    <w:rPr>
      <w:rFonts w:eastAsia="Batang"/>
      <w:lang w:val="nb-NO"/>
    </w:rPr>
  </w:style>
  <w:style w:type="paragraph" w:customStyle="1" w:styleId="Heading1Q">
    <w:name w:val="Heading 1_Q"/>
    <w:basedOn w:val="Heading1"/>
    <w:uiPriority w:val="99"/>
    <w:pPr>
      <w:numPr>
        <w:numId w:val="9"/>
      </w:numPr>
      <w:tabs>
        <w:tab w:val="clear" w:pos="64"/>
      </w:tabs>
      <w:ind w:left="794" w:hanging="794"/>
    </w:pPr>
    <w:rPr>
      <w:rFonts w:ascii="Times New Roman Bold" w:eastAsia="SimSun" w:hAnsi="Times New Roman Bold"/>
    </w:rPr>
  </w:style>
  <w:style w:type="character" w:styleId="Emphasis">
    <w:name w:val="Emphasis"/>
    <w:basedOn w:val="DefaultParagraphFont"/>
    <w:uiPriority w:val="20"/>
    <w:qFormat/>
    <w:rPr>
      <w:rFonts w:cs="Times New Roman"/>
      <w:i/>
      <w:iCs/>
    </w:rPr>
  </w:style>
  <w:style w:type="paragraph" w:customStyle="1" w:styleId="hstyle0">
    <w:name w:val="hstyle0"/>
    <w:basedOn w:val="Normal"/>
    <w:uiPriority w:val="99"/>
    <w:pPr>
      <w:numPr>
        <w:numId w:val="8"/>
      </w:numPr>
      <w:tabs>
        <w:tab w:val="clear" w:pos="624"/>
        <w:tab w:val="clear" w:pos="794"/>
        <w:tab w:val="clear" w:pos="1191"/>
        <w:tab w:val="clear" w:pos="1588"/>
        <w:tab w:val="clear" w:pos="1985"/>
      </w:tabs>
      <w:overflowPunct/>
      <w:autoSpaceDE/>
      <w:autoSpaceDN/>
      <w:adjustRightInd/>
      <w:spacing w:before="0" w:line="384" w:lineRule="auto"/>
      <w:ind w:left="0" w:firstLine="0"/>
      <w:jc w:val="both"/>
      <w:textAlignment w:val="auto"/>
    </w:pPr>
    <w:rPr>
      <w:rFonts w:ascii="Batang" w:eastAsia="Batang" w:hAnsi="Batang" w:cs="Gulim"/>
      <w:color w:val="000000"/>
      <w:sz w:val="20"/>
      <w:lang w:eastAsia="ko-KR"/>
    </w:rPr>
  </w:style>
  <w:style w:type="paragraph" w:customStyle="1" w:styleId="a5">
    <w:name w:val="連番１"/>
    <w:basedOn w:val="Normal"/>
    <w:uiPriority w:val="99"/>
    <w:pPr>
      <w:widowControl w:val="0"/>
      <w:tabs>
        <w:tab w:val="clear" w:pos="1191"/>
        <w:tab w:val="clear" w:pos="1588"/>
        <w:tab w:val="clear" w:pos="1985"/>
        <w:tab w:val="num" w:pos="1154"/>
      </w:tabs>
      <w:overflowPunct/>
      <w:autoSpaceDE/>
      <w:autoSpaceDN/>
      <w:adjustRightInd/>
      <w:spacing w:before="0" w:after="120" w:line="240" w:lineRule="exact"/>
      <w:ind w:left="1154" w:hanging="360"/>
      <w:jc w:val="both"/>
      <w:textAlignment w:val="auto"/>
    </w:pPr>
    <w:rPr>
      <w:rFonts w:ascii="Arial" w:eastAsia="MS PGothic" w:hAnsi="Arial" w:cs="Arial"/>
      <w:kern w:val="2"/>
      <w:sz w:val="20"/>
      <w:szCs w:val="24"/>
      <w:lang w:eastAsia="ja-JP"/>
    </w:rPr>
  </w:style>
  <w:style w:type="character" w:styleId="HTMLCode">
    <w:name w:val="HTML Code"/>
    <w:basedOn w:val="DefaultParagraphFont"/>
    <w:uiPriority w:val="99"/>
    <w:rPr>
      <w:rFonts w:ascii="Lucida Console" w:eastAsia="SimSun" w:hAnsi="Lucida Console" w:cs="Courier New"/>
      <w:sz w:val="24"/>
      <w:szCs w:val="24"/>
    </w:rPr>
  </w:style>
  <w:style w:type="character" w:styleId="HTMLKeyboard">
    <w:name w:val="HTML Keyboard"/>
    <w:basedOn w:val="DefaultParagraphFont"/>
    <w:uiPriority w:val="99"/>
    <w:rPr>
      <w:rFonts w:ascii="Lucida Console" w:eastAsia="SimSun" w:hAnsi="Lucida Console" w:cs="Courier New"/>
      <w:sz w:val="24"/>
      <w:szCs w:val="24"/>
    </w:rPr>
  </w:style>
  <w:style w:type="character" w:styleId="HTMLSample">
    <w:name w:val="HTML Sample"/>
    <w:basedOn w:val="DefaultParagraphFont"/>
    <w:uiPriority w:val="99"/>
    <w:rPr>
      <w:rFonts w:ascii="Lucida Console" w:eastAsia="SimSun" w:hAnsi="Lucida Console" w:cs="Courier New"/>
      <w:sz w:val="24"/>
      <w:szCs w:val="24"/>
    </w:rPr>
  </w:style>
  <w:style w:type="character" w:styleId="HTMLTypewriter">
    <w:name w:val="HTML Typewriter"/>
    <w:basedOn w:val="DefaultParagraphFont"/>
    <w:uiPriority w:val="99"/>
    <w:rPr>
      <w:rFonts w:ascii="Lucida Console" w:eastAsia="SimSun" w:hAnsi="Lucida Console" w:cs="Courier New"/>
      <w:sz w:val="24"/>
      <w:szCs w:val="24"/>
    </w:rPr>
  </w:style>
  <w:style w:type="paragraph" w:customStyle="1" w:styleId="collapsepanelheader">
    <w:name w:val="collapsepanelheader"/>
    <w:basedOn w:val="Normal"/>
    <w:uiPriority w:val="99"/>
    <w:pPr>
      <w:pBdr>
        <w:top w:val="single" w:sz="6" w:space="5" w:color="1F59A2"/>
        <w:left w:val="single" w:sz="6" w:space="5" w:color="1F59A2"/>
        <w:bottom w:val="single" w:sz="6" w:space="5" w:color="1F59A2"/>
        <w:right w:val="single" w:sz="6" w:space="5" w:color="1F59A2"/>
      </w:pBdr>
      <w:shd w:val="clear" w:color="auto" w:fill="C7D3E7"/>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8"/>
      <w:szCs w:val="18"/>
    </w:rPr>
  </w:style>
  <w:style w:type="paragraph" w:customStyle="1" w:styleId="lmcellcfdef3">
    <w:name w:val="lm_cell_cfdef3"/>
    <w:basedOn w:val="Normal"/>
    <w:uiPriority w:val="99"/>
    <w:pPr>
      <w:pBdr>
        <w:top w:val="single" w:sz="6" w:space="5" w:color="CFDEF3"/>
        <w:left w:val="single" w:sz="6" w:space="5" w:color="CFDEF3"/>
        <w:right w:val="single" w:sz="6" w:space="5" w:color="CFDEF3"/>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8"/>
      <w:szCs w:val="18"/>
    </w:rPr>
  </w:style>
  <w:style w:type="paragraph" w:customStyle="1" w:styleId="lmtopcellcfdef3">
    <w:name w:val="lm_top_cell_cfdef3"/>
    <w:basedOn w:val="Normal"/>
    <w:uiPriority w:val="99"/>
    <w:pPr>
      <w:pBdr>
        <w:top w:val="single" w:sz="6" w:space="5" w:color="FFFFFF"/>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8"/>
      <w:szCs w:val="18"/>
    </w:rPr>
  </w:style>
  <w:style w:type="paragraph" w:customStyle="1" w:styleId="lmcell2cfdef3">
    <w:name w:val="lm_cell2_cfdef3"/>
    <w:basedOn w:val="Normal"/>
    <w:uiPriority w:val="99"/>
    <w:pPr>
      <w:pBdr>
        <w:top w:val="single" w:sz="6" w:space="5" w:color="CFDEF3"/>
        <w:left w:val="single" w:sz="6" w:space="5" w:color="CFDEF3"/>
        <w:right w:val="single" w:sz="2" w:space="5" w:color="CFDEF3"/>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8"/>
      <w:szCs w:val="18"/>
    </w:rPr>
  </w:style>
  <w:style w:type="paragraph" w:customStyle="1" w:styleId="lmcell004b96">
    <w:name w:val="lm_cell_004b96"/>
    <w:basedOn w:val="Normal"/>
    <w:uiPriority w:val="99"/>
    <w:pPr>
      <w:pBdr>
        <w:top w:val="single" w:sz="6" w:space="5" w:color="004B96"/>
        <w:left w:val="single" w:sz="2" w:space="5" w:color="004B96"/>
        <w:right w:val="single" w:sz="6" w:space="5" w:color="004B96"/>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8"/>
      <w:szCs w:val="18"/>
    </w:rPr>
  </w:style>
  <w:style w:type="paragraph" w:customStyle="1" w:styleId="counciltitle">
    <w:name w:val="council_title"/>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80"/>
      <w:szCs w:val="24"/>
    </w:rPr>
  </w:style>
  <w:style w:type="paragraph" w:customStyle="1" w:styleId="councilsubtitle">
    <w:name w:val="council_subtitle"/>
    <w:basedOn w:val="Normal"/>
    <w:uiPriority w:val="99"/>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80"/>
      <w:sz w:val="18"/>
      <w:szCs w:val="18"/>
    </w:rPr>
  </w:style>
  <w:style w:type="paragraph" w:customStyle="1" w:styleId="Title10">
    <w:name w:val="Title1"/>
    <w:basedOn w:val="Normal"/>
    <w:uiPriority w:val="99"/>
    <w:pPr>
      <w:tabs>
        <w:tab w:val="clear" w:pos="794"/>
        <w:tab w:val="clear" w:pos="1191"/>
        <w:tab w:val="clear" w:pos="1588"/>
        <w:tab w:val="clear" w:pos="1985"/>
      </w:tabs>
      <w:overflowPunct/>
      <w:autoSpaceDE/>
      <w:autoSpaceDN/>
      <w:adjustRightInd/>
      <w:spacing w:before="100" w:after="100"/>
      <w:textAlignment w:val="auto"/>
    </w:pPr>
    <w:rPr>
      <w:rFonts w:ascii="Verdana" w:eastAsia="SimSun" w:hAnsi="Verdana"/>
      <w:b/>
      <w:bCs/>
      <w:color w:val="004B96"/>
      <w:sz w:val="22"/>
      <w:szCs w:val="22"/>
    </w:rPr>
  </w:style>
  <w:style w:type="paragraph" w:customStyle="1" w:styleId="Subtitle1">
    <w:name w:val="Subtitle1"/>
    <w:basedOn w:val="Normal"/>
    <w:uiPriority w:val="99"/>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80"/>
      <w:sz w:val="18"/>
      <w:szCs w:val="18"/>
    </w:rPr>
  </w:style>
  <w:style w:type="paragraph" w:customStyle="1" w:styleId="dashedcell">
    <w:name w:val="dashed_cell"/>
    <w:basedOn w:val="Normal"/>
    <w:uiPriority w:val="99"/>
    <w:pPr>
      <w:pBdr>
        <w:top w:val="dashed" w:sz="6" w:space="5" w:color="1F59A2"/>
        <w:left w:val="dashed" w:sz="6" w:space="5" w:color="1F59A2"/>
        <w:bottom w:val="dashed" w:sz="6" w:space="5" w:color="1F59A2"/>
        <w:right w:val="dashed" w:sz="6" w:space="5" w:color="1F59A2"/>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topritems">
    <w:name w:val="topritems"/>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s="Arial"/>
      <w:b/>
      <w:bCs/>
      <w:color w:val="FFFFFF"/>
      <w:sz w:val="17"/>
      <w:szCs w:val="17"/>
    </w:rPr>
  </w:style>
  <w:style w:type="paragraph" w:customStyle="1" w:styleId="topritems2">
    <w:name w:val="topritems2"/>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Arial" w:eastAsia="SimSun" w:hAnsi="Arial" w:cs="Arial"/>
      <w:color w:val="FFFFFF"/>
      <w:sz w:val="16"/>
      <w:szCs w:val="16"/>
    </w:rPr>
  </w:style>
  <w:style w:type="paragraph" w:customStyle="1" w:styleId="ulink">
    <w:name w:val="u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u w:val="single"/>
    </w:rPr>
  </w:style>
  <w:style w:type="paragraph" w:customStyle="1" w:styleId="artab">
    <w:name w:val="ar_tab"/>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s="Simplified Arabic"/>
      <w:color w:val="000000"/>
      <w:sz w:val="32"/>
      <w:szCs w:val="32"/>
    </w:rPr>
  </w:style>
  <w:style w:type="paragraph" w:customStyle="1" w:styleId="arulink">
    <w:name w:val="ar_u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s="Simplified Arabic"/>
      <w:color w:val="000000"/>
      <w:sz w:val="28"/>
      <w:szCs w:val="28"/>
      <w:u w:val="single"/>
    </w:rPr>
  </w:style>
  <w:style w:type="paragraph" w:customStyle="1" w:styleId="arb2link">
    <w:name w:val="ar_b2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s="Simplified Arabic"/>
      <w:color w:val="004B96"/>
      <w:sz w:val="28"/>
      <w:szCs w:val="28"/>
      <w:u w:val="single"/>
    </w:rPr>
  </w:style>
  <w:style w:type="paragraph" w:customStyle="1" w:styleId="iturlink">
    <w:name w:val="itur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E0011C"/>
      <w:sz w:val="18"/>
      <w:szCs w:val="18"/>
      <w:u w:val="single"/>
    </w:rPr>
  </w:style>
  <w:style w:type="paragraph" w:customStyle="1" w:styleId="itutlink">
    <w:name w:val="itut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93117E"/>
      <w:sz w:val="18"/>
      <w:szCs w:val="18"/>
      <w:u w:val="single"/>
    </w:rPr>
  </w:style>
  <w:style w:type="paragraph" w:customStyle="1" w:styleId="itudlink">
    <w:name w:val="itud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DA8704"/>
      <w:sz w:val="18"/>
      <w:szCs w:val="18"/>
      <w:u w:val="single"/>
    </w:rPr>
  </w:style>
  <w:style w:type="paragraph" w:customStyle="1" w:styleId="telecomlink">
    <w:name w:val="telecom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7A3D"/>
      <w:sz w:val="18"/>
      <w:szCs w:val="18"/>
      <w:u w:val="single"/>
    </w:rPr>
  </w:style>
  <w:style w:type="paragraph" w:customStyle="1" w:styleId="blink">
    <w:name w:val="b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4B96"/>
      <w:sz w:val="18"/>
      <w:szCs w:val="18"/>
    </w:rPr>
  </w:style>
  <w:style w:type="paragraph" w:customStyle="1" w:styleId="b2link">
    <w:name w:val="b2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4B96"/>
      <w:sz w:val="18"/>
      <w:szCs w:val="18"/>
      <w:u w:val="single"/>
    </w:rPr>
  </w:style>
  <w:style w:type="paragraph" w:customStyle="1" w:styleId="lmlink">
    <w:name w:val="lm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4B96"/>
      <w:sz w:val="16"/>
      <w:szCs w:val="16"/>
    </w:rPr>
  </w:style>
  <w:style w:type="paragraph" w:customStyle="1" w:styleId="lm2link">
    <w:name w:val="lm2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4B96"/>
      <w:sz w:val="18"/>
      <w:szCs w:val="18"/>
    </w:rPr>
  </w:style>
  <w:style w:type="paragraph" w:customStyle="1" w:styleId="nlink">
    <w:name w:val="n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itunewslink">
    <w:name w:val="itunews_link"/>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6"/>
      <w:szCs w:val="16"/>
    </w:rPr>
  </w:style>
  <w:style w:type="paragraph" w:customStyle="1" w:styleId="footeritems">
    <w:name w:val="footeritems"/>
    <w:basedOn w:val="Normal"/>
    <w:uiPriority w:val="99"/>
    <w:pPr>
      <w:tabs>
        <w:tab w:val="clear" w:pos="794"/>
        <w:tab w:val="clear" w:pos="1191"/>
        <w:tab w:val="clear" w:pos="1588"/>
        <w:tab w:val="clear" w:pos="1985"/>
      </w:tabs>
      <w:overflowPunct/>
      <w:autoSpaceDE/>
      <w:autoSpaceDN/>
      <w:adjustRightInd/>
      <w:spacing w:before="0" w:after="100"/>
      <w:textAlignment w:val="auto"/>
    </w:pPr>
    <w:rPr>
      <w:rFonts w:ascii="Verdana" w:eastAsia="SimSun" w:hAnsi="Verdana"/>
      <w:color w:val="000066"/>
      <w:sz w:val="17"/>
      <w:szCs w:val="17"/>
    </w:rPr>
  </w:style>
  <w:style w:type="paragraph" w:customStyle="1" w:styleId="councilbluebullet">
    <w:name w:val="council_blue_bullet"/>
    <w:basedOn w:val="Normal"/>
    <w:uiPriority w:val="99"/>
    <w:pPr>
      <w:tabs>
        <w:tab w:val="clear" w:pos="794"/>
        <w:tab w:val="clear" w:pos="1191"/>
        <w:tab w:val="clear" w:pos="1588"/>
        <w:tab w:val="clear" w:pos="1985"/>
      </w:tabs>
      <w:overflowPunct/>
      <w:autoSpaceDE/>
      <w:autoSpaceDN/>
      <w:adjustRightInd/>
      <w:spacing w:before="0"/>
      <w:ind w:left="-180"/>
      <w:textAlignment w:val="auto"/>
    </w:pPr>
    <w:rPr>
      <w:rFonts w:ascii="Verdana" w:eastAsia="SimSun" w:hAnsi="Verdana"/>
      <w:color w:val="000000"/>
      <w:sz w:val="18"/>
      <w:szCs w:val="18"/>
    </w:rPr>
  </w:style>
  <w:style w:type="paragraph" w:customStyle="1" w:styleId="councilcircle">
    <w:name w:val="council_circle"/>
    <w:basedOn w:val="Normal"/>
    <w:uiPriority w:val="99"/>
    <w:pPr>
      <w:tabs>
        <w:tab w:val="clear" w:pos="794"/>
        <w:tab w:val="clear" w:pos="1191"/>
        <w:tab w:val="clear" w:pos="1588"/>
        <w:tab w:val="clear" w:pos="1985"/>
      </w:tabs>
      <w:overflowPunct/>
      <w:autoSpaceDE/>
      <w:autoSpaceDN/>
      <w:adjustRightInd/>
      <w:spacing w:before="0"/>
      <w:ind w:left="75"/>
      <w:textAlignment w:val="auto"/>
    </w:pPr>
    <w:rPr>
      <w:rFonts w:ascii="Verdana" w:eastAsia="SimSun" w:hAnsi="Verdana"/>
      <w:color w:val="000000"/>
      <w:sz w:val="18"/>
      <w:szCs w:val="18"/>
    </w:rPr>
  </w:style>
  <w:style w:type="paragraph" w:customStyle="1" w:styleId="bluebullet">
    <w:name w:val="blue_bullet"/>
    <w:basedOn w:val="Normal"/>
    <w:uiPriority w:val="99"/>
    <w:pPr>
      <w:tabs>
        <w:tab w:val="clear" w:pos="794"/>
        <w:tab w:val="clear" w:pos="1191"/>
        <w:tab w:val="clear" w:pos="1588"/>
        <w:tab w:val="clear" w:pos="1985"/>
      </w:tabs>
      <w:overflowPunct/>
      <w:autoSpaceDE/>
      <w:autoSpaceDN/>
      <w:adjustRightInd/>
      <w:spacing w:before="0"/>
      <w:ind w:left="240"/>
      <w:textAlignment w:val="auto"/>
    </w:pPr>
    <w:rPr>
      <w:rFonts w:ascii="Verdana" w:eastAsia="SimSun" w:hAnsi="Verdana"/>
      <w:color w:val="000000"/>
      <w:sz w:val="18"/>
      <w:szCs w:val="18"/>
    </w:rPr>
  </w:style>
  <w:style w:type="paragraph" w:customStyle="1" w:styleId="circle">
    <w:name w:val="circle"/>
    <w:basedOn w:val="Normal"/>
    <w:uiPriority w:val="99"/>
    <w:pPr>
      <w:tabs>
        <w:tab w:val="clear" w:pos="794"/>
        <w:tab w:val="clear" w:pos="1191"/>
        <w:tab w:val="clear" w:pos="1588"/>
        <w:tab w:val="clear" w:pos="1985"/>
      </w:tabs>
      <w:overflowPunct/>
      <w:autoSpaceDE/>
      <w:autoSpaceDN/>
      <w:adjustRightInd/>
      <w:spacing w:before="0"/>
      <w:ind w:left="75"/>
      <w:textAlignment w:val="auto"/>
    </w:pPr>
    <w:rPr>
      <w:rFonts w:ascii="Verdana" w:eastAsia="SimSun" w:hAnsi="Verdana"/>
      <w:color w:val="000000"/>
      <w:sz w:val="18"/>
      <w:szCs w:val="18"/>
    </w:rPr>
  </w:style>
  <w:style w:type="paragraph" w:customStyle="1" w:styleId="parasmall">
    <w:name w:val="parasmall"/>
    <w:basedOn w:val="Normal"/>
    <w:uiPriority w:val="99"/>
    <w:pPr>
      <w:tabs>
        <w:tab w:val="clear" w:pos="794"/>
        <w:tab w:val="clear" w:pos="1191"/>
        <w:tab w:val="clear" w:pos="1588"/>
        <w:tab w:val="clear" w:pos="1985"/>
      </w:tabs>
      <w:overflowPunct/>
      <w:autoSpaceDE/>
      <w:autoSpaceDN/>
      <w:adjustRightInd/>
      <w:spacing w:before="0"/>
      <w:textAlignment w:val="auto"/>
    </w:pPr>
    <w:rPr>
      <w:rFonts w:ascii="Verdana" w:eastAsia="SimSun" w:hAnsi="Verdana"/>
      <w:color w:val="000000"/>
      <w:sz w:val="10"/>
      <w:szCs w:val="10"/>
    </w:rPr>
  </w:style>
  <w:style w:type="paragraph" w:customStyle="1" w:styleId="artitle">
    <w:name w:val="ar_title"/>
    <w:basedOn w:val="Normal"/>
    <w:uiPriority w:val="99"/>
    <w:pPr>
      <w:tabs>
        <w:tab w:val="clear" w:pos="794"/>
        <w:tab w:val="clear" w:pos="1191"/>
        <w:tab w:val="clear" w:pos="1588"/>
        <w:tab w:val="clear" w:pos="1985"/>
      </w:tabs>
      <w:overflowPunct/>
      <w:autoSpaceDE/>
      <w:autoSpaceDN/>
      <w:adjustRightInd/>
      <w:spacing w:before="100" w:after="100"/>
      <w:textAlignment w:val="auto"/>
    </w:pPr>
    <w:rPr>
      <w:rFonts w:ascii="Verdana" w:eastAsia="SimSun" w:hAnsi="Verdana" w:cs="Simplified Arabic"/>
      <w:b/>
      <w:bCs/>
      <w:color w:val="004B96"/>
      <w:sz w:val="32"/>
      <w:szCs w:val="32"/>
    </w:rPr>
  </w:style>
  <w:style w:type="paragraph" w:customStyle="1" w:styleId="arpara">
    <w:name w:val="ar_para"/>
    <w:basedOn w:val="Normal"/>
    <w:uiPriority w:val="99"/>
    <w:pPr>
      <w:tabs>
        <w:tab w:val="clear" w:pos="794"/>
        <w:tab w:val="clear" w:pos="1191"/>
        <w:tab w:val="clear" w:pos="1588"/>
        <w:tab w:val="clear" w:pos="1985"/>
      </w:tabs>
      <w:overflowPunct/>
      <w:autoSpaceDE/>
      <w:autoSpaceDN/>
      <w:adjustRightInd/>
      <w:spacing w:before="100" w:after="100" w:line="360" w:lineRule="atLeast"/>
      <w:textAlignment w:val="auto"/>
    </w:pPr>
    <w:rPr>
      <w:rFonts w:ascii="Verdana" w:eastAsia="SimSun" w:hAnsi="Verdana" w:cs="Simplified Arabic"/>
      <w:color w:val="000000"/>
      <w:sz w:val="28"/>
      <w:szCs w:val="28"/>
    </w:rPr>
  </w:style>
  <w:style w:type="paragraph" w:customStyle="1" w:styleId="plist">
    <w:name w:val="plist"/>
    <w:basedOn w:val="Normal"/>
    <w:uiPriority w:val="99"/>
    <w:pPr>
      <w:tabs>
        <w:tab w:val="clear" w:pos="794"/>
        <w:tab w:val="clear" w:pos="1191"/>
        <w:tab w:val="clear" w:pos="1588"/>
        <w:tab w:val="clear" w:pos="1985"/>
      </w:tabs>
      <w:overflowPunct/>
      <w:autoSpaceDE/>
      <w:autoSpaceDN/>
      <w:adjustRightInd/>
      <w:spacing w:before="75" w:after="75"/>
      <w:textAlignment w:val="auto"/>
    </w:pPr>
    <w:rPr>
      <w:rFonts w:ascii="Verdana" w:eastAsia="SimSun" w:hAnsi="Verdana"/>
      <w:color w:val="000000"/>
      <w:sz w:val="18"/>
      <w:szCs w:val="18"/>
    </w:rPr>
  </w:style>
  <w:style w:type="paragraph" w:customStyle="1" w:styleId="nlist">
    <w:name w:val="nlist"/>
    <w:basedOn w:val="Normal"/>
    <w:uiPriority w:val="99"/>
    <w:pPr>
      <w:tabs>
        <w:tab w:val="clear" w:pos="794"/>
        <w:tab w:val="clear" w:pos="1191"/>
        <w:tab w:val="clear" w:pos="1588"/>
        <w:tab w:val="clear" w:pos="1985"/>
      </w:tabs>
      <w:overflowPunct/>
      <w:autoSpaceDE/>
      <w:autoSpaceDN/>
      <w:adjustRightInd/>
      <w:spacing w:before="100" w:after="100"/>
      <w:textAlignment w:val="auto"/>
    </w:pPr>
    <w:rPr>
      <w:rFonts w:ascii="Verdana" w:eastAsia="SimSun" w:hAnsi="Verdana"/>
      <w:color w:val="000000"/>
      <w:sz w:val="18"/>
      <w:szCs w:val="18"/>
    </w:rPr>
  </w:style>
  <w:style w:type="paragraph" w:customStyle="1" w:styleId="itunewslist">
    <w:name w:val="itunews_list"/>
    <w:basedOn w:val="Normal"/>
    <w:uiPriority w:val="99"/>
    <w:pPr>
      <w:tabs>
        <w:tab w:val="clear" w:pos="794"/>
        <w:tab w:val="clear" w:pos="1191"/>
        <w:tab w:val="clear" w:pos="1588"/>
        <w:tab w:val="clear" w:pos="1985"/>
      </w:tabs>
      <w:overflowPunct/>
      <w:autoSpaceDE/>
      <w:autoSpaceDN/>
      <w:adjustRightInd/>
      <w:spacing w:before="100" w:after="100"/>
      <w:textAlignment w:val="auto"/>
    </w:pPr>
    <w:rPr>
      <w:rFonts w:ascii="Verdana" w:eastAsia="SimSun" w:hAnsi="Verdana"/>
      <w:color w:val="000000"/>
      <w:sz w:val="16"/>
      <w:szCs w:val="16"/>
    </w:rPr>
  </w:style>
  <w:style w:type="paragraph" w:customStyle="1" w:styleId="slist">
    <w:name w:val="slist"/>
    <w:basedOn w:val="Normal"/>
    <w:uiPriority w:val="99"/>
    <w:pPr>
      <w:tabs>
        <w:tab w:val="clear" w:pos="794"/>
        <w:tab w:val="clear" w:pos="1191"/>
        <w:tab w:val="clear" w:pos="1588"/>
        <w:tab w:val="clear" w:pos="1985"/>
      </w:tabs>
      <w:overflowPunct/>
      <w:autoSpaceDE/>
      <w:autoSpaceDN/>
      <w:adjustRightInd/>
      <w:spacing w:before="100" w:after="100"/>
      <w:textAlignment w:val="auto"/>
    </w:pPr>
    <w:rPr>
      <w:rFonts w:ascii="Verdana" w:eastAsia="SimSun" w:hAnsi="Verdana"/>
      <w:color w:val="FFFFFF"/>
      <w:sz w:val="18"/>
      <w:szCs w:val="18"/>
    </w:rPr>
  </w:style>
  <w:style w:type="paragraph" w:customStyle="1" w:styleId="newsroom">
    <w:name w:val="newsroom"/>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0"/>
      <w:szCs w:val="10"/>
    </w:rPr>
  </w:style>
  <w:style w:type="paragraph" w:customStyle="1" w:styleId="wrc">
    <w:name w:val="wrc"/>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6"/>
      <w:szCs w:val="16"/>
    </w:rPr>
  </w:style>
  <w:style w:type="paragraph" w:customStyle="1" w:styleId="folderheader">
    <w:name w:val="folder_header"/>
    <w:basedOn w:val="Normal"/>
    <w:uiPriority w:val="99"/>
    <w:pPr>
      <w:pBdr>
        <w:top w:val="single" w:sz="6" w:space="5" w:color="004B96"/>
        <w:left w:val="single" w:sz="6" w:space="4" w:color="004B96"/>
        <w:bottom w:val="single" w:sz="6" w:space="5" w:color="004B96"/>
        <w:right w:val="single" w:sz="6" w:space="5" w:color="004B96"/>
      </w:pBdr>
      <w:shd w:val="clear" w:color="auto" w:fill="004B96"/>
      <w:tabs>
        <w:tab w:val="clear" w:pos="794"/>
        <w:tab w:val="clear" w:pos="1191"/>
        <w:tab w:val="clear" w:pos="1588"/>
        <w:tab w:val="clear" w:pos="1985"/>
      </w:tabs>
      <w:overflowPunct/>
      <w:autoSpaceDE/>
      <w:autoSpaceDN/>
      <w:adjustRightInd/>
      <w:spacing w:before="100" w:after="100" w:line="240" w:lineRule="atLeast"/>
      <w:jc w:val="center"/>
      <w:textAlignment w:val="auto"/>
    </w:pPr>
    <w:rPr>
      <w:rFonts w:ascii="Verdana" w:eastAsia="SimSun" w:hAnsi="Verdana"/>
      <w:b/>
      <w:bCs/>
      <w:color w:val="FFFFFF"/>
      <w:sz w:val="18"/>
      <w:szCs w:val="18"/>
    </w:rPr>
  </w:style>
  <w:style w:type="paragraph" w:customStyle="1" w:styleId="bb-input">
    <w:name w:val="bb-input"/>
    <w:basedOn w:val="Normal"/>
    <w:uiPriority w:val="99"/>
    <w:pPr>
      <w:pBdr>
        <w:top w:val="single" w:sz="6" w:space="0" w:color="99CCFF"/>
        <w:left w:val="single" w:sz="6" w:space="0" w:color="99CCFF"/>
        <w:bottom w:val="single" w:sz="6" w:space="0" w:color="99CCFF"/>
        <w:right w:val="single" w:sz="6" w:space="0" w:color="99CCFF"/>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buttondisplay">
    <w:name w:val="buttondisplay"/>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5"/>
      <w:szCs w:val="15"/>
    </w:rPr>
  </w:style>
  <w:style w:type="paragraph" w:customStyle="1" w:styleId="buttonsearch">
    <w:name w:val="buttonsearch"/>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5"/>
      <w:szCs w:val="15"/>
    </w:rPr>
  </w:style>
  <w:style w:type="paragraph" w:customStyle="1" w:styleId="formdisplay">
    <w:name w:val="formdisplay"/>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5"/>
      <w:szCs w:val="15"/>
    </w:rPr>
  </w:style>
  <w:style w:type="paragraph" w:customStyle="1" w:styleId="go">
    <w:name w:val="go"/>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7"/>
      <w:szCs w:val="17"/>
    </w:rPr>
  </w:style>
  <w:style w:type="paragraph" w:customStyle="1" w:styleId="bluebordertable">
    <w:name w:val="bluebordertable"/>
    <w:basedOn w:val="Normal"/>
    <w:uiPriority w:val="99"/>
    <w:pPr>
      <w:pBdr>
        <w:top w:val="single" w:sz="6" w:space="0" w:color="99CCFF"/>
        <w:left w:val="single" w:sz="6" w:space="0" w:color="99CCFF"/>
        <w:bottom w:val="single" w:sz="6" w:space="0" w:color="99CCFF"/>
        <w:right w:val="single" w:sz="6" w:space="0" w:color="99CCFF"/>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redbordertable">
    <w:name w:val="redbordertable"/>
    <w:basedOn w:val="Normal"/>
    <w:uiPriority w:val="99"/>
    <w:pPr>
      <w:pBdr>
        <w:top w:val="single" w:sz="6" w:space="0" w:color="FF0000"/>
        <w:left w:val="single" w:sz="6" w:space="0" w:color="FF0000"/>
        <w:bottom w:val="single" w:sz="6" w:space="0" w:color="FF0000"/>
        <w:right w:val="single" w:sz="6" w:space="0" w:color="FF0000"/>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blueborder-gray">
    <w:name w:val="blueborder-gray"/>
    <w:basedOn w:val="Normal"/>
    <w:uiPriority w:val="99"/>
    <w:pPr>
      <w:pBdr>
        <w:top w:val="single" w:sz="6" w:space="0" w:color="99CCFF"/>
        <w:left w:val="single" w:sz="6" w:space="0" w:color="99CCFF"/>
        <w:bottom w:val="single" w:sz="6" w:space="0" w:color="99CCFF"/>
        <w:right w:val="single" w:sz="6" w:space="0" w:color="99CCFF"/>
      </w:pBdr>
      <w:shd w:val="clear" w:color="auto" w:fill="EFEFEF"/>
      <w:tabs>
        <w:tab w:val="clear" w:pos="794"/>
        <w:tab w:val="clear" w:pos="1191"/>
        <w:tab w:val="clear" w:pos="1588"/>
        <w:tab w:val="clear" w:pos="1985"/>
      </w:tabs>
      <w:overflowPunct/>
      <w:autoSpaceDE/>
      <w:autoSpaceDN/>
      <w:adjustRightInd/>
      <w:spacing w:before="100" w:after="100" w:line="240" w:lineRule="atLeast"/>
      <w:textAlignment w:val="auto"/>
    </w:pPr>
    <w:rPr>
      <w:rFonts w:ascii="Trebuchet MS" w:eastAsia="SimSun" w:hAnsi="Trebuchet MS"/>
      <w:b/>
      <w:bCs/>
      <w:color w:val="000066"/>
      <w:sz w:val="18"/>
      <w:szCs w:val="18"/>
    </w:rPr>
  </w:style>
  <w:style w:type="paragraph" w:customStyle="1" w:styleId="bluewhite">
    <w:name w:val="bluewhite"/>
    <w:basedOn w:val="Normal"/>
    <w:uiPriority w:val="99"/>
    <w:pPr>
      <w:shd w:val="clear" w:color="auto" w:fill="0099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FFFFFF"/>
      <w:sz w:val="18"/>
      <w:szCs w:val="18"/>
    </w:rPr>
  </w:style>
  <w:style w:type="paragraph" w:customStyle="1" w:styleId="bottomline">
    <w:name w:val="bottomline"/>
    <w:basedOn w:val="Normal"/>
    <w:uiPriority w:val="99"/>
    <w:pPr>
      <w:pBdr>
        <w:bottom w:val="single" w:sz="6" w:space="0" w:color="0099FF"/>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ch-blue-red">
    <w:name w:val="ch-blue-red"/>
    <w:basedOn w:val="Normal"/>
    <w:uiPriority w:val="99"/>
    <w:pPr>
      <w:shd w:val="clear" w:color="auto" w:fill="0099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0000"/>
      <w:sz w:val="18"/>
      <w:szCs w:val="18"/>
    </w:rPr>
  </w:style>
  <w:style w:type="paragraph" w:customStyle="1" w:styleId="ch-blue-white">
    <w:name w:val="ch-blue-white"/>
    <w:basedOn w:val="Normal"/>
    <w:uiPriority w:val="99"/>
    <w:pPr>
      <w:shd w:val="clear" w:color="auto" w:fill="0099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8"/>
      <w:szCs w:val="18"/>
    </w:rPr>
  </w:style>
  <w:style w:type="paragraph" w:customStyle="1" w:styleId="ch-dblue-white">
    <w:name w:val="ch-dblue-white"/>
    <w:basedOn w:val="Normal"/>
    <w:uiPriority w:val="99"/>
    <w:pPr>
      <w:shd w:val="clear" w:color="auto" w:fill="00006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8"/>
      <w:szCs w:val="18"/>
    </w:rPr>
  </w:style>
  <w:style w:type="paragraph" w:customStyle="1" w:styleId="ch-red-white">
    <w:name w:val="ch-red-white"/>
    <w:basedOn w:val="Normal"/>
    <w:uiPriority w:val="99"/>
    <w:pPr>
      <w:shd w:val="clear" w:color="auto" w:fill="FF0000"/>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8"/>
      <w:szCs w:val="18"/>
    </w:rPr>
  </w:style>
  <w:style w:type="paragraph" w:customStyle="1" w:styleId="lightblueborder">
    <w:name w:val="lightblueborder"/>
    <w:basedOn w:val="Normal"/>
    <w:uiPriority w:val="99"/>
    <w:pPr>
      <w:pBdr>
        <w:top w:val="single" w:sz="6" w:space="0" w:color="A1B7DE"/>
        <w:left w:val="single" w:sz="6" w:space="0" w:color="A1B7DE"/>
        <w:bottom w:val="single" w:sz="6" w:space="0" w:color="A1B7DE"/>
        <w:right w:val="single" w:sz="6" w:space="0" w:color="A1B7DE"/>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t-blue">
    <w:name w:val="t-blue"/>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66"/>
      <w:sz w:val="18"/>
      <w:szCs w:val="18"/>
    </w:rPr>
  </w:style>
  <w:style w:type="paragraph" w:customStyle="1" w:styleId="t-row">
    <w:name w:val="t-row"/>
    <w:basedOn w:val="Normal"/>
    <w:uiPriority w:val="99"/>
    <w:pPr>
      <w:pBdr>
        <w:top w:val="single" w:sz="6" w:space="0" w:color="99CCFF"/>
        <w:left w:val="single" w:sz="6" w:space="0" w:color="99CCFF"/>
        <w:bottom w:val="single" w:sz="6" w:space="0" w:color="99CCFF"/>
        <w:right w:val="single" w:sz="6" w:space="0" w:color="99CCFF"/>
      </w:pBdr>
      <w:shd w:val="clear" w:color="auto" w:fill="E6EB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t-text">
    <w:name w:val="t-text"/>
    <w:basedOn w:val="Normal"/>
    <w:uiPriority w:val="99"/>
    <w:pPr>
      <w:pBdr>
        <w:top w:val="single" w:sz="6" w:space="0" w:color="99CCFF"/>
        <w:left w:val="single" w:sz="6" w:space="0" w:color="99CCFF"/>
        <w:bottom w:val="single" w:sz="6" w:space="0" w:color="99CCFF"/>
        <w:right w:val="single" w:sz="6" w:space="0" w:color="99CCFF"/>
      </w:pBdr>
      <w:shd w:val="clear" w:color="auto" w:fill="FFFFC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8"/>
      <w:szCs w:val="18"/>
    </w:rPr>
  </w:style>
  <w:style w:type="paragraph" w:customStyle="1" w:styleId="globe">
    <w:name w:val="globe"/>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globe-l">
    <w:name w:val="globe-l"/>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globe-t">
    <w:name w:val="globe-t"/>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itumenu">
    <w:name w:val="itumenu"/>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99CCFF"/>
      <w:sz w:val="18"/>
      <w:szCs w:val="18"/>
    </w:rPr>
  </w:style>
  <w:style w:type="paragraph" w:customStyle="1" w:styleId="navleft">
    <w:name w:val="navleft"/>
    <w:basedOn w:val="Normal"/>
    <w:uiPriority w:val="99"/>
    <w:pPr>
      <w:tabs>
        <w:tab w:val="clear" w:pos="794"/>
        <w:tab w:val="clear" w:pos="1191"/>
        <w:tab w:val="clear" w:pos="1588"/>
        <w:tab w:val="clear" w:pos="1985"/>
      </w:tabs>
      <w:overflowPunct/>
      <w:autoSpaceDE/>
      <w:autoSpaceDN/>
      <w:adjustRightInd/>
      <w:spacing w:before="100" w:after="100" w:line="240" w:lineRule="atLeast"/>
      <w:jc w:val="right"/>
      <w:textAlignment w:val="auto"/>
    </w:pPr>
    <w:rPr>
      <w:rFonts w:ascii="Arial" w:eastAsia="SimSun" w:hAnsi="Arial" w:cs="Arial"/>
      <w:b/>
      <w:bCs/>
      <w:color w:val="FFFFFF"/>
      <w:sz w:val="18"/>
      <w:szCs w:val="18"/>
    </w:rPr>
  </w:style>
  <w:style w:type="paragraph" w:customStyle="1" w:styleId="locator">
    <w:name w:val="locator"/>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66"/>
      <w:sz w:val="17"/>
      <w:szCs w:val="17"/>
    </w:rPr>
  </w:style>
  <w:style w:type="paragraph" w:customStyle="1" w:styleId="tsize8pt">
    <w:name w:val="tsize8pt"/>
    <w:basedOn w:val="Normal"/>
    <w:uiPriority w:val="99"/>
    <w:pPr>
      <w:tabs>
        <w:tab w:val="clear" w:pos="794"/>
        <w:tab w:val="clear" w:pos="1191"/>
        <w:tab w:val="clear" w:pos="1588"/>
        <w:tab w:val="clear" w:pos="1985"/>
      </w:tabs>
      <w:overflowPunct/>
      <w:autoSpaceDE/>
      <w:autoSpaceDN/>
      <w:adjustRightInd/>
      <w:spacing w:before="0" w:after="100" w:line="240" w:lineRule="atLeast"/>
      <w:textAlignment w:val="auto"/>
    </w:pPr>
    <w:rPr>
      <w:rFonts w:ascii="Verdana" w:eastAsia="SimSun" w:hAnsi="Verdana"/>
      <w:color w:val="000000"/>
      <w:sz w:val="15"/>
      <w:szCs w:val="15"/>
    </w:rPr>
  </w:style>
  <w:style w:type="paragraph" w:customStyle="1" w:styleId="smalltext">
    <w:name w:val="smalltext"/>
    <w:basedOn w:val="Normal"/>
    <w:uiPriority w:val="99"/>
    <w:pPr>
      <w:tabs>
        <w:tab w:val="clear" w:pos="794"/>
        <w:tab w:val="clear" w:pos="1191"/>
        <w:tab w:val="clear" w:pos="1588"/>
        <w:tab w:val="clear" w:pos="1985"/>
      </w:tabs>
      <w:overflowPunct/>
      <w:autoSpaceDE/>
      <w:autoSpaceDN/>
      <w:adjustRightInd/>
      <w:spacing w:before="0" w:after="100" w:line="240" w:lineRule="atLeast"/>
      <w:textAlignment w:val="auto"/>
    </w:pPr>
    <w:rPr>
      <w:rFonts w:ascii="Verdana" w:eastAsia="SimSun" w:hAnsi="Verdana"/>
      <w:color w:val="000000"/>
      <w:sz w:val="15"/>
      <w:szCs w:val="15"/>
    </w:rPr>
  </w:style>
  <w:style w:type="paragraph" w:customStyle="1" w:styleId="bulletlist-blue">
    <w:name w:val="bulletlist-blue"/>
    <w:basedOn w:val="Normal"/>
    <w:uiPriority w:val="99"/>
    <w:pPr>
      <w:tabs>
        <w:tab w:val="clear" w:pos="794"/>
        <w:tab w:val="clear" w:pos="1191"/>
        <w:tab w:val="clear" w:pos="1588"/>
        <w:tab w:val="clear" w:pos="1985"/>
      </w:tabs>
      <w:overflowPunct/>
      <w:autoSpaceDE/>
      <w:autoSpaceDN/>
      <w:adjustRightInd/>
      <w:spacing w:before="75" w:after="75" w:line="240" w:lineRule="atLeast"/>
      <w:ind w:left="300"/>
      <w:textAlignment w:val="auto"/>
    </w:pPr>
    <w:rPr>
      <w:rFonts w:ascii="Trebuchet MS" w:eastAsia="SimSun" w:hAnsi="Trebuchet MS"/>
      <w:color w:val="000000"/>
      <w:sz w:val="18"/>
      <w:szCs w:val="18"/>
    </w:rPr>
  </w:style>
  <w:style w:type="paragraph" w:customStyle="1" w:styleId="bulletlist-red">
    <w:name w:val="bulletlist-red"/>
    <w:basedOn w:val="Normal"/>
    <w:uiPriority w:val="99"/>
    <w:pPr>
      <w:tabs>
        <w:tab w:val="clear" w:pos="794"/>
        <w:tab w:val="clear" w:pos="1191"/>
        <w:tab w:val="clear" w:pos="1588"/>
        <w:tab w:val="clear" w:pos="1985"/>
      </w:tabs>
      <w:overflowPunct/>
      <w:autoSpaceDE/>
      <w:autoSpaceDN/>
      <w:adjustRightInd/>
      <w:spacing w:before="75" w:after="75" w:line="240" w:lineRule="atLeast"/>
      <w:ind w:left="300"/>
      <w:textAlignment w:val="auto"/>
    </w:pPr>
    <w:rPr>
      <w:rFonts w:ascii="Trebuchet MS" w:eastAsia="SimSun" w:hAnsi="Trebuchet MS"/>
      <w:color w:val="000000"/>
      <w:sz w:val="18"/>
      <w:szCs w:val="18"/>
    </w:rPr>
  </w:style>
  <w:style w:type="paragraph" w:customStyle="1" w:styleId="arrowlist-blue">
    <w:name w:val="arrowlist-blue"/>
    <w:basedOn w:val="Normal"/>
    <w:uiPriority w:val="99"/>
    <w:pPr>
      <w:tabs>
        <w:tab w:val="clear" w:pos="794"/>
        <w:tab w:val="clear" w:pos="1191"/>
        <w:tab w:val="clear" w:pos="1588"/>
        <w:tab w:val="clear" w:pos="1985"/>
      </w:tabs>
      <w:overflowPunct/>
      <w:autoSpaceDE/>
      <w:autoSpaceDN/>
      <w:adjustRightInd/>
      <w:spacing w:before="75" w:after="75" w:line="240" w:lineRule="atLeast"/>
      <w:ind w:left="300"/>
      <w:textAlignment w:val="auto"/>
    </w:pPr>
    <w:rPr>
      <w:rFonts w:ascii="Trebuchet MS" w:eastAsia="SimSun" w:hAnsi="Trebuchet MS"/>
      <w:color w:val="000000"/>
      <w:sz w:val="18"/>
      <w:szCs w:val="18"/>
    </w:rPr>
  </w:style>
  <w:style w:type="paragraph" w:customStyle="1" w:styleId="arrowlist-red">
    <w:name w:val="arrowlist-red"/>
    <w:basedOn w:val="Normal"/>
    <w:uiPriority w:val="99"/>
    <w:pPr>
      <w:tabs>
        <w:tab w:val="clear" w:pos="794"/>
        <w:tab w:val="clear" w:pos="1191"/>
        <w:tab w:val="clear" w:pos="1588"/>
        <w:tab w:val="clear" w:pos="1985"/>
      </w:tabs>
      <w:overflowPunct/>
      <w:autoSpaceDE/>
      <w:autoSpaceDN/>
      <w:adjustRightInd/>
      <w:spacing w:before="75" w:after="75" w:line="240" w:lineRule="atLeast"/>
      <w:ind w:left="300"/>
      <w:textAlignment w:val="auto"/>
    </w:pPr>
    <w:rPr>
      <w:rFonts w:ascii="Trebuchet MS" w:eastAsia="SimSun" w:hAnsi="Trebuchet MS"/>
      <w:color w:val="000000"/>
      <w:sz w:val="18"/>
      <w:szCs w:val="18"/>
    </w:rPr>
  </w:style>
  <w:style w:type="paragraph" w:customStyle="1" w:styleId="pdivider">
    <w:name w:val="pdivider"/>
    <w:basedOn w:val="Normal"/>
    <w:uiPriority w:val="99"/>
    <w:pPr>
      <w:tabs>
        <w:tab w:val="clear" w:pos="794"/>
        <w:tab w:val="clear" w:pos="1191"/>
        <w:tab w:val="clear" w:pos="1588"/>
        <w:tab w:val="clear" w:pos="1985"/>
      </w:tabs>
      <w:overflowPunct/>
      <w:autoSpaceDE/>
      <w:autoSpaceDN/>
      <w:adjustRightInd/>
      <w:spacing w:before="75" w:after="75" w:line="240" w:lineRule="atLeast"/>
      <w:ind w:left="75" w:right="75"/>
      <w:textAlignment w:val="auto"/>
    </w:pPr>
    <w:rPr>
      <w:rFonts w:ascii="Verdana" w:eastAsia="SimSun" w:hAnsi="Verdana"/>
      <w:color w:val="000000"/>
      <w:sz w:val="8"/>
      <w:szCs w:val="8"/>
    </w:rPr>
  </w:style>
  <w:style w:type="paragraph" w:customStyle="1" w:styleId="pj">
    <w:name w:val="pj"/>
    <w:basedOn w:val="Normal"/>
    <w:uiPriority w:val="99"/>
    <w:pPr>
      <w:tabs>
        <w:tab w:val="clear" w:pos="794"/>
        <w:tab w:val="clear" w:pos="1191"/>
        <w:tab w:val="clear" w:pos="1588"/>
        <w:tab w:val="clear" w:pos="1985"/>
      </w:tabs>
      <w:overflowPunct/>
      <w:autoSpaceDE/>
      <w:autoSpaceDN/>
      <w:adjustRightInd/>
      <w:spacing w:before="100" w:after="100" w:line="240" w:lineRule="atLeast"/>
      <w:jc w:val="both"/>
      <w:textAlignment w:val="auto"/>
    </w:pPr>
    <w:rPr>
      <w:rFonts w:ascii="Verdana" w:eastAsia="SimSun" w:hAnsi="Verdana"/>
      <w:color w:val="000000"/>
      <w:sz w:val="18"/>
      <w:szCs w:val="18"/>
    </w:rPr>
  </w:style>
  <w:style w:type="paragraph" w:customStyle="1" w:styleId="pml-40">
    <w:name w:val="pml-40"/>
    <w:basedOn w:val="Normal"/>
    <w:uiPriority w:val="99"/>
    <w:pPr>
      <w:tabs>
        <w:tab w:val="clear" w:pos="794"/>
        <w:tab w:val="clear" w:pos="1191"/>
        <w:tab w:val="clear" w:pos="1588"/>
        <w:tab w:val="clear" w:pos="1985"/>
      </w:tabs>
      <w:overflowPunct/>
      <w:autoSpaceDE/>
      <w:autoSpaceDN/>
      <w:adjustRightInd/>
      <w:spacing w:before="100" w:after="100" w:line="240" w:lineRule="atLeast"/>
      <w:ind w:left="600"/>
      <w:textAlignment w:val="auto"/>
    </w:pPr>
    <w:rPr>
      <w:rFonts w:ascii="Verdana" w:eastAsia="SimSun" w:hAnsi="Verdana"/>
      <w:color w:val="000000"/>
      <w:sz w:val="18"/>
      <w:szCs w:val="18"/>
    </w:rPr>
  </w:style>
  <w:style w:type="paragraph" w:customStyle="1" w:styleId="subfolderstyle">
    <w:name w:val="subfolderstyle"/>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subfolderstyle1">
    <w:name w:val="subfolderstyle1"/>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generic">
    <w:name w:val="awmgeneric"/>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0">
    <w:name w:val="awmst0"/>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td0">
    <w:name w:val="awmsttd0"/>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bg0">
    <w:name w:val="awmstbg0"/>
    <w:basedOn w:val="Normal"/>
    <w:uiPriority w:val="99"/>
    <w:pP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0">
    <w:name w:val="awmstcbg0"/>
    <w:basedOn w:val="Normal"/>
    <w:uiPriority w:val="99"/>
    <w:pP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1">
    <w:name w:val="awmst1"/>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6"/>
      <w:szCs w:val="16"/>
    </w:rPr>
  </w:style>
  <w:style w:type="paragraph" w:customStyle="1" w:styleId="awmsttd1">
    <w:name w:val="awmsttd1"/>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6"/>
      <w:szCs w:val="16"/>
    </w:rPr>
  </w:style>
  <w:style w:type="paragraph" w:customStyle="1" w:styleId="awmstbg1">
    <w:name w:val="awmstbg1"/>
    <w:basedOn w:val="Normal"/>
    <w:uiPriority w:val="99"/>
    <w:pP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1">
    <w:name w:val="awmstcbg1"/>
    <w:basedOn w:val="Normal"/>
    <w:uiPriority w:val="99"/>
    <w:pP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2">
    <w:name w:val="awmst2"/>
    <w:basedOn w:val="Normal"/>
    <w:uiPriority w:val="99"/>
    <w:pPr>
      <w:pBdr>
        <w:top w:val="single" w:sz="6" w:space="2" w:color="000000"/>
        <w:left w:val="single" w:sz="6" w:space="0" w:color="000000"/>
        <w:bottom w:val="single" w:sz="6" w:space="2" w:color="000000"/>
        <w:right w:val="single" w:sz="6" w:space="0" w:color="000000"/>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6"/>
      <w:szCs w:val="16"/>
    </w:rPr>
  </w:style>
  <w:style w:type="paragraph" w:customStyle="1" w:styleId="awmsttd2">
    <w:name w:val="awmsttd2"/>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6"/>
      <w:szCs w:val="16"/>
    </w:rPr>
  </w:style>
  <w:style w:type="paragraph" w:customStyle="1" w:styleId="awmstbg2">
    <w:name w:val="awmstbg2"/>
    <w:basedOn w:val="Normal"/>
    <w:uiPriority w:val="99"/>
    <w:pPr>
      <w:pBdr>
        <w:top w:val="single" w:sz="6" w:space="0" w:color="000000"/>
        <w:left w:val="single" w:sz="6" w:space="0" w:color="000000"/>
        <w:bottom w:val="single" w:sz="6" w:space="0" w:color="000000"/>
        <w:right w:val="single" w:sz="6" w:space="0" w:color="000000"/>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2">
    <w:name w:val="awmstcbg2"/>
    <w:basedOn w:val="Normal"/>
    <w:uiPriority w:val="99"/>
    <w:pPr>
      <w:pBdr>
        <w:top w:val="single" w:sz="6" w:space="0" w:color="000000"/>
        <w:left w:val="single" w:sz="6" w:space="0" w:color="000000"/>
        <w:bottom w:val="single" w:sz="6" w:space="0" w:color="000000"/>
        <w:right w:val="single" w:sz="6" w:space="0" w:color="000000"/>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3">
    <w:name w:val="awmst3"/>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6"/>
      <w:szCs w:val="16"/>
    </w:rPr>
  </w:style>
  <w:style w:type="paragraph" w:customStyle="1" w:styleId="awmsttd3">
    <w:name w:val="awmsttd3"/>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FFFFFF"/>
      <w:sz w:val="16"/>
      <w:szCs w:val="16"/>
    </w:rPr>
  </w:style>
  <w:style w:type="paragraph" w:customStyle="1" w:styleId="awmstbg3">
    <w:name w:val="awmstbg3"/>
    <w:basedOn w:val="Normal"/>
    <w:uiPriority w:val="99"/>
    <w:pP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3">
    <w:name w:val="awmstcbg3"/>
    <w:basedOn w:val="Normal"/>
    <w:uiPriority w:val="99"/>
    <w:pP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4">
    <w:name w:val="awmst4"/>
    <w:basedOn w:val="Normal"/>
    <w:uiPriority w:val="99"/>
    <w:pPr>
      <w:pBdr>
        <w:top w:val="single" w:sz="6" w:space="2" w:color="000000"/>
        <w:left w:val="single" w:sz="6" w:space="2" w:color="000000"/>
        <w:bottom w:val="single" w:sz="6" w:space="2" w:color="000000"/>
        <w:right w:val="single" w:sz="6" w:space="2" w:color="000000"/>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6"/>
      <w:szCs w:val="16"/>
    </w:rPr>
  </w:style>
  <w:style w:type="paragraph" w:customStyle="1" w:styleId="awmsttd4">
    <w:name w:val="awmsttd4"/>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6"/>
      <w:szCs w:val="16"/>
    </w:rPr>
  </w:style>
  <w:style w:type="paragraph" w:customStyle="1" w:styleId="awmstbg4">
    <w:name w:val="awmstbg4"/>
    <w:basedOn w:val="Normal"/>
    <w:uiPriority w:val="99"/>
    <w:pPr>
      <w:pBdr>
        <w:top w:val="single" w:sz="6" w:space="0" w:color="000000"/>
        <w:left w:val="single" w:sz="6" w:space="0" w:color="000000"/>
        <w:bottom w:val="single" w:sz="6" w:space="0" w:color="000000"/>
        <w:right w:val="single" w:sz="6" w:space="0" w:color="000000"/>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4">
    <w:name w:val="awmstcbg4"/>
    <w:basedOn w:val="Normal"/>
    <w:uiPriority w:val="99"/>
    <w:pPr>
      <w:pBdr>
        <w:top w:val="single" w:sz="6" w:space="0" w:color="000000"/>
        <w:left w:val="single" w:sz="6" w:space="0" w:color="000000"/>
        <w:bottom w:val="single" w:sz="6" w:space="0" w:color="000000"/>
        <w:right w:val="single" w:sz="6" w:space="0" w:color="000000"/>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5">
    <w:name w:val="awmst5"/>
    <w:basedOn w:val="Normal"/>
    <w:uiPriority w:val="99"/>
    <w:pPr>
      <w:pBdr>
        <w:top w:val="outset" w:sz="6" w:space="0" w:color="004B96"/>
        <w:left w:val="outset" w:sz="6" w:space="0" w:color="004B96"/>
        <w:bottom w:val="outset" w:sz="6" w:space="0" w:color="004B96"/>
        <w:right w:val="outset" w:sz="6" w:space="0" w:color="004B96"/>
      </w:pBd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td5">
    <w:name w:val="awmsttd5"/>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bg5">
    <w:name w:val="awmstbg5"/>
    <w:basedOn w:val="Normal"/>
    <w:uiPriority w:val="99"/>
    <w:pPr>
      <w:pBdr>
        <w:top w:val="outset" w:sz="6" w:space="0" w:color="004B96"/>
        <w:left w:val="outset" w:sz="6" w:space="0" w:color="004B96"/>
        <w:bottom w:val="outset" w:sz="6" w:space="0" w:color="004B96"/>
        <w:right w:val="outset" w:sz="6" w:space="0" w:color="004B96"/>
      </w:pBd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5">
    <w:name w:val="awmstcbg5"/>
    <w:basedOn w:val="Normal"/>
    <w:uiPriority w:val="99"/>
    <w:pPr>
      <w:pBdr>
        <w:top w:val="outset" w:sz="6" w:space="0" w:color="004B96"/>
        <w:left w:val="outset" w:sz="6" w:space="0" w:color="004B96"/>
        <w:bottom w:val="outset" w:sz="6" w:space="0" w:color="004B96"/>
        <w:right w:val="outset" w:sz="6" w:space="0" w:color="004B96"/>
      </w:pBdr>
      <w:shd w:val="clear" w:color="auto" w:fill="004B96"/>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6">
    <w:name w:val="awmst6"/>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4B96"/>
      <w:sz w:val="16"/>
      <w:szCs w:val="16"/>
    </w:rPr>
  </w:style>
  <w:style w:type="paragraph" w:customStyle="1" w:styleId="awmsttd6">
    <w:name w:val="awmsttd6"/>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4B96"/>
      <w:sz w:val="16"/>
      <w:szCs w:val="16"/>
    </w:rPr>
  </w:style>
  <w:style w:type="paragraph" w:customStyle="1" w:styleId="awmstbg6">
    <w:name w:val="awmstbg6"/>
    <w:basedOn w:val="Normal"/>
    <w:uiPriority w:val="99"/>
    <w:pPr>
      <w:shd w:val="clear" w:color="auto" w:fill="FFFF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6">
    <w:name w:val="awmstcbg6"/>
    <w:basedOn w:val="Normal"/>
    <w:uiPriority w:val="99"/>
    <w:pPr>
      <w:shd w:val="clear" w:color="auto" w:fill="FFFFFF"/>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7">
    <w:name w:val="awmst7"/>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6"/>
      <w:szCs w:val="16"/>
    </w:rPr>
  </w:style>
  <w:style w:type="paragraph" w:customStyle="1" w:styleId="awmsttd7">
    <w:name w:val="awmsttd7"/>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00"/>
      <w:sz w:val="16"/>
      <w:szCs w:val="16"/>
    </w:rPr>
  </w:style>
  <w:style w:type="paragraph" w:customStyle="1" w:styleId="awmstbg7">
    <w:name w:val="awmstbg7"/>
    <w:basedOn w:val="Normal"/>
    <w:uiPriority w:val="99"/>
    <w:pP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awmstcbg7">
    <w:name w:val="awmstcbg7"/>
    <w:basedOn w:val="Normal"/>
    <w:uiPriority w:val="99"/>
    <w:pP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customStyle="1" w:styleId="subfolderstyle2">
    <w:name w:val="subfolderstyle2"/>
    <w:basedOn w:val="Normal"/>
    <w:uiPriority w:val="99"/>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color w:val="000000"/>
      <w:sz w:val="18"/>
      <w:szCs w:val="18"/>
    </w:rPr>
  </w:style>
  <w:style w:type="paragraph" w:styleId="z-TopofForm">
    <w:name w:val="HTML Top of Form"/>
    <w:basedOn w:val="Normal"/>
    <w:next w:val="Normal"/>
    <w:link w:val="z-TopofFormChar"/>
    <w:hidden/>
    <w:uiPriority w:val="99"/>
    <w:pPr>
      <w:pBdr>
        <w:bottom w:val="single" w:sz="6" w:space="1" w:color="auto"/>
      </w:pBdr>
      <w:tabs>
        <w:tab w:val="clear" w:pos="794"/>
        <w:tab w:val="clear" w:pos="1191"/>
        <w:tab w:val="clear" w:pos="1588"/>
        <w:tab w:val="clear" w:pos="1985"/>
      </w:tabs>
      <w:overflowPunct/>
      <w:autoSpaceDE/>
      <w:autoSpaceDN/>
      <w:adjustRightInd/>
      <w:spacing w:before="0"/>
      <w:jc w:val="center"/>
      <w:textAlignment w:val="auto"/>
    </w:pPr>
    <w:rPr>
      <w:rFonts w:ascii="Arial" w:eastAsia="SimSun" w:hAnsi="Arial" w:cs="Arial"/>
      <w:vanish/>
      <w:color w:val="000000"/>
      <w:sz w:val="16"/>
      <w:szCs w:val="16"/>
    </w:rPr>
  </w:style>
  <w:style w:type="character" w:customStyle="1" w:styleId="z-TopofFormChar">
    <w:name w:val="z-Top of Form Char"/>
    <w:basedOn w:val="DefaultParagraphFont"/>
    <w:link w:val="z-TopofForm"/>
    <w:uiPriority w:val="99"/>
    <w:locked/>
    <w:rPr>
      <w:rFonts w:ascii="Arial" w:eastAsia="SimSun" w:hAnsi="Arial" w:cs="Arial"/>
      <w:vanish/>
      <w:color w:val="000000"/>
      <w:sz w:val="16"/>
      <w:szCs w:val="16"/>
    </w:rPr>
  </w:style>
  <w:style w:type="paragraph" w:styleId="z-BottomofForm">
    <w:name w:val="HTML Bottom of Form"/>
    <w:basedOn w:val="Normal"/>
    <w:next w:val="Normal"/>
    <w:link w:val="z-BottomofFormChar"/>
    <w:hidden/>
    <w:uiPriority w:val="99"/>
    <w:pPr>
      <w:pBdr>
        <w:top w:val="single" w:sz="6" w:space="1" w:color="auto"/>
      </w:pBdr>
      <w:tabs>
        <w:tab w:val="clear" w:pos="794"/>
        <w:tab w:val="clear" w:pos="1191"/>
        <w:tab w:val="clear" w:pos="1588"/>
        <w:tab w:val="clear" w:pos="1985"/>
      </w:tabs>
      <w:overflowPunct/>
      <w:autoSpaceDE/>
      <w:autoSpaceDN/>
      <w:adjustRightInd/>
      <w:spacing w:before="0"/>
      <w:jc w:val="center"/>
      <w:textAlignment w:val="auto"/>
    </w:pPr>
    <w:rPr>
      <w:rFonts w:ascii="Arial" w:eastAsia="SimSun" w:hAnsi="Arial" w:cs="Arial"/>
      <w:vanish/>
      <w:color w:val="000000"/>
      <w:sz w:val="16"/>
      <w:szCs w:val="16"/>
    </w:rPr>
  </w:style>
  <w:style w:type="character" w:customStyle="1" w:styleId="z-BottomofFormChar">
    <w:name w:val="z-Bottom of Form Char"/>
    <w:basedOn w:val="DefaultParagraphFont"/>
    <w:link w:val="z-BottomofForm"/>
    <w:uiPriority w:val="99"/>
    <w:locked/>
    <w:rPr>
      <w:rFonts w:ascii="Arial" w:eastAsia="SimSun" w:hAnsi="Arial" w:cs="Arial"/>
      <w:vanish/>
      <w:color w:val="000000"/>
      <w:sz w:val="16"/>
      <w:szCs w:val="16"/>
    </w:rPr>
  </w:style>
  <w:style w:type="character" w:customStyle="1" w:styleId="HeadingbChar0">
    <w:name w:val="Heading_b Char"/>
    <w:basedOn w:val="DefaultParagraphFont"/>
    <w:uiPriority w:val="99"/>
    <w:rPr>
      <w:rFonts w:cs="Times New Roman"/>
      <w:b/>
      <w:sz w:val="24"/>
      <w:lang w:val="en-GB" w:eastAsia="en-US" w:bidi="ar-SA"/>
    </w:rPr>
  </w:style>
  <w:style w:type="paragraph" w:customStyle="1" w:styleId="TabletextCharCharChar">
    <w:name w:val="Table_text Char Char Char"/>
    <w:basedOn w:val="Normal"/>
    <w:uiPriority w:val="9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rFonts w:eastAsia="Batang"/>
      <w:sz w:val="22"/>
    </w:rPr>
  </w:style>
  <w:style w:type="character" w:customStyle="1" w:styleId="TabletextCharCharCharChar">
    <w:name w:val="Table_text Char Char Char Char"/>
    <w:basedOn w:val="DefaultParagraphFont"/>
    <w:uiPriority w:val="99"/>
    <w:rPr>
      <w:rFonts w:eastAsia="Batang" w:cs="Times New Roman"/>
      <w:sz w:val="22"/>
      <w:lang w:val="en-GB" w:eastAsia="en-US" w:bidi="ar-SA"/>
    </w:rPr>
  </w:style>
  <w:style w:type="table" w:styleId="TableGrid">
    <w:name w:val="Table Grid"/>
    <w:basedOn w:val="TableNormal"/>
    <w:uiPriority w:val="39"/>
    <w:pPr>
      <w:tabs>
        <w:tab w:val="left" w:pos="794"/>
        <w:tab w:val="left" w:pos="1191"/>
        <w:tab w:val="left" w:pos="1588"/>
        <w:tab w:val="left" w:pos="1985"/>
      </w:tabs>
      <w:overflowPunct w:val="0"/>
      <w:autoSpaceDE w:val="0"/>
      <w:autoSpaceDN w:val="0"/>
      <w:adjustRightInd w:val="0"/>
      <w:spacing w:before="12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Pr>
      <w:rFonts w:cs="Times New Roman"/>
    </w:rPr>
  </w:style>
  <w:style w:type="paragraph" w:customStyle="1" w:styleId="LSForAction">
    <w:name w:val="LSForAction"/>
    <w:basedOn w:val="Normal"/>
    <w:rPr>
      <w:b/>
      <w:bCs/>
    </w:rPr>
  </w:style>
  <w:style w:type="paragraph" w:customStyle="1" w:styleId="LSForInfo">
    <w:name w:val="LSForInfo"/>
    <w:basedOn w:val="LSForAction"/>
  </w:style>
  <w:style w:type="paragraph" w:customStyle="1" w:styleId="LSForComment">
    <w:name w:val="LSForComment"/>
    <w:basedOn w:val="LSForAction"/>
  </w:style>
  <w:style w:type="character" w:customStyle="1" w:styleId="1Char2">
    <w:name w:val="1 Char2"/>
    <w:aliases w:val="level 0 Char2,l0 Char2,heading 1 Char Char,1 Char21,level 0 Char21,l0 Char21"/>
    <w:basedOn w:val="DefaultParagraphFont"/>
    <w:uiPriority w:val="99"/>
    <w:rPr>
      <w:rFonts w:eastAsia="Batang" w:cs="Times New Roman"/>
      <w:b/>
      <w:sz w:val="24"/>
      <w:lang w:val="en-GB" w:eastAsia="en-US" w:bidi="ar-SA"/>
    </w:rPr>
  </w:style>
  <w:style w:type="character" w:customStyle="1" w:styleId="ntextbold">
    <w:name w:val="ntextbold"/>
    <w:basedOn w:val="DefaultParagraphFont"/>
    <w:uiPriority w:val="99"/>
    <w:rPr>
      <w:rFonts w:cs="Times New Roman"/>
    </w:rPr>
  </w:style>
  <w:style w:type="paragraph" w:customStyle="1" w:styleId="NormalnyPogrubienie">
    <w:name w:val="Normalny + Pogrubienie"/>
    <w:basedOn w:val="Normal"/>
    <w:uiPriority w:val="99"/>
    <w:pPr>
      <w:tabs>
        <w:tab w:val="clear" w:pos="794"/>
        <w:tab w:val="clear" w:pos="1191"/>
        <w:tab w:val="clear" w:pos="1588"/>
        <w:tab w:val="clear" w:pos="1985"/>
      </w:tabs>
      <w:overflowPunct/>
      <w:autoSpaceDE/>
      <w:autoSpaceDN/>
      <w:adjustRightInd/>
      <w:spacing w:before="60"/>
      <w:textAlignment w:val="auto"/>
    </w:pPr>
    <w:rPr>
      <w:rFonts w:eastAsia="SimSun"/>
      <w:b/>
      <w:szCs w:val="24"/>
      <w:lang w:val="pl-PL"/>
    </w:rPr>
  </w:style>
  <w:style w:type="paragraph" w:customStyle="1" w:styleId="CarCharCharCharChar">
    <w:name w:val="Car Char Char Char Char"/>
    <w:basedOn w:val="Normal"/>
    <w:uiPriority w:val="99"/>
    <w:pPr>
      <w:widowControl w:val="0"/>
      <w:tabs>
        <w:tab w:val="clear" w:pos="794"/>
        <w:tab w:val="clear" w:pos="1191"/>
        <w:tab w:val="clear" w:pos="1588"/>
        <w:tab w:val="clear" w:pos="1985"/>
      </w:tabs>
      <w:overflowPunct/>
      <w:autoSpaceDE/>
      <w:autoSpaceDN/>
      <w:adjustRightInd/>
      <w:spacing w:before="0"/>
      <w:jc w:val="both"/>
      <w:textAlignment w:val="auto"/>
    </w:pPr>
    <w:rPr>
      <w:rFonts w:eastAsia="SimSun"/>
      <w:kern w:val="2"/>
      <w:sz w:val="21"/>
      <w:szCs w:val="24"/>
    </w:rPr>
  </w:style>
  <w:style w:type="paragraph" w:customStyle="1" w:styleId="WW-Default">
    <w:name w:val="WW-Default"/>
    <w:uiPriority w:val="99"/>
    <w:pPr>
      <w:widowControl w:val="0"/>
      <w:suppressAutoHyphens/>
      <w:autoSpaceDE w:val="0"/>
    </w:pPr>
    <w:rPr>
      <w:rFonts w:eastAsia="MS Mincho"/>
      <w:lang w:eastAsia="ar-SA"/>
    </w:rPr>
  </w:style>
  <w:style w:type="paragraph" w:customStyle="1" w:styleId="CharChar2CharCharCharCharCharCharCharCarCharCharCharCharCharCharCharCharCharChar">
    <w:name w:val="Char Char2 Char Char Char Char Char Char Char Car Char Char Char Char Char Char Char Char Char Char"/>
    <w:basedOn w:val="Normal"/>
    <w:uiPriority w:val="99"/>
    <w:pPr>
      <w:widowControl w:val="0"/>
      <w:tabs>
        <w:tab w:val="clear" w:pos="794"/>
        <w:tab w:val="clear" w:pos="1191"/>
        <w:tab w:val="clear" w:pos="1588"/>
        <w:tab w:val="clear" w:pos="1985"/>
      </w:tabs>
      <w:overflowPunct/>
      <w:autoSpaceDE/>
      <w:autoSpaceDN/>
      <w:adjustRightInd/>
      <w:spacing w:before="0"/>
      <w:jc w:val="both"/>
      <w:textAlignment w:val="auto"/>
    </w:pPr>
    <w:rPr>
      <w:rFonts w:eastAsia="SimSun"/>
      <w:kern w:val="2"/>
      <w:sz w:val="21"/>
      <w:szCs w:val="24"/>
    </w:rPr>
  </w:style>
  <w:style w:type="character" w:customStyle="1" w:styleId="tabletextchar1">
    <w:name w:val="tabletextchar"/>
    <w:basedOn w:val="DefaultParagraphFont"/>
    <w:uiPriority w:val="99"/>
    <w:rPr>
      <w:rFonts w:cs="Times New Roman"/>
    </w:rPr>
  </w:style>
  <w:style w:type="paragraph" w:customStyle="1" w:styleId="RecCCITTNo">
    <w:name w:val="Rec_CCITT_No"/>
    <w:basedOn w:val="Normal"/>
    <w:uiPriority w:val="99"/>
    <w:pPr>
      <w:keepNext/>
      <w:keepLines/>
      <w:spacing w:before="136"/>
      <w:jc w:val="both"/>
    </w:pPr>
    <w:rPr>
      <w:b/>
      <w:sz w:val="20"/>
    </w:rPr>
  </w:style>
  <w:style w:type="character" w:customStyle="1" w:styleId="eudoraheader">
    <w:name w:val="eudoraheader"/>
    <w:basedOn w:val="DefaultParagraphFont"/>
    <w:rPr>
      <w:rFonts w:cs="Times New Roman"/>
    </w:rPr>
  </w:style>
  <w:style w:type="paragraph" w:customStyle="1" w:styleId="CharCharCar1">
    <w:name w:val="Char Char Car1"/>
    <w:basedOn w:val="Normal"/>
    <w:uiPriority w:val="99"/>
    <w:pPr>
      <w:widowControl w:val="0"/>
      <w:tabs>
        <w:tab w:val="clear" w:pos="794"/>
        <w:tab w:val="clear" w:pos="1191"/>
        <w:tab w:val="clear" w:pos="1588"/>
        <w:tab w:val="clear" w:pos="1985"/>
      </w:tabs>
      <w:overflowPunct/>
      <w:autoSpaceDE/>
      <w:autoSpaceDN/>
      <w:adjustRightInd/>
      <w:spacing w:before="0"/>
      <w:jc w:val="both"/>
      <w:textAlignment w:val="auto"/>
    </w:pPr>
    <w:rPr>
      <w:rFonts w:eastAsia="SimSun"/>
      <w:kern w:val="2"/>
      <w:sz w:val="21"/>
      <w:szCs w:val="24"/>
    </w:rPr>
  </w:style>
  <w:style w:type="paragraph" w:customStyle="1" w:styleId="CharCharCharChar1">
    <w:name w:val="Char Char Char (文字) (文字) Char1"/>
    <w:basedOn w:val="Normal"/>
    <w:autoRedefine/>
    <w:uiPriority w:val="99"/>
    <w:pPr>
      <w:keepNext/>
      <w:keepLines/>
      <w:pageBreakBefore/>
      <w:widowControl w:val="0"/>
      <w:tabs>
        <w:tab w:val="clear" w:pos="794"/>
        <w:tab w:val="clear" w:pos="1191"/>
        <w:tab w:val="clear" w:pos="1588"/>
        <w:tab w:val="clear" w:pos="1985"/>
        <w:tab w:val="num" w:pos="360"/>
      </w:tabs>
      <w:overflowPunct/>
      <w:autoSpaceDE/>
      <w:autoSpaceDN/>
      <w:adjustRightInd/>
      <w:spacing w:before="0"/>
      <w:jc w:val="both"/>
      <w:textAlignment w:val="auto"/>
    </w:pPr>
    <w:rPr>
      <w:rFonts w:ascii="Tahoma" w:eastAsia="SimSun" w:hAnsi="Tahoma"/>
      <w:kern w:val="2"/>
    </w:rPr>
  </w:style>
  <w:style w:type="paragraph" w:customStyle="1" w:styleId="CharCharCharCharCharCharCharChar1">
    <w:name w:val="Char Char Char Char Char Char Char Char1"/>
    <w:basedOn w:val="Normal"/>
    <w:uiPriority w:val="99"/>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rPr>
  </w:style>
  <w:style w:type="paragraph" w:customStyle="1" w:styleId="Char1">
    <w:name w:val="Char1"/>
    <w:basedOn w:val="Normal"/>
    <w:uiPriority w:val="99"/>
    <w:pPr>
      <w:tabs>
        <w:tab w:val="clear" w:pos="794"/>
        <w:tab w:val="clear" w:pos="1191"/>
        <w:tab w:val="clear" w:pos="1588"/>
        <w:tab w:val="clear" w:pos="1985"/>
      </w:tabs>
      <w:overflowPunct/>
      <w:autoSpaceDE/>
      <w:autoSpaceDN/>
      <w:adjustRightInd/>
      <w:spacing w:before="0" w:after="160" w:line="240" w:lineRule="exact"/>
      <w:textAlignment w:val="auto"/>
    </w:pPr>
    <w:rPr>
      <w:rFonts w:ascii="Arial" w:hAnsi="Arial"/>
      <w:sz w:val="20"/>
      <w:szCs w:val="22"/>
    </w:rPr>
  </w:style>
  <w:style w:type="character" w:customStyle="1" w:styleId="CharChar81">
    <w:name w:val="Char Char81"/>
    <w:basedOn w:val="DefaultParagraphFont"/>
    <w:uiPriority w:val="99"/>
    <w:rPr>
      <w:rFonts w:cs="Times New Roman"/>
      <w:lang w:val="en-GB"/>
    </w:rPr>
  </w:style>
  <w:style w:type="paragraph" w:customStyle="1" w:styleId="CharCharCharCharCharChar1">
    <w:name w:val="Char Char Char Char Char Char1"/>
    <w:basedOn w:val="Normal"/>
    <w:uiPriority w:val="99"/>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rPr>
  </w:style>
  <w:style w:type="paragraph" w:customStyle="1" w:styleId="CarCharCharCharChar1">
    <w:name w:val="Car Char Char Char Char1"/>
    <w:basedOn w:val="Normal"/>
    <w:uiPriority w:val="99"/>
    <w:pPr>
      <w:widowControl w:val="0"/>
      <w:tabs>
        <w:tab w:val="clear" w:pos="794"/>
        <w:tab w:val="clear" w:pos="1191"/>
        <w:tab w:val="clear" w:pos="1588"/>
        <w:tab w:val="clear" w:pos="1985"/>
      </w:tabs>
      <w:overflowPunct/>
      <w:autoSpaceDE/>
      <w:autoSpaceDN/>
      <w:adjustRightInd/>
      <w:spacing w:before="0"/>
      <w:jc w:val="both"/>
      <w:textAlignment w:val="auto"/>
    </w:pPr>
    <w:rPr>
      <w:rFonts w:eastAsia="SimSun"/>
      <w:kern w:val="2"/>
      <w:sz w:val="21"/>
      <w:szCs w:val="24"/>
    </w:rPr>
  </w:style>
  <w:style w:type="paragraph" w:customStyle="1" w:styleId="CharChar2CharCharCharCharCharCharCharCarCharCharCharCharCharCharCharCharCharChar1">
    <w:name w:val="Char Char2 Char Char Char Char Char Char Char Car Char Char Char Char Char Char Char Char Char Char1"/>
    <w:basedOn w:val="Normal"/>
    <w:uiPriority w:val="99"/>
    <w:pPr>
      <w:widowControl w:val="0"/>
      <w:tabs>
        <w:tab w:val="clear" w:pos="794"/>
        <w:tab w:val="clear" w:pos="1191"/>
        <w:tab w:val="clear" w:pos="1588"/>
        <w:tab w:val="clear" w:pos="1985"/>
      </w:tabs>
      <w:overflowPunct/>
      <w:autoSpaceDE/>
      <w:autoSpaceDN/>
      <w:adjustRightInd/>
      <w:spacing w:before="0"/>
      <w:jc w:val="both"/>
      <w:textAlignment w:val="auto"/>
    </w:pPr>
    <w:rPr>
      <w:rFonts w:eastAsia="SimSun"/>
      <w:kern w:val="2"/>
      <w:sz w:val="21"/>
      <w:szCs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Normal1">
    <w:name w:val="Normal+1"/>
    <w:basedOn w:val="Default"/>
    <w:next w:val="Default"/>
    <w:uiPriority w:val="99"/>
    <w:rPr>
      <w:color w:val="auto"/>
    </w:rPr>
  </w:style>
  <w:style w:type="paragraph" w:customStyle="1" w:styleId="hl-als">
    <w:name w:val="hl-als"/>
    <w:basedOn w:val="Normal"/>
    <w:uiPriority w:val="99"/>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paragraph" w:customStyle="1" w:styleId="hl-title">
    <w:name w:val="hl-title"/>
    <w:basedOn w:val="Normal"/>
    <w:uiPriority w:val="99"/>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paragraph" w:customStyle="1" w:styleId="hl-orgs">
    <w:name w:val="hl-orgs"/>
    <w:basedOn w:val="Normal"/>
    <w:uiPriority w:val="99"/>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rPr>
  </w:style>
  <w:style w:type="paragraph" w:customStyle="1" w:styleId="NormalIndent2">
    <w:name w:val="Normal Indent2"/>
    <w:basedOn w:val="Normal"/>
    <w:uiPriority w:val="99"/>
    <w:pPr>
      <w:tabs>
        <w:tab w:val="clear" w:pos="794"/>
        <w:tab w:val="clear" w:pos="1191"/>
        <w:tab w:val="clear" w:pos="1588"/>
        <w:tab w:val="clear" w:pos="1985"/>
      </w:tabs>
      <w:overflowPunct/>
      <w:autoSpaceDE/>
      <w:autoSpaceDN/>
      <w:adjustRightInd/>
      <w:ind w:left="284"/>
      <w:textAlignment w:val="auto"/>
    </w:pPr>
    <w:rPr>
      <w:rFonts w:ascii="Arial" w:hAnsi="Arial"/>
      <w:sz w:val="22"/>
      <w:szCs w:val="24"/>
    </w:rPr>
  </w:style>
  <w:style w:type="paragraph" w:customStyle="1" w:styleId="List2">
    <w:name w:val="List2"/>
    <w:basedOn w:val="Normal"/>
    <w:uiPriority w:val="99"/>
    <w:pPr>
      <w:widowControl w:val="0"/>
      <w:tabs>
        <w:tab w:val="clear" w:pos="794"/>
        <w:tab w:val="clear" w:pos="1191"/>
        <w:tab w:val="clear" w:pos="1588"/>
        <w:tab w:val="clear" w:pos="1985"/>
        <w:tab w:val="left" w:pos="360"/>
      </w:tabs>
      <w:spacing w:before="0" w:after="120"/>
      <w:ind w:left="357" w:hanging="357"/>
    </w:pPr>
    <w:rPr>
      <w:rFonts w:eastAsia="Batang"/>
      <w:lang w:val="nb-NO"/>
    </w:rPr>
  </w:style>
  <w:style w:type="paragraph" w:customStyle="1" w:styleId="Title20">
    <w:name w:val="Title2"/>
    <w:basedOn w:val="Normal"/>
    <w:uiPriority w:val="99"/>
    <w:pPr>
      <w:tabs>
        <w:tab w:val="clear" w:pos="794"/>
        <w:tab w:val="clear" w:pos="1191"/>
        <w:tab w:val="clear" w:pos="1588"/>
        <w:tab w:val="clear" w:pos="1985"/>
      </w:tabs>
      <w:overflowPunct/>
      <w:autoSpaceDE/>
      <w:autoSpaceDN/>
      <w:adjustRightInd/>
      <w:spacing w:before="100" w:after="100"/>
      <w:textAlignment w:val="auto"/>
    </w:pPr>
    <w:rPr>
      <w:rFonts w:ascii="Verdana" w:eastAsia="SimSun" w:hAnsi="Verdana"/>
      <w:b/>
      <w:bCs/>
      <w:color w:val="004B96"/>
      <w:sz w:val="22"/>
      <w:szCs w:val="22"/>
    </w:rPr>
  </w:style>
  <w:style w:type="paragraph" w:customStyle="1" w:styleId="Subtitle2">
    <w:name w:val="Subtitle2"/>
    <w:basedOn w:val="Normal"/>
    <w:uiPriority w:val="99"/>
    <w:pPr>
      <w:pBdr>
        <w:top w:val="single" w:sz="6" w:space="2" w:color="1F59A2"/>
        <w:left w:val="single" w:sz="6" w:space="2" w:color="1F59A2"/>
        <w:bottom w:val="single" w:sz="6" w:space="2" w:color="1F59A2"/>
        <w:right w:val="single" w:sz="6" w:space="2" w:color="1F59A2"/>
      </w:pBdr>
      <w:shd w:val="clear" w:color="auto" w:fill="CFDEF3"/>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b/>
      <w:bCs/>
      <w:color w:val="000080"/>
      <w:sz w:val="18"/>
      <w:szCs w:val="18"/>
    </w:rPr>
  </w:style>
  <w:style w:type="character" w:customStyle="1" w:styleId="StyleComplex12ptBlack">
    <w:name w:val="Style (Complex) 12 pt Black"/>
    <w:basedOn w:val="DefaultParagraphFont"/>
    <w:rPr>
      <w:color w:val="000000"/>
      <w:sz w:val="24"/>
      <w:szCs w:val="24"/>
    </w:rPr>
  </w:style>
  <w:style w:type="character" w:customStyle="1" w:styleId="StyleBlack">
    <w:name w:val="Style Black"/>
    <w:basedOn w:val="DefaultParagraphFont"/>
    <w:rPr>
      <w:rFonts w:ascii="Times New Roman" w:hAnsi="Times New Roman" w:cs="Times New Roman" w:hint="default"/>
      <w:color w:val="000000"/>
      <w:sz w:val="24"/>
    </w:rPr>
  </w:style>
  <w:style w:type="paragraph" w:styleId="Revision">
    <w:name w:val="Revision"/>
    <w:hidden/>
    <w:uiPriority w:val="99"/>
    <w:semiHidden/>
    <w:rPr>
      <w:sz w:val="24"/>
    </w:rPr>
  </w:style>
  <w:style w:type="character" w:customStyle="1" w:styleId="longtext">
    <w:name w:val="long_text"/>
    <w:basedOn w:val="DefaultParagraphFont"/>
    <w:uiPriority w:val="99"/>
    <w:rPr>
      <w:rFonts w:cs="Times New Roman"/>
    </w:rPr>
  </w:style>
  <w:style w:type="paragraph" w:customStyle="1" w:styleId="SectionHeaderLevel1">
    <w:name w:val="Section Header Level 1"/>
    <w:basedOn w:val="Normal"/>
    <w:autoRedefine/>
    <w:pPr>
      <w:numPr>
        <w:numId w:val="10"/>
      </w:numPr>
      <w:tabs>
        <w:tab w:val="clear" w:pos="794"/>
        <w:tab w:val="clear" w:pos="1191"/>
        <w:tab w:val="clear" w:pos="1588"/>
        <w:tab w:val="clear" w:pos="1985"/>
      </w:tabs>
      <w:overflowPunct/>
      <w:autoSpaceDE/>
      <w:autoSpaceDN/>
      <w:adjustRightInd/>
      <w:spacing w:before="240" w:after="120"/>
      <w:ind w:hanging="720"/>
      <w:textAlignment w:val="auto"/>
    </w:pPr>
    <w:rPr>
      <w:b/>
      <w:szCs w:val="24"/>
      <w:lang w:eastAsia="en-US"/>
    </w:rPr>
  </w:style>
  <w:style w:type="character" w:customStyle="1" w:styleId="storybody1">
    <w:name w:val="storybody1"/>
    <w:basedOn w:val="DefaultParagraphFont"/>
    <w:rPr>
      <w:rFonts w:ascii="Arial" w:hAnsi="Arial" w:cs="Arial" w:hint="default"/>
      <w:b w:val="0"/>
      <w:bCs w:val="0"/>
      <w:color w:val="000000"/>
      <w:sz w:val="18"/>
      <w:szCs w:val="18"/>
    </w:rPr>
  </w:style>
  <w:style w:type="paragraph" w:customStyle="1" w:styleId="Paragraph3">
    <w:name w:val="Paragraph3"/>
    <w:basedOn w:val="Normal"/>
    <w:next w:val="BodyTextIndent"/>
    <w:autoRedefine/>
    <w:pPr>
      <w:keepNext/>
      <w:tabs>
        <w:tab w:val="clear" w:pos="794"/>
        <w:tab w:val="clear" w:pos="1191"/>
        <w:tab w:val="clear" w:pos="1588"/>
        <w:tab w:val="clear" w:pos="1985"/>
        <w:tab w:val="num" w:pos="720"/>
        <w:tab w:val="left" w:pos="1587"/>
        <w:tab w:val="left" w:pos="1984"/>
      </w:tabs>
      <w:overflowPunct/>
      <w:autoSpaceDE/>
      <w:autoSpaceDN/>
      <w:adjustRightInd/>
      <w:spacing w:after="120"/>
      <w:textAlignment w:val="auto"/>
      <w:outlineLvl w:val="2"/>
    </w:pPr>
    <w:rPr>
      <w:rFonts w:cs="Arial"/>
      <w:b/>
      <w:kern w:val="2"/>
      <w:szCs w:val="26"/>
      <w:lang w:val="en-GB" w:eastAsia="en-US"/>
    </w:rPr>
  </w:style>
  <w:style w:type="paragraph" w:customStyle="1" w:styleId="BodyTextCentered">
    <w:name w:val="Body Text Centered"/>
    <w:basedOn w:val="BodyTextIndent"/>
    <w:pPr>
      <w:widowControl w:val="0"/>
      <w:autoSpaceDE/>
      <w:autoSpaceDN/>
      <w:adjustRightInd/>
      <w:spacing w:before="0" w:after="120"/>
      <w:ind w:left="0" w:firstLine="0"/>
      <w:jc w:val="center"/>
    </w:pPr>
    <w:rPr>
      <w:rFonts w:ascii="Times New Roman Bold" w:hAnsi="Times New Roman Bold"/>
      <w:b/>
      <w:szCs w:val="24"/>
      <w:lang w:val="en-GB" w:eastAsia="en-US"/>
    </w:rPr>
  </w:style>
  <w:style w:type="paragraph" w:customStyle="1" w:styleId="HeadingForSummary">
    <w:name w:val="HeadingForSummary"/>
    <w:basedOn w:val="Heading2"/>
    <w:next w:val="Normal"/>
    <w:pPr>
      <w:tabs>
        <w:tab w:val="clear" w:pos="794"/>
        <w:tab w:val="left" w:pos="709"/>
      </w:tabs>
      <w:overflowPunct/>
      <w:autoSpaceDE/>
      <w:autoSpaceDN/>
      <w:adjustRightInd/>
      <w:ind w:left="0" w:firstLine="0"/>
      <w:jc w:val="both"/>
      <w:textAlignment w:val="auto"/>
    </w:pPr>
    <w:rPr>
      <w:szCs w:val="24"/>
      <w:lang w:val="en-GB" w:eastAsia="en-US"/>
    </w:rPr>
  </w:style>
  <w:style w:type="paragraph" w:customStyle="1" w:styleId="CharCharCharCharCharChar2">
    <w:name w:val="Char Char Char Char Char Char2"/>
    <w:basedOn w:val="Normal"/>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rPr>
  </w:style>
  <w:style w:type="paragraph" w:customStyle="1" w:styleId="LSDeadline">
    <w:name w:val="LSDeadline"/>
    <w:basedOn w:val="Normal"/>
    <w:rPr>
      <w:rFonts w:eastAsia="MS Mincho"/>
      <w:b/>
      <w:bCs/>
      <w:lang w:val="en-GB" w:eastAsia="en-US"/>
    </w:rPr>
  </w:style>
  <w:style w:type="paragraph" w:customStyle="1" w:styleId="LSSource">
    <w:name w:val="LSSource"/>
    <w:basedOn w:val="Normal"/>
    <w:rPr>
      <w:rFonts w:eastAsia="MS Mincho"/>
      <w:b/>
      <w:bCs/>
      <w:lang w:val="en-GB" w:eastAsia="en-U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overflowPunct/>
      <w:autoSpaceDE/>
      <w:autoSpaceDN/>
      <w:adjustRightInd/>
      <w:spacing w:before="284"/>
      <w:ind w:left="567"/>
      <w:textAlignment w:val="auto"/>
    </w:pPr>
    <w:rPr>
      <w:rFonts w:eastAsia="MS Mincho"/>
      <w:lang w:val="en-GB" w:eastAsia="en-US"/>
    </w:rPr>
  </w:style>
  <w:style w:type="paragraph" w:customStyle="1" w:styleId="AnnexNoTitle0">
    <w:name w:val="Annex_NoTitle"/>
    <w:basedOn w:val="Normal"/>
    <w:next w:val="Normal"/>
    <w:pPr>
      <w:keepNext/>
      <w:keepLines/>
      <w:spacing w:before="720"/>
      <w:jc w:val="center"/>
    </w:pPr>
    <w:rPr>
      <w:rFonts w:eastAsiaTheme="minorEastAsia"/>
      <w:b/>
      <w:sz w:val="28"/>
      <w:lang w:val="en-GB" w:eastAsia="en-US"/>
    </w:rPr>
  </w:style>
  <w:style w:type="paragraph" w:customStyle="1" w:styleId="CarattereCarattere">
    <w:name w:val="Carattere Carattere"/>
    <w:basedOn w:val="Normal"/>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rPr>
  </w:style>
  <w:style w:type="character" w:customStyle="1" w:styleId="ASN1Car1">
    <w:name w:val="ASN.1 Car1"/>
    <w:basedOn w:val="DefaultParagraphFont"/>
    <w:rPr>
      <w:rFonts w:ascii="Courier New" w:eastAsia="MS Mincho" w:hAnsi="Courier New"/>
      <w:b/>
      <w:noProof/>
      <w:lang w:val="en-GB" w:eastAsia="en-US" w:bidi="ar-SA"/>
    </w:rPr>
  </w:style>
  <w:style w:type="paragraph" w:styleId="Date">
    <w:name w:val="Date"/>
    <w:basedOn w:val="Normal"/>
    <w:next w:val="Normal"/>
    <w:link w:val="DateChar"/>
    <w:rPr>
      <w:rFonts w:eastAsia="MS Mincho"/>
      <w:lang w:val="en-GB" w:eastAsia="en-US"/>
    </w:rPr>
  </w:style>
  <w:style w:type="character" w:customStyle="1" w:styleId="DateChar">
    <w:name w:val="Date Char"/>
    <w:basedOn w:val="DefaultParagraphFont"/>
    <w:link w:val="Date"/>
    <w:rPr>
      <w:rFonts w:eastAsia="MS Mincho"/>
      <w:sz w:val="24"/>
      <w:lang w:val="en-GB" w:eastAsia="en-US"/>
    </w:rPr>
  </w:style>
  <w:style w:type="paragraph" w:customStyle="1" w:styleId="a6">
    <w:name w:val="連番２"/>
    <w:basedOn w:val="a5"/>
    <w:pPr>
      <w:tabs>
        <w:tab w:val="clear" w:pos="1154"/>
      </w:tabs>
      <w:ind w:left="0" w:firstLine="0"/>
    </w:pPr>
  </w:style>
  <w:style w:type="paragraph" w:customStyle="1" w:styleId="AnnexSG17">
    <w:name w:val="Annex SG17"/>
    <w:basedOn w:val="Normal"/>
    <w:pPr>
      <w:keepNext/>
      <w:keepLines/>
      <w:spacing w:before="0" w:line="0" w:lineRule="atLeast"/>
      <w:jc w:val="center"/>
    </w:pPr>
    <w:rPr>
      <w:rFonts w:eastAsia="MS Mincho"/>
      <w:szCs w:val="24"/>
      <w:lang w:eastAsia="ja-JP"/>
    </w:rPr>
  </w:style>
  <w:style w:type="paragraph" w:customStyle="1" w:styleId="FigureNoTitle0">
    <w:name w:val="Figure_NoTitle"/>
    <w:basedOn w:val="Normal"/>
    <w:next w:val="Normalaftertitle"/>
    <w:pPr>
      <w:keepLines/>
      <w:spacing w:before="240" w:after="120"/>
      <w:jc w:val="center"/>
    </w:pPr>
    <w:rPr>
      <w:rFonts w:eastAsia="MS Mincho"/>
      <w:b/>
      <w:lang w:val="en-GB" w:eastAsia="en-US"/>
    </w:rPr>
  </w:style>
  <w:style w:type="paragraph" w:customStyle="1" w:styleId="a7">
    <w:name w:val="列项·"/>
    <w:pPr>
      <w:tabs>
        <w:tab w:val="num" w:pos="432"/>
        <w:tab w:val="left" w:pos="840"/>
      </w:tabs>
      <w:ind w:left="432" w:hanging="432"/>
      <w:jc w:val="both"/>
    </w:pPr>
    <w:rPr>
      <w:rFonts w:ascii="SimSun" w:eastAsia="SimSun"/>
      <w:sz w:val="21"/>
    </w:rPr>
  </w:style>
  <w:style w:type="paragraph" w:customStyle="1" w:styleId="a8">
    <w:name w:val="正文图标题"/>
    <w:next w:val="a0"/>
    <w:pPr>
      <w:tabs>
        <w:tab w:val="num" w:pos="432"/>
      </w:tabs>
      <w:ind w:left="432" w:hanging="432"/>
      <w:jc w:val="center"/>
    </w:pPr>
    <w:rPr>
      <w:rFonts w:ascii="SimHei" w:eastAsia="SimHei"/>
      <w:sz w:val="21"/>
    </w:rPr>
  </w:style>
  <w:style w:type="paragraph" w:customStyle="1" w:styleId="MEP">
    <w:name w:val="MEP"/>
    <w:basedOn w:val="Normal"/>
    <w:pPr>
      <w:overflowPunct/>
      <w:autoSpaceDE/>
      <w:autoSpaceDN/>
      <w:adjustRightInd/>
      <w:spacing w:before="0"/>
      <w:textAlignment w:val="auto"/>
    </w:pPr>
    <w:rPr>
      <w:rFonts w:eastAsia="MS Mincho"/>
      <w:sz w:val="20"/>
      <w:szCs w:val="24"/>
      <w:lang w:eastAsia="en-US"/>
    </w:rPr>
  </w:style>
  <w:style w:type="paragraph" w:customStyle="1" w:styleId="ListOfAnswers1">
    <w:name w:val="ListOfAnswers1"/>
    <w:basedOn w:val="Normal"/>
    <w:pPr>
      <w:keepLines/>
      <w:tabs>
        <w:tab w:val="clear" w:pos="794"/>
        <w:tab w:val="clear" w:pos="1191"/>
        <w:tab w:val="clear" w:pos="1588"/>
        <w:tab w:val="clear" w:pos="1985"/>
        <w:tab w:val="num" w:pos="960"/>
        <w:tab w:val="left" w:pos="1474"/>
      </w:tabs>
      <w:suppressAutoHyphens/>
      <w:overflowPunct/>
      <w:autoSpaceDE/>
      <w:autoSpaceDN/>
      <w:adjustRightInd/>
      <w:spacing w:before="0"/>
      <w:ind w:left="1378" w:hanging="360"/>
      <w:textAlignment w:val="auto"/>
    </w:pPr>
    <w:rPr>
      <w:rFonts w:eastAsia="MS Mincho"/>
      <w:i/>
      <w:szCs w:val="24"/>
      <w:lang w:val="ru-RU" w:eastAsia="ru-RU"/>
    </w:rPr>
  </w:style>
  <w:style w:type="paragraph" w:customStyle="1" w:styleId="MAIN-TITLE">
    <w:name w:val="MAIN-TITLE"/>
    <w:basedOn w:val="Normal"/>
    <w:pPr>
      <w:tabs>
        <w:tab w:val="clear" w:pos="794"/>
        <w:tab w:val="clear" w:pos="1191"/>
        <w:tab w:val="clear" w:pos="1588"/>
        <w:tab w:val="clear" w:pos="1985"/>
      </w:tabs>
      <w:overflowPunct/>
      <w:autoSpaceDE/>
      <w:autoSpaceDN/>
      <w:adjustRightInd/>
      <w:snapToGrid w:val="0"/>
      <w:spacing w:before="0"/>
      <w:jc w:val="center"/>
      <w:textAlignment w:val="auto"/>
    </w:pPr>
    <w:rPr>
      <w:rFonts w:ascii="Arial" w:eastAsia="MS Mincho" w:hAnsi="Arial" w:cs="Arial"/>
      <w:b/>
      <w:bCs/>
      <w:spacing w:val="8"/>
      <w:szCs w:val="24"/>
      <w:lang w:val="en-GB"/>
    </w:rPr>
  </w:style>
  <w:style w:type="paragraph" w:customStyle="1" w:styleId="Indent">
    <w:name w:val="Indent"/>
    <w:basedOn w:val="Normal"/>
    <w:pPr>
      <w:tabs>
        <w:tab w:val="clear" w:pos="794"/>
        <w:tab w:val="clear" w:pos="1191"/>
        <w:tab w:val="clear" w:pos="1588"/>
        <w:tab w:val="clear" w:pos="1985"/>
        <w:tab w:val="num" w:pos="360"/>
      </w:tabs>
      <w:overflowPunct/>
      <w:autoSpaceDE/>
      <w:autoSpaceDN/>
      <w:adjustRightInd/>
      <w:spacing w:before="60" w:after="60"/>
      <w:ind w:left="360" w:hanging="360"/>
      <w:textAlignment w:val="auto"/>
    </w:pPr>
    <w:rPr>
      <w:rFonts w:eastAsia="MS Mincho"/>
      <w:sz w:val="22"/>
      <w:lang w:eastAsia="en-US"/>
    </w:rPr>
  </w:style>
  <w:style w:type="paragraph" w:customStyle="1" w:styleId="EX">
    <w:name w:val="EX"/>
    <w:basedOn w:val="Normal"/>
    <w:pPr>
      <w:keepLines/>
      <w:tabs>
        <w:tab w:val="clear" w:pos="794"/>
        <w:tab w:val="clear" w:pos="1191"/>
        <w:tab w:val="clear" w:pos="1588"/>
        <w:tab w:val="clear" w:pos="1985"/>
      </w:tabs>
      <w:overflowPunct/>
      <w:autoSpaceDE/>
      <w:autoSpaceDN/>
      <w:adjustRightInd/>
      <w:spacing w:before="0" w:after="180"/>
      <w:ind w:left="1702" w:hanging="1418"/>
      <w:textAlignment w:val="auto"/>
    </w:pPr>
    <w:rPr>
      <w:rFonts w:eastAsia="MS Mincho"/>
      <w:sz w:val="20"/>
      <w:lang w:val="en-GB"/>
    </w:rPr>
  </w:style>
  <w:style w:type="paragraph" w:customStyle="1" w:styleId="reference">
    <w:name w:val="reference"/>
    <w:basedOn w:val="Normal"/>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en-US"/>
    </w:rPr>
  </w:style>
  <w:style w:type="paragraph" w:customStyle="1" w:styleId="xsref">
    <w:name w:val="xsref"/>
    <w:basedOn w:val="Normal"/>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en-US"/>
    </w:rPr>
  </w:style>
  <w:style w:type="paragraph" w:customStyle="1" w:styleId="NPNormal">
    <w:name w:val="NPNormal"/>
    <w:basedOn w:val="Normal"/>
    <w:pPr>
      <w:tabs>
        <w:tab w:val="clear" w:pos="794"/>
        <w:tab w:val="clear" w:pos="1191"/>
        <w:tab w:val="clear" w:pos="1588"/>
        <w:tab w:val="clear" w:pos="1985"/>
        <w:tab w:val="num" w:pos="360"/>
      </w:tabs>
      <w:overflowPunct/>
      <w:autoSpaceDE/>
      <w:autoSpaceDN/>
      <w:adjustRightInd/>
      <w:spacing w:before="100" w:after="100"/>
      <w:textAlignment w:val="auto"/>
    </w:pPr>
    <w:rPr>
      <w:rFonts w:ascii="Arial" w:eastAsia="MS Mincho" w:hAnsi="Arial"/>
      <w:sz w:val="20"/>
      <w:lang w:val="en-GB" w:eastAsia="en-US"/>
    </w:rPr>
  </w:style>
  <w:style w:type="paragraph" w:customStyle="1" w:styleId="AnnexHeading1">
    <w:name w:val="AnnexHeading 1"/>
    <w:basedOn w:val="Normal"/>
    <w:next w:val="Normal"/>
    <w:pPr>
      <w:keepNext/>
      <w:pageBreakBefore/>
      <w:tabs>
        <w:tab w:val="clear" w:pos="794"/>
        <w:tab w:val="clear" w:pos="1191"/>
        <w:tab w:val="clear" w:pos="1588"/>
        <w:tab w:val="clear" w:pos="1985"/>
        <w:tab w:val="num" w:pos="720"/>
      </w:tabs>
      <w:overflowPunct/>
      <w:autoSpaceDE/>
      <w:autoSpaceDN/>
      <w:adjustRightInd/>
      <w:spacing w:before="0" w:after="360"/>
      <w:jc w:val="center"/>
      <w:textAlignment w:val="auto"/>
      <w:outlineLvl w:val="0"/>
    </w:pPr>
    <w:rPr>
      <w:rFonts w:ascii="Arial" w:eastAsia="MS Mincho" w:hAnsi="Arial"/>
      <w:b/>
      <w:lang w:val="en-GB" w:eastAsia="en-US"/>
    </w:rPr>
  </w:style>
  <w:style w:type="paragraph" w:customStyle="1" w:styleId="AnnexHeading2">
    <w:name w:val="AnnexHeading 2"/>
    <w:basedOn w:val="Normal"/>
    <w:next w:val="Normal"/>
    <w:pPr>
      <w:keepNext/>
      <w:tabs>
        <w:tab w:val="clear" w:pos="794"/>
        <w:tab w:val="clear" w:pos="1191"/>
        <w:tab w:val="clear" w:pos="1588"/>
        <w:tab w:val="clear" w:pos="1985"/>
        <w:tab w:val="num" w:pos="864"/>
      </w:tabs>
      <w:overflowPunct/>
      <w:autoSpaceDE/>
      <w:autoSpaceDN/>
      <w:adjustRightInd/>
      <w:spacing w:after="120"/>
      <w:textAlignment w:val="auto"/>
      <w:outlineLvl w:val="1"/>
    </w:pPr>
    <w:rPr>
      <w:rFonts w:ascii="Arial" w:eastAsia="MS Mincho" w:hAnsi="Arial"/>
      <w:b/>
      <w:lang w:val="en-GB" w:eastAsia="en-US"/>
    </w:rPr>
  </w:style>
  <w:style w:type="paragraph" w:customStyle="1" w:styleId="AnnexHeading4">
    <w:name w:val="AnnexHeading 4"/>
    <w:basedOn w:val="Normal"/>
    <w:pPr>
      <w:keepNext/>
      <w:tabs>
        <w:tab w:val="clear" w:pos="794"/>
        <w:tab w:val="clear" w:pos="1191"/>
        <w:tab w:val="clear" w:pos="1588"/>
        <w:tab w:val="clear" w:pos="1985"/>
        <w:tab w:val="num" w:pos="1134"/>
      </w:tabs>
      <w:overflowPunct/>
      <w:autoSpaceDE/>
      <w:autoSpaceDN/>
      <w:adjustRightInd/>
      <w:spacing w:before="0" w:after="120"/>
      <w:textAlignment w:val="auto"/>
      <w:outlineLvl w:val="2"/>
    </w:pPr>
    <w:rPr>
      <w:rFonts w:ascii="Arial" w:eastAsia="MS Mincho" w:hAnsi="Arial"/>
      <w:b/>
      <w:snapToGrid w:val="0"/>
      <w:lang w:val="en-GB" w:eastAsia="en-US"/>
    </w:rPr>
  </w:style>
  <w:style w:type="paragraph" w:customStyle="1" w:styleId="AnnexHeading5">
    <w:name w:val="AnnexHeading 5"/>
    <w:basedOn w:val="AnnexHeading4"/>
    <w:pPr>
      <w:tabs>
        <w:tab w:val="clear" w:pos="1134"/>
        <w:tab w:val="num" w:pos="420"/>
      </w:tabs>
      <w:ind w:left="420" w:hanging="420"/>
    </w:pPr>
  </w:style>
  <w:style w:type="paragraph" w:customStyle="1" w:styleId="Bullet1">
    <w:name w:val="Bullet 1"/>
    <w:basedOn w:val="Normal"/>
    <w:pPr>
      <w:tabs>
        <w:tab w:val="clear" w:pos="794"/>
        <w:tab w:val="clear" w:pos="1191"/>
        <w:tab w:val="clear" w:pos="1588"/>
        <w:tab w:val="clear" w:pos="1985"/>
        <w:tab w:val="num" w:pos="1381"/>
      </w:tabs>
      <w:overflowPunct/>
      <w:autoSpaceDE/>
      <w:autoSpaceDN/>
      <w:adjustRightInd/>
      <w:spacing w:before="0"/>
      <w:ind w:left="1381" w:hanging="360"/>
      <w:textAlignment w:val="auto"/>
    </w:pPr>
    <w:rPr>
      <w:rFonts w:eastAsia="MS Mincho"/>
      <w:noProof/>
      <w:sz w:val="20"/>
      <w:lang w:eastAsia="en-US"/>
    </w:rPr>
  </w:style>
  <w:style w:type="paragraph" w:customStyle="1" w:styleId="CM14">
    <w:name w:val="CM14"/>
    <w:basedOn w:val="Normal"/>
    <w:next w:val="Normal"/>
    <w:pPr>
      <w:widowControl w:val="0"/>
      <w:tabs>
        <w:tab w:val="clear" w:pos="794"/>
        <w:tab w:val="clear" w:pos="1191"/>
        <w:tab w:val="clear" w:pos="1588"/>
        <w:tab w:val="clear" w:pos="1985"/>
      </w:tabs>
      <w:overflowPunct/>
      <w:spacing w:before="0" w:after="200"/>
      <w:textAlignment w:val="auto"/>
    </w:pPr>
    <w:rPr>
      <w:rFonts w:ascii="Arial" w:eastAsia="PMingLiU" w:hAnsi="Arial"/>
      <w:szCs w:val="24"/>
      <w:lang w:eastAsia="zh-TW"/>
    </w:rPr>
  </w:style>
  <w:style w:type="paragraph" w:customStyle="1" w:styleId="CM16">
    <w:name w:val="CM16"/>
    <w:basedOn w:val="Normal"/>
    <w:next w:val="Normal"/>
    <w:pPr>
      <w:widowControl w:val="0"/>
      <w:tabs>
        <w:tab w:val="clear" w:pos="794"/>
        <w:tab w:val="clear" w:pos="1191"/>
        <w:tab w:val="clear" w:pos="1588"/>
        <w:tab w:val="clear" w:pos="1985"/>
      </w:tabs>
      <w:overflowPunct/>
      <w:spacing w:before="0" w:after="308"/>
      <w:textAlignment w:val="auto"/>
    </w:pPr>
    <w:rPr>
      <w:rFonts w:ascii="Arial" w:eastAsia="PMingLiU" w:hAnsi="Arial"/>
      <w:szCs w:val="24"/>
      <w:lang w:eastAsia="zh-TW"/>
    </w:rPr>
  </w:style>
  <w:style w:type="paragraph" w:customStyle="1" w:styleId="ISOComments">
    <w:name w:val="ISO_Comments"/>
    <w:basedOn w:val="Normal"/>
    <w:pPr>
      <w:tabs>
        <w:tab w:val="clear" w:pos="794"/>
        <w:tab w:val="clear" w:pos="1191"/>
        <w:tab w:val="clear" w:pos="1588"/>
        <w:tab w:val="clear" w:pos="1985"/>
      </w:tabs>
      <w:overflowPunct/>
      <w:autoSpaceDE/>
      <w:autoSpaceDN/>
      <w:adjustRightInd/>
      <w:spacing w:before="210" w:line="210" w:lineRule="exact"/>
      <w:textAlignment w:val="auto"/>
    </w:pPr>
    <w:rPr>
      <w:rFonts w:ascii="Arial" w:eastAsia="MS Mincho" w:hAnsi="Arial"/>
      <w:sz w:val="18"/>
      <w:lang w:val="en-GB" w:eastAsia="en-US"/>
    </w:rPr>
  </w:style>
  <w:style w:type="paragraph" w:customStyle="1" w:styleId="ISOChange">
    <w:name w:val="ISO_Change"/>
    <w:basedOn w:val="Normal"/>
    <w:pPr>
      <w:tabs>
        <w:tab w:val="clear" w:pos="794"/>
        <w:tab w:val="clear" w:pos="1191"/>
        <w:tab w:val="clear" w:pos="1588"/>
        <w:tab w:val="clear" w:pos="1985"/>
        <w:tab w:val="num" w:pos="1080"/>
      </w:tabs>
      <w:overflowPunct/>
      <w:autoSpaceDE/>
      <w:autoSpaceDN/>
      <w:adjustRightInd/>
      <w:spacing w:before="210" w:line="210" w:lineRule="exact"/>
      <w:textAlignment w:val="auto"/>
    </w:pPr>
    <w:rPr>
      <w:rFonts w:ascii="Arial" w:eastAsia="MS Mincho" w:hAnsi="Arial"/>
      <w:sz w:val="18"/>
      <w:lang w:val="en-GB" w:eastAsia="en-US"/>
    </w:rPr>
  </w:style>
  <w:style w:type="paragraph" w:customStyle="1" w:styleId="ISOSecretObservations">
    <w:name w:val="ISO_Secret_Observations"/>
    <w:basedOn w:val="Normal"/>
    <w:pPr>
      <w:tabs>
        <w:tab w:val="clear" w:pos="794"/>
        <w:tab w:val="clear" w:pos="1191"/>
        <w:tab w:val="clear" w:pos="1588"/>
        <w:tab w:val="clear" w:pos="1985"/>
        <w:tab w:val="num" w:pos="360"/>
      </w:tabs>
      <w:overflowPunct/>
      <w:autoSpaceDE/>
      <w:autoSpaceDN/>
      <w:adjustRightInd/>
      <w:spacing w:before="210" w:line="210" w:lineRule="exact"/>
      <w:textAlignment w:val="auto"/>
    </w:pPr>
    <w:rPr>
      <w:rFonts w:ascii="Arial" w:eastAsia="MS Mincho" w:hAnsi="Arial"/>
      <w:sz w:val="18"/>
      <w:lang w:val="en-GB" w:eastAsia="en-US"/>
    </w:rPr>
  </w:style>
  <w:style w:type="paragraph" w:customStyle="1" w:styleId="ISOClause">
    <w:name w:val="ISO_Clause"/>
    <w:basedOn w:val="Normal"/>
    <w:pPr>
      <w:tabs>
        <w:tab w:val="clear" w:pos="794"/>
        <w:tab w:val="clear" w:pos="1191"/>
        <w:tab w:val="clear" w:pos="1588"/>
        <w:tab w:val="clear" w:pos="1985"/>
        <w:tab w:val="num" w:pos="720"/>
      </w:tabs>
      <w:overflowPunct/>
      <w:autoSpaceDE/>
      <w:autoSpaceDN/>
      <w:adjustRightInd/>
      <w:spacing w:before="210" w:line="210" w:lineRule="exact"/>
      <w:textAlignment w:val="auto"/>
    </w:pPr>
    <w:rPr>
      <w:rFonts w:ascii="Arial" w:eastAsia="MS Mincho" w:hAnsi="Arial"/>
      <w:sz w:val="18"/>
      <w:lang w:val="en-GB" w:eastAsia="en-US"/>
    </w:rPr>
  </w:style>
  <w:style w:type="paragraph" w:customStyle="1" w:styleId="ISOParagraph">
    <w:name w:val="ISO_Paragraph"/>
    <w:basedOn w:val="Normal"/>
    <w:pPr>
      <w:tabs>
        <w:tab w:val="clear" w:pos="794"/>
        <w:tab w:val="clear" w:pos="1191"/>
        <w:tab w:val="clear" w:pos="1588"/>
        <w:tab w:val="clear" w:pos="1985"/>
        <w:tab w:val="num" w:pos="864"/>
      </w:tabs>
      <w:overflowPunct/>
      <w:autoSpaceDE/>
      <w:autoSpaceDN/>
      <w:adjustRightInd/>
      <w:spacing w:before="210" w:line="210" w:lineRule="exact"/>
      <w:textAlignment w:val="auto"/>
    </w:pPr>
    <w:rPr>
      <w:rFonts w:ascii="Arial" w:eastAsia="MS Mincho" w:hAnsi="Arial"/>
      <w:sz w:val="18"/>
      <w:lang w:val="en-GB" w:eastAsia="en-US"/>
    </w:rPr>
  </w:style>
  <w:style w:type="paragraph" w:customStyle="1" w:styleId="ISOCommType">
    <w:name w:val="ISO_Comm_Type"/>
    <w:basedOn w:val="Normal"/>
    <w:pPr>
      <w:tabs>
        <w:tab w:val="clear" w:pos="794"/>
        <w:tab w:val="clear" w:pos="1191"/>
        <w:tab w:val="clear" w:pos="1588"/>
        <w:tab w:val="clear" w:pos="1985"/>
        <w:tab w:val="num" w:pos="1134"/>
      </w:tabs>
      <w:overflowPunct/>
      <w:autoSpaceDE/>
      <w:autoSpaceDN/>
      <w:adjustRightInd/>
      <w:spacing w:before="210" w:line="210" w:lineRule="exact"/>
      <w:textAlignment w:val="auto"/>
    </w:pPr>
    <w:rPr>
      <w:rFonts w:ascii="Arial" w:eastAsia="MS Mincho" w:hAnsi="Arial"/>
      <w:sz w:val="18"/>
      <w:lang w:val="en-GB" w:eastAsia="en-US"/>
    </w:rPr>
  </w:style>
  <w:style w:type="paragraph" w:customStyle="1" w:styleId="NOTE0">
    <w:name w:val="NOTE"/>
    <w:basedOn w:val="Normal"/>
    <w:pPr>
      <w:tabs>
        <w:tab w:val="clear" w:pos="794"/>
        <w:tab w:val="clear" w:pos="1191"/>
        <w:tab w:val="clear" w:pos="1588"/>
        <w:tab w:val="clear" w:pos="1985"/>
      </w:tabs>
      <w:overflowPunct/>
      <w:autoSpaceDE/>
      <w:autoSpaceDN/>
      <w:adjustRightInd/>
      <w:snapToGrid w:val="0"/>
      <w:spacing w:before="0" w:after="100"/>
      <w:jc w:val="both"/>
      <w:textAlignment w:val="auto"/>
    </w:pPr>
    <w:rPr>
      <w:rFonts w:ascii="Arial" w:eastAsia="Batang" w:hAnsi="Arial" w:cs="Arial"/>
      <w:spacing w:val="8"/>
      <w:sz w:val="16"/>
      <w:szCs w:val="16"/>
      <w:lang w:val="en-GB"/>
    </w:rPr>
  </w:style>
  <w:style w:type="paragraph" w:customStyle="1" w:styleId="TERM-number">
    <w:name w:val="TERM-number"/>
    <w:basedOn w:val="Heading2"/>
    <w:next w:val="Normal"/>
    <w:pPr>
      <w:keepLines w:val="0"/>
      <w:numPr>
        <w:ilvl w:val="1"/>
      </w:numPr>
      <w:tabs>
        <w:tab w:val="clear" w:pos="794"/>
        <w:tab w:val="clear" w:pos="1191"/>
        <w:tab w:val="clear" w:pos="1588"/>
        <w:tab w:val="clear" w:pos="1985"/>
        <w:tab w:val="num" w:pos="360"/>
      </w:tabs>
      <w:suppressAutoHyphens/>
      <w:overflowPunct/>
      <w:autoSpaceDE/>
      <w:autoSpaceDN/>
      <w:adjustRightInd/>
      <w:snapToGrid w:val="0"/>
      <w:spacing w:before="100"/>
      <w:ind w:left="794" w:hanging="794"/>
      <w:textAlignment w:val="auto"/>
      <w:outlineLvl w:val="9"/>
    </w:pPr>
    <w:rPr>
      <w:rFonts w:ascii="Arial" w:eastAsia="Batang" w:hAnsi="Arial" w:cs="Arial"/>
      <w:bCs/>
      <w:spacing w:val="8"/>
      <w:sz w:val="20"/>
      <w:lang w:val="en-GB"/>
    </w:rPr>
  </w:style>
  <w:style w:type="paragraph" w:customStyle="1" w:styleId="CodeFragment">
    <w:name w:val="Code Fragment"/>
    <w:basedOn w:val="Normal"/>
    <w:pPr>
      <w:tabs>
        <w:tab w:val="clear" w:pos="1588"/>
        <w:tab w:val="clear" w:pos="1985"/>
        <w:tab w:val="left" w:pos="1587"/>
        <w:tab w:val="left" w:pos="1984"/>
      </w:tabs>
      <w:overflowPunct/>
      <w:autoSpaceDE/>
      <w:autoSpaceDN/>
      <w:adjustRightInd/>
      <w:spacing w:before="136"/>
      <w:textAlignment w:val="auto"/>
    </w:pPr>
    <w:rPr>
      <w:rFonts w:ascii="Arial" w:eastAsia="Batang" w:hAnsi="Arial"/>
      <w:sz w:val="20"/>
      <w:szCs w:val="24"/>
      <w:lang w:eastAsia="en-US"/>
    </w:rPr>
  </w:style>
  <w:style w:type="paragraph" w:customStyle="1" w:styleId="Cpara">
    <w:name w:val="C para"/>
    <w:basedOn w:val="Normal"/>
    <w:pPr>
      <w:tabs>
        <w:tab w:val="clear" w:pos="794"/>
        <w:tab w:val="clear" w:pos="1191"/>
        <w:tab w:val="clear" w:pos="1588"/>
        <w:tab w:val="clear" w:pos="1985"/>
        <w:tab w:val="left" w:pos="1400"/>
        <w:tab w:val="left" w:pos="2007"/>
      </w:tabs>
      <w:overflowPunct/>
      <w:spacing w:before="136"/>
      <w:ind w:left="680"/>
      <w:textAlignment w:val="auto"/>
    </w:pPr>
    <w:rPr>
      <w:rFonts w:ascii="Arial" w:eastAsia="Batang" w:hAnsi="Arial" w:cs="Arial"/>
      <w:b/>
      <w:noProof/>
      <w:color w:val="FF6600"/>
      <w:sz w:val="18"/>
      <w:szCs w:val="24"/>
      <w:lang w:val="en-GB" w:eastAsia="en-US"/>
    </w:rPr>
  </w:style>
  <w:style w:type="paragraph" w:customStyle="1" w:styleId="Cparacontinue">
    <w:name w:val="C para continue"/>
    <w:basedOn w:val="Cpara"/>
    <w:pPr>
      <w:spacing w:before="0"/>
    </w:pPr>
  </w:style>
  <w:style w:type="paragraph" w:customStyle="1" w:styleId="ASN1para">
    <w:name w:val="ASN.1 para"/>
    <w:basedOn w:val="Normal"/>
    <w:pPr>
      <w:widowControl w:val="0"/>
      <w:tabs>
        <w:tab w:val="clear" w:pos="1588"/>
        <w:tab w:val="clear" w:pos="1985"/>
        <w:tab w:val="left" w:pos="340"/>
        <w:tab w:val="left" w:pos="680"/>
        <w:tab w:val="left" w:pos="1021"/>
        <w:tab w:val="left" w:pos="1361"/>
        <w:tab w:val="left" w:pos="1587"/>
        <w:tab w:val="left" w:pos="1701"/>
        <w:tab w:val="left" w:pos="1984"/>
        <w:tab w:val="left" w:pos="2041"/>
        <w:tab w:val="left" w:pos="2381"/>
        <w:tab w:val="left" w:pos="2722"/>
        <w:tab w:val="left" w:pos="3062"/>
        <w:tab w:val="left" w:pos="3402"/>
        <w:tab w:val="left" w:pos="3742"/>
        <w:tab w:val="left" w:pos="4082"/>
        <w:tab w:val="left" w:pos="4423"/>
        <w:tab w:val="left" w:pos="4763"/>
        <w:tab w:val="left" w:pos="5103"/>
      </w:tabs>
      <w:suppressAutoHyphens/>
      <w:overflowPunct/>
      <w:autoSpaceDE/>
      <w:autoSpaceDN/>
      <w:adjustRightInd/>
      <w:spacing w:before="136"/>
      <w:ind w:left="680"/>
      <w:textAlignment w:val="auto"/>
    </w:pPr>
    <w:rPr>
      <w:rFonts w:ascii="Arial" w:eastAsia="Symbol" w:hAnsi="Arial"/>
      <w:b/>
      <w:noProof/>
      <w:color w:val="800080"/>
      <w:sz w:val="18"/>
      <w:szCs w:val="24"/>
      <w:lang w:val="en-GB" w:eastAsia="fr-FR"/>
    </w:rPr>
  </w:style>
  <w:style w:type="paragraph" w:customStyle="1" w:styleId="kgkreflist">
    <w:name w:val="kgkreflist"/>
    <w:basedOn w:val="Normal"/>
    <w:pPr>
      <w:tabs>
        <w:tab w:val="num" w:pos="720"/>
      </w:tabs>
      <w:ind w:left="720" w:hanging="360"/>
    </w:pPr>
    <w:rPr>
      <w:rFonts w:eastAsia="MS Mincho"/>
      <w:lang w:val="en-GB" w:eastAsia="en-US"/>
    </w:rPr>
  </w:style>
  <w:style w:type="paragraph" w:customStyle="1" w:styleId="AnnexsubforSG17">
    <w:name w:val="Annex (sub) for SG17"/>
    <w:basedOn w:val="Normal"/>
    <w:pPr>
      <w:spacing w:before="0" w:after="240"/>
      <w:jc w:val="center"/>
    </w:pPr>
    <w:rPr>
      <w:rFonts w:eastAsia="MS Mincho"/>
      <w:b/>
      <w:u w:val="single"/>
      <w:lang w:val="en-GB" w:eastAsia="en-US"/>
    </w:rPr>
  </w:style>
  <w:style w:type="paragraph" w:customStyle="1" w:styleId="ISOMB">
    <w:name w:val="ISO_MB"/>
    <w:basedOn w:val="Normal"/>
    <w:pPr>
      <w:tabs>
        <w:tab w:val="clear" w:pos="794"/>
        <w:tab w:val="clear" w:pos="1191"/>
        <w:tab w:val="clear" w:pos="1588"/>
        <w:tab w:val="clear" w:pos="1985"/>
      </w:tabs>
      <w:overflowPunct/>
      <w:autoSpaceDE/>
      <w:autoSpaceDN/>
      <w:adjustRightInd/>
      <w:spacing w:before="210" w:line="210" w:lineRule="exact"/>
      <w:textAlignment w:val="auto"/>
    </w:pPr>
    <w:rPr>
      <w:rFonts w:ascii="Arial" w:eastAsia="Batang" w:hAnsi="Arial"/>
      <w:sz w:val="18"/>
      <w:lang w:val="en-GB" w:eastAsia="en-US"/>
    </w:rPr>
  </w:style>
  <w:style w:type="paragraph" w:customStyle="1" w:styleId="TTBulletL1">
    <w:name w:val="+TT Bullet L1"/>
    <w:basedOn w:val="Normal"/>
    <w:pPr>
      <w:tabs>
        <w:tab w:val="num" w:pos="720"/>
      </w:tabs>
      <w:ind w:left="1080" w:hanging="720"/>
    </w:pPr>
    <w:rPr>
      <w:rFonts w:eastAsia="Batang"/>
      <w:lang w:val="en-GB" w:eastAsia="en-US"/>
    </w:rPr>
  </w:style>
  <w:style w:type="paragraph" w:customStyle="1" w:styleId="AnnexClause3">
    <w:name w:val="Annex Clause 3"/>
    <w:basedOn w:val="Normal"/>
    <w:autoRedefine/>
    <w:pPr>
      <w:tabs>
        <w:tab w:val="clear" w:pos="794"/>
        <w:tab w:val="clear" w:pos="1191"/>
        <w:tab w:val="clear" w:pos="1588"/>
        <w:tab w:val="clear" w:pos="1985"/>
        <w:tab w:val="num" w:pos="720"/>
      </w:tabs>
      <w:overflowPunct/>
      <w:autoSpaceDE/>
      <w:autoSpaceDN/>
      <w:adjustRightInd/>
      <w:spacing w:before="0" w:after="120"/>
      <w:ind w:left="357" w:hanging="357"/>
      <w:textAlignment w:val="auto"/>
    </w:pPr>
    <w:rPr>
      <w:rFonts w:ascii="Arial" w:eastAsia="MS Mincho" w:hAnsi="Arial"/>
      <w:sz w:val="20"/>
      <w:lang w:val="en-GB" w:eastAsia="en-US"/>
    </w:rPr>
  </w:style>
  <w:style w:type="paragraph" w:customStyle="1" w:styleId="CharChar1CharCharCharChar">
    <w:name w:val="Char Char1 (文字) (文字) Char Char Char Char"/>
    <w:basedOn w:val="Normal"/>
    <w:autoRedefine/>
    <w:pPr>
      <w:keepNext/>
      <w:keepLines/>
      <w:pageBreakBefore/>
      <w:widowControl w:val="0"/>
      <w:tabs>
        <w:tab w:val="num" w:pos="360"/>
      </w:tabs>
      <w:jc w:val="both"/>
    </w:pPr>
    <w:rPr>
      <w:rFonts w:ascii="Tahoma" w:eastAsia="MS Mincho" w:hAnsi="Tahoma" w:cs="Tahoma"/>
      <w:kern w:val="2"/>
      <w:szCs w:val="24"/>
    </w:rPr>
  </w:style>
  <w:style w:type="paragraph" w:customStyle="1" w:styleId="TERM-definition">
    <w:name w:val="TERM-definition"/>
    <w:basedOn w:val="Normal"/>
    <w:next w:val="TERM-number"/>
    <w:pPr>
      <w:tabs>
        <w:tab w:val="clear" w:pos="794"/>
        <w:tab w:val="clear" w:pos="1191"/>
        <w:tab w:val="clear" w:pos="1588"/>
        <w:tab w:val="clear" w:pos="1985"/>
      </w:tabs>
      <w:overflowPunct/>
      <w:autoSpaceDE/>
      <w:autoSpaceDN/>
      <w:adjustRightInd/>
      <w:snapToGrid w:val="0"/>
      <w:spacing w:before="0" w:after="200"/>
      <w:jc w:val="both"/>
      <w:textAlignment w:val="auto"/>
    </w:pPr>
    <w:rPr>
      <w:rFonts w:ascii="Arial" w:eastAsia="Batang" w:hAnsi="Arial" w:cs="Arial"/>
      <w:spacing w:val="8"/>
      <w:sz w:val="20"/>
      <w:lang w:val="en-GB"/>
    </w:rPr>
  </w:style>
  <w:style w:type="paragraph" w:customStyle="1" w:styleId="CharCharChar">
    <w:name w:val="Char Char Char"/>
    <w:basedOn w:val="Normal"/>
    <w:pPr>
      <w:widowControl w:val="0"/>
      <w:tabs>
        <w:tab w:val="clear" w:pos="794"/>
        <w:tab w:val="clear" w:pos="1191"/>
        <w:tab w:val="clear" w:pos="1588"/>
        <w:tab w:val="clear" w:pos="1985"/>
      </w:tabs>
      <w:overflowPunct/>
      <w:autoSpaceDE/>
      <w:autoSpaceDN/>
      <w:adjustRightInd/>
      <w:spacing w:before="0"/>
      <w:jc w:val="both"/>
      <w:textAlignment w:val="auto"/>
    </w:pPr>
    <w:rPr>
      <w:rFonts w:eastAsia="SimSun"/>
      <w:kern w:val="2"/>
      <w:sz w:val="21"/>
      <w:szCs w:val="24"/>
    </w:rPr>
  </w:style>
  <w:style w:type="paragraph" w:customStyle="1" w:styleId="CharCharCarCar">
    <w:name w:val="Char Char Car Car"/>
    <w:basedOn w:val="Normal"/>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rPr>
  </w:style>
  <w:style w:type="paragraph" w:customStyle="1" w:styleId="Heading">
    <w:name w:val="Heading"/>
    <w:basedOn w:val="Normal"/>
    <w:next w:val="BodyText"/>
    <w:pPr>
      <w:keepNext/>
      <w:widowControl w:val="0"/>
      <w:tabs>
        <w:tab w:val="clear" w:pos="794"/>
        <w:tab w:val="clear" w:pos="1191"/>
        <w:tab w:val="clear" w:pos="1588"/>
        <w:tab w:val="clear" w:pos="1985"/>
      </w:tabs>
      <w:suppressAutoHyphens/>
      <w:overflowPunct/>
      <w:autoSpaceDE/>
      <w:autoSpaceDN/>
      <w:adjustRightInd/>
      <w:spacing w:before="240" w:after="120"/>
      <w:textAlignment w:val="auto"/>
    </w:pPr>
    <w:rPr>
      <w:rFonts w:ascii="Arial" w:eastAsia="MS PGothic" w:hAnsi="Arial" w:cs="Tahoma"/>
      <w:kern w:val="1"/>
      <w:sz w:val="28"/>
      <w:szCs w:val="28"/>
      <w:lang w:eastAsia="en-US"/>
    </w:rPr>
  </w:style>
  <w:style w:type="paragraph" w:customStyle="1" w:styleId="Caption1">
    <w:name w:val="Caption1"/>
    <w:basedOn w:val="Normal"/>
    <w:pPr>
      <w:widowControl w:val="0"/>
      <w:suppressLineNumbers/>
      <w:tabs>
        <w:tab w:val="clear" w:pos="794"/>
        <w:tab w:val="clear" w:pos="1191"/>
        <w:tab w:val="clear" w:pos="1588"/>
        <w:tab w:val="clear" w:pos="1985"/>
      </w:tabs>
      <w:suppressAutoHyphens/>
      <w:overflowPunct/>
      <w:autoSpaceDE/>
      <w:autoSpaceDN/>
      <w:adjustRightInd/>
      <w:spacing w:after="120"/>
      <w:textAlignment w:val="auto"/>
    </w:pPr>
    <w:rPr>
      <w:rFonts w:eastAsia="MS PMincho" w:cs="Tahoma"/>
      <w:i/>
      <w:iCs/>
      <w:kern w:val="1"/>
      <w:szCs w:val="24"/>
      <w:lang w:eastAsia="en-US"/>
    </w:rPr>
  </w:style>
  <w:style w:type="paragraph" w:customStyle="1" w:styleId="Index">
    <w:name w:val="Index"/>
    <w:basedOn w:val="Normal"/>
    <w:pPr>
      <w:widowControl w:val="0"/>
      <w:suppressLineNumbers/>
      <w:tabs>
        <w:tab w:val="clear" w:pos="794"/>
        <w:tab w:val="clear" w:pos="1191"/>
        <w:tab w:val="clear" w:pos="1588"/>
        <w:tab w:val="clear" w:pos="1985"/>
      </w:tabs>
      <w:suppressAutoHyphens/>
      <w:overflowPunct/>
      <w:autoSpaceDE/>
      <w:autoSpaceDN/>
      <w:adjustRightInd/>
      <w:spacing w:before="0"/>
      <w:textAlignment w:val="auto"/>
    </w:pPr>
    <w:rPr>
      <w:rFonts w:eastAsia="MS PMincho" w:cs="Tahoma"/>
      <w:kern w:val="1"/>
      <w:szCs w:val="24"/>
      <w:lang w:eastAsia="en-US"/>
    </w:rPr>
  </w:style>
  <w:style w:type="paragraph" w:customStyle="1" w:styleId="TableContents">
    <w:name w:val="Table Contents"/>
    <w:basedOn w:val="Normal"/>
    <w:pPr>
      <w:widowControl w:val="0"/>
      <w:suppressLineNumbers/>
      <w:tabs>
        <w:tab w:val="clear" w:pos="794"/>
        <w:tab w:val="clear" w:pos="1191"/>
        <w:tab w:val="clear" w:pos="1588"/>
        <w:tab w:val="clear" w:pos="1985"/>
      </w:tabs>
      <w:suppressAutoHyphens/>
      <w:overflowPunct/>
      <w:autoSpaceDE/>
      <w:autoSpaceDN/>
      <w:adjustRightInd/>
      <w:spacing w:before="0"/>
      <w:textAlignment w:val="auto"/>
    </w:pPr>
    <w:rPr>
      <w:rFonts w:eastAsia="MS PMincho"/>
      <w:kern w:val="1"/>
      <w:szCs w:val="24"/>
      <w:lang w:eastAsia="en-US"/>
    </w:rPr>
  </w:style>
  <w:style w:type="paragraph" w:customStyle="1" w:styleId="TableHeading">
    <w:name w:val="Table Heading"/>
    <w:basedOn w:val="TableContents"/>
    <w:pPr>
      <w:jc w:val="center"/>
    </w:pPr>
    <w:rPr>
      <w:b/>
      <w:bCs/>
    </w:rPr>
  </w:style>
  <w:style w:type="paragraph" w:customStyle="1" w:styleId="HTMLPreformatted1">
    <w:name w:val="HTML Preformatted1"/>
    <w:basedOn w:val="Normal"/>
    <w:pPr>
      <w:widowControl w:val="0"/>
      <w:tabs>
        <w:tab w:val="clear" w:pos="794"/>
        <w:tab w:val="clear" w:pos="1191"/>
        <w:tab w:val="clear" w:pos="1588"/>
        <w:tab w:val="clear" w:pos="1985"/>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autoSpaceDE/>
      <w:autoSpaceDN/>
      <w:adjustRightInd/>
      <w:spacing w:before="0"/>
      <w:textAlignment w:val="auto"/>
    </w:pPr>
    <w:rPr>
      <w:rFonts w:ascii="Courier New" w:eastAsia="SimSun" w:hAnsi="Courier New" w:cs="Courier New"/>
      <w:kern w:val="1"/>
      <w:sz w:val="20"/>
      <w:szCs w:val="24"/>
    </w:rPr>
  </w:style>
  <w:style w:type="character" w:customStyle="1" w:styleId="ASN1CarCar">
    <w:name w:val="ASN.1 Car Car"/>
    <w:basedOn w:val="CharChar"/>
    <w:rPr>
      <w:rFonts w:ascii="Courier New" w:eastAsia="MS Mincho" w:hAnsi="Courier New" w:cs="Times New Roman"/>
      <w:b/>
      <w:noProof/>
      <w:spacing w:val="-2"/>
      <w:sz w:val="18"/>
      <w:szCs w:val="24"/>
      <w:lang w:val="en-US" w:eastAsia="en-US" w:bidi="ar-SA"/>
    </w:rPr>
  </w:style>
  <w:style w:type="paragraph" w:customStyle="1" w:styleId="StyleASN1ContinueGauche0cm">
    <w:name w:val="Style ASN.1 Continue + Gauche :  0 cm"/>
    <w:basedOn w:val="ASN1Continue"/>
    <w:autoRedefine/>
    <w:pPr>
      <w:tabs>
        <w:tab w:val="clear" w:pos="1400"/>
        <w:tab w:val="left" w:pos="400"/>
        <w:tab w:val="left" w:pos="794"/>
        <w:tab w:val="left" w:pos="1191"/>
        <w:tab w:val="left" w:pos="1587"/>
      </w:tabs>
      <w:ind w:left="0"/>
    </w:pPr>
    <w:rPr>
      <w:rFonts w:eastAsia="MS Mincho"/>
      <w:bCs/>
      <w:szCs w:val="20"/>
    </w:rPr>
  </w:style>
  <w:style w:type="paragraph" w:customStyle="1" w:styleId="CharChar1CharCharCharChar0">
    <w:name w:val="Char Char1 Char Char Char Char"/>
    <w:basedOn w:val="Normal"/>
    <w:pPr>
      <w:widowControl w:val="0"/>
      <w:tabs>
        <w:tab w:val="clear" w:pos="794"/>
        <w:tab w:val="clear" w:pos="1191"/>
        <w:tab w:val="clear" w:pos="1588"/>
        <w:tab w:val="clear" w:pos="1985"/>
      </w:tabs>
      <w:overflowPunct/>
      <w:autoSpaceDE/>
      <w:autoSpaceDN/>
      <w:adjustRightInd/>
      <w:spacing w:before="0"/>
      <w:jc w:val="both"/>
      <w:textAlignment w:val="auto"/>
    </w:pPr>
    <w:rPr>
      <w:rFonts w:eastAsia="SimSun"/>
      <w:kern w:val="2"/>
      <w:sz w:val="21"/>
      <w:szCs w:val="24"/>
    </w:rPr>
  </w:style>
  <w:style w:type="paragraph" w:customStyle="1" w:styleId="CarCarCharChar">
    <w:name w:val="Car Car Char Char"/>
    <w:basedOn w:val="Normal"/>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rPr>
  </w:style>
  <w:style w:type="paragraph" w:customStyle="1" w:styleId="CharChar6">
    <w:name w:val="Char Char6"/>
    <w:next w:val="Normal"/>
    <w:pPr>
      <w:keepNext/>
      <w:keepLines/>
      <w:tabs>
        <w:tab w:val="num" w:pos="3360"/>
        <w:tab w:val="num" w:pos="4394"/>
      </w:tabs>
      <w:snapToGrid w:val="0"/>
      <w:spacing w:before="240" w:after="240"/>
      <w:ind w:left="3360" w:hanging="1418"/>
      <w:outlineLvl w:val="7"/>
    </w:pPr>
    <w:rPr>
      <w:rFonts w:ascii="Arial" w:eastAsia="SimHei" w:hAnsi="Arial" w:cs="Arial"/>
      <w:sz w:val="21"/>
      <w:szCs w:val="21"/>
    </w:rPr>
  </w:style>
  <w:style w:type="paragraph" w:customStyle="1" w:styleId="tabletext2">
    <w:name w:val="tabletext"/>
    <w:basedOn w:val="Normal"/>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MS Mincho"/>
      <w:szCs w:val="24"/>
      <w:lang w:eastAsia="en-US"/>
    </w:rPr>
  </w:style>
  <w:style w:type="paragraph" w:customStyle="1" w:styleId="a9">
    <w:name w:val="(文字) (文字)"/>
    <w:basedOn w:val="Normal"/>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rPr>
  </w:style>
  <w:style w:type="paragraph" w:customStyle="1" w:styleId="ele">
    <w:name w:val="ele."/>
    <w:basedOn w:val="ListParagraph"/>
    <w:pPr>
      <w:numPr>
        <w:numId w:val="11"/>
      </w:numPr>
      <w:tabs>
        <w:tab w:val="left" w:pos="284"/>
        <w:tab w:val="num" w:pos="360"/>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ind w:hanging="720"/>
    </w:pPr>
    <w:rPr>
      <w:rFonts w:ascii="Times New Roman" w:hAnsi="Times New Roman"/>
      <w:sz w:val="24"/>
      <w:szCs w:val="24"/>
      <w:lang w:eastAsia="en-US"/>
    </w:rPr>
  </w:style>
  <w:style w:type="paragraph" w:customStyle="1" w:styleId="tabletext10">
    <w:name w:val="table_text 10"/>
    <w:basedOn w:val="Tabletext"/>
    <w:pPr>
      <w:keepLines/>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969"/>
        <w:tab w:val="left" w:pos="794"/>
        <w:tab w:val="left" w:pos="1191"/>
        <w:tab w:val="left" w:pos="1588"/>
      </w:tabs>
      <w:overflowPunct/>
      <w:autoSpaceDE/>
      <w:autoSpaceDN/>
      <w:adjustRightInd/>
      <w:spacing w:before="120" w:after="120" w:line="190" w:lineRule="exact"/>
      <w:textAlignment w:val="auto"/>
    </w:pPr>
    <w:rPr>
      <w:sz w:val="20"/>
      <w:lang w:val="en-GB" w:eastAsia="en-US"/>
    </w:rPr>
  </w:style>
  <w:style w:type="character" w:customStyle="1" w:styleId="s31">
    <w:name w:val="s31"/>
    <w:basedOn w:val="DefaultParagraphFont"/>
  </w:style>
  <w:style w:type="character" w:customStyle="1" w:styleId="hps">
    <w:name w:val="hps"/>
  </w:style>
  <w:style w:type="character" w:customStyle="1" w:styleId="ListParagraphChar">
    <w:name w:val="List Paragraph Char"/>
    <w:aliases w:val="NUMBERED PARAGRAPH Char,List Paragraph 1 Char,List Paragraph (numbered (a)) Char,Use Case List Paragraph Char,References Char,ReferencesCxSpLast Char,lp1 Char"/>
    <w:basedOn w:val="DefaultParagraphFont"/>
    <w:link w:val="ListParagraph"/>
    <w:uiPriority w:val="34"/>
    <w:locked/>
    <w:rPr>
      <w:rFonts w:ascii="Tahoma" w:hAnsi="Tahoma"/>
    </w:rPr>
  </w:style>
  <w:style w:type="character" w:customStyle="1" w:styleId="ms-rtethemeforecolor-2-0">
    <w:name w:val="ms-rtethemeforecolor-2-0"/>
    <w:basedOn w:val="DefaultParagraphFont"/>
  </w:style>
  <w:style w:type="character" w:customStyle="1" w:styleId="href">
    <w:name w:val="href"/>
    <w:rPr>
      <w:lang w:val="fr-FR"/>
    </w:rPr>
  </w:style>
  <w:style w:type="character" w:customStyle="1" w:styleId="ms-rtethemebackcolor-1-0">
    <w:name w:val="ms-rtethemebackcolor-1-0"/>
    <w:basedOn w:val="DefaultParagraphFont"/>
  </w:style>
  <w:style w:type="character" w:customStyle="1" w:styleId="CallChar">
    <w:name w:val="Call Char"/>
    <w:basedOn w:val="DefaultParagraphFont"/>
    <w:link w:val="Call"/>
    <w:locked/>
    <w:rPr>
      <w:i/>
      <w:sz w:val="24"/>
    </w:rPr>
  </w:style>
  <w:style w:type="paragraph" w:customStyle="1" w:styleId="Annextitle0">
    <w:name w:val="Annex_title"/>
    <w:basedOn w:val="Normal"/>
    <w:next w:val="Normal"/>
    <w:pPr>
      <w:keepNext/>
      <w:keepLines/>
      <w:spacing w:before="240" w:after="280"/>
      <w:jc w:val="center"/>
    </w:pPr>
    <w:rPr>
      <w:rFonts w:ascii="Times New Roman Bold" w:eastAsia="Batang" w:hAnsi="Times New Roman Bold"/>
      <w:b/>
      <w:sz w:val="28"/>
      <w:lang w:val="en-GB" w:eastAsia="en-US"/>
    </w:rPr>
  </w:style>
  <w:style w:type="character" w:customStyle="1" w:styleId="ms-rteforecolor-2">
    <w:name w:val="ms-rteforecolor-2"/>
  </w:style>
  <w:style w:type="paragraph" w:customStyle="1" w:styleId="CharCharCharCharCharChar3">
    <w:name w:val="Char Char Char Char Char Char3"/>
    <w:basedOn w:val="Normal"/>
    <w:pPr>
      <w:widowControl w:val="0"/>
      <w:tabs>
        <w:tab w:val="clear" w:pos="794"/>
        <w:tab w:val="clear" w:pos="1191"/>
        <w:tab w:val="clear" w:pos="1588"/>
        <w:tab w:val="clear" w:pos="1985"/>
      </w:tabs>
      <w:overflowPunct/>
      <w:autoSpaceDE/>
      <w:autoSpaceDN/>
      <w:adjustRightInd/>
      <w:spacing w:before="0"/>
      <w:jc w:val="both"/>
      <w:textAlignment w:val="auto"/>
    </w:pPr>
    <w:rPr>
      <w:rFonts w:ascii="Tahoma" w:eastAsia="SimSun" w:hAnsi="Tahoma"/>
      <w:kern w:val="2"/>
    </w:rPr>
  </w:style>
  <w:style w:type="paragraph" w:customStyle="1" w:styleId="Docnumber">
    <w:name w:val="Docnumber"/>
    <w:basedOn w:val="Normal"/>
    <w:link w:val="DocnumberChar"/>
    <w:pPr>
      <w:jc w:val="right"/>
    </w:pPr>
    <w:rPr>
      <w:rFonts w:eastAsia="MS Mincho"/>
      <w:b/>
      <w:bCs/>
      <w:sz w:val="40"/>
      <w:lang w:val="en-GB" w:eastAsia="en-US"/>
    </w:rPr>
  </w:style>
  <w:style w:type="character" w:customStyle="1" w:styleId="DocnumberChar">
    <w:name w:val="Docnumber Char"/>
    <w:link w:val="Docnumber"/>
    <w:rPr>
      <w:rFonts w:eastAsia="MS Mincho"/>
      <w:b/>
      <w:bCs/>
      <w:sz w:val="40"/>
      <w:lang w:val="en-GB" w:eastAsia="en-US"/>
    </w:rPr>
  </w:style>
  <w:style w:type="paragraph" w:styleId="Index7">
    <w:name w:val="index 7"/>
    <w:basedOn w:val="Normal"/>
    <w:next w:val="Normal"/>
    <w:pPr>
      <w:ind w:left="1698"/>
    </w:pPr>
    <w:rPr>
      <w:lang w:val="en-GB" w:eastAsia="en-US"/>
    </w:rPr>
  </w:style>
  <w:style w:type="paragraph" w:styleId="Index6">
    <w:name w:val="index 6"/>
    <w:basedOn w:val="Normal"/>
    <w:next w:val="Normal"/>
    <w:pPr>
      <w:ind w:left="1415"/>
    </w:pPr>
    <w:rPr>
      <w:lang w:val="en-GB" w:eastAsia="en-US"/>
    </w:rPr>
  </w:style>
  <w:style w:type="paragraph" w:customStyle="1" w:styleId="Appendixref0">
    <w:name w:val="Appendix_ref"/>
    <w:basedOn w:val="Normal"/>
    <w:next w:val="Normal"/>
    <w:pPr>
      <w:keepNext/>
      <w:keepLines/>
      <w:spacing w:after="280"/>
      <w:jc w:val="center"/>
    </w:pPr>
    <w:rPr>
      <w:lang w:val="en-GB" w:eastAsia="en-US"/>
    </w:rPr>
  </w:style>
  <w:style w:type="paragraph" w:customStyle="1" w:styleId="Tabletitle1">
    <w:name w:val="Table_title"/>
    <w:basedOn w:val="Normal"/>
    <w:next w:val="Tabletext"/>
    <w:pPr>
      <w:keepNext/>
      <w:keepLines/>
      <w:spacing w:before="0" w:after="120"/>
      <w:jc w:val="center"/>
    </w:pPr>
    <w:rPr>
      <w:rFonts w:ascii="Times New Roman Bold" w:hAnsi="Times New Roman Bold"/>
      <w:b/>
      <w:lang w:val="en-GB" w:eastAsia="en-US"/>
    </w:rPr>
  </w:style>
  <w:style w:type="paragraph" w:customStyle="1" w:styleId="TableNo">
    <w:name w:val="Table_No"/>
    <w:basedOn w:val="Normal"/>
    <w:next w:val="Tabletitle1"/>
    <w:pPr>
      <w:keepNext/>
      <w:spacing w:before="560" w:after="120"/>
      <w:jc w:val="center"/>
    </w:pPr>
    <w:rPr>
      <w:caps/>
      <w:lang w:val="en-GB" w:eastAsia="en-US"/>
    </w:rPr>
  </w:style>
  <w:style w:type="paragraph" w:customStyle="1" w:styleId="WTSA1">
    <w:name w:val="WTSA1"/>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customStyle="1" w:styleId="WTSA2">
    <w:name w:val="WTSA2"/>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character" w:customStyle="1" w:styleId="Symbol">
    <w:name w:val="Symbol"/>
    <w:rPr>
      <w:rFonts w:ascii="Symbol" w:hAnsi="Symbol"/>
      <w:i/>
    </w:rPr>
  </w:style>
  <w:style w:type="paragraph" w:customStyle="1" w:styleId="listitem">
    <w:name w:val="listitem"/>
    <w:basedOn w:val="Normal"/>
    <w:pPr>
      <w:spacing w:before="0"/>
    </w:pPr>
    <w:rPr>
      <w:lang w:val="en-GB" w:eastAsia="en-US"/>
    </w:rPr>
  </w:style>
  <w:style w:type="paragraph" w:customStyle="1" w:styleId="Questionheading">
    <w:name w:val="Question_heading"/>
    <w:basedOn w:val="Heading3"/>
    <w:pPr>
      <w:spacing w:before="200"/>
    </w:pPr>
    <w:rPr>
      <w:lang w:val="en-GB" w:eastAsia="en-US"/>
    </w:rPr>
  </w:style>
  <w:style w:type="character" w:customStyle="1" w:styleId="highlight">
    <w:name w:val="highlight"/>
  </w:style>
  <w:style w:type="paragraph" w:customStyle="1" w:styleId="ColorfulList-Accent11">
    <w:name w:val="Colorful List - Accent 11"/>
    <w:basedOn w:val="Normal"/>
    <w:uiPriority w:val="34"/>
    <w:qFormat/>
    <w:pPr>
      <w:ind w:left="720"/>
      <w:contextualSpacing/>
    </w:pPr>
    <w:rPr>
      <w:rFonts w:eastAsia="Malgun Gothic"/>
      <w:lang w:val="en-GB" w:eastAsia="en-US"/>
    </w:rPr>
  </w:style>
  <w:style w:type="character" w:customStyle="1" w:styleId="SingleTxtGChar">
    <w:name w:val="_ Single Txt_G Char"/>
    <w:link w:val="SingleTxtG"/>
    <w:locked/>
  </w:style>
  <w:style w:type="paragraph" w:customStyle="1" w:styleId="SingleTxtG">
    <w:name w:val="_ Single Txt_G"/>
    <w:basedOn w:val="Normal"/>
    <w:link w:val="SingleTxtGChar"/>
    <w:pPr>
      <w:tabs>
        <w:tab w:val="clear" w:pos="794"/>
        <w:tab w:val="clear" w:pos="1191"/>
        <w:tab w:val="clear" w:pos="1588"/>
        <w:tab w:val="clear" w:pos="1985"/>
      </w:tabs>
      <w:suppressAutoHyphens/>
      <w:overflowPunct/>
      <w:autoSpaceDE/>
      <w:autoSpaceDN/>
      <w:adjustRightInd/>
      <w:spacing w:before="0" w:after="120" w:line="240" w:lineRule="atLeast"/>
      <w:ind w:left="1134" w:right="1134"/>
      <w:jc w:val="both"/>
      <w:textAlignment w:val="auto"/>
    </w:pPr>
    <w:rPr>
      <w:sz w:val="20"/>
    </w:rPr>
  </w:style>
  <w:style w:type="paragraph" w:customStyle="1" w:styleId="Abstract">
    <w:name w:val="Abstract"/>
    <w:basedOn w:val="Normal"/>
    <w:pPr>
      <w:tabs>
        <w:tab w:val="clear" w:pos="794"/>
        <w:tab w:val="clear" w:pos="1191"/>
        <w:tab w:val="clear" w:pos="1588"/>
        <w:tab w:val="clear" w:pos="1985"/>
        <w:tab w:val="left" w:pos="1134"/>
        <w:tab w:val="left" w:pos="1871"/>
        <w:tab w:val="left" w:pos="2268"/>
      </w:tabs>
    </w:pPr>
    <w:rPr>
      <w:lang w:eastAsia="en-US"/>
    </w:rPr>
  </w:style>
  <w:style w:type="paragraph" w:customStyle="1" w:styleId="Agendaitem">
    <w:name w:val="Agenda_item"/>
    <w:basedOn w:val="Normal"/>
    <w:next w:val="Normal"/>
    <w:qFormat/>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sz w:val="28"/>
      <w:lang w:val="es-ES_tradnl" w:eastAsia="en-US"/>
    </w:rPr>
  </w:style>
  <w:style w:type="paragraph" w:customStyle="1" w:styleId="FigureNo">
    <w:name w:val="Figure_No"/>
    <w:basedOn w:val="Normal"/>
    <w:next w:val="Normal"/>
    <w:pPr>
      <w:keepNext/>
      <w:keepLines/>
      <w:tabs>
        <w:tab w:val="clear" w:pos="794"/>
        <w:tab w:val="clear" w:pos="1191"/>
        <w:tab w:val="clear" w:pos="1588"/>
        <w:tab w:val="clear" w:pos="1985"/>
        <w:tab w:val="left" w:pos="1134"/>
        <w:tab w:val="left" w:pos="1871"/>
        <w:tab w:val="left" w:pos="2268"/>
      </w:tabs>
      <w:spacing w:before="480" w:after="120"/>
      <w:jc w:val="center"/>
    </w:pPr>
    <w:rPr>
      <w:caps/>
      <w:lang w:val="en-GB" w:eastAsia="en-US"/>
    </w:rPr>
  </w:style>
  <w:style w:type="paragraph" w:customStyle="1" w:styleId="Figuretitle0">
    <w:name w:val="Figure_title"/>
    <w:basedOn w:val="Normal"/>
    <w:next w:val="Normal"/>
    <w:pPr>
      <w:keepNext/>
      <w:keepLines/>
      <w:tabs>
        <w:tab w:val="clear" w:pos="794"/>
        <w:tab w:val="clear" w:pos="1191"/>
        <w:tab w:val="clear" w:pos="1588"/>
        <w:tab w:val="clear" w:pos="1985"/>
        <w:tab w:val="left" w:pos="1134"/>
        <w:tab w:val="left" w:pos="1871"/>
        <w:tab w:val="left" w:pos="2268"/>
      </w:tabs>
      <w:spacing w:before="0" w:after="480"/>
      <w:jc w:val="center"/>
    </w:pPr>
    <w:rPr>
      <w:rFonts w:ascii="Times New Roman Bold" w:hAnsi="Times New Roman Bold"/>
      <w:b/>
      <w:lang w:val="en-GB" w:eastAsia="en-US"/>
    </w:rPr>
  </w:style>
  <w:style w:type="paragraph" w:customStyle="1" w:styleId="Committee">
    <w:name w:val="Committee"/>
    <w:basedOn w:val="Normal"/>
    <w:qFormat/>
    <w:pPr>
      <w:tabs>
        <w:tab w:val="clear" w:pos="794"/>
        <w:tab w:val="clear" w:pos="1191"/>
        <w:tab w:val="clear" w:pos="1588"/>
        <w:tab w:val="clear" w:pos="1985"/>
        <w:tab w:val="left" w:pos="851"/>
        <w:tab w:val="left" w:pos="1134"/>
        <w:tab w:val="left" w:pos="1871"/>
        <w:tab w:val="left" w:pos="2268"/>
      </w:tabs>
      <w:spacing w:before="0" w:line="240" w:lineRule="atLeast"/>
    </w:pPr>
    <w:rPr>
      <w:rFonts w:ascii="Verdana" w:hAnsi="Verdana" w:cstheme="minorHAnsi"/>
      <w:b/>
      <w:sz w:val="20"/>
      <w:szCs w:val="24"/>
      <w:lang w:val="en-GB" w:eastAsia="en-US"/>
    </w:rPr>
  </w:style>
  <w:style w:type="paragraph" w:customStyle="1" w:styleId="Section3">
    <w:name w:val="Section_3"/>
    <w:basedOn w:val="Section1"/>
    <w:pPr>
      <w:tabs>
        <w:tab w:val="center" w:pos="4820"/>
      </w:tabs>
      <w:spacing w:before="360"/>
    </w:pPr>
    <w:rPr>
      <w:b w:val="0"/>
      <w:lang w:val="en-GB" w:eastAsia="en-US"/>
    </w:rPr>
  </w:style>
  <w:style w:type="paragraph" w:customStyle="1" w:styleId="Proposal">
    <w:name w:val="Proposal"/>
    <w:basedOn w:val="Normal"/>
    <w:next w:val="Normal"/>
    <w:pPr>
      <w:keepNext/>
      <w:tabs>
        <w:tab w:val="clear" w:pos="794"/>
        <w:tab w:val="clear" w:pos="1191"/>
        <w:tab w:val="clear" w:pos="1588"/>
        <w:tab w:val="clear" w:pos="1985"/>
        <w:tab w:val="left" w:pos="1134"/>
        <w:tab w:val="left" w:pos="1871"/>
        <w:tab w:val="left" w:pos="2268"/>
      </w:tabs>
      <w:spacing w:before="240"/>
    </w:pPr>
    <w:rPr>
      <w:rFonts w:hAnsi="Times New Roman Bold"/>
      <w:b/>
      <w:lang w:val="en-GB" w:eastAsia="en-US"/>
    </w:rPr>
  </w:style>
  <w:style w:type="paragraph" w:customStyle="1" w:styleId="Reasons">
    <w:name w:val="Reasons"/>
    <w:basedOn w:val="Normal"/>
    <w:pPr>
      <w:tabs>
        <w:tab w:val="clear" w:pos="794"/>
        <w:tab w:val="clear" w:pos="1191"/>
        <w:tab w:val="left" w:pos="1134"/>
      </w:tabs>
    </w:pPr>
    <w:rPr>
      <w:lang w:val="en-GB" w:eastAsia="en-US"/>
    </w:rPr>
  </w:style>
  <w:style w:type="paragraph" w:customStyle="1" w:styleId="Volumetitle">
    <w:name w:val="Volume_title"/>
    <w:basedOn w:val="Normal"/>
    <w:qFormat/>
    <w:pPr>
      <w:tabs>
        <w:tab w:val="clear" w:pos="794"/>
        <w:tab w:val="clear" w:pos="1191"/>
        <w:tab w:val="clear" w:pos="1588"/>
        <w:tab w:val="clear" w:pos="1985"/>
        <w:tab w:val="left" w:pos="1134"/>
        <w:tab w:val="left" w:pos="1871"/>
        <w:tab w:val="left" w:pos="2268"/>
      </w:tabs>
      <w:jc w:val="center"/>
    </w:pPr>
    <w:rPr>
      <w:b/>
      <w:bCs/>
      <w:sz w:val="28"/>
      <w:szCs w:val="28"/>
      <w:lang w:val="en-GB" w:eastAsia="en-US"/>
    </w:rPr>
  </w:style>
  <w:style w:type="paragraph" w:customStyle="1" w:styleId="Part1">
    <w:name w:val="Part_1"/>
    <w:basedOn w:val="Section1"/>
    <w:next w:val="Section1"/>
    <w:pPr>
      <w:tabs>
        <w:tab w:val="center" w:pos="4820"/>
      </w:tabs>
      <w:spacing w:before="360"/>
    </w:pPr>
    <w:rPr>
      <w:lang w:val="en-GB" w:eastAsia="en-US"/>
    </w:rPr>
  </w:style>
  <w:style w:type="character" w:styleId="PlaceholderText">
    <w:name w:val="Placeholder Text"/>
    <w:basedOn w:val="DefaultParagraphFont"/>
    <w:uiPriority w:val="99"/>
    <w:semiHidden/>
    <w:rPr>
      <w:color w:val="808080"/>
    </w:rPr>
  </w:style>
  <w:style w:type="paragraph" w:customStyle="1" w:styleId="TopHeader">
    <w:name w:val="TopHeader"/>
    <w:basedOn w:val="Normal"/>
    <w:pPr>
      <w:tabs>
        <w:tab w:val="clear" w:pos="794"/>
        <w:tab w:val="clear" w:pos="1191"/>
        <w:tab w:val="clear" w:pos="1588"/>
        <w:tab w:val="clear" w:pos="1985"/>
        <w:tab w:val="left" w:pos="1134"/>
        <w:tab w:val="left" w:pos="1871"/>
        <w:tab w:val="left" w:pos="2268"/>
      </w:tabs>
    </w:pPr>
    <w:rPr>
      <w:rFonts w:ascii="Verdana" w:hAnsi="Verdana" w:cs="Times New Roman Bold"/>
      <w:b/>
      <w:bCs/>
      <w:szCs w:val="24"/>
      <w:lang w:val="en-GB" w:eastAsia="en-US"/>
    </w:rPr>
  </w:style>
  <w:style w:type="paragraph" w:customStyle="1" w:styleId="OpinionNo">
    <w:name w:val="Opinion_No"/>
    <w:basedOn w:val="ResNo"/>
    <w:next w:val="Normal"/>
    <w:qFormat/>
    <w:pPr>
      <w:tabs>
        <w:tab w:val="clear" w:pos="794"/>
        <w:tab w:val="clear" w:pos="1191"/>
        <w:tab w:val="clear" w:pos="1588"/>
        <w:tab w:val="clear" w:pos="1985"/>
        <w:tab w:val="left" w:pos="1134"/>
        <w:tab w:val="left" w:pos="1871"/>
        <w:tab w:val="left" w:pos="2268"/>
      </w:tabs>
      <w:spacing w:before="480"/>
      <w:jc w:val="center"/>
    </w:pPr>
    <w:rPr>
      <w:rFonts w:hAnsi="Times New Roman Bold"/>
      <w:b w:val="0"/>
      <w:lang w:val="en-GB" w:eastAsia="en-US"/>
    </w:rPr>
  </w:style>
  <w:style w:type="paragraph" w:customStyle="1" w:styleId="Opinionref">
    <w:name w:val="Opinion_ref"/>
    <w:basedOn w:val="Normal"/>
    <w:next w:val="Normalaftertitle0"/>
    <w:qFormat/>
    <w:pPr>
      <w:tabs>
        <w:tab w:val="clear" w:pos="794"/>
        <w:tab w:val="clear" w:pos="1191"/>
        <w:tab w:val="clear" w:pos="1588"/>
        <w:tab w:val="clear" w:pos="1985"/>
      </w:tabs>
      <w:overflowPunct/>
      <w:autoSpaceDE/>
      <w:autoSpaceDN/>
      <w:adjustRightInd/>
      <w:spacing w:before="0"/>
      <w:jc w:val="center"/>
      <w:textAlignment w:val="auto"/>
    </w:pPr>
    <w:rPr>
      <w:i/>
      <w:sz w:val="22"/>
      <w:lang w:val="fr-CH" w:eastAsia="en-US"/>
    </w:rPr>
  </w:style>
  <w:style w:type="paragraph" w:customStyle="1" w:styleId="Opiniontitle">
    <w:name w:val="Opinion_title"/>
    <w:basedOn w:val="Restitle"/>
    <w:next w:val="Opinionref"/>
    <w:qFormat/>
    <w:pPr>
      <w:tabs>
        <w:tab w:val="clear" w:pos="794"/>
        <w:tab w:val="clear" w:pos="1191"/>
        <w:tab w:val="clear" w:pos="1588"/>
        <w:tab w:val="clear" w:pos="1985"/>
        <w:tab w:val="left" w:pos="1134"/>
        <w:tab w:val="left" w:pos="1871"/>
        <w:tab w:val="left" w:pos="2268"/>
      </w:tabs>
      <w:spacing w:before="240"/>
    </w:pPr>
    <w:rPr>
      <w:rFonts w:ascii="Times New Roman Bold" w:hAnsi="Times New Roman Bold" w:cs="Times New Roman Bold"/>
      <w:bCs/>
      <w:lang w:val="en-GB" w:eastAsia="en-US"/>
    </w:rPr>
  </w:style>
  <w:style w:type="paragraph" w:customStyle="1" w:styleId="Normalaftertitle00">
    <w:name w:val="Normal after title0"/>
    <w:basedOn w:val="Normal"/>
    <w:next w:val="Normal"/>
    <w:pPr>
      <w:tabs>
        <w:tab w:val="clear" w:pos="794"/>
        <w:tab w:val="clear" w:pos="1191"/>
        <w:tab w:val="clear" w:pos="1588"/>
        <w:tab w:val="clear" w:pos="1985"/>
        <w:tab w:val="left" w:pos="1134"/>
        <w:tab w:val="left" w:pos="1871"/>
        <w:tab w:val="left" w:pos="2268"/>
      </w:tabs>
      <w:spacing w:before="280"/>
    </w:pPr>
    <w:rPr>
      <w:lang w:val="en-GB" w:eastAsia="en-US"/>
    </w:rPr>
  </w:style>
  <w:style w:type="paragraph" w:customStyle="1" w:styleId="HeadingSummary">
    <w:name w:val="HeadingSummary"/>
    <w:basedOn w:val="Headingb"/>
    <w:qFormat/>
    <w:pPr>
      <w:tabs>
        <w:tab w:val="clear" w:pos="794"/>
        <w:tab w:val="clear" w:pos="1191"/>
        <w:tab w:val="clear" w:pos="1588"/>
        <w:tab w:val="clear" w:pos="1985"/>
        <w:tab w:val="left" w:pos="1134"/>
        <w:tab w:val="left" w:pos="1871"/>
        <w:tab w:val="left" w:pos="2268"/>
      </w:tabs>
    </w:pPr>
    <w:rPr>
      <w:rFonts w:ascii="Times New Roman Bold" w:hAnsi="Times New Roman Bold" w:cs="Times New Roman Bold"/>
      <w:lang w:val="fr-CH" w:eastAsia="en-US"/>
    </w:rPr>
  </w:style>
  <w:style w:type="paragraph" w:customStyle="1" w:styleId="Headingib">
    <w:name w:val="Heading_ib"/>
    <w:basedOn w:val="Headingi"/>
    <w:next w:val="Normal"/>
    <w:qFormat/>
    <w:rPr>
      <w:rFonts w:eastAsiaTheme="minorHAnsi"/>
      <w:b/>
      <w:bCs/>
      <w:lang w:val="en-GB" w:eastAsia="ja-JP"/>
    </w:rPr>
  </w:style>
  <w:style w:type="paragraph" w:customStyle="1" w:styleId="NormalITU">
    <w:name w:val="Normal_ITU"/>
    <w:basedOn w:val="Normal"/>
    <w:pPr>
      <w:tabs>
        <w:tab w:val="clear" w:pos="794"/>
        <w:tab w:val="clear" w:pos="1191"/>
        <w:tab w:val="clear" w:pos="1588"/>
        <w:tab w:val="clear" w:pos="1985"/>
      </w:tabs>
      <w:overflowPunct/>
      <w:textAlignment w:val="auto"/>
    </w:pPr>
    <w:rPr>
      <w:rFonts w:eastAsia="MS Mincho" w:cs="Arial"/>
      <w:lang w:eastAsia="en-US"/>
    </w:rPr>
  </w:style>
  <w:style w:type="table" w:customStyle="1" w:styleId="ListTable4-Accent11">
    <w:name w:val="List Table 4 - Accent 11"/>
    <w:basedOn w:val="TableNormal"/>
    <w:uiPriority w:val="49"/>
    <w:rPr>
      <w:rFonts w:asciiTheme="minorHAnsi" w:eastAsia="Batang" w:hAnsiTheme="minorHAnsi" w:cstheme="minorBidi"/>
      <w:kern w:val="24"/>
      <w:sz w:val="22"/>
      <w:szCs w:val="22"/>
      <w:lang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ategory">
    <w:name w:val="category"/>
    <w:basedOn w:val="DefaultParagraphFont"/>
  </w:style>
  <w:style w:type="character" w:customStyle="1" w:styleId="NormalWebChar">
    <w:name w:val="Normal (Web) Char"/>
    <w:link w:val="NormalWeb"/>
    <w:uiPriority w:val="99"/>
    <w:locked/>
    <w:rPr>
      <w:rFonts w:ascii="Gulim" w:eastAsia="Gulim" w:hAnsi="Gulim"/>
      <w:sz w:val="24"/>
      <w:szCs w:val="24"/>
      <w:lang w:eastAsia="ko-KR"/>
    </w:rPr>
  </w:style>
  <w:style w:type="character" w:customStyle="1" w:styleId="author1">
    <w:name w:val="author1"/>
    <w:basedOn w:val="DefaultParagraphFont"/>
    <w:rPr>
      <w:rFonts w:ascii="Georgia" w:hAnsi="Georgia" w:hint="default"/>
      <w:i w:val="0"/>
      <w:iCs w:val="0"/>
    </w:rPr>
  </w:style>
  <w:style w:type="character" w:customStyle="1" w:styleId="comments-link">
    <w:name w:val="comments-link"/>
    <w:basedOn w:val="DefaultParagraphFont"/>
  </w:style>
  <w:style w:type="character" w:customStyle="1" w:styleId="category1">
    <w:name w:val="category1"/>
    <w:basedOn w:val="DefaultParagraphFont"/>
    <w:rPr>
      <w:rFonts w:ascii="Bitter" w:hAnsi="Bitter" w:hint="default"/>
      <w:i w:val="0"/>
      <w:iCs w:val="0"/>
    </w:rPr>
  </w:style>
  <w:style w:type="character" w:customStyle="1" w:styleId="ms-rtethemeforecolor-5-0">
    <w:name w:val="ms-rtethemeforecolor-5-0"/>
    <w:basedOn w:val="DefaultParagraphFont"/>
  </w:style>
  <w:style w:type="character" w:customStyle="1" w:styleId="apple-converted-space">
    <w:name w:val="apple-converted-space"/>
    <w:basedOn w:val="DefaultParagraphFont"/>
  </w:style>
  <w:style w:type="character" w:customStyle="1" w:styleId="ColorfulList-Accent1Char">
    <w:name w:val="Colorful List - Accent 1 Char"/>
    <w:link w:val="ColorfulList-Accent1"/>
    <w:uiPriority w:val="34"/>
    <w:locked/>
    <w:rPr>
      <w:rFonts w:ascii="Calibri" w:eastAsia="Malgun Gothic" w:hAnsi="Calibri"/>
      <w:sz w:val="22"/>
      <w:szCs w:val="22"/>
      <w:lang w:eastAsia="ja-JP"/>
    </w:rPr>
  </w:style>
  <w:style w:type="table" w:styleId="ColorfulList-Accent1">
    <w:name w:val="Colorful List Accent 1"/>
    <w:basedOn w:val="TableNormal"/>
    <w:link w:val="ColorfulList-Accent1Char"/>
    <w:uiPriority w:val="34"/>
    <w:semiHidden/>
    <w:unhideWhenUsed/>
    <w:rPr>
      <w:rFonts w:ascii="Calibri" w:eastAsia="Malgun Gothic" w:hAnsi="Calibri"/>
      <w:sz w:val="22"/>
      <w:szCs w:val="22"/>
      <w:lang w:eastAsia="ja-JP"/>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WSIS">
    <w:name w:val="normal WSIS"/>
    <w:basedOn w:val="ListParagraph"/>
    <w:link w:val="normalWSISChar"/>
    <w:qFormat/>
    <w:pPr>
      <w:numPr>
        <w:numId w:val="14"/>
      </w:numPr>
      <w:tabs>
        <w:tab w:val="left" w:pos="426"/>
      </w:tabs>
      <w:spacing w:before="120" w:after="200"/>
      <w:contextualSpacing w:val="0"/>
      <w:jc w:val="both"/>
    </w:pPr>
    <w:rPr>
      <w:rFonts w:ascii="Calibri" w:eastAsia="SimSun" w:hAnsi="Calibri" w:cs="Arial"/>
      <w:sz w:val="22"/>
      <w:szCs w:val="22"/>
    </w:rPr>
  </w:style>
  <w:style w:type="character" w:customStyle="1" w:styleId="normalWSISChar">
    <w:name w:val="normal WSIS Char"/>
    <w:basedOn w:val="ListParagraphChar"/>
    <w:link w:val="normalWSIS"/>
    <w:rPr>
      <w:rFonts w:ascii="Calibri" w:eastAsia="SimSun" w:hAnsi="Calibri" w:cs="Arial"/>
      <w:sz w:val="22"/>
      <w:szCs w:val="22"/>
    </w:rPr>
  </w:style>
  <w:style w:type="character" w:customStyle="1" w:styleId="entry-content">
    <w:name w:val="entry-content"/>
    <w:basedOn w:val="DefaultParagraphFont"/>
    <w:uiPriority w:val="99"/>
    <w:rPr>
      <w:rFonts w:cs="Times New Roman"/>
    </w:rPr>
  </w:style>
  <w:style w:type="paragraph" w:customStyle="1" w:styleId="flow-text4">
    <w:name w:val="flow-text4"/>
    <w:basedOn w:val="Normal"/>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rPr>
  </w:style>
  <w:style w:type="paragraph" w:customStyle="1" w:styleId="authorintro">
    <w:name w:val="authorintro"/>
    <w:basedOn w:val="Normal"/>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GB"/>
    </w:rPr>
  </w:style>
  <w:style w:type="character" w:customStyle="1" w:styleId="ms-rtefontface-31">
    <w:name w:val="ms-rtefontface-31"/>
    <w:basedOn w:val="DefaultParagraphFont"/>
    <w:rsid w:val="00AC3158"/>
    <w:rPr>
      <w:rFonts w:ascii="Times New Roman" w:hAnsi="Times New Roman" w:cs="Times New Roman" w:hint="default"/>
    </w:rPr>
  </w:style>
  <w:style w:type="character" w:customStyle="1" w:styleId="UnresolvedMention">
    <w:name w:val="Unresolved Mention"/>
    <w:basedOn w:val="DefaultParagraphFont"/>
    <w:uiPriority w:val="99"/>
    <w:semiHidden/>
    <w:unhideWhenUsed/>
    <w:rsid w:val="0002651A"/>
    <w:rPr>
      <w:color w:val="808080"/>
      <w:shd w:val="clear" w:color="auto" w:fill="E6E6E6"/>
    </w:rPr>
  </w:style>
  <w:style w:type="paragraph" w:customStyle="1" w:styleId="TextA">
    <w:name w:val="Text A"/>
    <w:rsid w:val="000A0D69"/>
    <w:pPr>
      <w:pBdr>
        <w:top w:val="nil"/>
        <w:left w:val="nil"/>
        <w:bottom w:val="nil"/>
        <w:right w:val="nil"/>
        <w:between w:val="nil"/>
        <w:bar w:val="nil"/>
      </w:pBdr>
      <w:spacing w:before="120"/>
    </w:pPr>
    <w:rPr>
      <w:rFonts w:eastAsia="Arial Unicode MS" w:cs="Arial Unicode MS"/>
      <w:color w:val="000000"/>
      <w:sz w:val="24"/>
      <w:szCs w:val="24"/>
      <w:u w:color="000000"/>
      <w:bdr w:val="ni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3466">
      <w:bodyDiv w:val="1"/>
      <w:marLeft w:val="0"/>
      <w:marRight w:val="0"/>
      <w:marTop w:val="0"/>
      <w:marBottom w:val="0"/>
      <w:divBdr>
        <w:top w:val="none" w:sz="0" w:space="0" w:color="auto"/>
        <w:left w:val="none" w:sz="0" w:space="0" w:color="auto"/>
        <w:bottom w:val="none" w:sz="0" w:space="0" w:color="auto"/>
        <w:right w:val="none" w:sz="0" w:space="0" w:color="auto"/>
      </w:divBdr>
    </w:div>
    <w:div w:id="16856139">
      <w:bodyDiv w:val="1"/>
      <w:marLeft w:val="0"/>
      <w:marRight w:val="0"/>
      <w:marTop w:val="0"/>
      <w:marBottom w:val="0"/>
      <w:divBdr>
        <w:top w:val="none" w:sz="0" w:space="0" w:color="auto"/>
        <w:left w:val="none" w:sz="0" w:space="0" w:color="auto"/>
        <w:bottom w:val="none" w:sz="0" w:space="0" w:color="auto"/>
        <w:right w:val="none" w:sz="0" w:space="0" w:color="auto"/>
      </w:divBdr>
    </w:div>
    <w:div w:id="27411588">
      <w:bodyDiv w:val="1"/>
      <w:marLeft w:val="0"/>
      <w:marRight w:val="0"/>
      <w:marTop w:val="0"/>
      <w:marBottom w:val="0"/>
      <w:divBdr>
        <w:top w:val="none" w:sz="0" w:space="0" w:color="auto"/>
        <w:left w:val="none" w:sz="0" w:space="0" w:color="auto"/>
        <w:bottom w:val="none" w:sz="0" w:space="0" w:color="auto"/>
        <w:right w:val="none" w:sz="0" w:space="0" w:color="auto"/>
      </w:divBdr>
      <w:divsChild>
        <w:div w:id="85884879">
          <w:marLeft w:val="0"/>
          <w:marRight w:val="0"/>
          <w:marTop w:val="0"/>
          <w:marBottom w:val="0"/>
          <w:divBdr>
            <w:top w:val="none" w:sz="0" w:space="0" w:color="auto"/>
            <w:left w:val="none" w:sz="0" w:space="0" w:color="auto"/>
            <w:bottom w:val="none" w:sz="0" w:space="0" w:color="auto"/>
            <w:right w:val="none" w:sz="0" w:space="0" w:color="auto"/>
          </w:divBdr>
        </w:div>
        <w:div w:id="455871696">
          <w:blockQuote w:val="1"/>
          <w:marLeft w:val="-1900"/>
          <w:marRight w:val="0"/>
          <w:marTop w:val="300"/>
          <w:marBottom w:val="300"/>
          <w:divBdr>
            <w:top w:val="none" w:sz="0" w:space="0" w:color="auto"/>
            <w:left w:val="none" w:sz="0" w:space="0" w:color="auto"/>
            <w:bottom w:val="none" w:sz="0" w:space="0" w:color="auto"/>
            <w:right w:val="none" w:sz="0" w:space="0" w:color="auto"/>
          </w:divBdr>
        </w:div>
        <w:div w:id="799885998">
          <w:marLeft w:val="0"/>
          <w:marRight w:val="0"/>
          <w:marTop w:val="0"/>
          <w:marBottom w:val="0"/>
          <w:divBdr>
            <w:top w:val="none" w:sz="0" w:space="0" w:color="auto"/>
            <w:left w:val="none" w:sz="0" w:space="0" w:color="auto"/>
            <w:bottom w:val="none" w:sz="0" w:space="0" w:color="auto"/>
            <w:right w:val="none" w:sz="0" w:space="0" w:color="auto"/>
          </w:divBdr>
          <w:divsChild>
            <w:div w:id="834805913">
              <w:marLeft w:val="0"/>
              <w:marRight w:val="0"/>
              <w:marTop w:val="0"/>
              <w:marBottom w:val="0"/>
              <w:divBdr>
                <w:top w:val="none" w:sz="0" w:space="0" w:color="auto"/>
                <w:left w:val="none" w:sz="0" w:space="0" w:color="auto"/>
                <w:bottom w:val="none" w:sz="0" w:space="0" w:color="auto"/>
                <w:right w:val="none" w:sz="0" w:space="0" w:color="auto"/>
              </w:divBdr>
            </w:div>
          </w:divsChild>
        </w:div>
        <w:div w:id="900168230">
          <w:marLeft w:val="0"/>
          <w:marRight w:val="0"/>
          <w:marTop w:val="0"/>
          <w:marBottom w:val="0"/>
          <w:divBdr>
            <w:top w:val="none" w:sz="0" w:space="0" w:color="auto"/>
            <w:left w:val="none" w:sz="0" w:space="0" w:color="auto"/>
            <w:bottom w:val="none" w:sz="0" w:space="0" w:color="auto"/>
            <w:right w:val="none" w:sz="0" w:space="0" w:color="auto"/>
          </w:divBdr>
        </w:div>
        <w:div w:id="1395279153">
          <w:marLeft w:val="0"/>
          <w:marRight w:val="0"/>
          <w:marTop w:val="0"/>
          <w:marBottom w:val="0"/>
          <w:divBdr>
            <w:top w:val="none" w:sz="0" w:space="0" w:color="auto"/>
            <w:left w:val="none" w:sz="0" w:space="0" w:color="auto"/>
            <w:bottom w:val="none" w:sz="0" w:space="0" w:color="auto"/>
            <w:right w:val="none" w:sz="0" w:space="0" w:color="auto"/>
          </w:divBdr>
        </w:div>
        <w:div w:id="2143844398">
          <w:marLeft w:val="0"/>
          <w:marRight w:val="0"/>
          <w:marTop w:val="0"/>
          <w:marBottom w:val="0"/>
          <w:divBdr>
            <w:top w:val="none" w:sz="0" w:space="0" w:color="auto"/>
            <w:left w:val="none" w:sz="0" w:space="0" w:color="auto"/>
            <w:bottom w:val="none" w:sz="0" w:space="0" w:color="auto"/>
            <w:right w:val="none" w:sz="0" w:space="0" w:color="auto"/>
          </w:divBdr>
        </w:div>
      </w:divsChild>
    </w:div>
    <w:div w:id="33846520">
      <w:bodyDiv w:val="1"/>
      <w:marLeft w:val="0"/>
      <w:marRight w:val="0"/>
      <w:marTop w:val="0"/>
      <w:marBottom w:val="0"/>
      <w:divBdr>
        <w:top w:val="none" w:sz="0" w:space="0" w:color="auto"/>
        <w:left w:val="none" w:sz="0" w:space="0" w:color="auto"/>
        <w:bottom w:val="none" w:sz="0" w:space="0" w:color="auto"/>
        <w:right w:val="none" w:sz="0" w:space="0" w:color="auto"/>
      </w:divBdr>
    </w:div>
    <w:div w:id="70467192">
      <w:bodyDiv w:val="1"/>
      <w:marLeft w:val="0"/>
      <w:marRight w:val="0"/>
      <w:marTop w:val="0"/>
      <w:marBottom w:val="0"/>
      <w:divBdr>
        <w:top w:val="none" w:sz="0" w:space="0" w:color="auto"/>
        <w:left w:val="none" w:sz="0" w:space="0" w:color="auto"/>
        <w:bottom w:val="none" w:sz="0" w:space="0" w:color="auto"/>
        <w:right w:val="none" w:sz="0" w:space="0" w:color="auto"/>
      </w:divBdr>
      <w:divsChild>
        <w:div w:id="190994414">
          <w:marLeft w:val="0"/>
          <w:marRight w:val="0"/>
          <w:marTop w:val="0"/>
          <w:marBottom w:val="0"/>
          <w:divBdr>
            <w:top w:val="none" w:sz="0" w:space="0" w:color="auto"/>
            <w:left w:val="none" w:sz="0" w:space="0" w:color="auto"/>
            <w:bottom w:val="none" w:sz="0" w:space="0" w:color="auto"/>
            <w:right w:val="none" w:sz="0" w:space="0" w:color="auto"/>
          </w:divBdr>
        </w:div>
        <w:div w:id="1882553179">
          <w:marLeft w:val="0"/>
          <w:marRight w:val="0"/>
          <w:marTop w:val="0"/>
          <w:marBottom w:val="0"/>
          <w:divBdr>
            <w:top w:val="none" w:sz="0" w:space="0" w:color="auto"/>
            <w:left w:val="none" w:sz="0" w:space="0" w:color="auto"/>
            <w:bottom w:val="none" w:sz="0" w:space="0" w:color="auto"/>
            <w:right w:val="none" w:sz="0" w:space="0" w:color="auto"/>
          </w:divBdr>
        </w:div>
      </w:divsChild>
    </w:div>
    <w:div w:id="75712552">
      <w:bodyDiv w:val="1"/>
      <w:marLeft w:val="0"/>
      <w:marRight w:val="0"/>
      <w:marTop w:val="0"/>
      <w:marBottom w:val="0"/>
      <w:divBdr>
        <w:top w:val="none" w:sz="0" w:space="0" w:color="auto"/>
        <w:left w:val="none" w:sz="0" w:space="0" w:color="auto"/>
        <w:bottom w:val="none" w:sz="0" w:space="0" w:color="auto"/>
        <w:right w:val="none" w:sz="0" w:space="0" w:color="auto"/>
      </w:divBdr>
    </w:div>
    <w:div w:id="77332761">
      <w:bodyDiv w:val="1"/>
      <w:marLeft w:val="0"/>
      <w:marRight w:val="0"/>
      <w:marTop w:val="0"/>
      <w:marBottom w:val="0"/>
      <w:divBdr>
        <w:top w:val="none" w:sz="0" w:space="0" w:color="auto"/>
        <w:left w:val="none" w:sz="0" w:space="0" w:color="auto"/>
        <w:bottom w:val="none" w:sz="0" w:space="0" w:color="auto"/>
        <w:right w:val="none" w:sz="0" w:space="0" w:color="auto"/>
      </w:divBdr>
    </w:div>
    <w:div w:id="79758713">
      <w:bodyDiv w:val="1"/>
      <w:marLeft w:val="0"/>
      <w:marRight w:val="0"/>
      <w:marTop w:val="0"/>
      <w:marBottom w:val="0"/>
      <w:divBdr>
        <w:top w:val="none" w:sz="0" w:space="0" w:color="auto"/>
        <w:left w:val="none" w:sz="0" w:space="0" w:color="auto"/>
        <w:bottom w:val="none" w:sz="0" w:space="0" w:color="auto"/>
        <w:right w:val="none" w:sz="0" w:space="0" w:color="auto"/>
      </w:divBdr>
    </w:div>
    <w:div w:id="80638407">
      <w:bodyDiv w:val="1"/>
      <w:marLeft w:val="0"/>
      <w:marRight w:val="0"/>
      <w:marTop w:val="0"/>
      <w:marBottom w:val="0"/>
      <w:divBdr>
        <w:top w:val="none" w:sz="0" w:space="0" w:color="auto"/>
        <w:left w:val="none" w:sz="0" w:space="0" w:color="auto"/>
        <w:bottom w:val="none" w:sz="0" w:space="0" w:color="auto"/>
        <w:right w:val="none" w:sz="0" w:space="0" w:color="auto"/>
      </w:divBdr>
    </w:div>
    <w:div w:id="86468858">
      <w:bodyDiv w:val="1"/>
      <w:marLeft w:val="0"/>
      <w:marRight w:val="0"/>
      <w:marTop w:val="0"/>
      <w:marBottom w:val="0"/>
      <w:divBdr>
        <w:top w:val="none" w:sz="0" w:space="0" w:color="auto"/>
        <w:left w:val="none" w:sz="0" w:space="0" w:color="auto"/>
        <w:bottom w:val="none" w:sz="0" w:space="0" w:color="auto"/>
        <w:right w:val="none" w:sz="0" w:space="0" w:color="auto"/>
      </w:divBdr>
    </w:div>
    <w:div w:id="88935080">
      <w:bodyDiv w:val="1"/>
      <w:marLeft w:val="0"/>
      <w:marRight w:val="0"/>
      <w:marTop w:val="0"/>
      <w:marBottom w:val="0"/>
      <w:divBdr>
        <w:top w:val="none" w:sz="0" w:space="0" w:color="auto"/>
        <w:left w:val="none" w:sz="0" w:space="0" w:color="auto"/>
        <w:bottom w:val="none" w:sz="0" w:space="0" w:color="auto"/>
        <w:right w:val="none" w:sz="0" w:space="0" w:color="auto"/>
      </w:divBdr>
      <w:divsChild>
        <w:div w:id="140271244">
          <w:marLeft w:val="0"/>
          <w:marRight w:val="0"/>
          <w:marTop w:val="0"/>
          <w:marBottom w:val="0"/>
          <w:divBdr>
            <w:top w:val="none" w:sz="0" w:space="0" w:color="auto"/>
            <w:left w:val="none" w:sz="0" w:space="0" w:color="auto"/>
            <w:bottom w:val="none" w:sz="0" w:space="0" w:color="auto"/>
            <w:right w:val="none" w:sz="0" w:space="0" w:color="auto"/>
          </w:divBdr>
        </w:div>
        <w:div w:id="1211723637">
          <w:marLeft w:val="0"/>
          <w:marRight w:val="0"/>
          <w:marTop w:val="0"/>
          <w:marBottom w:val="0"/>
          <w:divBdr>
            <w:top w:val="none" w:sz="0" w:space="0" w:color="auto"/>
            <w:left w:val="none" w:sz="0" w:space="0" w:color="auto"/>
            <w:bottom w:val="none" w:sz="0" w:space="0" w:color="auto"/>
            <w:right w:val="none" w:sz="0" w:space="0" w:color="auto"/>
          </w:divBdr>
        </w:div>
      </w:divsChild>
    </w:div>
    <w:div w:id="99037102">
      <w:bodyDiv w:val="1"/>
      <w:marLeft w:val="0"/>
      <w:marRight w:val="0"/>
      <w:marTop w:val="0"/>
      <w:marBottom w:val="0"/>
      <w:divBdr>
        <w:top w:val="none" w:sz="0" w:space="0" w:color="auto"/>
        <w:left w:val="none" w:sz="0" w:space="0" w:color="auto"/>
        <w:bottom w:val="none" w:sz="0" w:space="0" w:color="auto"/>
        <w:right w:val="none" w:sz="0" w:space="0" w:color="auto"/>
      </w:divBdr>
    </w:div>
    <w:div w:id="111948111">
      <w:bodyDiv w:val="1"/>
      <w:marLeft w:val="0"/>
      <w:marRight w:val="0"/>
      <w:marTop w:val="0"/>
      <w:marBottom w:val="0"/>
      <w:divBdr>
        <w:top w:val="none" w:sz="0" w:space="0" w:color="auto"/>
        <w:left w:val="none" w:sz="0" w:space="0" w:color="auto"/>
        <w:bottom w:val="none" w:sz="0" w:space="0" w:color="auto"/>
        <w:right w:val="none" w:sz="0" w:space="0" w:color="auto"/>
      </w:divBdr>
    </w:div>
    <w:div w:id="139808010">
      <w:bodyDiv w:val="1"/>
      <w:marLeft w:val="0"/>
      <w:marRight w:val="0"/>
      <w:marTop w:val="0"/>
      <w:marBottom w:val="0"/>
      <w:divBdr>
        <w:top w:val="none" w:sz="0" w:space="0" w:color="auto"/>
        <w:left w:val="none" w:sz="0" w:space="0" w:color="auto"/>
        <w:bottom w:val="none" w:sz="0" w:space="0" w:color="auto"/>
        <w:right w:val="none" w:sz="0" w:space="0" w:color="auto"/>
      </w:divBdr>
    </w:div>
    <w:div w:id="140004706">
      <w:bodyDiv w:val="1"/>
      <w:marLeft w:val="0"/>
      <w:marRight w:val="0"/>
      <w:marTop w:val="0"/>
      <w:marBottom w:val="0"/>
      <w:divBdr>
        <w:top w:val="none" w:sz="0" w:space="0" w:color="auto"/>
        <w:left w:val="none" w:sz="0" w:space="0" w:color="auto"/>
        <w:bottom w:val="none" w:sz="0" w:space="0" w:color="auto"/>
        <w:right w:val="none" w:sz="0" w:space="0" w:color="auto"/>
      </w:divBdr>
    </w:div>
    <w:div w:id="157161892">
      <w:bodyDiv w:val="1"/>
      <w:marLeft w:val="0"/>
      <w:marRight w:val="0"/>
      <w:marTop w:val="0"/>
      <w:marBottom w:val="0"/>
      <w:divBdr>
        <w:top w:val="none" w:sz="0" w:space="0" w:color="auto"/>
        <w:left w:val="none" w:sz="0" w:space="0" w:color="auto"/>
        <w:bottom w:val="none" w:sz="0" w:space="0" w:color="auto"/>
        <w:right w:val="none" w:sz="0" w:space="0" w:color="auto"/>
      </w:divBdr>
    </w:div>
    <w:div w:id="176506167">
      <w:bodyDiv w:val="1"/>
      <w:marLeft w:val="0"/>
      <w:marRight w:val="0"/>
      <w:marTop w:val="0"/>
      <w:marBottom w:val="0"/>
      <w:divBdr>
        <w:top w:val="none" w:sz="0" w:space="0" w:color="auto"/>
        <w:left w:val="none" w:sz="0" w:space="0" w:color="auto"/>
        <w:bottom w:val="none" w:sz="0" w:space="0" w:color="auto"/>
        <w:right w:val="none" w:sz="0" w:space="0" w:color="auto"/>
      </w:divBdr>
      <w:divsChild>
        <w:div w:id="1723482347">
          <w:marLeft w:val="0"/>
          <w:marRight w:val="0"/>
          <w:marTop w:val="0"/>
          <w:marBottom w:val="0"/>
          <w:divBdr>
            <w:top w:val="none" w:sz="0" w:space="0" w:color="auto"/>
            <w:left w:val="none" w:sz="0" w:space="0" w:color="auto"/>
            <w:bottom w:val="none" w:sz="0" w:space="0" w:color="auto"/>
            <w:right w:val="none" w:sz="0" w:space="0" w:color="auto"/>
          </w:divBdr>
          <w:divsChild>
            <w:div w:id="727648096">
              <w:marLeft w:val="0"/>
              <w:marRight w:val="0"/>
              <w:marTop w:val="0"/>
              <w:marBottom w:val="0"/>
              <w:divBdr>
                <w:top w:val="none" w:sz="0" w:space="0" w:color="auto"/>
                <w:left w:val="none" w:sz="0" w:space="0" w:color="auto"/>
                <w:bottom w:val="none" w:sz="0" w:space="0" w:color="auto"/>
                <w:right w:val="none" w:sz="0" w:space="0" w:color="auto"/>
              </w:divBdr>
              <w:divsChild>
                <w:div w:id="783184668">
                  <w:marLeft w:val="0"/>
                  <w:marRight w:val="0"/>
                  <w:marTop w:val="0"/>
                  <w:marBottom w:val="0"/>
                  <w:divBdr>
                    <w:top w:val="none" w:sz="0" w:space="0" w:color="auto"/>
                    <w:left w:val="none" w:sz="0" w:space="0" w:color="auto"/>
                    <w:bottom w:val="none" w:sz="0" w:space="0" w:color="auto"/>
                    <w:right w:val="none" w:sz="0" w:space="0" w:color="auto"/>
                  </w:divBdr>
                  <w:divsChild>
                    <w:div w:id="341318926">
                      <w:marLeft w:val="0"/>
                      <w:marRight w:val="0"/>
                      <w:marTop w:val="0"/>
                      <w:marBottom w:val="450"/>
                      <w:divBdr>
                        <w:top w:val="none" w:sz="0" w:space="0" w:color="auto"/>
                        <w:left w:val="none" w:sz="0" w:space="0" w:color="auto"/>
                        <w:bottom w:val="none" w:sz="0" w:space="0" w:color="auto"/>
                        <w:right w:val="none" w:sz="0" w:space="0" w:color="auto"/>
                      </w:divBdr>
                      <w:divsChild>
                        <w:div w:id="1801339889">
                          <w:marLeft w:val="0"/>
                          <w:marRight w:val="0"/>
                          <w:marTop w:val="0"/>
                          <w:marBottom w:val="0"/>
                          <w:divBdr>
                            <w:top w:val="none" w:sz="0" w:space="0" w:color="auto"/>
                            <w:left w:val="none" w:sz="0" w:space="0" w:color="auto"/>
                            <w:bottom w:val="none" w:sz="0" w:space="0" w:color="auto"/>
                            <w:right w:val="none" w:sz="0" w:space="0" w:color="auto"/>
                          </w:divBdr>
                          <w:divsChild>
                            <w:div w:id="1861972612">
                              <w:marLeft w:val="0"/>
                              <w:marRight w:val="0"/>
                              <w:marTop w:val="0"/>
                              <w:marBottom w:val="300"/>
                              <w:divBdr>
                                <w:top w:val="none" w:sz="0" w:space="0" w:color="auto"/>
                                <w:left w:val="none" w:sz="0" w:space="0" w:color="auto"/>
                                <w:bottom w:val="single" w:sz="6" w:space="4" w:color="E5E5E5"/>
                                <w:right w:val="none" w:sz="0" w:space="0" w:color="auto"/>
                              </w:divBdr>
                              <w:divsChild>
                                <w:div w:id="38172229">
                                  <w:marLeft w:val="0"/>
                                  <w:marRight w:val="0"/>
                                  <w:marTop w:val="0"/>
                                  <w:marBottom w:val="0"/>
                                  <w:divBdr>
                                    <w:top w:val="none" w:sz="0" w:space="0" w:color="auto"/>
                                    <w:left w:val="none" w:sz="0" w:space="0" w:color="auto"/>
                                    <w:bottom w:val="none" w:sz="0" w:space="0" w:color="auto"/>
                                    <w:right w:val="none" w:sz="0" w:space="0" w:color="auto"/>
                                  </w:divBdr>
                                  <w:divsChild>
                                    <w:div w:id="1079331522">
                                      <w:marLeft w:val="0"/>
                                      <w:marRight w:val="0"/>
                                      <w:marTop w:val="0"/>
                                      <w:marBottom w:val="0"/>
                                      <w:divBdr>
                                        <w:top w:val="none" w:sz="0" w:space="0" w:color="auto"/>
                                        <w:left w:val="none" w:sz="0" w:space="0" w:color="auto"/>
                                        <w:bottom w:val="none" w:sz="0" w:space="0" w:color="auto"/>
                                        <w:right w:val="none" w:sz="0" w:space="0" w:color="auto"/>
                                      </w:divBdr>
                                    </w:div>
                                    <w:div w:id="197108353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634120">
      <w:bodyDiv w:val="1"/>
      <w:marLeft w:val="0"/>
      <w:marRight w:val="0"/>
      <w:marTop w:val="0"/>
      <w:marBottom w:val="0"/>
      <w:divBdr>
        <w:top w:val="none" w:sz="0" w:space="0" w:color="auto"/>
        <w:left w:val="none" w:sz="0" w:space="0" w:color="auto"/>
        <w:bottom w:val="none" w:sz="0" w:space="0" w:color="auto"/>
        <w:right w:val="none" w:sz="0" w:space="0" w:color="auto"/>
      </w:divBdr>
      <w:divsChild>
        <w:div w:id="156919792">
          <w:marLeft w:val="0"/>
          <w:marRight w:val="0"/>
          <w:marTop w:val="0"/>
          <w:marBottom w:val="0"/>
          <w:divBdr>
            <w:top w:val="none" w:sz="0" w:space="0" w:color="auto"/>
            <w:left w:val="none" w:sz="0" w:space="0" w:color="auto"/>
            <w:bottom w:val="none" w:sz="0" w:space="0" w:color="auto"/>
            <w:right w:val="none" w:sz="0" w:space="0" w:color="auto"/>
          </w:divBdr>
        </w:div>
        <w:div w:id="272133479">
          <w:marLeft w:val="0"/>
          <w:marRight w:val="0"/>
          <w:marTop w:val="0"/>
          <w:marBottom w:val="0"/>
          <w:divBdr>
            <w:top w:val="none" w:sz="0" w:space="0" w:color="auto"/>
            <w:left w:val="none" w:sz="0" w:space="0" w:color="auto"/>
            <w:bottom w:val="none" w:sz="0" w:space="0" w:color="auto"/>
            <w:right w:val="none" w:sz="0" w:space="0" w:color="auto"/>
          </w:divBdr>
        </w:div>
        <w:div w:id="568999263">
          <w:marLeft w:val="0"/>
          <w:marRight w:val="0"/>
          <w:marTop w:val="0"/>
          <w:marBottom w:val="0"/>
          <w:divBdr>
            <w:top w:val="none" w:sz="0" w:space="0" w:color="auto"/>
            <w:left w:val="none" w:sz="0" w:space="0" w:color="auto"/>
            <w:bottom w:val="none" w:sz="0" w:space="0" w:color="auto"/>
            <w:right w:val="none" w:sz="0" w:space="0" w:color="auto"/>
          </w:divBdr>
        </w:div>
        <w:div w:id="773015614">
          <w:marLeft w:val="0"/>
          <w:marRight w:val="0"/>
          <w:marTop w:val="0"/>
          <w:marBottom w:val="0"/>
          <w:divBdr>
            <w:top w:val="none" w:sz="0" w:space="0" w:color="auto"/>
            <w:left w:val="none" w:sz="0" w:space="0" w:color="auto"/>
            <w:bottom w:val="none" w:sz="0" w:space="0" w:color="auto"/>
            <w:right w:val="none" w:sz="0" w:space="0" w:color="auto"/>
          </w:divBdr>
        </w:div>
      </w:divsChild>
    </w:div>
    <w:div w:id="244874993">
      <w:bodyDiv w:val="1"/>
      <w:marLeft w:val="0"/>
      <w:marRight w:val="0"/>
      <w:marTop w:val="0"/>
      <w:marBottom w:val="0"/>
      <w:divBdr>
        <w:top w:val="none" w:sz="0" w:space="0" w:color="auto"/>
        <w:left w:val="none" w:sz="0" w:space="0" w:color="auto"/>
        <w:bottom w:val="none" w:sz="0" w:space="0" w:color="auto"/>
        <w:right w:val="none" w:sz="0" w:space="0" w:color="auto"/>
      </w:divBdr>
    </w:div>
    <w:div w:id="246112489">
      <w:bodyDiv w:val="1"/>
      <w:marLeft w:val="0"/>
      <w:marRight w:val="0"/>
      <w:marTop w:val="0"/>
      <w:marBottom w:val="0"/>
      <w:divBdr>
        <w:top w:val="none" w:sz="0" w:space="0" w:color="auto"/>
        <w:left w:val="none" w:sz="0" w:space="0" w:color="auto"/>
        <w:bottom w:val="none" w:sz="0" w:space="0" w:color="auto"/>
        <w:right w:val="none" w:sz="0" w:space="0" w:color="auto"/>
      </w:divBdr>
    </w:div>
    <w:div w:id="250116579">
      <w:bodyDiv w:val="1"/>
      <w:marLeft w:val="0"/>
      <w:marRight w:val="0"/>
      <w:marTop w:val="0"/>
      <w:marBottom w:val="0"/>
      <w:divBdr>
        <w:top w:val="none" w:sz="0" w:space="0" w:color="auto"/>
        <w:left w:val="none" w:sz="0" w:space="0" w:color="auto"/>
        <w:bottom w:val="none" w:sz="0" w:space="0" w:color="auto"/>
        <w:right w:val="none" w:sz="0" w:space="0" w:color="auto"/>
      </w:divBdr>
    </w:div>
    <w:div w:id="253826480">
      <w:bodyDiv w:val="1"/>
      <w:marLeft w:val="0"/>
      <w:marRight w:val="0"/>
      <w:marTop w:val="0"/>
      <w:marBottom w:val="0"/>
      <w:divBdr>
        <w:top w:val="none" w:sz="0" w:space="0" w:color="auto"/>
        <w:left w:val="none" w:sz="0" w:space="0" w:color="auto"/>
        <w:bottom w:val="none" w:sz="0" w:space="0" w:color="auto"/>
        <w:right w:val="none" w:sz="0" w:space="0" w:color="auto"/>
      </w:divBdr>
      <w:divsChild>
        <w:div w:id="71242935">
          <w:marLeft w:val="0"/>
          <w:marRight w:val="0"/>
          <w:marTop w:val="0"/>
          <w:marBottom w:val="0"/>
          <w:divBdr>
            <w:top w:val="none" w:sz="0" w:space="0" w:color="auto"/>
            <w:left w:val="none" w:sz="0" w:space="0" w:color="auto"/>
            <w:bottom w:val="none" w:sz="0" w:space="0" w:color="auto"/>
            <w:right w:val="none" w:sz="0" w:space="0" w:color="auto"/>
          </w:divBdr>
        </w:div>
        <w:div w:id="969016034">
          <w:marLeft w:val="0"/>
          <w:marRight w:val="0"/>
          <w:marTop w:val="0"/>
          <w:marBottom w:val="0"/>
          <w:divBdr>
            <w:top w:val="none" w:sz="0" w:space="0" w:color="auto"/>
            <w:left w:val="none" w:sz="0" w:space="0" w:color="auto"/>
            <w:bottom w:val="none" w:sz="0" w:space="0" w:color="auto"/>
            <w:right w:val="none" w:sz="0" w:space="0" w:color="auto"/>
          </w:divBdr>
        </w:div>
      </w:divsChild>
    </w:div>
    <w:div w:id="263458836">
      <w:bodyDiv w:val="1"/>
      <w:marLeft w:val="0"/>
      <w:marRight w:val="0"/>
      <w:marTop w:val="0"/>
      <w:marBottom w:val="0"/>
      <w:divBdr>
        <w:top w:val="none" w:sz="0" w:space="0" w:color="auto"/>
        <w:left w:val="none" w:sz="0" w:space="0" w:color="auto"/>
        <w:bottom w:val="none" w:sz="0" w:space="0" w:color="auto"/>
        <w:right w:val="none" w:sz="0" w:space="0" w:color="auto"/>
      </w:divBdr>
    </w:div>
    <w:div w:id="272591903">
      <w:bodyDiv w:val="1"/>
      <w:marLeft w:val="0"/>
      <w:marRight w:val="0"/>
      <w:marTop w:val="0"/>
      <w:marBottom w:val="0"/>
      <w:divBdr>
        <w:top w:val="none" w:sz="0" w:space="0" w:color="auto"/>
        <w:left w:val="none" w:sz="0" w:space="0" w:color="auto"/>
        <w:bottom w:val="none" w:sz="0" w:space="0" w:color="auto"/>
        <w:right w:val="none" w:sz="0" w:space="0" w:color="auto"/>
      </w:divBdr>
    </w:div>
    <w:div w:id="316539058">
      <w:bodyDiv w:val="1"/>
      <w:marLeft w:val="0"/>
      <w:marRight w:val="0"/>
      <w:marTop w:val="0"/>
      <w:marBottom w:val="0"/>
      <w:divBdr>
        <w:top w:val="none" w:sz="0" w:space="0" w:color="auto"/>
        <w:left w:val="none" w:sz="0" w:space="0" w:color="auto"/>
        <w:bottom w:val="none" w:sz="0" w:space="0" w:color="auto"/>
        <w:right w:val="none" w:sz="0" w:space="0" w:color="auto"/>
      </w:divBdr>
    </w:div>
    <w:div w:id="338700645">
      <w:bodyDiv w:val="1"/>
      <w:marLeft w:val="0"/>
      <w:marRight w:val="0"/>
      <w:marTop w:val="0"/>
      <w:marBottom w:val="0"/>
      <w:divBdr>
        <w:top w:val="none" w:sz="0" w:space="0" w:color="auto"/>
        <w:left w:val="none" w:sz="0" w:space="0" w:color="auto"/>
        <w:bottom w:val="none" w:sz="0" w:space="0" w:color="auto"/>
        <w:right w:val="none" w:sz="0" w:space="0" w:color="auto"/>
      </w:divBdr>
    </w:div>
    <w:div w:id="374550295">
      <w:bodyDiv w:val="1"/>
      <w:marLeft w:val="0"/>
      <w:marRight w:val="0"/>
      <w:marTop w:val="0"/>
      <w:marBottom w:val="0"/>
      <w:divBdr>
        <w:top w:val="none" w:sz="0" w:space="0" w:color="auto"/>
        <w:left w:val="none" w:sz="0" w:space="0" w:color="auto"/>
        <w:bottom w:val="none" w:sz="0" w:space="0" w:color="auto"/>
        <w:right w:val="none" w:sz="0" w:space="0" w:color="auto"/>
      </w:divBdr>
    </w:div>
    <w:div w:id="381373246">
      <w:bodyDiv w:val="1"/>
      <w:marLeft w:val="0"/>
      <w:marRight w:val="0"/>
      <w:marTop w:val="0"/>
      <w:marBottom w:val="0"/>
      <w:divBdr>
        <w:top w:val="none" w:sz="0" w:space="0" w:color="auto"/>
        <w:left w:val="none" w:sz="0" w:space="0" w:color="auto"/>
        <w:bottom w:val="none" w:sz="0" w:space="0" w:color="auto"/>
        <w:right w:val="none" w:sz="0" w:space="0" w:color="auto"/>
      </w:divBdr>
      <w:divsChild>
        <w:div w:id="2118982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936035">
      <w:bodyDiv w:val="1"/>
      <w:marLeft w:val="0"/>
      <w:marRight w:val="0"/>
      <w:marTop w:val="0"/>
      <w:marBottom w:val="0"/>
      <w:divBdr>
        <w:top w:val="none" w:sz="0" w:space="0" w:color="auto"/>
        <w:left w:val="none" w:sz="0" w:space="0" w:color="auto"/>
        <w:bottom w:val="none" w:sz="0" w:space="0" w:color="auto"/>
        <w:right w:val="none" w:sz="0" w:space="0" w:color="auto"/>
      </w:divBdr>
    </w:div>
    <w:div w:id="429401407">
      <w:bodyDiv w:val="1"/>
      <w:marLeft w:val="0"/>
      <w:marRight w:val="0"/>
      <w:marTop w:val="0"/>
      <w:marBottom w:val="0"/>
      <w:divBdr>
        <w:top w:val="none" w:sz="0" w:space="0" w:color="auto"/>
        <w:left w:val="none" w:sz="0" w:space="0" w:color="auto"/>
        <w:bottom w:val="none" w:sz="0" w:space="0" w:color="auto"/>
        <w:right w:val="none" w:sz="0" w:space="0" w:color="auto"/>
      </w:divBdr>
    </w:div>
    <w:div w:id="483353108">
      <w:bodyDiv w:val="1"/>
      <w:marLeft w:val="0"/>
      <w:marRight w:val="0"/>
      <w:marTop w:val="0"/>
      <w:marBottom w:val="0"/>
      <w:divBdr>
        <w:top w:val="none" w:sz="0" w:space="0" w:color="auto"/>
        <w:left w:val="none" w:sz="0" w:space="0" w:color="auto"/>
        <w:bottom w:val="none" w:sz="0" w:space="0" w:color="auto"/>
        <w:right w:val="none" w:sz="0" w:space="0" w:color="auto"/>
      </w:divBdr>
      <w:divsChild>
        <w:div w:id="1408766197">
          <w:blockQuote w:val="1"/>
          <w:marLeft w:val="-1731"/>
          <w:marRight w:val="0"/>
          <w:marTop w:val="300"/>
          <w:marBottom w:val="300"/>
          <w:divBdr>
            <w:top w:val="none" w:sz="0" w:space="0" w:color="auto"/>
            <w:left w:val="none" w:sz="0" w:space="0" w:color="auto"/>
            <w:bottom w:val="none" w:sz="0" w:space="0" w:color="auto"/>
            <w:right w:val="none" w:sz="0" w:space="0" w:color="auto"/>
          </w:divBdr>
        </w:div>
      </w:divsChild>
    </w:div>
    <w:div w:id="500464393">
      <w:bodyDiv w:val="1"/>
      <w:marLeft w:val="0"/>
      <w:marRight w:val="0"/>
      <w:marTop w:val="0"/>
      <w:marBottom w:val="0"/>
      <w:divBdr>
        <w:top w:val="none" w:sz="0" w:space="0" w:color="auto"/>
        <w:left w:val="none" w:sz="0" w:space="0" w:color="auto"/>
        <w:bottom w:val="none" w:sz="0" w:space="0" w:color="auto"/>
        <w:right w:val="none" w:sz="0" w:space="0" w:color="auto"/>
      </w:divBdr>
    </w:div>
    <w:div w:id="522668733">
      <w:bodyDiv w:val="1"/>
      <w:marLeft w:val="0"/>
      <w:marRight w:val="0"/>
      <w:marTop w:val="0"/>
      <w:marBottom w:val="0"/>
      <w:divBdr>
        <w:top w:val="none" w:sz="0" w:space="0" w:color="auto"/>
        <w:left w:val="none" w:sz="0" w:space="0" w:color="auto"/>
        <w:bottom w:val="none" w:sz="0" w:space="0" w:color="auto"/>
        <w:right w:val="none" w:sz="0" w:space="0" w:color="auto"/>
      </w:divBdr>
    </w:div>
    <w:div w:id="523905202">
      <w:bodyDiv w:val="1"/>
      <w:marLeft w:val="0"/>
      <w:marRight w:val="0"/>
      <w:marTop w:val="0"/>
      <w:marBottom w:val="0"/>
      <w:divBdr>
        <w:top w:val="none" w:sz="0" w:space="0" w:color="auto"/>
        <w:left w:val="none" w:sz="0" w:space="0" w:color="auto"/>
        <w:bottom w:val="none" w:sz="0" w:space="0" w:color="auto"/>
        <w:right w:val="none" w:sz="0" w:space="0" w:color="auto"/>
      </w:divBdr>
    </w:div>
    <w:div w:id="544564405">
      <w:bodyDiv w:val="1"/>
      <w:marLeft w:val="0"/>
      <w:marRight w:val="0"/>
      <w:marTop w:val="0"/>
      <w:marBottom w:val="0"/>
      <w:divBdr>
        <w:top w:val="none" w:sz="0" w:space="0" w:color="auto"/>
        <w:left w:val="none" w:sz="0" w:space="0" w:color="auto"/>
        <w:bottom w:val="none" w:sz="0" w:space="0" w:color="auto"/>
        <w:right w:val="none" w:sz="0" w:space="0" w:color="auto"/>
      </w:divBdr>
    </w:div>
    <w:div w:id="550658833">
      <w:bodyDiv w:val="1"/>
      <w:marLeft w:val="0"/>
      <w:marRight w:val="0"/>
      <w:marTop w:val="0"/>
      <w:marBottom w:val="0"/>
      <w:divBdr>
        <w:top w:val="none" w:sz="0" w:space="0" w:color="auto"/>
        <w:left w:val="none" w:sz="0" w:space="0" w:color="auto"/>
        <w:bottom w:val="none" w:sz="0" w:space="0" w:color="auto"/>
        <w:right w:val="none" w:sz="0" w:space="0" w:color="auto"/>
      </w:divBdr>
    </w:div>
    <w:div w:id="568541368">
      <w:bodyDiv w:val="1"/>
      <w:marLeft w:val="0"/>
      <w:marRight w:val="0"/>
      <w:marTop w:val="0"/>
      <w:marBottom w:val="0"/>
      <w:divBdr>
        <w:top w:val="none" w:sz="0" w:space="0" w:color="auto"/>
        <w:left w:val="none" w:sz="0" w:space="0" w:color="auto"/>
        <w:bottom w:val="none" w:sz="0" w:space="0" w:color="auto"/>
        <w:right w:val="none" w:sz="0" w:space="0" w:color="auto"/>
      </w:divBdr>
      <w:divsChild>
        <w:div w:id="1514294988">
          <w:marLeft w:val="0"/>
          <w:marRight w:val="0"/>
          <w:marTop w:val="0"/>
          <w:marBottom w:val="0"/>
          <w:divBdr>
            <w:top w:val="none" w:sz="0" w:space="0" w:color="auto"/>
            <w:left w:val="none" w:sz="0" w:space="0" w:color="auto"/>
            <w:bottom w:val="none" w:sz="0" w:space="0" w:color="auto"/>
            <w:right w:val="none" w:sz="0" w:space="0" w:color="auto"/>
          </w:divBdr>
        </w:div>
        <w:div w:id="1991401166">
          <w:marLeft w:val="0"/>
          <w:marRight w:val="0"/>
          <w:marTop w:val="0"/>
          <w:marBottom w:val="0"/>
          <w:divBdr>
            <w:top w:val="none" w:sz="0" w:space="0" w:color="auto"/>
            <w:left w:val="none" w:sz="0" w:space="0" w:color="auto"/>
            <w:bottom w:val="none" w:sz="0" w:space="0" w:color="auto"/>
            <w:right w:val="none" w:sz="0" w:space="0" w:color="auto"/>
          </w:divBdr>
        </w:div>
      </w:divsChild>
    </w:div>
    <w:div w:id="591165135">
      <w:bodyDiv w:val="1"/>
      <w:marLeft w:val="0"/>
      <w:marRight w:val="0"/>
      <w:marTop w:val="0"/>
      <w:marBottom w:val="0"/>
      <w:divBdr>
        <w:top w:val="none" w:sz="0" w:space="0" w:color="auto"/>
        <w:left w:val="none" w:sz="0" w:space="0" w:color="auto"/>
        <w:bottom w:val="none" w:sz="0" w:space="0" w:color="auto"/>
        <w:right w:val="none" w:sz="0" w:space="0" w:color="auto"/>
      </w:divBdr>
    </w:div>
    <w:div w:id="591427575">
      <w:bodyDiv w:val="1"/>
      <w:marLeft w:val="0"/>
      <w:marRight w:val="0"/>
      <w:marTop w:val="0"/>
      <w:marBottom w:val="0"/>
      <w:divBdr>
        <w:top w:val="none" w:sz="0" w:space="0" w:color="auto"/>
        <w:left w:val="none" w:sz="0" w:space="0" w:color="auto"/>
        <w:bottom w:val="none" w:sz="0" w:space="0" w:color="auto"/>
        <w:right w:val="none" w:sz="0" w:space="0" w:color="auto"/>
      </w:divBdr>
    </w:div>
    <w:div w:id="597832879">
      <w:bodyDiv w:val="1"/>
      <w:marLeft w:val="0"/>
      <w:marRight w:val="0"/>
      <w:marTop w:val="0"/>
      <w:marBottom w:val="0"/>
      <w:divBdr>
        <w:top w:val="none" w:sz="0" w:space="0" w:color="auto"/>
        <w:left w:val="none" w:sz="0" w:space="0" w:color="auto"/>
        <w:bottom w:val="none" w:sz="0" w:space="0" w:color="auto"/>
        <w:right w:val="none" w:sz="0" w:space="0" w:color="auto"/>
      </w:divBdr>
    </w:div>
    <w:div w:id="613907954">
      <w:bodyDiv w:val="1"/>
      <w:marLeft w:val="0"/>
      <w:marRight w:val="0"/>
      <w:marTop w:val="0"/>
      <w:marBottom w:val="0"/>
      <w:divBdr>
        <w:top w:val="none" w:sz="0" w:space="0" w:color="auto"/>
        <w:left w:val="none" w:sz="0" w:space="0" w:color="auto"/>
        <w:bottom w:val="none" w:sz="0" w:space="0" w:color="auto"/>
        <w:right w:val="none" w:sz="0" w:space="0" w:color="auto"/>
      </w:divBdr>
      <w:divsChild>
        <w:div w:id="271517896">
          <w:marLeft w:val="0"/>
          <w:marRight w:val="0"/>
          <w:marTop w:val="0"/>
          <w:marBottom w:val="0"/>
          <w:divBdr>
            <w:top w:val="none" w:sz="0" w:space="0" w:color="auto"/>
            <w:left w:val="none" w:sz="0" w:space="0" w:color="auto"/>
            <w:bottom w:val="none" w:sz="0" w:space="0" w:color="auto"/>
            <w:right w:val="none" w:sz="0" w:space="0" w:color="auto"/>
          </w:divBdr>
        </w:div>
        <w:div w:id="735011310">
          <w:marLeft w:val="0"/>
          <w:marRight w:val="0"/>
          <w:marTop w:val="0"/>
          <w:marBottom w:val="0"/>
          <w:divBdr>
            <w:top w:val="none" w:sz="0" w:space="0" w:color="auto"/>
            <w:left w:val="none" w:sz="0" w:space="0" w:color="auto"/>
            <w:bottom w:val="none" w:sz="0" w:space="0" w:color="auto"/>
            <w:right w:val="none" w:sz="0" w:space="0" w:color="auto"/>
          </w:divBdr>
        </w:div>
      </w:divsChild>
    </w:div>
    <w:div w:id="651645525">
      <w:bodyDiv w:val="1"/>
      <w:marLeft w:val="0"/>
      <w:marRight w:val="0"/>
      <w:marTop w:val="0"/>
      <w:marBottom w:val="0"/>
      <w:divBdr>
        <w:top w:val="none" w:sz="0" w:space="0" w:color="auto"/>
        <w:left w:val="none" w:sz="0" w:space="0" w:color="auto"/>
        <w:bottom w:val="none" w:sz="0" w:space="0" w:color="auto"/>
        <w:right w:val="none" w:sz="0" w:space="0" w:color="auto"/>
      </w:divBdr>
    </w:div>
    <w:div w:id="658534346">
      <w:bodyDiv w:val="1"/>
      <w:marLeft w:val="0"/>
      <w:marRight w:val="0"/>
      <w:marTop w:val="0"/>
      <w:marBottom w:val="0"/>
      <w:divBdr>
        <w:top w:val="none" w:sz="0" w:space="0" w:color="auto"/>
        <w:left w:val="none" w:sz="0" w:space="0" w:color="auto"/>
        <w:bottom w:val="none" w:sz="0" w:space="0" w:color="auto"/>
        <w:right w:val="none" w:sz="0" w:space="0" w:color="auto"/>
      </w:divBdr>
    </w:div>
    <w:div w:id="660698317">
      <w:bodyDiv w:val="1"/>
      <w:marLeft w:val="0"/>
      <w:marRight w:val="0"/>
      <w:marTop w:val="0"/>
      <w:marBottom w:val="0"/>
      <w:divBdr>
        <w:top w:val="none" w:sz="0" w:space="0" w:color="auto"/>
        <w:left w:val="none" w:sz="0" w:space="0" w:color="auto"/>
        <w:bottom w:val="none" w:sz="0" w:space="0" w:color="auto"/>
        <w:right w:val="none" w:sz="0" w:space="0" w:color="auto"/>
      </w:divBdr>
    </w:div>
    <w:div w:id="671370546">
      <w:bodyDiv w:val="1"/>
      <w:marLeft w:val="0"/>
      <w:marRight w:val="0"/>
      <w:marTop w:val="0"/>
      <w:marBottom w:val="0"/>
      <w:divBdr>
        <w:top w:val="none" w:sz="0" w:space="0" w:color="auto"/>
        <w:left w:val="none" w:sz="0" w:space="0" w:color="auto"/>
        <w:bottom w:val="none" w:sz="0" w:space="0" w:color="auto"/>
        <w:right w:val="none" w:sz="0" w:space="0" w:color="auto"/>
      </w:divBdr>
    </w:div>
    <w:div w:id="694841400">
      <w:bodyDiv w:val="1"/>
      <w:marLeft w:val="0"/>
      <w:marRight w:val="0"/>
      <w:marTop w:val="0"/>
      <w:marBottom w:val="0"/>
      <w:divBdr>
        <w:top w:val="none" w:sz="0" w:space="0" w:color="auto"/>
        <w:left w:val="none" w:sz="0" w:space="0" w:color="auto"/>
        <w:bottom w:val="none" w:sz="0" w:space="0" w:color="auto"/>
        <w:right w:val="none" w:sz="0" w:space="0" w:color="auto"/>
      </w:divBdr>
    </w:div>
    <w:div w:id="723023294">
      <w:bodyDiv w:val="1"/>
      <w:marLeft w:val="0"/>
      <w:marRight w:val="0"/>
      <w:marTop w:val="0"/>
      <w:marBottom w:val="0"/>
      <w:divBdr>
        <w:top w:val="none" w:sz="0" w:space="0" w:color="auto"/>
        <w:left w:val="none" w:sz="0" w:space="0" w:color="auto"/>
        <w:bottom w:val="none" w:sz="0" w:space="0" w:color="auto"/>
        <w:right w:val="none" w:sz="0" w:space="0" w:color="auto"/>
      </w:divBdr>
    </w:div>
    <w:div w:id="754321707">
      <w:bodyDiv w:val="1"/>
      <w:marLeft w:val="0"/>
      <w:marRight w:val="0"/>
      <w:marTop w:val="0"/>
      <w:marBottom w:val="0"/>
      <w:divBdr>
        <w:top w:val="none" w:sz="0" w:space="0" w:color="auto"/>
        <w:left w:val="none" w:sz="0" w:space="0" w:color="auto"/>
        <w:bottom w:val="none" w:sz="0" w:space="0" w:color="auto"/>
        <w:right w:val="none" w:sz="0" w:space="0" w:color="auto"/>
      </w:divBdr>
      <w:divsChild>
        <w:div w:id="176192612">
          <w:blockQuote w:val="1"/>
          <w:marLeft w:val="-1369"/>
          <w:marRight w:val="0"/>
          <w:marTop w:val="300"/>
          <w:marBottom w:val="300"/>
          <w:divBdr>
            <w:top w:val="none" w:sz="0" w:space="0" w:color="auto"/>
            <w:left w:val="none" w:sz="0" w:space="0" w:color="auto"/>
            <w:bottom w:val="none" w:sz="0" w:space="0" w:color="auto"/>
            <w:right w:val="none" w:sz="0" w:space="0" w:color="auto"/>
          </w:divBdr>
        </w:div>
      </w:divsChild>
    </w:div>
    <w:div w:id="788357763">
      <w:bodyDiv w:val="1"/>
      <w:marLeft w:val="0"/>
      <w:marRight w:val="0"/>
      <w:marTop w:val="0"/>
      <w:marBottom w:val="0"/>
      <w:divBdr>
        <w:top w:val="none" w:sz="0" w:space="0" w:color="auto"/>
        <w:left w:val="none" w:sz="0" w:space="0" w:color="auto"/>
        <w:bottom w:val="none" w:sz="0" w:space="0" w:color="auto"/>
        <w:right w:val="none" w:sz="0" w:space="0" w:color="auto"/>
      </w:divBdr>
      <w:divsChild>
        <w:div w:id="616372106">
          <w:marLeft w:val="0"/>
          <w:marRight w:val="0"/>
          <w:marTop w:val="0"/>
          <w:marBottom w:val="0"/>
          <w:divBdr>
            <w:top w:val="none" w:sz="0" w:space="0" w:color="auto"/>
            <w:left w:val="none" w:sz="0" w:space="0" w:color="auto"/>
            <w:bottom w:val="none" w:sz="0" w:space="0" w:color="auto"/>
            <w:right w:val="none" w:sz="0" w:space="0" w:color="auto"/>
          </w:divBdr>
        </w:div>
        <w:div w:id="622269660">
          <w:marLeft w:val="0"/>
          <w:marRight w:val="0"/>
          <w:marTop w:val="0"/>
          <w:marBottom w:val="0"/>
          <w:divBdr>
            <w:top w:val="none" w:sz="0" w:space="0" w:color="auto"/>
            <w:left w:val="none" w:sz="0" w:space="0" w:color="auto"/>
            <w:bottom w:val="none" w:sz="0" w:space="0" w:color="auto"/>
            <w:right w:val="none" w:sz="0" w:space="0" w:color="auto"/>
          </w:divBdr>
        </w:div>
        <w:div w:id="926185913">
          <w:marLeft w:val="0"/>
          <w:marRight w:val="0"/>
          <w:marTop w:val="0"/>
          <w:marBottom w:val="0"/>
          <w:divBdr>
            <w:top w:val="none" w:sz="0" w:space="0" w:color="auto"/>
            <w:left w:val="none" w:sz="0" w:space="0" w:color="auto"/>
            <w:bottom w:val="none" w:sz="0" w:space="0" w:color="auto"/>
            <w:right w:val="none" w:sz="0" w:space="0" w:color="auto"/>
          </w:divBdr>
        </w:div>
        <w:div w:id="1471827477">
          <w:marLeft w:val="0"/>
          <w:marRight w:val="0"/>
          <w:marTop w:val="0"/>
          <w:marBottom w:val="0"/>
          <w:divBdr>
            <w:top w:val="none" w:sz="0" w:space="0" w:color="auto"/>
            <w:left w:val="none" w:sz="0" w:space="0" w:color="auto"/>
            <w:bottom w:val="none" w:sz="0" w:space="0" w:color="auto"/>
            <w:right w:val="none" w:sz="0" w:space="0" w:color="auto"/>
          </w:divBdr>
        </w:div>
        <w:div w:id="1723166001">
          <w:marLeft w:val="0"/>
          <w:marRight w:val="0"/>
          <w:marTop w:val="0"/>
          <w:marBottom w:val="0"/>
          <w:divBdr>
            <w:top w:val="none" w:sz="0" w:space="0" w:color="auto"/>
            <w:left w:val="none" w:sz="0" w:space="0" w:color="auto"/>
            <w:bottom w:val="none" w:sz="0" w:space="0" w:color="auto"/>
            <w:right w:val="none" w:sz="0" w:space="0" w:color="auto"/>
          </w:divBdr>
        </w:div>
        <w:div w:id="2036885840">
          <w:marLeft w:val="0"/>
          <w:marRight w:val="0"/>
          <w:marTop w:val="0"/>
          <w:marBottom w:val="0"/>
          <w:divBdr>
            <w:top w:val="none" w:sz="0" w:space="0" w:color="auto"/>
            <w:left w:val="none" w:sz="0" w:space="0" w:color="auto"/>
            <w:bottom w:val="none" w:sz="0" w:space="0" w:color="auto"/>
            <w:right w:val="none" w:sz="0" w:space="0" w:color="auto"/>
          </w:divBdr>
        </w:div>
        <w:div w:id="2068799057">
          <w:marLeft w:val="0"/>
          <w:marRight w:val="0"/>
          <w:marTop w:val="0"/>
          <w:marBottom w:val="0"/>
          <w:divBdr>
            <w:top w:val="none" w:sz="0" w:space="0" w:color="auto"/>
            <w:left w:val="none" w:sz="0" w:space="0" w:color="auto"/>
            <w:bottom w:val="none" w:sz="0" w:space="0" w:color="auto"/>
            <w:right w:val="none" w:sz="0" w:space="0" w:color="auto"/>
          </w:divBdr>
        </w:div>
      </w:divsChild>
    </w:div>
    <w:div w:id="819035714">
      <w:bodyDiv w:val="1"/>
      <w:marLeft w:val="0"/>
      <w:marRight w:val="0"/>
      <w:marTop w:val="0"/>
      <w:marBottom w:val="0"/>
      <w:divBdr>
        <w:top w:val="none" w:sz="0" w:space="0" w:color="auto"/>
        <w:left w:val="none" w:sz="0" w:space="0" w:color="auto"/>
        <w:bottom w:val="none" w:sz="0" w:space="0" w:color="auto"/>
        <w:right w:val="none" w:sz="0" w:space="0" w:color="auto"/>
      </w:divBdr>
      <w:divsChild>
        <w:div w:id="1929925909">
          <w:marLeft w:val="0"/>
          <w:marRight w:val="0"/>
          <w:marTop w:val="0"/>
          <w:marBottom w:val="0"/>
          <w:divBdr>
            <w:top w:val="none" w:sz="0" w:space="0" w:color="auto"/>
            <w:left w:val="none" w:sz="0" w:space="0" w:color="auto"/>
            <w:bottom w:val="none" w:sz="0" w:space="0" w:color="auto"/>
            <w:right w:val="none" w:sz="0" w:space="0" w:color="auto"/>
          </w:divBdr>
          <w:divsChild>
            <w:div w:id="1766221120">
              <w:marLeft w:val="0"/>
              <w:marRight w:val="0"/>
              <w:marTop w:val="0"/>
              <w:marBottom w:val="0"/>
              <w:divBdr>
                <w:top w:val="none" w:sz="0" w:space="0" w:color="auto"/>
                <w:left w:val="none" w:sz="0" w:space="0" w:color="auto"/>
                <w:bottom w:val="none" w:sz="0" w:space="0" w:color="auto"/>
                <w:right w:val="none" w:sz="0" w:space="0" w:color="auto"/>
              </w:divBdr>
              <w:divsChild>
                <w:div w:id="2001423038">
                  <w:marLeft w:val="0"/>
                  <w:marRight w:val="0"/>
                  <w:marTop w:val="0"/>
                  <w:marBottom w:val="0"/>
                  <w:divBdr>
                    <w:top w:val="none" w:sz="0" w:space="0" w:color="auto"/>
                    <w:left w:val="none" w:sz="0" w:space="0" w:color="auto"/>
                    <w:bottom w:val="none" w:sz="0" w:space="0" w:color="auto"/>
                    <w:right w:val="none" w:sz="0" w:space="0" w:color="auto"/>
                  </w:divBdr>
                  <w:divsChild>
                    <w:div w:id="1864976659">
                      <w:marLeft w:val="0"/>
                      <w:marRight w:val="0"/>
                      <w:marTop w:val="0"/>
                      <w:marBottom w:val="450"/>
                      <w:divBdr>
                        <w:top w:val="none" w:sz="0" w:space="0" w:color="auto"/>
                        <w:left w:val="none" w:sz="0" w:space="0" w:color="auto"/>
                        <w:bottom w:val="none" w:sz="0" w:space="0" w:color="auto"/>
                        <w:right w:val="none" w:sz="0" w:space="0" w:color="auto"/>
                      </w:divBdr>
                      <w:divsChild>
                        <w:div w:id="165832494">
                          <w:marLeft w:val="0"/>
                          <w:marRight w:val="0"/>
                          <w:marTop w:val="0"/>
                          <w:marBottom w:val="0"/>
                          <w:divBdr>
                            <w:top w:val="none" w:sz="0" w:space="0" w:color="auto"/>
                            <w:left w:val="none" w:sz="0" w:space="0" w:color="auto"/>
                            <w:bottom w:val="none" w:sz="0" w:space="0" w:color="auto"/>
                            <w:right w:val="none" w:sz="0" w:space="0" w:color="auto"/>
                          </w:divBdr>
                          <w:divsChild>
                            <w:div w:id="2033653338">
                              <w:marLeft w:val="0"/>
                              <w:marRight w:val="0"/>
                              <w:marTop w:val="0"/>
                              <w:marBottom w:val="300"/>
                              <w:divBdr>
                                <w:top w:val="none" w:sz="0" w:space="0" w:color="auto"/>
                                <w:left w:val="none" w:sz="0" w:space="0" w:color="auto"/>
                                <w:bottom w:val="single" w:sz="6" w:space="4" w:color="E5E5E5"/>
                                <w:right w:val="none" w:sz="0" w:space="0" w:color="auto"/>
                              </w:divBdr>
                              <w:divsChild>
                                <w:div w:id="1166357224">
                                  <w:marLeft w:val="0"/>
                                  <w:marRight w:val="0"/>
                                  <w:marTop w:val="0"/>
                                  <w:marBottom w:val="0"/>
                                  <w:divBdr>
                                    <w:top w:val="none" w:sz="0" w:space="0" w:color="auto"/>
                                    <w:left w:val="none" w:sz="0" w:space="0" w:color="auto"/>
                                    <w:bottom w:val="none" w:sz="0" w:space="0" w:color="auto"/>
                                    <w:right w:val="none" w:sz="0" w:space="0" w:color="auto"/>
                                  </w:divBdr>
                                  <w:divsChild>
                                    <w:div w:id="1003699980">
                                      <w:marLeft w:val="0"/>
                                      <w:marRight w:val="0"/>
                                      <w:marTop w:val="0"/>
                                      <w:marBottom w:val="0"/>
                                      <w:divBdr>
                                        <w:top w:val="none" w:sz="0" w:space="0" w:color="auto"/>
                                        <w:left w:val="none" w:sz="0" w:space="0" w:color="auto"/>
                                        <w:bottom w:val="none" w:sz="0" w:space="0" w:color="auto"/>
                                        <w:right w:val="none" w:sz="0" w:space="0" w:color="auto"/>
                                      </w:divBdr>
                                    </w:div>
                                    <w:div w:id="11448106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572813">
      <w:bodyDiv w:val="1"/>
      <w:marLeft w:val="0"/>
      <w:marRight w:val="0"/>
      <w:marTop w:val="0"/>
      <w:marBottom w:val="0"/>
      <w:divBdr>
        <w:top w:val="none" w:sz="0" w:space="0" w:color="auto"/>
        <w:left w:val="none" w:sz="0" w:space="0" w:color="auto"/>
        <w:bottom w:val="none" w:sz="0" w:space="0" w:color="auto"/>
        <w:right w:val="none" w:sz="0" w:space="0" w:color="auto"/>
      </w:divBdr>
      <w:divsChild>
        <w:div w:id="1603370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06836">
      <w:bodyDiv w:val="1"/>
      <w:marLeft w:val="0"/>
      <w:marRight w:val="0"/>
      <w:marTop w:val="0"/>
      <w:marBottom w:val="0"/>
      <w:divBdr>
        <w:top w:val="none" w:sz="0" w:space="0" w:color="auto"/>
        <w:left w:val="none" w:sz="0" w:space="0" w:color="auto"/>
        <w:bottom w:val="none" w:sz="0" w:space="0" w:color="auto"/>
        <w:right w:val="none" w:sz="0" w:space="0" w:color="auto"/>
      </w:divBdr>
      <w:divsChild>
        <w:div w:id="2025203946">
          <w:marLeft w:val="0"/>
          <w:marRight w:val="0"/>
          <w:marTop w:val="0"/>
          <w:marBottom w:val="0"/>
          <w:divBdr>
            <w:top w:val="none" w:sz="0" w:space="0" w:color="auto"/>
            <w:left w:val="none" w:sz="0" w:space="0" w:color="auto"/>
            <w:bottom w:val="none" w:sz="0" w:space="0" w:color="auto"/>
            <w:right w:val="none" w:sz="0" w:space="0" w:color="auto"/>
          </w:divBdr>
        </w:div>
      </w:divsChild>
    </w:div>
    <w:div w:id="858936707">
      <w:bodyDiv w:val="1"/>
      <w:marLeft w:val="0"/>
      <w:marRight w:val="0"/>
      <w:marTop w:val="0"/>
      <w:marBottom w:val="0"/>
      <w:divBdr>
        <w:top w:val="none" w:sz="0" w:space="0" w:color="auto"/>
        <w:left w:val="none" w:sz="0" w:space="0" w:color="auto"/>
        <w:bottom w:val="none" w:sz="0" w:space="0" w:color="auto"/>
        <w:right w:val="none" w:sz="0" w:space="0" w:color="auto"/>
      </w:divBdr>
    </w:div>
    <w:div w:id="861942701">
      <w:bodyDiv w:val="1"/>
      <w:marLeft w:val="0"/>
      <w:marRight w:val="0"/>
      <w:marTop w:val="0"/>
      <w:marBottom w:val="0"/>
      <w:divBdr>
        <w:top w:val="none" w:sz="0" w:space="0" w:color="auto"/>
        <w:left w:val="none" w:sz="0" w:space="0" w:color="auto"/>
        <w:bottom w:val="none" w:sz="0" w:space="0" w:color="auto"/>
        <w:right w:val="none" w:sz="0" w:space="0" w:color="auto"/>
      </w:divBdr>
    </w:div>
    <w:div w:id="864635465">
      <w:bodyDiv w:val="1"/>
      <w:marLeft w:val="0"/>
      <w:marRight w:val="0"/>
      <w:marTop w:val="0"/>
      <w:marBottom w:val="0"/>
      <w:divBdr>
        <w:top w:val="none" w:sz="0" w:space="0" w:color="auto"/>
        <w:left w:val="none" w:sz="0" w:space="0" w:color="auto"/>
        <w:bottom w:val="none" w:sz="0" w:space="0" w:color="auto"/>
        <w:right w:val="none" w:sz="0" w:space="0" w:color="auto"/>
      </w:divBdr>
      <w:divsChild>
        <w:div w:id="1054617493">
          <w:marLeft w:val="0"/>
          <w:marRight w:val="0"/>
          <w:marTop w:val="0"/>
          <w:marBottom w:val="0"/>
          <w:divBdr>
            <w:top w:val="none" w:sz="0" w:space="0" w:color="auto"/>
            <w:left w:val="none" w:sz="0" w:space="0" w:color="auto"/>
            <w:bottom w:val="none" w:sz="0" w:space="0" w:color="auto"/>
            <w:right w:val="none" w:sz="0" w:space="0" w:color="auto"/>
          </w:divBdr>
          <w:divsChild>
            <w:div w:id="609824092">
              <w:marLeft w:val="0"/>
              <w:marRight w:val="0"/>
              <w:marTop w:val="0"/>
              <w:marBottom w:val="0"/>
              <w:divBdr>
                <w:top w:val="none" w:sz="0" w:space="0" w:color="auto"/>
                <w:left w:val="none" w:sz="0" w:space="0" w:color="auto"/>
                <w:bottom w:val="none" w:sz="0" w:space="0" w:color="auto"/>
                <w:right w:val="none" w:sz="0" w:space="0" w:color="auto"/>
              </w:divBdr>
              <w:divsChild>
                <w:div w:id="1048844891">
                  <w:marLeft w:val="0"/>
                  <w:marRight w:val="0"/>
                  <w:marTop w:val="0"/>
                  <w:marBottom w:val="0"/>
                  <w:divBdr>
                    <w:top w:val="none" w:sz="0" w:space="0" w:color="auto"/>
                    <w:left w:val="none" w:sz="0" w:space="0" w:color="auto"/>
                    <w:bottom w:val="none" w:sz="0" w:space="0" w:color="auto"/>
                    <w:right w:val="none" w:sz="0" w:space="0" w:color="auto"/>
                  </w:divBdr>
                  <w:divsChild>
                    <w:div w:id="2131630070">
                      <w:marLeft w:val="0"/>
                      <w:marRight w:val="0"/>
                      <w:marTop w:val="0"/>
                      <w:marBottom w:val="0"/>
                      <w:divBdr>
                        <w:top w:val="none" w:sz="0" w:space="0" w:color="auto"/>
                        <w:left w:val="none" w:sz="0" w:space="0" w:color="auto"/>
                        <w:bottom w:val="none" w:sz="0" w:space="0" w:color="auto"/>
                        <w:right w:val="none" w:sz="0" w:space="0" w:color="auto"/>
                      </w:divBdr>
                      <w:divsChild>
                        <w:div w:id="181104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5986789">
          <w:marLeft w:val="0"/>
          <w:marRight w:val="0"/>
          <w:marTop w:val="0"/>
          <w:marBottom w:val="0"/>
          <w:divBdr>
            <w:top w:val="none" w:sz="0" w:space="0" w:color="auto"/>
            <w:left w:val="none" w:sz="0" w:space="0" w:color="auto"/>
            <w:bottom w:val="none" w:sz="0" w:space="0" w:color="auto"/>
            <w:right w:val="none" w:sz="0" w:space="0" w:color="auto"/>
          </w:divBdr>
          <w:divsChild>
            <w:div w:id="475605344">
              <w:marLeft w:val="0"/>
              <w:marRight w:val="0"/>
              <w:marTop w:val="0"/>
              <w:marBottom w:val="0"/>
              <w:divBdr>
                <w:top w:val="none" w:sz="0" w:space="0" w:color="auto"/>
                <w:left w:val="none" w:sz="0" w:space="0" w:color="auto"/>
                <w:bottom w:val="none" w:sz="0" w:space="0" w:color="auto"/>
                <w:right w:val="none" w:sz="0" w:space="0" w:color="auto"/>
              </w:divBdr>
              <w:divsChild>
                <w:div w:id="2066903422">
                  <w:marLeft w:val="0"/>
                  <w:marRight w:val="0"/>
                  <w:marTop w:val="0"/>
                  <w:marBottom w:val="0"/>
                  <w:divBdr>
                    <w:top w:val="none" w:sz="0" w:space="0" w:color="auto"/>
                    <w:left w:val="none" w:sz="0" w:space="0" w:color="auto"/>
                    <w:bottom w:val="none" w:sz="0" w:space="0" w:color="auto"/>
                    <w:right w:val="none" w:sz="0" w:space="0" w:color="auto"/>
                  </w:divBdr>
                  <w:divsChild>
                    <w:div w:id="2098595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869806866">
      <w:bodyDiv w:val="1"/>
      <w:marLeft w:val="0"/>
      <w:marRight w:val="0"/>
      <w:marTop w:val="0"/>
      <w:marBottom w:val="0"/>
      <w:divBdr>
        <w:top w:val="none" w:sz="0" w:space="0" w:color="auto"/>
        <w:left w:val="none" w:sz="0" w:space="0" w:color="auto"/>
        <w:bottom w:val="none" w:sz="0" w:space="0" w:color="auto"/>
        <w:right w:val="none" w:sz="0" w:space="0" w:color="auto"/>
      </w:divBdr>
      <w:divsChild>
        <w:div w:id="313341685">
          <w:marLeft w:val="0"/>
          <w:marRight w:val="0"/>
          <w:marTop w:val="0"/>
          <w:marBottom w:val="0"/>
          <w:divBdr>
            <w:top w:val="none" w:sz="0" w:space="0" w:color="auto"/>
            <w:left w:val="none" w:sz="0" w:space="0" w:color="auto"/>
            <w:bottom w:val="none" w:sz="0" w:space="0" w:color="auto"/>
            <w:right w:val="none" w:sz="0" w:space="0" w:color="auto"/>
          </w:divBdr>
        </w:div>
        <w:div w:id="447939495">
          <w:marLeft w:val="0"/>
          <w:marRight w:val="0"/>
          <w:marTop w:val="0"/>
          <w:marBottom w:val="0"/>
          <w:divBdr>
            <w:top w:val="none" w:sz="0" w:space="0" w:color="auto"/>
            <w:left w:val="none" w:sz="0" w:space="0" w:color="auto"/>
            <w:bottom w:val="none" w:sz="0" w:space="0" w:color="auto"/>
            <w:right w:val="none" w:sz="0" w:space="0" w:color="auto"/>
          </w:divBdr>
        </w:div>
        <w:div w:id="2023821394">
          <w:marLeft w:val="0"/>
          <w:marRight w:val="0"/>
          <w:marTop w:val="0"/>
          <w:marBottom w:val="0"/>
          <w:divBdr>
            <w:top w:val="none" w:sz="0" w:space="0" w:color="auto"/>
            <w:left w:val="none" w:sz="0" w:space="0" w:color="auto"/>
            <w:bottom w:val="none" w:sz="0" w:space="0" w:color="auto"/>
            <w:right w:val="none" w:sz="0" w:space="0" w:color="auto"/>
          </w:divBdr>
        </w:div>
        <w:div w:id="2102603783">
          <w:marLeft w:val="0"/>
          <w:marRight w:val="0"/>
          <w:marTop w:val="0"/>
          <w:marBottom w:val="0"/>
          <w:divBdr>
            <w:top w:val="none" w:sz="0" w:space="0" w:color="auto"/>
            <w:left w:val="none" w:sz="0" w:space="0" w:color="auto"/>
            <w:bottom w:val="none" w:sz="0" w:space="0" w:color="auto"/>
            <w:right w:val="none" w:sz="0" w:space="0" w:color="auto"/>
          </w:divBdr>
        </w:div>
      </w:divsChild>
    </w:div>
    <w:div w:id="876039566">
      <w:bodyDiv w:val="1"/>
      <w:marLeft w:val="0"/>
      <w:marRight w:val="0"/>
      <w:marTop w:val="0"/>
      <w:marBottom w:val="0"/>
      <w:divBdr>
        <w:top w:val="none" w:sz="0" w:space="0" w:color="auto"/>
        <w:left w:val="none" w:sz="0" w:space="0" w:color="auto"/>
        <w:bottom w:val="none" w:sz="0" w:space="0" w:color="auto"/>
        <w:right w:val="none" w:sz="0" w:space="0" w:color="auto"/>
      </w:divBdr>
    </w:div>
    <w:div w:id="876506561">
      <w:bodyDiv w:val="1"/>
      <w:marLeft w:val="0"/>
      <w:marRight w:val="0"/>
      <w:marTop w:val="0"/>
      <w:marBottom w:val="0"/>
      <w:divBdr>
        <w:top w:val="none" w:sz="0" w:space="0" w:color="auto"/>
        <w:left w:val="none" w:sz="0" w:space="0" w:color="auto"/>
        <w:bottom w:val="none" w:sz="0" w:space="0" w:color="auto"/>
        <w:right w:val="none" w:sz="0" w:space="0" w:color="auto"/>
      </w:divBdr>
      <w:divsChild>
        <w:div w:id="1845779854">
          <w:marLeft w:val="0"/>
          <w:marRight w:val="0"/>
          <w:marTop w:val="0"/>
          <w:marBottom w:val="0"/>
          <w:divBdr>
            <w:top w:val="none" w:sz="0" w:space="0" w:color="auto"/>
            <w:left w:val="none" w:sz="0" w:space="0" w:color="auto"/>
            <w:bottom w:val="none" w:sz="0" w:space="0" w:color="auto"/>
            <w:right w:val="none" w:sz="0" w:space="0" w:color="auto"/>
          </w:divBdr>
        </w:div>
      </w:divsChild>
    </w:div>
    <w:div w:id="877819891">
      <w:bodyDiv w:val="1"/>
      <w:marLeft w:val="0"/>
      <w:marRight w:val="0"/>
      <w:marTop w:val="0"/>
      <w:marBottom w:val="0"/>
      <w:divBdr>
        <w:top w:val="none" w:sz="0" w:space="0" w:color="auto"/>
        <w:left w:val="none" w:sz="0" w:space="0" w:color="auto"/>
        <w:bottom w:val="none" w:sz="0" w:space="0" w:color="auto"/>
        <w:right w:val="none" w:sz="0" w:space="0" w:color="auto"/>
      </w:divBdr>
    </w:div>
    <w:div w:id="888107588">
      <w:bodyDiv w:val="1"/>
      <w:marLeft w:val="0"/>
      <w:marRight w:val="0"/>
      <w:marTop w:val="0"/>
      <w:marBottom w:val="0"/>
      <w:divBdr>
        <w:top w:val="none" w:sz="0" w:space="0" w:color="auto"/>
        <w:left w:val="none" w:sz="0" w:space="0" w:color="auto"/>
        <w:bottom w:val="none" w:sz="0" w:space="0" w:color="auto"/>
        <w:right w:val="none" w:sz="0" w:space="0" w:color="auto"/>
      </w:divBdr>
    </w:div>
    <w:div w:id="895316193">
      <w:bodyDiv w:val="1"/>
      <w:marLeft w:val="0"/>
      <w:marRight w:val="0"/>
      <w:marTop w:val="0"/>
      <w:marBottom w:val="0"/>
      <w:divBdr>
        <w:top w:val="none" w:sz="0" w:space="0" w:color="auto"/>
        <w:left w:val="none" w:sz="0" w:space="0" w:color="auto"/>
        <w:bottom w:val="none" w:sz="0" w:space="0" w:color="auto"/>
        <w:right w:val="none" w:sz="0" w:space="0" w:color="auto"/>
      </w:divBdr>
      <w:divsChild>
        <w:div w:id="134421145">
          <w:marLeft w:val="0"/>
          <w:marRight w:val="0"/>
          <w:marTop w:val="0"/>
          <w:marBottom w:val="0"/>
          <w:divBdr>
            <w:top w:val="none" w:sz="0" w:space="0" w:color="auto"/>
            <w:left w:val="none" w:sz="0" w:space="0" w:color="auto"/>
            <w:bottom w:val="none" w:sz="0" w:space="0" w:color="auto"/>
            <w:right w:val="none" w:sz="0" w:space="0" w:color="auto"/>
          </w:divBdr>
        </w:div>
        <w:div w:id="214589119">
          <w:marLeft w:val="0"/>
          <w:marRight w:val="0"/>
          <w:marTop w:val="0"/>
          <w:marBottom w:val="0"/>
          <w:divBdr>
            <w:top w:val="none" w:sz="0" w:space="0" w:color="auto"/>
            <w:left w:val="none" w:sz="0" w:space="0" w:color="auto"/>
            <w:bottom w:val="none" w:sz="0" w:space="0" w:color="auto"/>
            <w:right w:val="none" w:sz="0" w:space="0" w:color="auto"/>
          </w:divBdr>
        </w:div>
        <w:div w:id="565603530">
          <w:marLeft w:val="0"/>
          <w:marRight w:val="0"/>
          <w:marTop w:val="0"/>
          <w:marBottom w:val="0"/>
          <w:divBdr>
            <w:top w:val="none" w:sz="0" w:space="0" w:color="auto"/>
            <w:left w:val="none" w:sz="0" w:space="0" w:color="auto"/>
            <w:bottom w:val="none" w:sz="0" w:space="0" w:color="auto"/>
            <w:right w:val="none" w:sz="0" w:space="0" w:color="auto"/>
          </w:divBdr>
        </w:div>
        <w:div w:id="735905843">
          <w:marLeft w:val="0"/>
          <w:marRight w:val="0"/>
          <w:marTop w:val="0"/>
          <w:marBottom w:val="0"/>
          <w:divBdr>
            <w:top w:val="none" w:sz="0" w:space="0" w:color="auto"/>
            <w:left w:val="none" w:sz="0" w:space="0" w:color="auto"/>
            <w:bottom w:val="none" w:sz="0" w:space="0" w:color="auto"/>
            <w:right w:val="none" w:sz="0" w:space="0" w:color="auto"/>
          </w:divBdr>
        </w:div>
        <w:div w:id="1767073830">
          <w:marLeft w:val="0"/>
          <w:marRight w:val="0"/>
          <w:marTop w:val="0"/>
          <w:marBottom w:val="0"/>
          <w:divBdr>
            <w:top w:val="none" w:sz="0" w:space="0" w:color="auto"/>
            <w:left w:val="none" w:sz="0" w:space="0" w:color="auto"/>
            <w:bottom w:val="none" w:sz="0" w:space="0" w:color="auto"/>
            <w:right w:val="none" w:sz="0" w:space="0" w:color="auto"/>
          </w:divBdr>
        </w:div>
        <w:div w:id="1806385993">
          <w:marLeft w:val="0"/>
          <w:marRight w:val="0"/>
          <w:marTop w:val="0"/>
          <w:marBottom w:val="0"/>
          <w:divBdr>
            <w:top w:val="none" w:sz="0" w:space="0" w:color="auto"/>
            <w:left w:val="none" w:sz="0" w:space="0" w:color="auto"/>
            <w:bottom w:val="none" w:sz="0" w:space="0" w:color="auto"/>
            <w:right w:val="none" w:sz="0" w:space="0" w:color="auto"/>
          </w:divBdr>
        </w:div>
        <w:div w:id="2029940250">
          <w:marLeft w:val="0"/>
          <w:marRight w:val="0"/>
          <w:marTop w:val="0"/>
          <w:marBottom w:val="0"/>
          <w:divBdr>
            <w:top w:val="none" w:sz="0" w:space="0" w:color="auto"/>
            <w:left w:val="none" w:sz="0" w:space="0" w:color="auto"/>
            <w:bottom w:val="none" w:sz="0" w:space="0" w:color="auto"/>
            <w:right w:val="none" w:sz="0" w:space="0" w:color="auto"/>
          </w:divBdr>
        </w:div>
      </w:divsChild>
    </w:div>
    <w:div w:id="902452992">
      <w:bodyDiv w:val="1"/>
      <w:marLeft w:val="0"/>
      <w:marRight w:val="0"/>
      <w:marTop w:val="0"/>
      <w:marBottom w:val="0"/>
      <w:divBdr>
        <w:top w:val="none" w:sz="0" w:space="0" w:color="auto"/>
        <w:left w:val="none" w:sz="0" w:space="0" w:color="auto"/>
        <w:bottom w:val="none" w:sz="0" w:space="0" w:color="auto"/>
        <w:right w:val="none" w:sz="0" w:space="0" w:color="auto"/>
      </w:divBdr>
    </w:div>
    <w:div w:id="917205392">
      <w:bodyDiv w:val="1"/>
      <w:marLeft w:val="0"/>
      <w:marRight w:val="0"/>
      <w:marTop w:val="0"/>
      <w:marBottom w:val="0"/>
      <w:divBdr>
        <w:top w:val="none" w:sz="0" w:space="0" w:color="auto"/>
        <w:left w:val="none" w:sz="0" w:space="0" w:color="auto"/>
        <w:bottom w:val="none" w:sz="0" w:space="0" w:color="auto"/>
        <w:right w:val="none" w:sz="0" w:space="0" w:color="auto"/>
      </w:divBdr>
    </w:div>
    <w:div w:id="923609988">
      <w:bodyDiv w:val="1"/>
      <w:marLeft w:val="0"/>
      <w:marRight w:val="0"/>
      <w:marTop w:val="0"/>
      <w:marBottom w:val="0"/>
      <w:divBdr>
        <w:top w:val="none" w:sz="0" w:space="0" w:color="auto"/>
        <w:left w:val="none" w:sz="0" w:space="0" w:color="auto"/>
        <w:bottom w:val="none" w:sz="0" w:space="0" w:color="auto"/>
        <w:right w:val="none" w:sz="0" w:space="0" w:color="auto"/>
      </w:divBdr>
    </w:div>
    <w:div w:id="936984342">
      <w:bodyDiv w:val="1"/>
      <w:marLeft w:val="0"/>
      <w:marRight w:val="0"/>
      <w:marTop w:val="0"/>
      <w:marBottom w:val="0"/>
      <w:divBdr>
        <w:top w:val="none" w:sz="0" w:space="0" w:color="auto"/>
        <w:left w:val="none" w:sz="0" w:space="0" w:color="auto"/>
        <w:bottom w:val="none" w:sz="0" w:space="0" w:color="auto"/>
        <w:right w:val="none" w:sz="0" w:space="0" w:color="auto"/>
      </w:divBdr>
    </w:div>
    <w:div w:id="956836422">
      <w:bodyDiv w:val="1"/>
      <w:marLeft w:val="0"/>
      <w:marRight w:val="0"/>
      <w:marTop w:val="0"/>
      <w:marBottom w:val="0"/>
      <w:divBdr>
        <w:top w:val="none" w:sz="0" w:space="0" w:color="auto"/>
        <w:left w:val="none" w:sz="0" w:space="0" w:color="auto"/>
        <w:bottom w:val="none" w:sz="0" w:space="0" w:color="auto"/>
        <w:right w:val="none" w:sz="0" w:space="0" w:color="auto"/>
      </w:divBdr>
    </w:div>
    <w:div w:id="959605434">
      <w:bodyDiv w:val="1"/>
      <w:marLeft w:val="0"/>
      <w:marRight w:val="0"/>
      <w:marTop w:val="0"/>
      <w:marBottom w:val="0"/>
      <w:divBdr>
        <w:top w:val="none" w:sz="0" w:space="0" w:color="auto"/>
        <w:left w:val="none" w:sz="0" w:space="0" w:color="auto"/>
        <w:bottom w:val="none" w:sz="0" w:space="0" w:color="auto"/>
        <w:right w:val="none" w:sz="0" w:space="0" w:color="auto"/>
      </w:divBdr>
    </w:div>
    <w:div w:id="965433153">
      <w:bodyDiv w:val="1"/>
      <w:marLeft w:val="0"/>
      <w:marRight w:val="0"/>
      <w:marTop w:val="0"/>
      <w:marBottom w:val="0"/>
      <w:divBdr>
        <w:top w:val="none" w:sz="0" w:space="0" w:color="auto"/>
        <w:left w:val="none" w:sz="0" w:space="0" w:color="auto"/>
        <w:bottom w:val="none" w:sz="0" w:space="0" w:color="auto"/>
        <w:right w:val="none" w:sz="0" w:space="0" w:color="auto"/>
      </w:divBdr>
    </w:div>
    <w:div w:id="973408225">
      <w:bodyDiv w:val="1"/>
      <w:marLeft w:val="0"/>
      <w:marRight w:val="0"/>
      <w:marTop w:val="0"/>
      <w:marBottom w:val="0"/>
      <w:divBdr>
        <w:top w:val="none" w:sz="0" w:space="0" w:color="auto"/>
        <w:left w:val="none" w:sz="0" w:space="0" w:color="auto"/>
        <w:bottom w:val="none" w:sz="0" w:space="0" w:color="auto"/>
        <w:right w:val="none" w:sz="0" w:space="0" w:color="auto"/>
      </w:divBdr>
    </w:div>
    <w:div w:id="974529780">
      <w:bodyDiv w:val="1"/>
      <w:marLeft w:val="0"/>
      <w:marRight w:val="0"/>
      <w:marTop w:val="0"/>
      <w:marBottom w:val="0"/>
      <w:divBdr>
        <w:top w:val="none" w:sz="0" w:space="0" w:color="auto"/>
        <w:left w:val="none" w:sz="0" w:space="0" w:color="auto"/>
        <w:bottom w:val="none" w:sz="0" w:space="0" w:color="auto"/>
        <w:right w:val="none" w:sz="0" w:space="0" w:color="auto"/>
      </w:divBdr>
    </w:div>
    <w:div w:id="976491749">
      <w:bodyDiv w:val="1"/>
      <w:marLeft w:val="0"/>
      <w:marRight w:val="0"/>
      <w:marTop w:val="0"/>
      <w:marBottom w:val="0"/>
      <w:divBdr>
        <w:top w:val="none" w:sz="0" w:space="0" w:color="auto"/>
        <w:left w:val="none" w:sz="0" w:space="0" w:color="auto"/>
        <w:bottom w:val="none" w:sz="0" w:space="0" w:color="auto"/>
        <w:right w:val="none" w:sz="0" w:space="0" w:color="auto"/>
      </w:divBdr>
    </w:div>
    <w:div w:id="995037358">
      <w:bodyDiv w:val="1"/>
      <w:marLeft w:val="0"/>
      <w:marRight w:val="0"/>
      <w:marTop w:val="0"/>
      <w:marBottom w:val="0"/>
      <w:divBdr>
        <w:top w:val="none" w:sz="0" w:space="0" w:color="auto"/>
        <w:left w:val="none" w:sz="0" w:space="0" w:color="auto"/>
        <w:bottom w:val="none" w:sz="0" w:space="0" w:color="auto"/>
        <w:right w:val="none" w:sz="0" w:space="0" w:color="auto"/>
      </w:divBdr>
    </w:div>
    <w:div w:id="1089499979">
      <w:bodyDiv w:val="1"/>
      <w:marLeft w:val="0"/>
      <w:marRight w:val="0"/>
      <w:marTop w:val="0"/>
      <w:marBottom w:val="0"/>
      <w:divBdr>
        <w:top w:val="none" w:sz="0" w:space="0" w:color="auto"/>
        <w:left w:val="none" w:sz="0" w:space="0" w:color="auto"/>
        <w:bottom w:val="none" w:sz="0" w:space="0" w:color="auto"/>
        <w:right w:val="none" w:sz="0" w:space="0" w:color="auto"/>
      </w:divBdr>
    </w:div>
    <w:div w:id="1090925871">
      <w:bodyDiv w:val="1"/>
      <w:marLeft w:val="0"/>
      <w:marRight w:val="0"/>
      <w:marTop w:val="0"/>
      <w:marBottom w:val="0"/>
      <w:divBdr>
        <w:top w:val="none" w:sz="0" w:space="0" w:color="auto"/>
        <w:left w:val="none" w:sz="0" w:space="0" w:color="auto"/>
        <w:bottom w:val="none" w:sz="0" w:space="0" w:color="auto"/>
        <w:right w:val="none" w:sz="0" w:space="0" w:color="auto"/>
      </w:divBdr>
    </w:div>
    <w:div w:id="1105270300">
      <w:marLeft w:val="0"/>
      <w:marRight w:val="0"/>
      <w:marTop w:val="0"/>
      <w:marBottom w:val="0"/>
      <w:divBdr>
        <w:top w:val="none" w:sz="0" w:space="0" w:color="auto"/>
        <w:left w:val="none" w:sz="0" w:space="0" w:color="auto"/>
        <w:bottom w:val="none" w:sz="0" w:space="0" w:color="auto"/>
        <w:right w:val="none" w:sz="0" w:space="0" w:color="auto"/>
      </w:divBdr>
      <w:divsChild>
        <w:div w:id="1105270301">
          <w:marLeft w:val="75"/>
          <w:marRight w:val="0"/>
          <w:marTop w:val="100"/>
          <w:marBottom w:val="100"/>
          <w:divBdr>
            <w:top w:val="none" w:sz="0" w:space="0" w:color="auto"/>
            <w:left w:val="single" w:sz="12" w:space="4" w:color="000000"/>
            <w:bottom w:val="none" w:sz="0" w:space="0" w:color="auto"/>
            <w:right w:val="none" w:sz="0" w:space="0" w:color="auto"/>
          </w:divBdr>
          <w:divsChild>
            <w:div w:id="1105270306">
              <w:marLeft w:val="0"/>
              <w:marRight w:val="0"/>
              <w:marTop w:val="0"/>
              <w:marBottom w:val="0"/>
              <w:divBdr>
                <w:top w:val="none" w:sz="0" w:space="0" w:color="auto"/>
                <w:left w:val="none" w:sz="0" w:space="0" w:color="auto"/>
                <w:bottom w:val="none" w:sz="0" w:space="0" w:color="auto"/>
                <w:right w:val="none" w:sz="0" w:space="0" w:color="auto"/>
              </w:divBdr>
              <w:divsChild>
                <w:div w:id="1105270321">
                  <w:marLeft w:val="0"/>
                  <w:marRight w:val="0"/>
                  <w:marTop w:val="0"/>
                  <w:marBottom w:val="0"/>
                  <w:divBdr>
                    <w:top w:val="none" w:sz="0" w:space="0" w:color="auto"/>
                    <w:left w:val="none" w:sz="0" w:space="0" w:color="auto"/>
                    <w:bottom w:val="none" w:sz="0" w:space="0" w:color="auto"/>
                    <w:right w:val="none" w:sz="0" w:space="0" w:color="auto"/>
                  </w:divBdr>
                  <w:divsChild>
                    <w:div w:id="1105270322">
                      <w:marLeft w:val="0"/>
                      <w:marRight w:val="0"/>
                      <w:marTop w:val="0"/>
                      <w:marBottom w:val="0"/>
                      <w:divBdr>
                        <w:top w:val="none" w:sz="0" w:space="0" w:color="auto"/>
                        <w:left w:val="none" w:sz="0" w:space="0" w:color="auto"/>
                        <w:bottom w:val="none" w:sz="0" w:space="0" w:color="auto"/>
                        <w:right w:val="none" w:sz="0" w:space="0" w:color="auto"/>
                      </w:divBdr>
                      <w:divsChild>
                        <w:div w:id="1105270302">
                          <w:marLeft w:val="0"/>
                          <w:marRight w:val="0"/>
                          <w:marTop w:val="0"/>
                          <w:marBottom w:val="0"/>
                          <w:divBdr>
                            <w:top w:val="none" w:sz="0" w:space="0" w:color="auto"/>
                            <w:left w:val="none" w:sz="0" w:space="0" w:color="auto"/>
                            <w:bottom w:val="none" w:sz="0" w:space="0" w:color="auto"/>
                            <w:right w:val="none" w:sz="0" w:space="0" w:color="auto"/>
                          </w:divBdr>
                        </w:div>
                        <w:div w:id="1105270303">
                          <w:marLeft w:val="0"/>
                          <w:marRight w:val="0"/>
                          <w:marTop w:val="0"/>
                          <w:marBottom w:val="0"/>
                          <w:divBdr>
                            <w:top w:val="none" w:sz="0" w:space="0" w:color="auto"/>
                            <w:left w:val="none" w:sz="0" w:space="0" w:color="auto"/>
                            <w:bottom w:val="none" w:sz="0" w:space="0" w:color="auto"/>
                            <w:right w:val="none" w:sz="0" w:space="0" w:color="auto"/>
                          </w:divBdr>
                        </w:div>
                        <w:div w:id="1105270310">
                          <w:marLeft w:val="0"/>
                          <w:marRight w:val="0"/>
                          <w:marTop w:val="0"/>
                          <w:marBottom w:val="0"/>
                          <w:divBdr>
                            <w:top w:val="none" w:sz="0" w:space="0" w:color="auto"/>
                            <w:left w:val="none" w:sz="0" w:space="0" w:color="auto"/>
                            <w:bottom w:val="none" w:sz="0" w:space="0" w:color="auto"/>
                            <w:right w:val="none" w:sz="0" w:space="0" w:color="auto"/>
                          </w:divBdr>
                          <w:divsChild>
                            <w:div w:id="1105270304">
                              <w:marLeft w:val="0"/>
                              <w:marRight w:val="0"/>
                              <w:marTop w:val="0"/>
                              <w:marBottom w:val="0"/>
                              <w:divBdr>
                                <w:top w:val="none" w:sz="0" w:space="0" w:color="auto"/>
                                <w:left w:val="none" w:sz="0" w:space="0" w:color="auto"/>
                                <w:bottom w:val="none" w:sz="0" w:space="0" w:color="auto"/>
                                <w:right w:val="none" w:sz="0" w:space="0" w:color="auto"/>
                              </w:divBdr>
                            </w:div>
                            <w:div w:id="1105270305">
                              <w:marLeft w:val="0"/>
                              <w:marRight w:val="0"/>
                              <w:marTop w:val="0"/>
                              <w:marBottom w:val="0"/>
                              <w:divBdr>
                                <w:top w:val="none" w:sz="0" w:space="0" w:color="auto"/>
                                <w:left w:val="none" w:sz="0" w:space="0" w:color="auto"/>
                                <w:bottom w:val="none" w:sz="0" w:space="0" w:color="auto"/>
                                <w:right w:val="none" w:sz="0" w:space="0" w:color="auto"/>
                              </w:divBdr>
                            </w:div>
                            <w:div w:id="1105270308">
                              <w:marLeft w:val="0"/>
                              <w:marRight w:val="0"/>
                              <w:marTop w:val="0"/>
                              <w:marBottom w:val="0"/>
                              <w:divBdr>
                                <w:top w:val="none" w:sz="0" w:space="0" w:color="auto"/>
                                <w:left w:val="none" w:sz="0" w:space="0" w:color="auto"/>
                                <w:bottom w:val="none" w:sz="0" w:space="0" w:color="auto"/>
                                <w:right w:val="none" w:sz="0" w:space="0" w:color="auto"/>
                              </w:divBdr>
                            </w:div>
                            <w:div w:id="1105270309">
                              <w:marLeft w:val="0"/>
                              <w:marRight w:val="0"/>
                              <w:marTop w:val="0"/>
                              <w:marBottom w:val="0"/>
                              <w:divBdr>
                                <w:top w:val="none" w:sz="0" w:space="0" w:color="auto"/>
                                <w:left w:val="none" w:sz="0" w:space="0" w:color="auto"/>
                                <w:bottom w:val="none" w:sz="0" w:space="0" w:color="auto"/>
                                <w:right w:val="none" w:sz="0" w:space="0" w:color="auto"/>
                              </w:divBdr>
                            </w:div>
                            <w:div w:id="1105270311">
                              <w:marLeft w:val="0"/>
                              <w:marRight w:val="0"/>
                              <w:marTop w:val="0"/>
                              <w:marBottom w:val="0"/>
                              <w:divBdr>
                                <w:top w:val="none" w:sz="0" w:space="0" w:color="auto"/>
                                <w:left w:val="none" w:sz="0" w:space="0" w:color="auto"/>
                                <w:bottom w:val="none" w:sz="0" w:space="0" w:color="auto"/>
                                <w:right w:val="none" w:sz="0" w:space="0" w:color="auto"/>
                              </w:divBdr>
                            </w:div>
                            <w:div w:id="1105270312">
                              <w:marLeft w:val="0"/>
                              <w:marRight w:val="0"/>
                              <w:marTop w:val="0"/>
                              <w:marBottom w:val="0"/>
                              <w:divBdr>
                                <w:top w:val="none" w:sz="0" w:space="0" w:color="auto"/>
                                <w:left w:val="none" w:sz="0" w:space="0" w:color="auto"/>
                                <w:bottom w:val="none" w:sz="0" w:space="0" w:color="auto"/>
                                <w:right w:val="none" w:sz="0" w:space="0" w:color="auto"/>
                              </w:divBdr>
                            </w:div>
                            <w:div w:id="1105270313">
                              <w:marLeft w:val="0"/>
                              <w:marRight w:val="0"/>
                              <w:marTop w:val="0"/>
                              <w:marBottom w:val="0"/>
                              <w:divBdr>
                                <w:top w:val="none" w:sz="0" w:space="0" w:color="auto"/>
                                <w:left w:val="none" w:sz="0" w:space="0" w:color="auto"/>
                                <w:bottom w:val="none" w:sz="0" w:space="0" w:color="auto"/>
                                <w:right w:val="none" w:sz="0" w:space="0" w:color="auto"/>
                              </w:divBdr>
                            </w:div>
                            <w:div w:id="1105270316">
                              <w:marLeft w:val="0"/>
                              <w:marRight w:val="0"/>
                              <w:marTop w:val="0"/>
                              <w:marBottom w:val="0"/>
                              <w:divBdr>
                                <w:top w:val="none" w:sz="0" w:space="0" w:color="auto"/>
                                <w:left w:val="none" w:sz="0" w:space="0" w:color="auto"/>
                                <w:bottom w:val="none" w:sz="0" w:space="0" w:color="auto"/>
                                <w:right w:val="none" w:sz="0" w:space="0" w:color="auto"/>
                              </w:divBdr>
                            </w:div>
                            <w:div w:id="1105270319">
                              <w:marLeft w:val="0"/>
                              <w:marRight w:val="0"/>
                              <w:marTop w:val="0"/>
                              <w:marBottom w:val="0"/>
                              <w:divBdr>
                                <w:top w:val="none" w:sz="0" w:space="0" w:color="auto"/>
                                <w:left w:val="none" w:sz="0" w:space="0" w:color="auto"/>
                                <w:bottom w:val="none" w:sz="0" w:space="0" w:color="auto"/>
                                <w:right w:val="none" w:sz="0" w:space="0" w:color="auto"/>
                              </w:divBdr>
                            </w:div>
                            <w:div w:id="1105270320">
                              <w:marLeft w:val="0"/>
                              <w:marRight w:val="0"/>
                              <w:marTop w:val="0"/>
                              <w:marBottom w:val="0"/>
                              <w:divBdr>
                                <w:top w:val="none" w:sz="0" w:space="0" w:color="auto"/>
                                <w:left w:val="none" w:sz="0" w:space="0" w:color="auto"/>
                                <w:bottom w:val="none" w:sz="0" w:space="0" w:color="auto"/>
                                <w:right w:val="none" w:sz="0" w:space="0" w:color="auto"/>
                              </w:divBdr>
                            </w:div>
                            <w:div w:id="1105270324">
                              <w:marLeft w:val="0"/>
                              <w:marRight w:val="0"/>
                              <w:marTop w:val="0"/>
                              <w:marBottom w:val="0"/>
                              <w:divBdr>
                                <w:top w:val="none" w:sz="0" w:space="0" w:color="auto"/>
                                <w:left w:val="none" w:sz="0" w:space="0" w:color="auto"/>
                                <w:bottom w:val="none" w:sz="0" w:space="0" w:color="auto"/>
                                <w:right w:val="none" w:sz="0" w:space="0" w:color="auto"/>
                              </w:divBdr>
                            </w:div>
                            <w:div w:id="11052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270307">
      <w:marLeft w:val="0"/>
      <w:marRight w:val="0"/>
      <w:marTop w:val="0"/>
      <w:marBottom w:val="0"/>
      <w:divBdr>
        <w:top w:val="none" w:sz="0" w:space="0" w:color="auto"/>
        <w:left w:val="none" w:sz="0" w:space="0" w:color="auto"/>
        <w:bottom w:val="none" w:sz="0" w:space="0" w:color="auto"/>
        <w:right w:val="none" w:sz="0" w:space="0" w:color="auto"/>
      </w:divBdr>
    </w:div>
    <w:div w:id="1105270317">
      <w:marLeft w:val="0"/>
      <w:marRight w:val="0"/>
      <w:marTop w:val="0"/>
      <w:marBottom w:val="0"/>
      <w:divBdr>
        <w:top w:val="none" w:sz="0" w:space="0" w:color="auto"/>
        <w:left w:val="none" w:sz="0" w:space="0" w:color="auto"/>
        <w:bottom w:val="none" w:sz="0" w:space="0" w:color="auto"/>
        <w:right w:val="none" w:sz="0" w:space="0" w:color="auto"/>
      </w:divBdr>
      <w:divsChild>
        <w:div w:id="1105270323">
          <w:marLeft w:val="0"/>
          <w:marRight w:val="0"/>
          <w:marTop w:val="0"/>
          <w:marBottom w:val="0"/>
          <w:divBdr>
            <w:top w:val="none" w:sz="0" w:space="0" w:color="auto"/>
            <w:left w:val="single" w:sz="8" w:space="0" w:color="E0E0E0"/>
            <w:bottom w:val="none" w:sz="0" w:space="0" w:color="auto"/>
            <w:right w:val="single" w:sz="8" w:space="0" w:color="E0E0E0"/>
          </w:divBdr>
        </w:div>
      </w:divsChild>
    </w:div>
    <w:div w:id="1105270326">
      <w:marLeft w:val="0"/>
      <w:marRight w:val="0"/>
      <w:marTop w:val="0"/>
      <w:marBottom w:val="0"/>
      <w:divBdr>
        <w:top w:val="none" w:sz="0" w:space="0" w:color="auto"/>
        <w:left w:val="none" w:sz="0" w:space="0" w:color="auto"/>
        <w:bottom w:val="none" w:sz="0" w:space="0" w:color="auto"/>
        <w:right w:val="none" w:sz="0" w:space="0" w:color="auto"/>
      </w:divBdr>
      <w:divsChild>
        <w:div w:id="1105270318">
          <w:marLeft w:val="0"/>
          <w:marRight w:val="0"/>
          <w:marTop w:val="0"/>
          <w:marBottom w:val="0"/>
          <w:divBdr>
            <w:top w:val="none" w:sz="0" w:space="0" w:color="auto"/>
            <w:left w:val="none" w:sz="0" w:space="0" w:color="auto"/>
            <w:bottom w:val="none" w:sz="0" w:space="0" w:color="auto"/>
            <w:right w:val="none" w:sz="0" w:space="0" w:color="auto"/>
          </w:divBdr>
        </w:div>
      </w:divsChild>
    </w:div>
    <w:div w:id="1105270327">
      <w:marLeft w:val="0"/>
      <w:marRight w:val="0"/>
      <w:marTop w:val="0"/>
      <w:marBottom w:val="0"/>
      <w:divBdr>
        <w:top w:val="none" w:sz="0" w:space="0" w:color="auto"/>
        <w:left w:val="none" w:sz="0" w:space="0" w:color="auto"/>
        <w:bottom w:val="none" w:sz="0" w:space="0" w:color="auto"/>
        <w:right w:val="none" w:sz="0" w:space="0" w:color="auto"/>
      </w:divBdr>
      <w:divsChild>
        <w:div w:id="1105270315">
          <w:marLeft w:val="75"/>
          <w:marRight w:val="0"/>
          <w:marTop w:val="100"/>
          <w:marBottom w:val="100"/>
          <w:divBdr>
            <w:top w:val="none" w:sz="0" w:space="0" w:color="auto"/>
            <w:left w:val="single" w:sz="12" w:space="4" w:color="000000"/>
            <w:bottom w:val="none" w:sz="0" w:space="0" w:color="auto"/>
            <w:right w:val="none" w:sz="0" w:space="0" w:color="auto"/>
          </w:divBdr>
        </w:div>
      </w:divsChild>
    </w:div>
    <w:div w:id="1105270328">
      <w:marLeft w:val="0"/>
      <w:marRight w:val="0"/>
      <w:marTop w:val="0"/>
      <w:marBottom w:val="0"/>
      <w:divBdr>
        <w:top w:val="none" w:sz="0" w:space="0" w:color="auto"/>
        <w:left w:val="none" w:sz="0" w:space="0" w:color="auto"/>
        <w:bottom w:val="none" w:sz="0" w:space="0" w:color="auto"/>
        <w:right w:val="none" w:sz="0" w:space="0" w:color="auto"/>
      </w:divBdr>
    </w:div>
    <w:div w:id="1105270329">
      <w:marLeft w:val="0"/>
      <w:marRight w:val="0"/>
      <w:marTop w:val="0"/>
      <w:marBottom w:val="0"/>
      <w:divBdr>
        <w:top w:val="none" w:sz="0" w:space="0" w:color="auto"/>
        <w:left w:val="none" w:sz="0" w:space="0" w:color="auto"/>
        <w:bottom w:val="none" w:sz="0" w:space="0" w:color="auto"/>
        <w:right w:val="none" w:sz="0" w:space="0" w:color="auto"/>
      </w:divBdr>
      <w:divsChild>
        <w:div w:id="1105270314">
          <w:marLeft w:val="0"/>
          <w:marRight w:val="0"/>
          <w:marTop w:val="0"/>
          <w:marBottom w:val="0"/>
          <w:divBdr>
            <w:top w:val="none" w:sz="0" w:space="0" w:color="auto"/>
            <w:left w:val="none" w:sz="0" w:space="0" w:color="auto"/>
            <w:bottom w:val="none" w:sz="0" w:space="0" w:color="auto"/>
            <w:right w:val="none" w:sz="0" w:space="0" w:color="auto"/>
          </w:divBdr>
        </w:div>
      </w:divsChild>
    </w:div>
    <w:div w:id="1146776110">
      <w:bodyDiv w:val="1"/>
      <w:marLeft w:val="0"/>
      <w:marRight w:val="0"/>
      <w:marTop w:val="0"/>
      <w:marBottom w:val="0"/>
      <w:divBdr>
        <w:top w:val="none" w:sz="0" w:space="0" w:color="auto"/>
        <w:left w:val="none" w:sz="0" w:space="0" w:color="auto"/>
        <w:bottom w:val="none" w:sz="0" w:space="0" w:color="auto"/>
        <w:right w:val="none" w:sz="0" w:space="0" w:color="auto"/>
      </w:divBdr>
      <w:divsChild>
        <w:div w:id="203058245">
          <w:marLeft w:val="0"/>
          <w:marRight w:val="0"/>
          <w:marTop w:val="0"/>
          <w:marBottom w:val="0"/>
          <w:divBdr>
            <w:top w:val="none" w:sz="0" w:space="0" w:color="auto"/>
            <w:left w:val="none" w:sz="0" w:space="0" w:color="auto"/>
            <w:bottom w:val="none" w:sz="0" w:space="0" w:color="auto"/>
            <w:right w:val="none" w:sz="0" w:space="0" w:color="auto"/>
          </w:divBdr>
        </w:div>
        <w:div w:id="1837575271">
          <w:marLeft w:val="0"/>
          <w:marRight w:val="0"/>
          <w:marTop w:val="0"/>
          <w:marBottom w:val="0"/>
          <w:divBdr>
            <w:top w:val="none" w:sz="0" w:space="0" w:color="auto"/>
            <w:left w:val="none" w:sz="0" w:space="0" w:color="auto"/>
            <w:bottom w:val="none" w:sz="0" w:space="0" w:color="auto"/>
            <w:right w:val="none" w:sz="0" w:space="0" w:color="auto"/>
          </w:divBdr>
        </w:div>
      </w:divsChild>
    </w:div>
    <w:div w:id="1147864660">
      <w:bodyDiv w:val="1"/>
      <w:marLeft w:val="0"/>
      <w:marRight w:val="0"/>
      <w:marTop w:val="0"/>
      <w:marBottom w:val="0"/>
      <w:divBdr>
        <w:top w:val="none" w:sz="0" w:space="0" w:color="auto"/>
        <w:left w:val="none" w:sz="0" w:space="0" w:color="auto"/>
        <w:bottom w:val="none" w:sz="0" w:space="0" w:color="auto"/>
        <w:right w:val="none" w:sz="0" w:space="0" w:color="auto"/>
      </w:divBdr>
    </w:div>
    <w:div w:id="1156799499">
      <w:bodyDiv w:val="1"/>
      <w:marLeft w:val="0"/>
      <w:marRight w:val="0"/>
      <w:marTop w:val="0"/>
      <w:marBottom w:val="0"/>
      <w:divBdr>
        <w:top w:val="none" w:sz="0" w:space="0" w:color="auto"/>
        <w:left w:val="none" w:sz="0" w:space="0" w:color="auto"/>
        <w:bottom w:val="none" w:sz="0" w:space="0" w:color="auto"/>
        <w:right w:val="none" w:sz="0" w:space="0" w:color="auto"/>
      </w:divBdr>
    </w:div>
    <w:div w:id="1195194083">
      <w:bodyDiv w:val="1"/>
      <w:marLeft w:val="0"/>
      <w:marRight w:val="0"/>
      <w:marTop w:val="0"/>
      <w:marBottom w:val="0"/>
      <w:divBdr>
        <w:top w:val="none" w:sz="0" w:space="0" w:color="auto"/>
        <w:left w:val="none" w:sz="0" w:space="0" w:color="auto"/>
        <w:bottom w:val="none" w:sz="0" w:space="0" w:color="auto"/>
        <w:right w:val="none" w:sz="0" w:space="0" w:color="auto"/>
      </w:divBdr>
    </w:div>
    <w:div w:id="1222255692">
      <w:bodyDiv w:val="1"/>
      <w:marLeft w:val="0"/>
      <w:marRight w:val="0"/>
      <w:marTop w:val="0"/>
      <w:marBottom w:val="0"/>
      <w:divBdr>
        <w:top w:val="none" w:sz="0" w:space="0" w:color="auto"/>
        <w:left w:val="none" w:sz="0" w:space="0" w:color="auto"/>
        <w:bottom w:val="none" w:sz="0" w:space="0" w:color="auto"/>
        <w:right w:val="none" w:sz="0" w:space="0" w:color="auto"/>
      </w:divBdr>
    </w:div>
    <w:div w:id="1229614169">
      <w:bodyDiv w:val="1"/>
      <w:marLeft w:val="0"/>
      <w:marRight w:val="0"/>
      <w:marTop w:val="0"/>
      <w:marBottom w:val="0"/>
      <w:divBdr>
        <w:top w:val="none" w:sz="0" w:space="0" w:color="auto"/>
        <w:left w:val="none" w:sz="0" w:space="0" w:color="auto"/>
        <w:bottom w:val="none" w:sz="0" w:space="0" w:color="auto"/>
        <w:right w:val="none" w:sz="0" w:space="0" w:color="auto"/>
      </w:divBdr>
    </w:div>
    <w:div w:id="1240558900">
      <w:bodyDiv w:val="1"/>
      <w:marLeft w:val="0"/>
      <w:marRight w:val="0"/>
      <w:marTop w:val="0"/>
      <w:marBottom w:val="0"/>
      <w:divBdr>
        <w:top w:val="none" w:sz="0" w:space="0" w:color="auto"/>
        <w:left w:val="none" w:sz="0" w:space="0" w:color="auto"/>
        <w:bottom w:val="none" w:sz="0" w:space="0" w:color="auto"/>
        <w:right w:val="none" w:sz="0" w:space="0" w:color="auto"/>
      </w:divBdr>
    </w:div>
    <w:div w:id="1285038693">
      <w:bodyDiv w:val="1"/>
      <w:marLeft w:val="0"/>
      <w:marRight w:val="0"/>
      <w:marTop w:val="0"/>
      <w:marBottom w:val="0"/>
      <w:divBdr>
        <w:top w:val="none" w:sz="0" w:space="0" w:color="auto"/>
        <w:left w:val="none" w:sz="0" w:space="0" w:color="auto"/>
        <w:bottom w:val="none" w:sz="0" w:space="0" w:color="auto"/>
        <w:right w:val="none" w:sz="0" w:space="0" w:color="auto"/>
      </w:divBdr>
    </w:div>
    <w:div w:id="1295674196">
      <w:bodyDiv w:val="1"/>
      <w:marLeft w:val="0"/>
      <w:marRight w:val="0"/>
      <w:marTop w:val="0"/>
      <w:marBottom w:val="0"/>
      <w:divBdr>
        <w:top w:val="none" w:sz="0" w:space="0" w:color="auto"/>
        <w:left w:val="none" w:sz="0" w:space="0" w:color="auto"/>
        <w:bottom w:val="none" w:sz="0" w:space="0" w:color="auto"/>
        <w:right w:val="none" w:sz="0" w:space="0" w:color="auto"/>
      </w:divBdr>
    </w:div>
    <w:div w:id="1297638218">
      <w:bodyDiv w:val="1"/>
      <w:marLeft w:val="0"/>
      <w:marRight w:val="0"/>
      <w:marTop w:val="0"/>
      <w:marBottom w:val="0"/>
      <w:divBdr>
        <w:top w:val="none" w:sz="0" w:space="0" w:color="auto"/>
        <w:left w:val="none" w:sz="0" w:space="0" w:color="auto"/>
        <w:bottom w:val="none" w:sz="0" w:space="0" w:color="auto"/>
        <w:right w:val="none" w:sz="0" w:space="0" w:color="auto"/>
      </w:divBdr>
    </w:div>
    <w:div w:id="1326396686">
      <w:bodyDiv w:val="1"/>
      <w:marLeft w:val="0"/>
      <w:marRight w:val="0"/>
      <w:marTop w:val="0"/>
      <w:marBottom w:val="0"/>
      <w:divBdr>
        <w:top w:val="none" w:sz="0" w:space="0" w:color="auto"/>
        <w:left w:val="none" w:sz="0" w:space="0" w:color="auto"/>
        <w:bottom w:val="none" w:sz="0" w:space="0" w:color="auto"/>
        <w:right w:val="none" w:sz="0" w:space="0" w:color="auto"/>
      </w:divBdr>
      <w:divsChild>
        <w:div w:id="75052413">
          <w:marLeft w:val="0"/>
          <w:marRight w:val="0"/>
          <w:marTop w:val="0"/>
          <w:marBottom w:val="0"/>
          <w:divBdr>
            <w:top w:val="none" w:sz="0" w:space="0" w:color="auto"/>
            <w:left w:val="none" w:sz="0" w:space="0" w:color="auto"/>
            <w:bottom w:val="none" w:sz="0" w:space="0" w:color="auto"/>
            <w:right w:val="none" w:sz="0" w:space="0" w:color="auto"/>
          </w:divBdr>
        </w:div>
        <w:div w:id="477453037">
          <w:marLeft w:val="0"/>
          <w:marRight w:val="0"/>
          <w:marTop w:val="0"/>
          <w:marBottom w:val="0"/>
          <w:divBdr>
            <w:top w:val="none" w:sz="0" w:space="0" w:color="auto"/>
            <w:left w:val="none" w:sz="0" w:space="0" w:color="auto"/>
            <w:bottom w:val="none" w:sz="0" w:space="0" w:color="auto"/>
            <w:right w:val="none" w:sz="0" w:space="0" w:color="auto"/>
          </w:divBdr>
        </w:div>
        <w:div w:id="1556546366">
          <w:blockQuote w:val="1"/>
          <w:marLeft w:val="-1703"/>
          <w:marRight w:val="0"/>
          <w:marTop w:val="300"/>
          <w:marBottom w:val="300"/>
          <w:divBdr>
            <w:top w:val="none" w:sz="0" w:space="0" w:color="auto"/>
            <w:left w:val="none" w:sz="0" w:space="0" w:color="auto"/>
            <w:bottom w:val="none" w:sz="0" w:space="0" w:color="auto"/>
            <w:right w:val="none" w:sz="0" w:space="0" w:color="auto"/>
          </w:divBdr>
        </w:div>
        <w:div w:id="2051151539">
          <w:marLeft w:val="0"/>
          <w:marRight w:val="0"/>
          <w:marTop w:val="0"/>
          <w:marBottom w:val="0"/>
          <w:divBdr>
            <w:top w:val="none" w:sz="0" w:space="0" w:color="auto"/>
            <w:left w:val="none" w:sz="0" w:space="0" w:color="auto"/>
            <w:bottom w:val="none" w:sz="0" w:space="0" w:color="auto"/>
            <w:right w:val="none" w:sz="0" w:space="0" w:color="auto"/>
          </w:divBdr>
        </w:div>
      </w:divsChild>
    </w:div>
    <w:div w:id="1342008759">
      <w:bodyDiv w:val="1"/>
      <w:marLeft w:val="0"/>
      <w:marRight w:val="0"/>
      <w:marTop w:val="0"/>
      <w:marBottom w:val="0"/>
      <w:divBdr>
        <w:top w:val="none" w:sz="0" w:space="0" w:color="auto"/>
        <w:left w:val="none" w:sz="0" w:space="0" w:color="auto"/>
        <w:bottom w:val="none" w:sz="0" w:space="0" w:color="auto"/>
        <w:right w:val="none" w:sz="0" w:space="0" w:color="auto"/>
      </w:divBdr>
      <w:divsChild>
        <w:div w:id="779299211">
          <w:marLeft w:val="0"/>
          <w:marRight w:val="0"/>
          <w:marTop w:val="0"/>
          <w:marBottom w:val="0"/>
          <w:divBdr>
            <w:top w:val="none" w:sz="0" w:space="0" w:color="auto"/>
            <w:left w:val="none" w:sz="0" w:space="0" w:color="auto"/>
            <w:bottom w:val="none" w:sz="0" w:space="0" w:color="auto"/>
            <w:right w:val="none" w:sz="0" w:space="0" w:color="auto"/>
          </w:divBdr>
        </w:div>
        <w:div w:id="1323240386">
          <w:marLeft w:val="0"/>
          <w:marRight w:val="0"/>
          <w:marTop w:val="0"/>
          <w:marBottom w:val="0"/>
          <w:divBdr>
            <w:top w:val="none" w:sz="0" w:space="0" w:color="auto"/>
            <w:left w:val="none" w:sz="0" w:space="0" w:color="auto"/>
            <w:bottom w:val="none" w:sz="0" w:space="0" w:color="auto"/>
            <w:right w:val="none" w:sz="0" w:space="0" w:color="auto"/>
          </w:divBdr>
        </w:div>
      </w:divsChild>
    </w:div>
    <w:div w:id="1354842741">
      <w:bodyDiv w:val="1"/>
      <w:marLeft w:val="0"/>
      <w:marRight w:val="0"/>
      <w:marTop w:val="0"/>
      <w:marBottom w:val="0"/>
      <w:divBdr>
        <w:top w:val="none" w:sz="0" w:space="0" w:color="auto"/>
        <w:left w:val="none" w:sz="0" w:space="0" w:color="auto"/>
        <w:bottom w:val="none" w:sz="0" w:space="0" w:color="auto"/>
        <w:right w:val="none" w:sz="0" w:space="0" w:color="auto"/>
      </w:divBdr>
    </w:div>
    <w:div w:id="1359695546">
      <w:bodyDiv w:val="1"/>
      <w:marLeft w:val="0"/>
      <w:marRight w:val="0"/>
      <w:marTop w:val="0"/>
      <w:marBottom w:val="0"/>
      <w:divBdr>
        <w:top w:val="none" w:sz="0" w:space="0" w:color="auto"/>
        <w:left w:val="none" w:sz="0" w:space="0" w:color="auto"/>
        <w:bottom w:val="none" w:sz="0" w:space="0" w:color="auto"/>
        <w:right w:val="none" w:sz="0" w:space="0" w:color="auto"/>
      </w:divBdr>
      <w:divsChild>
        <w:div w:id="284780040">
          <w:marLeft w:val="0"/>
          <w:marRight w:val="0"/>
          <w:marTop w:val="0"/>
          <w:marBottom w:val="0"/>
          <w:divBdr>
            <w:top w:val="none" w:sz="0" w:space="0" w:color="auto"/>
            <w:left w:val="none" w:sz="0" w:space="0" w:color="auto"/>
            <w:bottom w:val="none" w:sz="0" w:space="0" w:color="auto"/>
            <w:right w:val="none" w:sz="0" w:space="0" w:color="auto"/>
          </w:divBdr>
        </w:div>
        <w:div w:id="1512065284">
          <w:marLeft w:val="0"/>
          <w:marRight w:val="0"/>
          <w:marTop w:val="0"/>
          <w:marBottom w:val="0"/>
          <w:divBdr>
            <w:top w:val="none" w:sz="0" w:space="0" w:color="auto"/>
            <w:left w:val="none" w:sz="0" w:space="0" w:color="auto"/>
            <w:bottom w:val="none" w:sz="0" w:space="0" w:color="auto"/>
            <w:right w:val="none" w:sz="0" w:space="0" w:color="auto"/>
          </w:divBdr>
        </w:div>
        <w:div w:id="1589803753">
          <w:marLeft w:val="0"/>
          <w:marRight w:val="0"/>
          <w:marTop w:val="0"/>
          <w:marBottom w:val="0"/>
          <w:divBdr>
            <w:top w:val="none" w:sz="0" w:space="0" w:color="auto"/>
            <w:left w:val="none" w:sz="0" w:space="0" w:color="auto"/>
            <w:bottom w:val="none" w:sz="0" w:space="0" w:color="auto"/>
            <w:right w:val="none" w:sz="0" w:space="0" w:color="auto"/>
          </w:divBdr>
        </w:div>
        <w:div w:id="1592350950">
          <w:marLeft w:val="0"/>
          <w:marRight w:val="0"/>
          <w:marTop w:val="0"/>
          <w:marBottom w:val="0"/>
          <w:divBdr>
            <w:top w:val="none" w:sz="0" w:space="0" w:color="auto"/>
            <w:left w:val="none" w:sz="0" w:space="0" w:color="auto"/>
            <w:bottom w:val="none" w:sz="0" w:space="0" w:color="auto"/>
            <w:right w:val="none" w:sz="0" w:space="0" w:color="auto"/>
          </w:divBdr>
        </w:div>
      </w:divsChild>
    </w:div>
    <w:div w:id="1376389587">
      <w:bodyDiv w:val="1"/>
      <w:marLeft w:val="0"/>
      <w:marRight w:val="0"/>
      <w:marTop w:val="0"/>
      <w:marBottom w:val="0"/>
      <w:divBdr>
        <w:top w:val="none" w:sz="0" w:space="0" w:color="auto"/>
        <w:left w:val="none" w:sz="0" w:space="0" w:color="auto"/>
        <w:bottom w:val="none" w:sz="0" w:space="0" w:color="auto"/>
        <w:right w:val="none" w:sz="0" w:space="0" w:color="auto"/>
      </w:divBdr>
      <w:divsChild>
        <w:div w:id="1050226193">
          <w:marLeft w:val="0"/>
          <w:marRight w:val="0"/>
          <w:marTop w:val="0"/>
          <w:marBottom w:val="0"/>
          <w:divBdr>
            <w:top w:val="none" w:sz="0" w:space="0" w:color="auto"/>
            <w:left w:val="none" w:sz="0" w:space="0" w:color="auto"/>
            <w:bottom w:val="none" w:sz="0" w:space="0" w:color="auto"/>
            <w:right w:val="none" w:sz="0" w:space="0" w:color="auto"/>
          </w:divBdr>
        </w:div>
        <w:div w:id="1605767405">
          <w:marLeft w:val="0"/>
          <w:marRight w:val="0"/>
          <w:marTop w:val="0"/>
          <w:marBottom w:val="0"/>
          <w:divBdr>
            <w:top w:val="none" w:sz="0" w:space="0" w:color="auto"/>
            <w:left w:val="none" w:sz="0" w:space="0" w:color="auto"/>
            <w:bottom w:val="none" w:sz="0" w:space="0" w:color="auto"/>
            <w:right w:val="none" w:sz="0" w:space="0" w:color="auto"/>
          </w:divBdr>
        </w:div>
      </w:divsChild>
    </w:div>
    <w:div w:id="1383554993">
      <w:bodyDiv w:val="1"/>
      <w:marLeft w:val="0"/>
      <w:marRight w:val="0"/>
      <w:marTop w:val="0"/>
      <w:marBottom w:val="0"/>
      <w:divBdr>
        <w:top w:val="none" w:sz="0" w:space="0" w:color="auto"/>
        <w:left w:val="none" w:sz="0" w:space="0" w:color="auto"/>
        <w:bottom w:val="none" w:sz="0" w:space="0" w:color="auto"/>
        <w:right w:val="none" w:sz="0" w:space="0" w:color="auto"/>
      </w:divBdr>
    </w:div>
    <w:div w:id="1435587547">
      <w:bodyDiv w:val="1"/>
      <w:marLeft w:val="0"/>
      <w:marRight w:val="0"/>
      <w:marTop w:val="0"/>
      <w:marBottom w:val="0"/>
      <w:divBdr>
        <w:top w:val="none" w:sz="0" w:space="0" w:color="auto"/>
        <w:left w:val="none" w:sz="0" w:space="0" w:color="auto"/>
        <w:bottom w:val="none" w:sz="0" w:space="0" w:color="auto"/>
        <w:right w:val="none" w:sz="0" w:space="0" w:color="auto"/>
      </w:divBdr>
    </w:div>
    <w:div w:id="1441147322">
      <w:bodyDiv w:val="1"/>
      <w:marLeft w:val="0"/>
      <w:marRight w:val="0"/>
      <w:marTop w:val="0"/>
      <w:marBottom w:val="0"/>
      <w:divBdr>
        <w:top w:val="none" w:sz="0" w:space="0" w:color="auto"/>
        <w:left w:val="none" w:sz="0" w:space="0" w:color="auto"/>
        <w:bottom w:val="none" w:sz="0" w:space="0" w:color="auto"/>
        <w:right w:val="none" w:sz="0" w:space="0" w:color="auto"/>
      </w:divBdr>
    </w:div>
    <w:div w:id="1467893590">
      <w:bodyDiv w:val="1"/>
      <w:marLeft w:val="0"/>
      <w:marRight w:val="0"/>
      <w:marTop w:val="0"/>
      <w:marBottom w:val="0"/>
      <w:divBdr>
        <w:top w:val="none" w:sz="0" w:space="0" w:color="auto"/>
        <w:left w:val="none" w:sz="0" w:space="0" w:color="auto"/>
        <w:bottom w:val="none" w:sz="0" w:space="0" w:color="auto"/>
        <w:right w:val="none" w:sz="0" w:space="0" w:color="auto"/>
      </w:divBdr>
    </w:div>
    <w:div w:id="1475877778">
      <w:bodyDiv w:val="1"/>
      <w:marLeft w:val="0"/>
      <w:marRight w:val="0"/>
      <w:marTop w:val="0"/>
      <w:marBottom w:val="0"/>
      <w:divBdr>
        <w:top w:val="none" w:sz="0" w:space="0" w:color="auto"/>
        <w:left w:val="none" w:sz="0" w:space="0" w:color="auto"/>
        <w:bottom w:val="none" w:sz="0" w:space="0" w:color="auto"/>
        <w:right w:val="none" w:sz="0" w:space="0" w:color="auto"/>
      </w:divBdr>
      <w:divsChild>
        <w:div w:id="1028606356">
          <w:marLeft w:val="0"/>
          <w:marRight w:val="0"/>
          <w:marTop w:val="0"/>
          <w:marBottom w:val="0"/>
          <w:divBdr>
            <w:top w:val="none" w:sz="0" w:space="0" w:color="auto"/>
            <w:left w:val="none" w:sz="0" w:space="0" w:color="auto"/>
            <w:bottom w:val="none" w:sz="0" w:space="0" w:color="auto"/>
            <w:right w:val="none" w:sz="0" w:space="0" w:color="auto"/>
          </w:divBdr>
          <w:divsChild>
            <w:div w:id="839390251">
              <w:marLeft w:val="0"/>
              <w:marRight w:val="0"/>
              <w:marTop w:val="0"/>
              <w:marBottom w:val="0"/>
              <w:divBdr>
                <w:top w:val="none" w:sz="0" w:space="0" w:color="auto"/>
                <w:left w:val="none" w:sz="0" w:space="0" w:color="auto"/>
                <w:bottom w:val="none" w:sz="0" w:space="0" w:color="auto"/>
                <w:right w:val="none" w:sz="0" w:space="0" w:color="auto"/>
              </w:divBdr>
              <w:divsChild>
                <w:div w:id="959729284">
                  <w:marLeft w:val="0"/>
                  <w:marRight w:val="0"/>
                  <w:marTop w:val="0"/>
                  <w:marBottom w:val="0"/>
                  <w:divBdr>
                    <w:top w:val="none" w:sz="0" w:space="0" w:color="auto"/>
                    <w:left w:val="none" w:sz="0" w:space="0" w:color="auto"/>
                    <w:bottom w:val="none" w:sz="0" w:space="0" w:color="auto"/>
                    <w:right w:val="none" w:sz="0" w:space="0" w:color="auto"/>
                  </w:divBdr>
                  <w:divsChild>
                    <w:div w:id="5990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72094">
          <w:marLeft w:val="0"/>
          <w:marRight w:val="0"/>
          <w:marTop w:val="0"/>
          <w:marBottom w:val="0"/>
          <w:divBdr>
            <w:top w:val="none" w:sz="0" w:space="0" w:color="auto"/>
            <w:left w:val="none" w:sz="0" w:space="0" w:color="auto"/>
            <w:bottom w:val="none" w:sz="0" w:space="0" w:color="auto"/>
            <w:right w:val="none" w:sz="0" w:space="0" w:color="auto"/>
          </w:divBdr>
          <w:divsChild>
            <w:div w:id="486215366">
              <w:marLeft w:val="0"/>
              <w:marRight w:val="0"/>
              <w:marTop w:val="0"/>
              <w:marBottom w:val="0"/>
              <w:divBdr>
                <w:top w:val="none" w:sz="0" w:space="0" w:color="auto"/>
                <w:left w:val="none" w:sz="0" w:space="0" w:color="auto"/>
                <w:bottom w:val="none" w:sz="0" w:space="0" w:color="auto"/>
                <w:right w:val="none" w:sz="0" w:space="0" w:color="auto"/>
              </w:divBdr>
              <w:divsChild>
                <w:div w:id="1584337885">
                  <w:marLeft w:val="0"/>
                  <w:marRight w:val="0"/>
                  <w:marTop w:val="0"/>
                  <w:marBottom w:val="0"/>
                  <w:divBdr>
                    <w:top w:val="none" w:sz="0" w:space="0" w:color="auto"/>
                    <w:left w:val="none" w:sz="0" w:space="0" w:color="auto"/>
                    <w:bottom w:val="none" w:sz="0" w:space="0" w:color="auto"/>
                    <w:right w:val="none" w:sz="0" w:space="0" w:color="auto"/>
                  </w:divBdr>
                  <w:divsChild>
                    <w:div w:id="629937319">
                      <w:marLeft w:val="0"/>
                      <w:marRight w:val="0"/>
                      <w:marTop w:val="0"/>
                      <w:marBottom w:val="0"/>
                      <w:divBdr>
                        <w:top w:val="none" w:sz="0" w:space="0" w:color="auto"/>
                        <w:left w:val="none" w:sz="0" w:space="0" w:color="auto"/>
                        <w:bottom w:val="none" w:sz="0" w:space="0" w:color="auto"/>
                        <w:right w:val="none" w:sz="0" w:space="0" w:color="auto"/>
                      </w:divBdr>
                      <w:divsChild>
                        <w:div w:id="122043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705320">
      <w:bodyDiv w:val="1"/>
      <w:marLeft w:val="0"/>
      <w:marRight w:val="0"/>
      <w:marTop w:val="0"/>
      <w:marBottom w:val="0"/>
      <w:divBdr>
        <w:top w:val="none" w:sz="0" w:space="0" w:color="auto"/>
        <w:left w:val="none" w:sz="0" w:space="0" w:color="auto"/>
        <w:bottom w:val="none" w:sz="0" w:space="0" w:color="auto"/>
        <w:right w:val="none" w:sz="0" w:space="0" w:color="auto"/>
      </w:divBdr>
    </w:div>
    <w:div w:id="1496721343">
      <w:bodyDiv w:val="1"/>
      <w:marLeft w:val="0"/>
      <w:marRight w:val="0"/>
      <w:marTop w:val="0"/>
      <w:marBottom w:val="0"/>
      <w:divBdr>
        <w:top w:val="none" w:sz="0" w:space="0" w:color="auto"/>
        <w:left w:val="none" w:sz="0" w:space="0" w:color="auto"/>
        <w:bottom w:val="none" w:sz="0" w:space="0" w:color="auto"/>
        <w:right w:val="none" w:sz="0" w:space="0" w:color="auto"/>
      </w:divBdr>
    </w:div>
    <w:div w:id="1499349128">
      <w:bodyDiv w:val="1"/>
      <w:marLeft w:val="0"/>
      <w:marRight w:val="0"/>
      <w:marTop w:val="0"/>
      <w:marBottom w:val="0"/>
      <w:divBdr>
        <w:top w:val="none" w:sz="0" w:space="0" w:color="auto"/>
        <w:left w:val="none" w:sz="0" w:space="0" w:color="auto"/>
        <w:bottom w:val="none" w:sz="0" w:space="0" w:color="auto"/>
        <w:right w:val="none" w:sz="0" w:space="0" w:color="auto"/>
      </w:divBdr>
      <w:divsChild>
        <w:div w:id="1395086591">
          <w:marLeft w:val="0"/>
          <w:marRight w:val="0"/>
          <w:marTop w:val="0"/>
          <w:marBottom w:val="0"/>
          <w:divBdr>
            <w:top w:val="none" w:sz="0" w:space="0" w:color="auto"/>
            <w:left w:val="none" w:sz="0" w:space="0" w:color="auto"/>
            <w:bottom w:val="none" w:sz="0" w:space="0" w:color="auto"/>
            <w:right w:val="none" w:sz="0" w:space="0" w:color="auto"/>
          </w:divBdr>
          <w:divsChild>
            <w:div w:id="1433208401">
              <w:marLeft w:val="0"/>
              <w:marRight w:val="0"/>
              <w:marTop w:val="0"/>
              <w:marBottom w:val="0"/>
              <w:divBdr>
                <w:top w:val="none" w:sz="0" w:space="0" w:color="auto"/>
                <w:left w:val="none" w:sz="0" w:space="0" w:color="auto"/>
                <w:bottom w:val="none" w:sz="0" w:space="0" w:color="auto"/>
                <w:right w:val="none" w:sz="0" w:space="0" w:color="auto"/>
              </w:divBdr>
              <w:divsChild>
                <w:div w:id="76777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3034">
          <w:marLeft w:val="0"/>
          <w:marRight w:val="0"/>
          <w:marTop w:val="0"/>
          <w:marBottom w:val="0"/>
          <w:divBdr>
            <w:top w:val="none" w:sz="0" w:space="0" w:color="auto"/>
            <w:left w:val="none" w:sz="0" w:space="0" w:color="auto"/>
            <w:bottom w:val="none" w:sz="0" w:space="0" w:color="auto"/>
            <w:right w:val="none" w:sz="0" w:space="0" w:color="auto"/>
          </w:divBdr>
          <w:divsChild>
            <w:div w:id="622151000">
              <w:marLeft w:val="0"/>
              <w:marRight w:val="0"/>
              <w:marTop w:val="0"/>
              <w:marBottom w:val="0"/>
              <w:divBdr>
                <w:top w:val="none" w:sz="0" w:space="0" w:color="auto"/>
                <w:left w:val="none" w:sz="0" w:space="0" w:color="auto"/>
                <w:bottom w:val="none" w:sz="0" w:space="0" w:color="auto"/>
                <w:right w:val="none" w:sz="0" w:space="0" w:color="auto"/>
              </w:divBdr>
              <w:divsChild>
                <w:div w:id="1957251375">
                  <w:marLeft w:val="0"/>
                  <w:marRight w:val="0"/>
                  <w:marTop w:val="0"/>
                  <w:marBottom w:val="0"/>
                  <w:divBdr>
                    <w:top w:val="none" w:sz="0" w:space="0" w:color="auto"/>
                    <w:left w:val="none" w:sz="0" w:space="0" w:color="auto"/>
                    <w:bottom w:val="none" w:sz="0" w:space="0" w:color="auto"/>
                    <w:right w:val="none" w:sz="0" w:space="0" w:color="auto"/>
                  </w:divBdr>
                  <w:divsChild>
                    <w:div w:id="1460226243">
                      <w:marLeft w:val="0"/>
                      <w:marRight w:val="0"/>
                      <w:marTop w:val="0"/>
                      <w:marBottom w:val="0"/>
                      <w:divBdr>
                        <w:top w:val="none" w:sz="0" w:space="0" w:color="auto"/>
                        <w:left w:val="none" w:sz="0" w:space="0" w:color="auto"/>
                        <w:bottom w:val="none" w:sz="0" w:space="0" w:color="auto"/>
                        <w:right w:val="none" w:sz="0" w:space="0" w:color="auto"/>
                      </w:divBdr>
                      <w:divsChild>
                        <w:div w:id="92434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053">
      <w:bodyDiv w:val="1"/>
      <w:marLeft w:val="0"/>
      <w:marRight w:val="0"/>
      <w:marTop w:val="0"/>
      <w:marBottom w:val="0"/>
      <w:divBdr>
        <w:top w:val="none" w:sz="0" w:space="0" w:color="auto"/>
        <w:left w:val="none" w:sz="0" w:space="0" w:color="auto"/>
        <w:bottom w:val="none" w:sz="0" w:space="0" w:color="auto"/>
        <w:right w:val="none" w:sz="0" w:space="0" w:color="auto"/>
      </w:divBdr>
    </w:div>
    <w:div w:id="1514761013">
      <w:bodyDiv w:val="1"/>
      <w:marLeft w:val="0"/>
      <w:marRight w:val="0"/>
      <w:marTop w:val="0"/>
      <w:marBottom w:val="0"/>
      <w:divBdr>
        <w:top w:val="none" w:sz="0" w:space="0" w:color="auto"/>
        <w:left w:val="none" w:sz="0" w:space="0" w:color="auto"/>
        <w:bottom w:val="none" w:sz="0" w:space="0" w:color="auto"/>
        <w:right w:val="none" w:sz="0" w:space="0" w:color="auto"/>
      </w:divBdr>
    </w:div>
    <w:div w:id="1536229835">
      <w:bodyDiv w:val="1"/>
      <w:marLeft w:val="0"/>
      <w:marRight w:val="0"/>
      <w:marTop w:val="0"/>
      <w:marBottom w:val="0"/>
      <w:divBdr>
        <w:top w:val="none" w:sz="0" w:space="0" w:color="auto"/>
        <w:left w:val="none" w:sz="0" w:space="0" w:color="auto"/>
        <w:bottom w:val="none" w:sz="0" w:space="0" w:color="auto"/>
        <w:right w:val="none" w:sz="0" w:space="0" w:color="auto"/>
      </w:divBdr>
    </w:div>
    <w:div w:id="1540705762">
      <w:bodyDiv w:val="1"/>
      <w:marLeft w:val="0"/>
      <w:marRight w:val="0"/>
      <w:marTop w:val="0"/>
      <w:marBottom w:val="0"/>
      <w:divBdr>
        <w:top w:val="none" w:sz="0" w:space="0" w:color="auto"/>
        <w:left w:val="none" w:sz="0" w:space="0" w:color="auto"/>
        <w:bottom w:val="none" w:sz="0" w:space="0" w:color="auto"/>
        <w:right w:val="none" w:sz="0" w:space="0" w:color="auto"/>
      </w:divBdr>
    </w:div>
    <w:div w:id="1575357845">
      <w:bodyDiv w:val="1"/>
      <w:marLeft w:val="0"/>
      <w:marRight w:val="0"/>
      <w:marTop w:val="0"/>
      <w:marBottom w:val="0"/>
      <w:divBdr>
        <w:top w:val="none" w:sz="0" w:space="0" w:color="auto"/>
        <w:left w:val="none" w:sz="0" w:space="0" w:color="auto"/>
        <w:bottom w:val="none" w:sz="0" w:space="0" w:color="auto"/>
        <w:right w:val="none" w:sz="0" w:space="0" w:color="auto"/>
      </w:divBdr>
    </w:div>
    <w:div w:id="1610510534">
      <w:bodyDiv w:val="1"/>
      <w:marLeft w:val="0"/>
      <w:marRight w:val="0"/>
      <w:marTop w:val="0"/>
      <w:marBottom w:val="0"/>
      <w:divBdr>
        <w:top w:val="none" w:sz="0" w:space="0" w:color="auto"/>
        <w:left w:val="none" w:sz="0" w:space="0" w:color="auto"/>
        <w:bottom w:val="none" w:sz="0" w:space="0" w:color="auto"/>
        <w:right w:val="none" w:sz="0" w:space="0" w:color="auto"/>
      </w:divBdr>
    </w:div>
    <w:div w:id="1616868169">
      <w:bodyDiv w:val="1"/>
      <w:marLeft w:val="0"/>
      <w:marRight w:val="0"/>
      <w:marTop w:val="0"/>
      <w:marBottom w:val="0"/>
      <w:divBdr>
        <w:top w:val="none" w:sz="0" w:space="0" w:color="auto"/>
        <w:left w:val="none" w:sz="0" w:space="0" w:color="auto"/>
        <w:bottom w:val="none" w:sz="0" w:space="0" w:color="auto"/>
        <w:right w:val="none" w:sz="0" w:space="0" w:color="auto"/>
      </w:divBdr>
    </w:div>
    <w:div w:id="1618444037">
      <w:bodyDiv w:val="1"/>
      <w:marLeft w:val="0"/>
      <w:marRight w:val="0"/>
      <w:marTop w:val="0"/>
      <w:marBottom w:val="0"/>
      <w:divBdr>
        <w:top w:val="none" w:sz="0" w:space="0" w:color="auto"/>
        <w:left w:val="none" w:sz="0" w:space="0" w:color="auto"/>
        <w:bottom w:val="none" w:sz="0" w:space="0" w:color="auto"/>
        <w:right w:val="none" w:sz="0" w:space="0" w:color="auto"/>
      </w:divBdr>
    </w:div>
    <w:div w:id="1623413342">
      <w:bodyDiv w:val="1"/>
      <w:marLeft w:val="0"/>
      <w:marRight w:val="0"/>
      <w:marTop w:val="0"/>
      <w:marBottom w:val="0"/>
      <w:divBdr>
        <w:top w:val="none" w:sz="0" w:space="0" w:color="auto"/>
        <w:left w:val="none" w:sz="0" w:space="0" w:color="auto"/>
        <w:bottom w:val="none" w:sz="0" w:space="0" w:color="auto"/>
        <w:right w:val="none" w:sz="0" w:space="0" w:color="auto"/>
      </w:divBdr>
    </w:div>
    <w:div w:id="1631934624">
      <w:bodyDiv w:val="1"/>
      <w:marLeft w:val="0"/>
      <w:marRight w:val="0"/>
      <w:marTop w:val="0"/>
      <w:marBottom w:val="0"/>
      <w:divBdr>
        <w:top w:val="none" w:sz="0" w:space="0" w:color="auto"/>
        <w:left w:val="none" w:sz="0" w:space="0" w:color="auto"/>
        <w:bottom w:val="none" w:sz="0" w:space="0" w:color="auto"/>
        <w:right w:val="none" w:sz="0" w:space="0" w:color="auto"/>
      </w:divBdr>
      <w:divsChild>
        <w:div w:id="37972859">
          <w:marLeft w:val="0"/>
          <w:marRight w:val="0"/>
          <w:marTop w:val="0"/>
          <w:marBottom w:val="0"/>
          <w:divBdr>
            <w:top w:val="none" w:sz="0" w:space="0" w:color="auto"/>
            <w:left w:val="none" w:sz="0" w:space="0" w:color="auto"/>
            <w:bottom w:val="none" w:sz="0" w:space="0" w:color="auto"/>
            <w:right w:val="none" w:sz="0" w:space="0" w:color="auto"/>
          </w:divBdr>
        </w:div>
        <w:div w:id="1905606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051166">
      <w:bodyDiv w:val="1"/>
      <w:marLeft w:val="0"/>
      <w:marRight w:val="0"/>
      <w:marTop w:val="0"/>
      <w:marBottom w:val="0"/>
      <w:divBdr>
        <w:top w:val="none" w:sz="0" w:space="0" w:color="auto"/>
        <w:left w:val="none" w:sz="0" w:space="0" w:color="auto"/>
        <w:bottom w:val="none" w:sz="0" w:space="0" w:color="auto"/>
        <w:right w:val="none" w:sz="0" w:space="0" w:color="auto"/>
      </w:divBdr>
    </w:div>
    <w:div w:id="1643609868">
      <w:bodyDiv w:val="1"/>
      <w:marLeft w:val="0"/>
      <w:marRight w:val="0"/>
      <w:marTop w:val="0"/>
      <w:marBottom w:val="0"/>
      <w:divBdr>
        <w:top w:val="none" w:sz="0" w:space="0" w:color="auto"/>
        <w:left w:val="none" w:sz="0" w:space="0" w:color="auto"/>
        <w:bottom w:val="none" w:sz="0" w:space="0" w:color="auto"/>
        <w:right w:val="none" w:sz="0" w:space="0" w:color="auto"/>
      </w:divBdr>
    </w:div>
    <w:div w:id="1718314321">
      <w:bodyDiv w:val="1"/>
      <w:marLeft w:val="0"/>
      <w:marRight w:val="0"/>
      <w:marTop w:val="0"/>
      <w:marBottom w:val="0"/>
      <w:divBdr>
        <w:top w:val="none" w:sz="0" w:space="0" w:color="auto"/>
        <w:left w:val="none" w:sz="0" w:space="0" w:color="auto"/>
        <w:bottom w:val="none" w:sz="0" w:space="0" w:color="auto"/>
        <w:right w:val="none" w:sz="0" w:space="0" w:color="auto"/>
      </w:divBdr>
    </w:div>
    <w:div w:id="1730028581">
      <w:bodyDiv w:val="1"/>
      <w:marLeft w:val="0"/>
      <w:marRight w:val="0"/>
      <w:marTop w:val="0"/>
      <w:marBottom w:val="0"/>
      <w:divBdr>
        <w:top w:val="none" w:sz="0" w:space="0" w:color="auto"/>
        <w:left w:val="none" w:sz="0" w:space="0" w:color="auto"/>
        <w:bottom w:val="none" w:sz="0" w:space="0" w:color="auto"/>
        <w:right w:val="none" w:sz="0" w:space="0" w:color="auto"/>
      </w:divBdr>
      <w:divsChild>
        <w:div w:id="137429890">
          <w:marLeft w:val="0"/>
          <w:marRight w:val="0"/>
          <w:marTop w:val="0"/>
          <w:marBottom w:val="0"/>
          <w:divBdr>
            <w:top w:val="none" w:sz="0" w:space="0" w:color="auto"/>
            <w:left w:val="none" w:sz="0" w:space="0" w:color="auto"/>
            <w:bottom w:val="none" w:sz="0" w:space="0" w:color="auto"/>
            <w:right w:val="none" w:sz="0" w:space="0" w:color="auto"/>
          </w:divBdr>
        </w:div>
        <w:div w:id="155074281">
          <w:marLeft w:val="0"/>
          <w:marRight w:val="0"/>
          <w:marTop w:val="0"/>
          <w:marBottom w:val="0"/>
          <w:divBdr>
            <w:top w:val="none" w:sz="0" w:space="0" w:color="auto"/>
            <w:left w:val="none" w:sz="0" w:space="0" w:color="auto"/>
            <w:bottom w:val="none" w:sz="0" w:space="0" w:color="auto"/>
            <w:right w:val="none" w:sz="0" w:space="0" w:color="auto"/>
          </w:divBdr>
        </w:div>
        <w:div w:id="235211966">
          <w:marLeft w:val="0"/>
          <w:marRight w:val="0"/>
          <w:marTop w:val="0"/>
          <w:marBottom w:val="0"/>
          <w:divBdr>
            <w:top w:val="none" w:sz="0" w:space="0" w:color="auto"/>
            <w:left w:val="none" w:sz="0" w:space="0" w:color="auto"/>
            <w:bottom w:val="none" w:sz="0" w:space="0" w:color="auto"/>
            <w:right w:val="none" w:sz="0" w:space="0" w:color="auto"/>
          </w:divBdr>
        </w:div>
        <w:div w:id="671839912">
          <w:marLeft w:val="0"/>
          <w:marRight w:val="0"/>
          <w:marTop w:val="0"/>
          <w:marBottom w:val="0"/>
          <w:divBdr>
            <w:top w:val="none" w:sz="0" w:space="0" w:color="auto"/>
            <w:left w:val="none" w:sz="0" w:space="0" w:color="auto"/>
            <w:bottom w:val="none" w:sz="0" w:space="0" w:color="auto"/>
            <w:right w:val="none" w:sz="0" w:space="0" w:color="auto"/>
          </w:divBdr>
        </w:div>
        <w:div w:id="973220233">
          <w:marLeft w:val="0"/>
          <w:marRight w:val="0"/>
          <w:marTop w:val="0"/>
          <w:marBottom w:val="0"/>
          <w:divBdr>
            <w:top w:val="none" w:sz="0" w:space="0" w:color="auto"/>
            <w:left w:val="none" w:sz="0" w:space="0" w:color="auto"/>
            <w:bottom w:val="none" w:sz="0" w:space="0" w:color="auto"/>
            <w:right w:val="none" w:sz="0" w:space="0" w:color="auto"/>
          </w:divBdr>
        </w:div>
      </w:divsChild>
    </w:div>
    <w:div w:id="1737779091">
      <w:bodyDiv w:val="1"/>
      <w:marLeft w:val="0"/>
      <w:marRight w:val="0"/>
      <w:marTop w:val="0"/>
      <w:marBottom w:val="0"/>
      <w:divBdr>
        <w:top w:val="none" w:sz="0" w:space="0" w:color="auto"/>
        <w:left w:val="none" w:sz="0" w:space="0" w:color="auto"/>
        <w:bottom w:val="none" w:sz="0" w:space="0" w:color="auto"/>
        <w:right w:val="none" w:sz="0" w:space="0" w:color="auto"/>
      </w:divBdr>
      <w:divsChild>
        <w:div w:id="441075661">
          <w:marLeft w:val="0"/>
          <w:marRight w:val="0"/>
          <w:marTop w:val="0"/>
          <w:marBottom w:val="0"/>
          <w:divBdr>
            <w:top w:val="none" w:sz="0" w:space="0" w:color="auto"/>
            <w:left w:val="none" w:sz="0" w:space="0" w:color="auto"/>
            <w:bottom w:val="none" w:sz="0" w:space="0" w:color="auto"/>
            <w:right w:val="none" w:sz="0" w:space="0" w:color="auto"/>
          </w:divBdr>
        </w:div>
        <w:div w:id="1491752173">
          <w:marLeft w:val="0"/>
          <w:marRight w:val="0"/>
          <w:marTop w:val="0"/>
          <w:marBottom w:val="0"/>
          <w:divBdr>
            <w:top w:val="none" w:sz="0" w:space="0" w:color="auto"/>
            <w:left w:val="none" w:sz="0" w:space="0" w:color="auto"/>
            <w:bottom w:val="none" w:sz="0" w:space="0" w:color="auto"/>
            <w:right w:val="none" w:sz="0" w:space="0" w:color="auto"/>
          </w:divBdr>
        </w:div>
      </w:divsChild>
    </w:div>
    <w:div w:id="1741755961">
      <w:bodyDiv w:val="1"/>
      <w:marLeft w:val="0"/>
      <w:marRight w:val="0"/>
      <w:marTop w:val="0"/>
      <w:marBottom w:val="0"/>
      <w:divBdr>
        <w:top w:val="none" w:sz="0" w:space="0" w:color="auto"/>
        <w:left w:val="none" w:sz="0" w:space="0" w:color="auto"/>
        <w:bottom w:val="none" w:sz="0" w:space="0" w:color="auto"/>
        <w:right w:val="none" w:sz="0" w:space="0" w:color="auto"/>
      </w:divBdr>
      <w:divsChild>
        <w:div w:id="1743673616">
          <w:marLeft w:val="0"/>
          <w:marRight w:val="0"/>
          <w:marTop w:val="0"/>
          <w:marBottom w:val="0"/>
          <w:divBdr>
            <w:top w:val="none" w:sz="0" w:space="0" w:color="auto"/>
            <w:left w:val="none" w:sz="0" w:space="0" w:color="auto"/>
            <w:bottom w:val="none" w:sz="0" w:space="0" w:color="auto"/>
            <w:right w:val="none" w:sz="0" w:space="0" w:color="auto"/>
          </w:divBdr>
        </w:div>
      </w:divsChild>
    </w:div>
    <w:div w:id="1770543713">
      <w:bodyDiv w:val="1"/>
      <w:marLeft w:val="0"/>
      <w:marRight w:val="0"/>
      <w:marTop w:val="0"/>
      <w:marBottom w:val="0"/>
      <w:divBdr>
        <w:top w:val="none" w:sz="0" w:space="0" w:color="auto"/>
        <w:left w:val="none" w:sz="0" w:space="0" w:color="auto"/>
        <w:bottom w:val="none" w:sz="0" w:space="0" w:color="auto"/>
        <w:right w:val="none" w:sz="0" w:space="0" w:color="auto"/>
      </w:divBdr>
    </w:div>
    <w:div w:id="1777481423">
      <w:bodyDiv w:val="1"/>
      <w:marLeft w:val="0"/>
      <w:marRight w:val="0"/>
      <w:marTop w:val="0"/>
      <w:marBottom w:val="0"/>
      <w:divBdr>
        <w:top w:val="none" w:sz="0" w:space="0" w:color="auto"/>
        <w:left w:val="none" w:sz="0" w:space="0" w:color="auto"/>
        <w:bottom w:val="none" w:sz="0" w:space="0" w:color="auto"/>
        <w:right w:val="none" w:sz="0" w:space="0" w:color="auto"/>
      </w:divBdr>
    </w:div>
    <w:div w:id="1783501612">
      <w:bodyDiv w:val="1"/>
      <w:marLeft w:val="0"/>
      <w:marRight w:val="0"/>
      <w:marTop w:val="0"/>
      <w:marBottom w:val="0"/>
      <w:divBdr>
        <w:top w:val="none" w:sz="0" w:space="0" w:color="auto"/>
        <w:left w:val="none" w:sz="0" w:space="0" w:color="auto"/>
        <w:bottom w:val="none" w:sz="0" w:space="0" w:color="auto"/>
        <w:right w:val="none" w:sz="0" w:space="0" w:color="auto"/>
      </w:divBdr>
    </w:div>
    <w:div w:id="1792357723">
      <w:bodyDiv w:val="1"/>
      <w:marLeft w:val="0"/>
      <w:marRight w:val="0"/>
      <w:marTop w:val="0"/>
      <w:marBottom w:val="0"/>
      <w:divBdr>
        <w:top w:val="none" w:sz="0" w:space="0" w:color="auto"/>
        <w:left w:val="none" w:sz="0" w:space="0" w:color="auto"/>
        <w:bottom w:val="none" w:sz="0" w:space="0" w:color="auto"/>
        <w:right w:val="none" w:sz="0" w:space="0" w:color="auto"/>
      </w:divBdr>
    </w:div>
    <w:div w:id="1806116948">
      <w:bodyDiv w:val="1"/>
      <w:marLeft w:val="0"/>
      <w:marRight w:val="0"/>
      <w:marTop w:val="0"/>
      <w:marBottom w:val="0"/>
      <w:divBdr>
        <w:top w:val="none" w:sz="0" w:space="0" w:color="auto"/>
        <w:left w:val="none" w:sz="0" w:space="0" w:color="auto"/>
        <w:bottom w:val="none" w:sz="0" w:space="0" w:color="auto"/>
        <w:right w:val="none" w:sz="0" w:space="0" w:color="auto"/>
      </w:divBdr>
    </w:div>
    <w:div w:id="1807048051">
      <w:bodyDiv w:val="1"/>
      <w:marLeft w:val="0"/>
      <w:marRight w:val="0"/>
      <w:marTop w:val="0"/>
      <w:marBottom w:val="0"/>
      <w:divBdr>
        <w:top w:val="none" w:sz="0" w:space="0" w:color="auto"/>
        <w:left w:val="none" w:sz="0" w:space="0" w:color="auto"/>
        <w:bottom w:val="none" w:sz="0" w:space="0" w:color="auto"/>
        <w:right w:val="none" w:sz="0" w:space="0" w:color="auto"/>
      </w:divBdr>
    </w:div>
    <w:div w:id="1815756553">
      <w:bodyDiv w:val="1"/>
      <w:marLeft w:val="0"/>
      <w:marRight w:val="0"/>
      <w:marTop w:val="0"/>
      <w:marBottom w:val="0"/>
      <w:divBdr>
        <w:top w:val="none" w:sz="0" w:space="0" w:color="auto"/>
        <w:left w:val="none" w:sz="0" w:space="0" w:color="auto"/>
        <w:bottom w:val="none" w:sz="0" w:space="0" w:color="auto"/>
        <w:right w:val="none" w:sz="0" w:space="0" w:color="auto"/>
      </w:divBdr>
    </w:div>
    <w:div w:id="1835408963">
      <w:bodyDiv w:val="1"/>
      <w:marLeft w:val="0"/>
      <w:marRight w:val="0"/>
      <w:marTop w:val="0"/>
      <w:marBottom w:val="0"/>
      <w:divBdr>
        <w:top w:val="none" w:sz="0" w:space="0" w:color="auto"/>
        <w:left w:val="none" w:sz="0" w:space="0" w:color="auto"/>
        <w:bottom w:val="none" w:sz="0" w:space="0" w:color="auto"/>
        <w:right w:val="none" w:sz="0" w:space="0" w:color="auto"/>
      </w:divBdr>
    </w:div>
    <w:div w:id="1850171375">
      <w:bodyDiv w:val="1"/>
      <w:marLeft w:val="0"/>
      <w:marRight w:val="0"/>
      <w:marTop w:val="0"/>
      <w:marBottom w:val="0"/>
      <w:divBdr>
        <w:top w:val="none" w:sz="0" w:space="0" w:color="auto"/>
        <w:left w:val="none" w:sz="0" w:space="0" w:color="auto"/>
        <w:bottom w:val="none" w:sz="0" w:space="0" w:color="auto"/>
        <w:right w:val="none" w:sz="0" w:space="0" w:color="auto"/>
      </w:divBdr>
    </w:div>
    <w:div w:id="1851142142">
      <w:bodyDiv w:val="1"/>
      <w:marLeft w:val="0"/>
      <w:marRight w:val="0"/>
      <w:marTop w:val="0"/>
      <w:marBottom w:val="0"/>
      <w:divBdr>
        <w:top w:val="none" w:sz="0" w:space="0" w:color="auto"/>
        <w:left w:val="none" w:sz="0" w:space="0" w:color="auto"/>
        <w:bottom w:val="none" w:sz="0" w:space="0" w:color="auto"/>
        <w:right w:val="none" w:sz="0" w:space="0" w:color="auto"/>
      </w:divBdr>
    </w:div>
    <w:div w:id="1856068248">
      <w:bodyDiv w:val="1"/>
      <w:marLeft w:val="0"/>
      <w:marRight w:val="0"/>
      <w:marTop w:val="0"/>
      <w:marBottom w:val="0"/>
      <w:divBdr>
        <w:top w:val="none" w:sz="0" w:space="0" w:color="auto"/>
        <w:left w:val="none" w:sz="0" w:space="0" w:color="auto"/>
        <w:bottom w:val="none" w:sz="0" w:space="0" w:color="auto"/>
        <w:right w:val="none" w:sz="0" w:space="0" w:color="auto"/>
      </w:divBdr>
      <w:divsChild>
        <w:div w:id="803432018">
          <w:marLeft w:val="446"/>
          <w:marRight w:val="0"/>
          <w:marTop w:val="0"/>
          <w:marBottom w:val="0"/>
          <w:divBdr>
            <w:top w:val="none" w:sz="0" w:space="0" w:color="auto"/>
            <w:left w:val="none" w:sz="0" w:space="0" w:color="auto"/>
            <w:bottom w:val="none" w:sz="0" w:space="0" w:color="auto"/>
            <w:right w:val="none" w:sz="0" w:space="0" w:color="auto"/>
          </w:divBdr>
        </w:div>
        <w:div w:id="1168911262">
          <w:marLeft w:val="446"/>
          <w:marRight w:val="0"/>
          <w:marTop w:val="0"/>
          <w:marBottom w:val="0"/>
          <w:divBdr>
            <w:top w:val="none" w:sz="0" w:space="0" w:color="auto"/>
            <w:left w:val="none" w:sz="0" w:space="0" w:color="auto"/>
            <w:bottom w:val="none" w:sz="0" w:space="0" w:color="auto"/>
            <w:right w:val="none" w:sz="0" w:space="0" w:color="auto"/>
          </w:divBdr>
        </w:div>
      </w:divsChild>
    </w:div>
    <w:div w:id="1875191201">
      <w:bodyDiv w:val="1"/>
      <w:marLeft w:val="0"/>
      <w:marRight w:val="0"/>
      <w:marTop w:val="0"/>
      <w:marBottom w:val="0"/>
      <w:divBdr>
        <w:top w:val="none" w:sz="0" w:space="0" w:color="auto"/>
        <w:left w:val="none" w:sz="0" w:space="0" w:color="auto"/>
        <w:bottom w:val="none" w:sz="0" w:space="0" w:color="auto"/>
        <w:right w:val="none" w:sz="0" w:space="0" w:color="auto"/>
      </w:divBdr>
    </w:div>
    <w:div w:id="1921477642">
      <w:bodyDiv w:val="1"/>
      <w:marLeft w:val="0"/>
      <w:marRight w:val="0"/>
      <w:marTop w:val="0"/>
      <w:marBottom w:val="0"/>
      <w:divBdr>
        <w:top w:val="none" w:sz="0" w:space="0" w:color="auto"/>
        <w:left w:val="none" w:sz="0" w:space="0" w:color="auto"/>
        <w:bottom w:val="none" w:sz="0" w:space="0" w:color="auto"/>
        <w:right w:val="none" w:sz="0" w:space="0" w:color="auto"/>
      </w:divBdr>
    </w:div>
    <w:div w:id="1923877308">
      <w:bodyDiv w:val="1"/>
      <w:marLeft w:val="0"/>
      <w:marRight w:val="0"/>
      <w:marTop w:val="0"/>
      <w:marBottom w:val="0"/>
      <w:divBdr>
        <w:top w:val="none" w:sz="0" w:space="0" w:color="auto"/>
        <w:left w:val="none" w:sz="0" w:space="0" w:color="auto"/>
        <w:bottom w:val="none" w:sz="0" w:space="0" w:color="auto"/>
        <w:right w:val="none" w:sz="0" w:space="0" w:color="auto"/>
      </w:divBdr>
    </w:div>
    <w:div w:id="1936202692">
      <w:bodyDiv w:val="1"/>
      <w:marLeft w:val="0"/>
      <w:marRight w:val="0"/>
      <w:marTop w:val="0"/>
      <w:marBottom w:val="0"/>
      <w:divBdr>
        <w:top w:val="none" w:sz="0" w:space="0" w:color="auto"/>
        <w:left w:val="none" w:sz="0" w:space="0" w:color="auto"/>
        <w:bottom w:val="none" w:sz="0" w:space="0" w:color="auto"/>
        <w:right w:val="none" w:sz="0" w:space="0" w:color="auto"/>
      </w:divBdr>
    </w:div>
    <w:div w:id="1952124959">
      <w:bodyDiv w:val="1"/>
      <w:marLeft w:val="0"/>
      <w:marRight w:val="0"/>
      <w:marTop w:val="0"/>
      <w:marBottom w:val="0"/>
      <w:divBdr>
        <w:top w:val="none" w:sz="0" w:space="0" w:color="auto"/>
        <w:left w:val="none" w:sz="0" w:space="0" w:color="auto"/>
        <w:bottom w:val="none" w:sz="0" w:space="0" w:color="auto"/>
        <w:right w:val="none" w:sz="0" w:space="0" w:color="auto"/>
      </w:divBdr>
      <w:divsChild>
        <w:div w:id="1264261041">
          <w:marLeft w:val="1166"/>
          <w:marRight w:val="0"/>
          <w:marTop w:val="115"/>
          <w:marBottom w:val="0"/>
          <w:divBdr>
            <w:top w:val="none" w:sz="0" w:space="0" w:color="auto"/>
            <w:left w:val="none" w:sz="0" w:space="0" w:color="auto"/>
            <w:bottom w:val="none" w:sz="0" w:space="0" w:color="auto"/>
            <w:right w:val="none" w:sz="0" w:space="0" w:color="auto"/>
          </w:divBdr>
        </w:div>
      </w:divsChild>
    </w:div>
    <w:div w:id="1978752397">
      <w:bodyDiv w:val="1"/>
      <w:marLeft w:val="0"/>
      <w:marRight w:val="0"/>
      <w:marTop w:val="0"/>
      <w:marBottom w:val="0"/>
      <w:divBdr>
        <w:top w:val="none" w:sz="0" w:space="0" w:color="auto"/>
        <w:left w:val="none" w:sz="0" w:space="0" w:color="auto"/>
        <w:bottom w:val="none" w:sz="0" w:space="0" w:color="auto"/>
        <w:right w:val="none" w:sz="0" w:space="0" w:color="auto"/>
      </w:divBdr>
    </w:div>
    <w:div w:id="2000230872">
      <w:bodyDiv w:val="1"/>
      <w:marLeft w:val="0"/>
      <w:marRight w:val="0"/>
      <w:marTop w:val="0"/>
      <w:marBottom w:val="0"/>
      <w:divBdr>
        <w:top w:val="none" w:sz="0" w:space="0" w:color="auto"/>
        <w:left w:val="none" w:sz="0" w:space="0" w:color="auto"/>
        <w:bottom w:val="none" w:sz="0" w:space="0" w:color="auto"/>
        <w:right w:val="none" w:sz="0" w:space="0" w:color="auto"/>
      </w:divBdr>
    </w:div>
    <w:div w:id="2008167221">
      <w:bodyDiv w:val="1"/>
      <w:marLeft w:val="0"/>
      <w:marRight w:val="0"/>
      <w:marTop w:val="0"/>
      <w:marBottom w:val="0"/>
      <w:divBdr>
        <w:top w:val="none" w:sz="0" w:space="0" w:color="auto"/>
        <w:left w:val="none" w:sz="0" w:space="0" w:color="auto"/>
        <w:bottom w:val="none" w:sz="0" w:space="0" w:color="auto"/>
        <w:right w:val="none" w:sz="0" w:space="0" w:color="auto"/>
      </w:divBdr>
    </w:div>
    <w:div w:id="2017728373">
      <w:bodyDiv w:val="1"/>
      <w:marLeft w:val="0"/>
      <w:marRight w:val="0"/>
      <w:marTop w:val="0"/>
      <w:marBottom w:val="0"/>
      <w:divBdr>
        <w:top w:val="none" w:sz="0" w:space="0" w:color="auto"/>
        <w:left w:val="none" w:sz="0" w:space="0" w:color="auto"/>
        <w:bottom w:val="none" w:sz="0" w:space="0" w:color="auto"/>
        <w:right w:val="none" w:sz="0" w:space="0" w:color="auto"/>
      </w:divBdr>
    </w:div>
    <w:div w:id="2038192624">
      <w:bodyDiv w:val="1"/>
      <w:marLeft w:val="0"/>
      <w:marRight w:val="0"/>
      <w:marTop w:val="0"/>
      <w:marBottom w:val="0"/>
      <w:divBdr>
        <w:top w:val="none" w:sz="0" w:space="0" w:color="auto"/>
        <w:left w:val="none" w:sz="0" w:space="0" w:color="auto"/>
        <w:bottom w:val="none" w:sz="0" w:space="0" w:color="auto"/>
        <w:right w:val="none" w:sz="0" w:space="0" w:color="auto"/>
      </w:divBdr>
    </w:div>
    <w:div w:id="2056848475">
      <w:bodyDiv w:val="1"/>
      <w:marLeft w:val="0"/>
      <w:marRight w:val="0"/>
      <w:marTop w:val="0"/>
      <w:marBottom w:val="0"/>
      <w:divBdr>
        <w:top w:val="none" w:sz="0" w:space="0" w:color="auto"/>
        <w:left w:val="none" w:sz="0" w:space="0" w:color="auto"/>
        <w:bottom w:val="none" w:sz="0" w:space="0" w:color="auto"/>
        <w:right w:val="none" w:sz="0" w:space="0" w:color="auto"/>
      </w:divBdr>
    </w:div>
    <w:div w:id="2081754797">
      <w:bodyDiv w:val="1"/>
      <w:marLeft w:val="0"/>
      <w:marRight w:val="0"/>
      <w:marTop w:val="0"/>
      <w:marBottom w:val="0"/>
      <w:divBdr>
        <w:top w:val="none" w:sz="0" w:space="0" w:color="auto"/>
        <w:left w:val="none" w:sz="0" w:space="0" w:color="auto"/>
        <w:bottom w:val="none" w:sz="0" w:space="0" w:color="auto"/>
        <w:right w:val="none" w:sz="0" w:space="0" w:color="auto"/>
      </w:divBdr>
    </w:div>
    <w:div w:id="2102872544">
      <w:bodyDiv w:val="1"/>
      <w:marLeft w:val="0"/>
      <w:marRight w:val="0"/>
      <w:marTop w:val="0"/>
      <w:marBottom w:val="0"/>
      <w:divBdr>
        <w:top w:val="none" w:sz="0" w:space="0" w:color="auto"/>
        <w:left w:val="none" w:sz="0" w:space="0" w:color="auto"/>
        <w:bottom w:val="none" w:sz="0" w:space="0" w:color="auto"/>
        <w:right w:val="none" w:sz="0" w:space="0" w:color="auto"/>
      </w:divBdr>
    </w:div>
    <w:div w:id="2110277644">
      <w:bodyDiv w:val="1"/>
      <w:marLeft w:val="0"/>
      <w:marRight w:val="0"/>
      <w:marTop w:val="0"/>
      <w:marBottom w:val="0"/>
      <w:divBdr>
        <w:top w:val="none" w:sz="0" w:space="0" w:color="auto"/>
        <w:left w:val="none" w:sz="0" w:space="0" w:color="auto"/>
        <w:bottom w:val="none" w:sz="0" w:space="0" w:color="auto"/>
        <w:right w:val="none" w:sz="0" w:space="0" w:color="auto"/>
      </w:divBdr>
    </w:div>
    <w:div w:id="2118985519">
      <w:bodyDiv w:val="1"/>
      <w:marLeft w:val="0"/>
      <w:marRight w:val="0"/>
      <w:marTop w:val="0"/>
      <w:marBottom w:val="0"/>
      <w:divBdr>
        <w:top w:val="none" w:sz="0" w:space="0" w:color="auto"/>
        <w:left w:val="none" w:sz="0" w:space="0" w:color="auto"/>
        <w:bottom w:val="none" w:sz="0" w:space="0" w:color="auto"/>
        <w:right w:val="none" w:sz="0" w:space="0" w:color="auto"/>
      </w:divBdr>
    </w:div>
    <w:div w:id="214211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itu.int/en/ITU-T/focusgroups/dfc/Pages/default.aspx" TargetMode="External"/><Relationship Id="rId117" Type="http://schemas.openxmlformats.org/officeDocument/2006/relationships/hyperlink" Target="http://www.itu.int/ITU-T/inr/index.html" TargetMode="External"/><Relationship Id="rId21" Type="http://schemas.openxmlformats.org/officeDocument/2006/relationships/hyperlink" Target="https://news.itu.int/workshop-on-quality-of-service-regulation/" TargetMode="External"/><Relationship Id="rId42" Type="http://schemas.openxmlformats.org/officeDocument/2006/relationships/hyperlink" Target="https://www.itu.int/en/ITU-T/studygroups/2017-2020/12/Pages/1805-summary.aspx" TargetMode="External"/><Relationship Id="rId47" Type="http://schemas.openxmlformats.org/officeDocument/2006/relationships/hyperlink" Target="https://www.itu.int/en/ITU-T/studygroups/2017-2020/20/Pages/exec-sum-may18.aspx" TargetMode="External"/><Relationship Id="rId63" Type="http://schemas.openxmlformats.org/officeDocument/2006/relationships/hyperlink" Target="http://www.itu.int/pub/T-TUT-IPTV-2015-H721" TargetMode="External"/><Relationship Id="rId68" Type="http://schemas.openxmlformats.org/officeDocument/2006/relationships/hyperlink" Target="http://www.itu.int/en/ITU-T/ipr/Pages/adhoc.aspx" TargetMode="External"/><Relationship Id="rId84" Type="http://schemas.openxmlformats.org/officeDocument/2006/relationships/image" Target="media/image2.png"/><Relationship Id="rId89" Type="http://schemas.openxmlformats.org/officeDocument/2006/relationships/hyperlink" Target="https://www.itu.int/pub/T-TUT" TargetMode="External"/><Relationship Id="rId112" Type="http://schemas.openxmlformats.org/officeDocument/2006/relationships/hyperlink" Target="http://www.itu.int/ipr/" TargetMode="External"/><Relationship Id="rId133" Type="http://schemas.openxmlformats.org/officeDocument/2006/relationships/hyperlink" Target="https://www.itu.int/md/S17-CL-C-0134/en" TargetMode="External"/><Relationship Id="rId138" Type="http://schemas.openxmlformats.org/officeDocument/2006/relationships/hyperlink" Target="https://www.itu.int/net4/itu-t/nnp" TargetMode="External"/><Relationship Id="rId154" Type="http://schemas.openxmlformats.org/officeDocument/2006/relationships/hyperlink" Target="https://www.itu.int/md/T17-TSAG-181210-TD-GEN-0292" TargetMode="External"/><Relationship Id="rId159" Type="http://schemas.openxmlformats.org/officeDocument/2006/relationships/hyperlink" Target="https://www.oasis-open.org/committees/tc_home.php?wg_abbrev=cti" TargetMode="External"/><Relationship Id="rId16" Type="http://schemas.openxmlformats.org/officeDocument/2006/relationships/hyperlink" Target="https://news.itu.int/itu-network-2030/" TargetMode="External"/><Relationship Id="rId107" Type="http://schemas.openxmlformats.org/officeDocument/2006/relationships/hyperlink" Target="https://www.itu.int/en/ITU-T/extcoop/Pages/sdo.aspx" TargetMode="External"/><Relationship Id="rId11" Type="http://schemas.openxmlformats.org/officeDocument/2006/relationships/image" Target="media/image1.gif"/><Relationship Id="rId32" Type="http://schemas.openxmlformats.org/officeDocument/2006/relationships/hyperlink" Target="http://www.itu.int/net/itu-t/cdb/ConformityDB.aspx" TargetMode="External"/><Relationship Id="rId37" Type="http://schemas.openxmlformats.org/officeDocument/2006/relationships/hyperlink" Target="https://www.itu.int/md/T17-SG02-R-0008/en" TargetMode="External"/><Relationship Id="rId53" Type="http://schemas.openxmlformats.org/officeDocument/2006/relationships/hyperlink" Target="https://news.itu.int/safe-listening-standard/" TargetMode="External"/><Relationship Id="rId58" Type="http://schemas.openxmlformats.org/officeDocument/2006/relationships/hyperlink" Target="https://www.itu.int/en/ITU-T/studygroups/2017-2020/11/Pages/exec-sum-201807.aspx" TargetMode="External"/><Relationship Id="rId74" Type="http://schemas.openxmlformats.org/officeDocument/2006/relationships/hyperlink" Target="https://www.itu.int/en/ITU-T/focusgroups/ml5g/Pages/default.aspx" TargetMode="External"/><Relationship Id="rId79" Type="http://schemas.openxmlformats.org/officeDocument/2006/relationships/hyperlink" Target="http://www.itu.int/en/ITU-T/tsbdir/cto/Pages/default.aspx" TargetMode="External"/><Relationship Id="rId102" Type="http://schemas.openxmlformats.org/officeDocument/2006/relationships/hyperlink" Target="https://www.facebook.com/ITU/videos/1240008842750586/" TargetMode="External"/><Relationship Id="rId123" Type="http://schemas.openxmlformats.org/officeDocument/2006/relationships/hyperlink" Target="https://www.itu.int/myworkspace/home/index/mailling_lists" TargetMode="External"/><Relationship Id="rId128" Type="http://schemas.openxmlformats.org/officeDocument/2006/relationships/hyperlink" Target="http://itu.int/go/itu-t/rgm-support" TargetMode="External"/><Relationship Id="rId144" Type="http://schemas.openxmlformats.org/officeDocument/2006/relationships/hyperlink" Target="https://extranet.itu.int/sites/itu-t/focusgroups/dfc/" TargetMode="External"/><Relationship Id="rId149" Type="http://schemas.openxmlformats.org/officeDocument/2006/relationships/hyperlink" Target="https://extranet.itu.int/sites/itu-t/focusgroups/vm/" TargetMode="External"/><Relationship Id="rId5" Type="http://schemas.openxmlformats.org/officeDocument/2006/relationships/numbering" Target="numbering.xml"/><Relationship Id="rId90" Type="http://schemas.openxmlformats.org/officeDocument/2006/relationships/chart" Target="charts/chart1.xml"/><Relationship Id="rId95" Type="http://schemas.openxmlformats.org/officeDocument/2006/relationships/chart" Target="charts/chart2.xml"/><Relationship Id="rId160" Type="http://schemas.openxmlformats.org/officeDocument/2006/relationships/header" Target="header1.xml"/><Relationship Id="rId22" Type="http://schemas.openxmlformats.org/officeDocument/2006/relationships/hyperlink" Target="https://www.itu.int/en/ITU-T/studygroups/2017-2020/03/Documents/Executive%20Summary%20of%20ITU-T%20Study%20Group%203%20Meeting%20(Geneva,%209%E2%80%9318%20April%202018).pdf" TargetMode="External"/><Relationship Id="rId27" Type="http://schemas.openxmlformats.org/officeDocument/2006/relationships/hyperlink" Target="https://www.itu.int/en/ITU-T/focusgroups/dlt/Pages/default.aspx" TargetMode="External"/><Relationship Id="rId43" Type="http://schemas.openxmlformats.org/officeDocument/2006/relationships/hyperlink" Target="https://www.itu.int/en/ITU-T/studygroups/2017-2020/13/Pages/exec-sum.aspx" TargetMode="External"/><Relationship Id="rId48" Type="http://schemas.openxmlformats.org/officeDocument/2006/relationships/hyperlink" Target="https://www.itu.int/en/ITU-T/studygroups/2017-2020/15/Pages/exec-sum-201810.aspx" TargetMode="External"/><Relationship Id="rId64" Type="http://schemas.openxmlformats.org/officeDocument/2006/relationships/hyperlink" Target="http://www.itu.int/pub/T-TUT-IPTV-2017-H702" TargetMode="External"/><Relationship Id="rId69" Type="http://schemas.openxmlformats.org/officeDocument/2006/relationships/hyperlink" Target="http://www.itu.int/en/ITU-T/ipr/Pages/revpatent.aspx" TargetMode="External"/><Relationship Id="rId113" Type="http://schemas.openxmlformats.org/officeDocument/2006/relationships/hyperlink" Target="http://www.itu.int/net/itu-t/cdb/ConformityDB.aspx" TargetMode="External"/><Relationship Id="rId118" Type="http://schemas.openxmlformats.org/officeDocument/2006/relationships/hyperlink" Target="https://www.itu.int/net4/ITU-T/myworkspace/" TargetMode="External"/><Relationship Id="rId134" Type="http://schemas.openxmlformats.org/officeDocument/2006/relationships/hyperlink" Target="https://www.itu.int/md/S18-CL-C-0121/en" TargetMode="External"/><Relationship Id="rId139" Type="http://schemas.openxmlformats.org/officeDocument/2006/relationships/hyperlink" Target="https://extranet.itu.int/sites/ITU-T/" TargetMode="External"/><Relationship Id="rId80" Type="http://schemas.openxmlformats.org/officeDocument/2006/relationships/hyperlink" Target="http://www.itu.int/en/ITU-T/extcoop/cits/Pages/default.aspx" TargetMode="External"/><Relationship Id="rId85" Type="http://schemas.openxmlformats.org/officeDocument/2006/relationships/image" Target="media/image3.png"/><Relationship Id="rId150" Type="http://schemas.openxmlformats.org/officeDocument/2006/relationships/hyperlink" Target="https://extranet.itu.int/ITU-T/support/" TargetMode="External"/><Relationship Id="rId155" Type="http://schemas.openxmlformats.org/officeDocument/2006/relationships/hyperlink" Target="http://www.itu.int/ITU-T/recommendations/index.aspx?ser=A" TargetMode="External"/><Relationship Id="rId12" Type="http://schemas.openxmlformats.org/officeDocument/2006/relationships/hyperlink" Target="mailto:tsbtsag@itu.int" TargetMode="External"/><Relationship Id="rId17" Type="http://schemas.openxmlformats.org/officeDocument/2006/relationships/hyperlink" Target="https://www.itu.int/en/mediacentre/Pages/2018-PR34.aspx" TargetMode="External"/><Relationship Id="rId33" Type="http://schemas.openxmlformats.org/officeDocument/2006/relationships/hyperlink" Target="https://www.itu.int/net4/ITU-T/myworkspace/" TargetMode="External"/><Relationship Id="rId38" Type="http://schemas.openxmlformats.org/officeDocument/2006/relationships/hyperlink" Target="https://www.itu.int/en/ITU-T/studygroups/2017-2020/03/Documents/Executive%20Summary%20of%20ITU-T%20Study%20Group%203%20Meeting%20(Geneva,%209%E2%80%9318%20April%202018).pdf" TargetMode="External"/><Relationship Id="rId59" Type="http://schemas.openxmlformats.org/officeDocument/2006/relationships/hyperlink" Target="https://www.itu.int/en/ITU-T/studygroups/2013-2016/11/Pages/CASC.aspx" TargetMode="External"/><Relationship Id="rId103" Type="http://schemas.openxmlformats.org/officeDocument/2006/relationships/hyperlink" Target="https://www.facebook.com/ITU/videos/1271884246229712/" TargetMode="External"/><Relationship Id="rId108" Type="http://schemas.openxmlformats.org/officeDocument/2006/relationships/hyperlink" Target="https://www.itu.int/ITU-T/aap/AAPSearch.aspx" TargetMode="External"/><Relationship Id="rId124" Type="http://schemas.openxmlformats.org/officeDocument/2006/relationships/hyperlink" Target="https://www.itu.int/myworkspace/home/index/all_events" TargetMode="External"/><Relationship Id="rId129" Type="http://schemas.openxmlformats.org/officeDocument/2006/relationships/hyperlink" Target="http://itu.int/go/itu-t/rgm-guide" TargetMode="External"/><Relationship Id="rId54" Type="http://schemas.openxmlformats.org/officeDocument/2006/relationships/hyperlink" Target="https://www.itu.int/en/ITU-T/studygroups/2017-2020/16/Pages/results-1807.aspx" TargetMode="External"/><Relationship Id="rId70" Type="http://schemas.openxmlformats.org/officeDocument/2006/relationships/hyperlink" Target="http://www.itu.int/en/ITU-T/publications/Pages/recs.aspx" TargetMode="External"/><Relationship Id="rId75" Type="http://schemas.openxmlformats.org/officeDocument/2006/relationships/hyperlink" Target="https://www.itu.int/en/ITU-T/focusgroups/net2030/Pages/default.aspx" TargetMode="External"/><Relationship Id="rId91" Type="http://schemas.openxmlformats.org/officeDocument/2006/relationships/hyperlink" Target="https://www.itu.int/en/ITU-T/academia/kaleidoscope/2018/Pages/default.aspx" TargetMode="External"/><Relationship Id="rId96" Type="http://schemas.openxmlformats.org/officeDocument/2006/relationships/hyperlink" Target="http://news.itu.int/" TargetMode="External"/><Relationship Id="rId140" Type="http://schemas.openxmlformats.org/officeDocument/2006/relationships/hyperlink" Target="https://extranet.itu.int/sites/itu-t/studygroups/2017-2020" TargetMode="External"/><Relationship Id="rId145" Type="http://schemas.openxmlformats.org/officeDocument/2006/relationships/hyperlink" Target="https://extranet.itu.int/sites/itu-t/focusgroups/fgdlt/" TargetMode="External"/><Relationship Id="rId16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news.itu.int/machine-learning-5g-new-itu-focus-group-sets-agenda/" TargetMode="External"/><Relationship Id="rId23" Type="http://schemas.openxmlformats.org/officeDocument/2006/relationships/hyperlink" Target="https://news.itu.int/renewed-international-commitment-to-combat-counterfeiting/" TargetMode="External"/><Relationship Id="rId28" Type="http://schemas.openxmlformats.org/officeDocument/2006/relationships/hyperlink" Target="https://www.itu.int/en/ITU-T/focusgroups/ml5g/Pages/default.aspx" TargetMode="External"/><Relationship Id="rId36" Type="http://schemas.openxmlformats.org/officeDocument/2006/relationships/hyperlink" Target="https://www.itu.int/en/ITU-T/studygroups/Pages/default.aspx" TargetMode="External"/><Relationship Id="rId49" Type="http://schemas.openxmlformats.org/officeDocument/2006/relationships/hyperlink" Target="https://news.itu.int/versatile-video-coding-project-starts-strongly/" TargetMode="External"/><Relationship Id="rId57" Type="http://schemas.openxmlformats.org/officeDocument/2006/relationships/hyperlink" Target="https://news.itu.int/renewed-international-commitment-to-combat-counterfeiting/" TargetMode="External"/><Relationship Id="rId106" Type="http://schemas.openxmlformats.org/officeDocument/2006/relationships/hyperlink" Target="http://www.itu.int/ITU-T/workprog" TargetMode="External"/><Relationship Id="rId114" Type="http://schemas.openxmlformats.org/officeDocument/2006/relationships/hyperlink" Target="http://www.itu.int/ITU-T/formal-language/index.html" TargetMode="External"/><Relationship Id="rId119" Type="http://schemas.openxmlformats.org/officeDocument/2006/relationships/hyperlink" Target="https://www.itu.int/myworkspace/home/index/ITU-T_experts" TargetMode="External"/><Relationship Id="rId127" Type="http://schemas.openxmlformats.org/officeDocument/2006/relationships/hyperlink" Target="http://itu.int/go/itu-t/rgm" TargetMode="External"/><Relationship Id="rId10" Type="http://schemas.openxmlformats.org/officeDocument/2006/relationships/endnotes" Target="endnotes.xml"/><Relationship Id="rId31" Type="http://schemas.openxmlformats.org/officeDocument/2006/relationships/hyperlink" Target="https://www.itu.int/en/ITU-T/focusgroups/vm" TargetMode="External"/><Relationship Id="rId44" Type="http://schemas.openxmlformats.org/officeDocument/2006/relationships/hyperlink" Target="https://www.itu.int/en/ITU-T/studygroups/2017-2020/15/Pages/exec-sum-201810.aspx" TargetMode="External"/><Relationship Id="rId52" Type="http://schemas.openxmlformats.org/officeDocument/2006/relationships/hyperlink" Target="https://news.itu.int/artificial-intelligence-health-call-proposals/" TargetMode="External"/><Relationship Id="rId60" Type="http://schemas.openxmlformats.org/officeDocument/2006/relationships/hyperlink" Target="http://www.itu.int/net/itu-t/cdb/ConformityDB.aspx" TargetMode="External"/><Relationship Id="rId65" Type="http://schemas.openxmlformats.org/officeDocument/2006/relationships/hyperlink" Target="https://www.itu.int/en/ITU-T/jca/ahf/Pages/default.aspx" TargetMode="External"/><Relationship Id="rId73" Type="http://schemas.openxmlformats.org/officeDocument/2006/relationships/hyperlink" Target="https://www.itu.int/en/ITU-T/focusgroups/dlt/Pages/default.aspx" TargetMode="External"/><Relationship Id="rId78" Type="http://schemas.openxmlformats.org/officeDocument/2006/relationships/hyperlink" Target="https://www.worldstandardscooperation.org/world-standards-day/" TargetMode="External"/><Relationship Id="rId81" Type="http://schemas.openxmlformats.org/officeDocument/2006/relationships/hyperlink" Target="http://www.itu.int/en/ITU-T/ssc/united/Pages/default.aspx" TargetMode="External"/><Relationship Id="rId86" Type="http://schemas.openxmlformats.org/officeDocument/2006/relationships/image" Target="media/image4.png"/><Relationship Id="rId94" Type="http://schemas.openxmlformats.org/officeDocument/2006/relationships/hyperlink" Target="https://www.itu.int/en/journal/002/Pages/default.aspx" TargetMode="External"/><Relationship Id="rId99" Type="http://schemas.openxmlformats.org/officeDocument/2006/relationships/hyperlink" Target="https://www.youtube.com/watch?v=04W1YI0ZxCs&amp;list=PLpoIPNlF8P2NPFldoAGvSmBijxXSaL5ei" TargetMode="External"/><Relationship Id="rId101" Type="http://schemas.openxmlformats.org/officeDocument/2006/relationships/hyperlink" Target="https://www.youtube.com/watch?v=zly1rf3cY64&amp;list=PLpoIPNlF8P2MVL0biDS1wPgDEFxJ0Hq93" TargetMode="External"/><Relationship Id="rId122" Type="http://schemas.openxmlformats.org/officeDocument/2006/relationships/hyperlink" Target="https://www.itu.int/myworkspace/home/index/my_bookmarks" TargetMode="External"/><Relationship Id="rId130" Type="http://schemas.openxmlformats.org/officeDocument/2006/relationships/hyperlink" Target="http://www.itu.int/pub/T-SP-OB" TargetMode="External"/><Relationship Id="rId135" Type="http://schemas.openxmlformats.org/officeDocument/2006/relationships/hyperlink" Target="https://www.itu.int/md/S18-CL-C-0100/en" TargetMode="External"/><Relationship Id="rId143" Type="http://schemas.openxmlformats.org/officeDocument/2006/relationships/hyperlink" Target="https://extranet.itu.int/sites/itu-t/focusgroups/dpm/" TargetMode="External"/><Relationship Id="rId148" Type="http://schemas.openxmlformats.org/officeDocument/2006/relationships/hyperlink" Target="https://extranet.itu.int/sites/itu-t/focusgroups/ai4h/" TargetMode="External"/><Relationship Id="rId151" Type="http://schemas.openxmlformats.org/officeDocument/2006/relationships/chart" Target="charts/chart3.xml"/><Relationship Id="rId156" Type="http://schemas.openxmlformats.org/officeDocument/2006/relationships/hyperlink" Target="https://www.itu.int/net4/wsis/sdg/"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tu.int/en/ITU-T/studygroups/2017-2020/15/Pages/exec-sum-201810.aspx" TargetMode="External"/><Relationship Id="rId18" Type="http://schemas.openxmlformats.org/officeDocument/2006/relationships/hyperlink" Target="https://news.itu.int/artificial-intelligence-health-call-proposals/" TargetMode="External"/><Relationship Id="rId39" Type="http://schemas.openxmlformats.org/officeDocument/2006/relationships/hyperlink" Target="https://www.itu.int/en/ITU-T/studygroups/2017-2020/05/Pages/exec-sum.aspx" TargetMode="External"/><Relationship Id="rId109" Type="http://schemas.openxmlformats.org/officeDocument/2006/relationships/hyperlink" Target="https://www.itu.int/net/ITU-T/lists/t-approval.aspx" TargetMode="External"/><Relationship Id="rId34" Type="http://schemas.openxmlformats.org/officeDocument/2006/relationships/hyperlink" Target="https://www.itu.int/net4/ITU-T/search/Landing" TargetMode="External"/><Relationship Id="rId50" Type="http://schemas.openxmlformats.org/officeDocument/2006/relationships/hyperlink" Target="https://www.itu.int/en/mediacentre/Pages/2018-CM05.aspx" TargetMode="External"/><Relationship Id="rId55" Type="http://schemas.openxmlformats.org/officeDocument/2006/relationships/hyperlink" Target="https://news.itu.int/workshop-on-quality-of-service-regulation/" TargetMode="External"/><Relationship Id="rId76" Type="http://schemas.openxmlformats.org/officeDocument/2006/relationships/hyperlink" Target="https://www.itu.int/en/ITU-T/focusgroups/ai4h" TargetMode="External"/><Relationship Id="rId97" Type="http://schemas.openxmlformats.org/officeDocument/2006/relationships/hyperlink" Target="https://news.itu.int/category/standards/" TargetMode="External"/><Relationship Id="rId104" Type="http://schemas.openxmlformats.org/officeDocument/2006/relationships/hyperlink" Target="https://youtu.be/AhB-lXg6x0s" TargetMode="External"/><Relationship Id="rId120" Type="http://schemas.openxmlformats.org/officeDocument/2006/relationships/hyperlink" Target="https://www.itu.int/myworkspace/home/index/messenger" TargetMode="External"/><Relationship Id="rId125" Type="http://schemas.openxmlformats.org/officeDocument/2006/relationships/hyperlink" Target="https://www.itu.int/net4/ITU-T/search/Landing" TargetMode="External"/><Relationship Id="rId141" Type="http://schemas.openxmlformats.org/officeDocument/2006/relationships/hyperlink" Target="https://extranet.itu.int/sites/itu-t/initiatives/U4SSC/" TargetMode="External"/><Relationship Id="rId146" Type="http://schemas.openxmlformats.org/officeDocument/2006/relationships/hyperlink" Target="https://extranet.itu.int/sites/itu-t/focusgroups/ML5G/" TargetMode="External"/><Relationship Id="rId7" Type="http://schemas.openxmlformats.org/officeDocument/2006/relationships/settings" Target="settings.xml"/><Relationship Id="rId71" Type="http://schemas.openxmlformats.org/officeDocument/2006/relationships/hyperlink" Target="https://www.itu.int/en/ITU-T/focusgroups/dpm/Pages/default.aspx" TargetMode="External"/><Relationship Id="rId92" Type="http://schemas.openxmlformats.org/officeDocument/2006/relationships/hyperlink" Target="https://www.itu.int/en/ITU-T/focusgroups/ml5g/Pages/default.aspx" TargetMode="External"/><Relationship Id="rId162" Type="http://schemas.openxmlformats.org/officeDocument/2006/relationships/glossaryDocument" Target="glossary/document.xml"/><Relationship Id="rId2" Type="http://schemas.openxmlformats.org/officeDocument/2006/relationships/customXml" Target="../customXml/item2.xml"/><Relationship Id="rId29" Type="http://schemas.openxmlformats.org/officeDocument/2006/relationships/hyperlink" Target="https://www.itu.int/en/ITU-T/focusgroups/net2030/Pages/default.aspx" TargetMode="External"/><Relationship Id="rId24" Type="http://schemas.openxmlformats.org/officeDocument/2006/relationships/hyperlink" Target="https://www.itu.int/en/ITU-T/studygroups/2017-2020/11/Pages/exec-sum-201807.aspx" TargetMode="External"/><Relationship Id="rId40" Type="http://schemas.openxmlformats.org/officeDocument/2006/relationships/hyperlink" Target="https://www.itu.int/en/ITU-T/studygroups/2017-2020/09/Documents/Executive-summary-2018-01-Geneva.pdf" TargetMode="External"/><Relationship Id="rId45" Type="http://schemas.openxmlformats.org/officeDocument/2006/relationships/hyperlink" Target="https://www.itu.int/en/ITU-T/studygroups/2017-2020/16/Pages/results-1807.aspx" TargetMode="External"/><Relationship Id="rId66" Type="http://schemas.openxmlformats.org/officeDocument/2006/relationships/hyperlink" Target="https://www.itu.int/net4/wsis/forum/2018/Pages/Agenda/Session/283" TargetMode="External"/><Relationship Id="rId87" Type="http://schemas.openxmlformats.org/officeDocument/2006/relationships/hyperlink" Target="https://www.itu.int/dms_pub/itu-t/oth/0b/1f/T0B1F0000023301PDFE.pdf" TargetMode="External"/><Relationship Id="rId110" Type="http://schemas.openxmlformats.org/officeDocument/2006/relationships/hyperlink" Target="http://www.itu.int/itu-t/recommendations" TargetMode="External"/><Relationship Id="rId115" Type="http://schemas.openxmlformats.org/officeDocument/2006/relationships/hyperlink" Target="http://www.itu.int/net/itu-t/sigdb/menu.htm" TargetMode="External"/><Relationship Id="rId131" Type="http://schemas.openxmlformats.org/officeDocument/2006/relationships/hyperlink" Target="http://www.itu.int/rec/T-REC-E.156-200605-I" TargetMode="External"/><Relationship Id="rId136" Type="http://schemas.openxmlformats.org/officeDocument/2006/relationships/hyperlink" Target="https://www.itu.int/md/T17-SG02-170329-TD-GEN-0143/en" TargetMode="External"/><Relationship Id="rId157" Type="http://schemas.openxmlformats.org/officeDocument/2006/relationships/hyperlink" Target="http://www.itu.int/md/T13-TSAG-160201-TD-GEN-0419/en" TargetMode="External"/><Relationship Id="rId61" Type="http://schemas.openxmlformats.org/officeDocument/2006/relationships/hyperlink" Target="https://www.itu.int/itu-t/recommendations/rec.aspx?rec=12458" TargetMode="External"/><Relationship Id="rId82" Type="http://schemas.openxmlformats.org/officeDocument/2006/relationships/hyperlink" Target="http://www.itu.int/en/ITU-T/gsc/Pages/meetings.aspx" TargetMode="External"/><Relationship Id="rId152" Type="http://schemas.openxmlformats.org/officeDocument/2006/relationships/hyperlink" Target="https://www.itu.int/md/S17-CL-C-0127/en" TargetMode="External"/><Relationship Id="rId19" Type="http://schemas.openxmlformats.org/officeDocument/2006/relationships/hyperlink" Target="https://news.itu.int/safe-listening-standard/" TargetMode="External"/><Relationship Id="rId14" Type="http://schemas.openxmlformats.org/officeDocument/2006/relationships/hyperlink" Target="https://news.itu.int/versatile-video-coding-project-starts-strongly/" TargetMode="External"/><Relationship Id="rId30" Type="http://schemas.openxmlformats.org/officeDocument/2006/relationships/hyperlink" Target="https://www.itu.int/en/ITU-T/focusgroups/ai4h" TargetMode="External"/><Relationship Id="rId35" Type="http://schemas.openxmlformats.org/officeDocument/2006/relationships/hyperlink" Target="http://tsbtech.itu.int/" TargetMode="External"/><Relationship Id="rId56" Type="http://schemas.openxmlformats.org/officeDocument/2006/relationships/hyperlink" Target="https://www.itu.int/en/ITU-T/studygroups/2017-2020/03/Documents/Executive%20Summary%20of%20ITU-T%20Study%20Group%203%20Meeting%20(Geneva,%209%E2%80%9318%20April%202018).pdf" TargetMode="External"/><Relationship Id="rId77" Type="http://schemas.openxmlformats.org/officeDocument/2006/relationships/hyperlink" Target="https://www.itu.int/en/ITU-T/focusgroups/vm" TargetMode="External"/><Relationship Id="rId100" Type="http://schemas.openxmlformats.org/officeDocument/2006/relationships/hyperlink" Target="https://www.youtube.com/watch?v=5_jK8NKQBnU&amp;list=PLpoIPNlF8P2NMDChEpow1n0ks9O63DXkg" TargetMode="External"/><Relationship Id="rId105" Type="http://schemas.openxmlformats.org/officeDocument/2006/relationships/hyperlink" Target="http://www.itu.int/en/ITU-T/studygroups/2017-2020/Pages/default.aspx" TargetMode="External"/><Relationship Id="rId126" Type="http://schemas.openxmlformats.org/officeDocument/2006/relationships/hyperlink" Target="http://tsbtech.itu.int/" TargetMode="External"/><Relationship Id="rId147" Type="http://schemas.openxmlformats.org/officeDocument/2006/relationships/hyperlink" Target="https://extranet.itu.int/sites/itu-t/focusgroups/net-2030/" TargetMode="External"/><Relationship Id="rId8" Type="http://schemas.openxmlformats.org/officeDocument/2006/relationships/webSettings" Target="webSettings.xml"/><Relationship Id="rId51" Type="http://schemas.openxmlformats.org/officeDocument/2006/relationships/hyperlink" Target="https://www.itu.int/en/mediacentre/Pages/2018-PR34.aspx" TargetMode="External"/><Relationship Id="rId72" Type="http://schemas.openxmlformats.org/officeDocument/2006/relationships/hyperlink" Target="https://www.itu.int/en/ITU-T/focusgroups/dfc/Pages/default.aspx" TargetMode="External"/><Relationship Id="rId93" Type="http://schemas.openxmlformats.org/officeDocument/2006/relationships/hyperlink" Target="http://news.itu.int/discover-the-power-of-artificial-intelligence-to-drive-ict-innovation-in-the-first-issue-of-the-itu-journal/" TargetMode="External"/><Relationship Id="rId98" Type="http://schemas.openxmlformats.org/officeDocument/2006/relationships/hyperlink" Target="https://youtu.be/hgP4IyY33iI" TargetMode="External"/><Relationship Id="rId121" Type="http://schemas.openxmlformats.org/officeDocument/2006/relationships/hyperlink" Target="https://www.itu.int/myworkspace/home/index/suggested_documents" TargetMode="External"/><Relationship Id="rId142" Type="http://schemas.openxmlformats.org/officeDocument/2006/relationships/hyperlink" Target="https://extranet.itu.int/sites/itu-t/initiatives/sitwg/" TargetMode="External"/><Relationship Id="rId163" Type="http://schemas.openxmlformats.org/officeDocument/2006/relationships/theme" Target="theme/theme1.xml"/><Relationship Id="rId3" Type="http://schemas.openxmlformats.org/officeDocument/2006/relationships/customXml" Target="../customXml/item3.xml"/><Relationship Id="rId25" Type="http://schemas.openxmlformats.org/officeDocument/2006/relationships/hyperlink" Target="https://www.itu.int/en/ITU-T/focusgroups/dpm/Pages/default.aspx" TargetMode="External"/><Relationship Id="rId46" Type="http://schemas.openxmlformats.org/officeDocument/2006/relationships/hyperlink" Target="https://www.itu.int/en/ITU-T/studygroups/2017-2020/17/Pages/1809-summary.aspx" TargetMode="External"/><Relationship Id="rId67" Type="http://schemas.openxmlformats.org/officeDocument/2006/relationships/hyperlink" Target="https://www.itu.int/net4/wsis/forum/2018/Pages/Agenda" TargetMode="External"/><Relationship Id="rId116" Type="http://schemas.openxmlformats.org/officeDocument/2006/relationships/hyperlink" Target="http://www.itu.int/ITU-R/go/terminology-database" TargetMode="External"/><Relationship Id="rId137" Type="http://schemas.openxmlformats.org/officeDocument/2006/relationships/hyperlink" Target="https://www.itu.int/md/T17-SG02-171127-TD-GEN-0233" TargetMode="External"/><Relationship Id="rId158" Type="http://schemas.openxmlformats.org/officeDocument/2006/relationships/hyperlink" Target="https://www.itu.int/md/T17-SG13-180716-TD-GEN-0253/en" TargetMode="External"/><Relationship Id="rId20" Type="http://schemas.openxmlformats.org/officeDocument/2006/relationships/hyperlink" Target="https://www.itu.int/en/ITU-T/studygroups/2017-2020/16/Pages/results-1807.aspx" TargetMode="External"/><Relationship Id="rId41" Type="http://schemas.openxmlformats.org/officeDocument/2006/relationships/hyperlink" Target="https://www.itu.int/en/ITU-T/studygroups/2017-2020/11/Pages/exec-sum-201807.aspx" TargetMode="External"/><Relationship Id="rId62" Type="http://schemas.openxmlformats.org/officeDocument/2006/relationships/hyperlink" Target="http://www.itu.int/itu-t/recommendations/rec.aspx?rec=H.702" TargetMode="External"/><Relationship Id="rId83" Type="http://schemas.openxmlformats.org/officeDocument/2006/relationships/hyperlink" Target="http://www.itu.int/en/ITU-T/gsc/Pages/default.aspx" TargetMode="External"/><Relationship Id="rId88" Type="http://schemas.openxmlformats.org/officeDocument/2006/relationships/hyperlink" Target="http://academy.itu.int" TargetMode="External"/><Relationship Id="rId111" Type="http://schemas.openxmlformats.org/officeDocument/2006/relationships/hyperlink" Target="http://www.itu.int/net/itu-t/ls/" TargetMode="External"/><Relationship Id="rId132" Type="http://schemas.openxmlformats.org/officeDocument/2006/relationships/hyperlink" Target="https://www.itu.int/md/S17-CL-C-0133/en" TargetMode="External"/><Relationship Id="rId153" Type="http://schemas.openxmlformats.org/officeDocument/2006/relationships/hyperlink" Target="http://www.itu.int/pub/T-R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ott\AppData\Roaming\Microsoft\Templates\ItutBasic-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_Euchner\_ITU-T\ITU-T%20A.series\2018_12_Geneva\TSBDir%20report\Figure%204%20Number%20of%20Recommendations%20and%20Supplements%20published%20per%20year.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blue\dfs\tsb\EDH\Remote%20Participation\Emeeting%20Stats%20yearly%202018-September.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Sector Members</c:v>
                </c:pt>
              </c:strCache>
            </c:strRef>
          </c:tx>
          <c:spPr>
            <a:ln w="28575" cap="rnd">
              <a:solidFill>
                <a:schemeClr val="accent1"/>
              </a:solidFill>
              <a:round/>
            </a:ln>
            <a:effectLst/>
          </c:spPr>
          <c:marker>
            <c:symbol val="none"/>
          </c:marker>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Sheet1!$B$2:$B$14</c:f>
              <c:numCache>
                <c:formatCode>General</c:formatCode>
                <c:ptCount val="13"/>
                <c:pt idx="0">
                  <c:v>344</c:v>
                </c:pt>
                <c:pt idx="1">
                  <c:v>314</c:v>
                </c:pt>
                <c:pt idx="2">
                  <c:v>309</c:v>
                </c:pt>
                <c:pt idx="3">
                  <c:v>294</c:v>
                </c:pt>
                <c:pt idx="4">
                  <c:v>273</c:v>
                </c:pt>
                <c:pt idx="5">
                  <c:v>271</c:v>
                </c:pt>
                <c:pt idx="6">
                  <c:v>278</c:v>
                </c:pt>
                <c:pt idx="7">
                  <c:v>284</c:v>
                </c:pt>
                <c:pt idx="8">
                  <c:v>274</c:v>
                </c:pt>
                <c:pt idx="9">
                  <c:v>267</c:v>
                </c:pt>
                <c:pt idx="10">
                  <c:v>254</c:v>
                </c:pt>
                <c:pt idx="11">
                  <c:v>258</c:v>
                </c:pt>
                <c:pt idx="12">
                  <c:v>262</c:v>
                </c:pt>
              </c:numCache>
            </c:numRef>
          </c:val>
          <c:smooth val="0"/>
          <c:extLst>
            <c:ext xmlns:c16="http://schemas.microsoft.com/office/drawing/2014/chart" uri="{C3380CC4-5D6E-409C-BE32-E72D297353CC}">
              <c16:uniqueId val="{00000000-A894-4A31-A798-2509377EEB71}"/>
            </c:ext>
          </c:extLst>
        </c:ser>
        <c:ser>
          <c:idx val="1"/>
          <c:order val="1"/>
          <c:tx>
            <c:strRef>
              <c:f>Sheet1!$C$1</c:f>
              <c:strCache>
                <c:ptCount val="1"/>
                <c:pt idx="0">
                  <c:v>Associates</c:v>
                </c:pt>
              </c:strCache>
            </c:strRef>
          </c:tx>
          <c:spPr>
            <a:ln w="28575" cap="rnd">
              <a:solidFill>
                <a:schemeClr val="accent2"/>
              </a:solidFill>
              <a:round/>
            </a:ln>
            <a:effectLst/>
          </c:spPr>
          <c:marker>
            <c:symbol val="none"/>
          </c:marker>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Sheet1!$C$2:$C$14</c:f>
              <c:numCache>
                <c:formatCode>General</c:formatCode>
                <c:ptCount val="13"/>
                <c:pt idx="0">
                  <c:v>112</c:v>
                </c:pt>
                <c:pt idx="1">
                  <c:v>116</c:v>
                </c:pt>
                <c:pt idx="2">
                  <c:v>134</c:v>
                </c:pt>
                <c:pt idx="3">
                  <c:v>128</c:v>
                </c:pt>
                <c:pt idx="4">
                  <c:v>125</c:v>
                </c:pt>
                <c:pt idx="5">
                  <c:v>136</c:v>
                </c:pt>
                <c:pt idx="6">
                  <c:v>144</c:v>
                </c:pt>
                <c:pt idx="7">
                  <c:v>139</c:v>
                </c:pt>
                <c:pt idx="8">
                  <c:v>134</c:v>
                </c:pt>
                <c:pt idx="9">
                  <c:v>134</c:v>
                </c:pt>
                <c:pt idx="10">
                  <c:v>130</c:v>
                </c:pt>
                <c:pt idx="11">
                  <c:v>139</c:v>
                </c:pt>
                <c:pt idx="12">
                  <c:v>161</c:v>
                </c:pt>
              </c:numCache>
            </c:numRef>
          </c:val>
          <c:smooth val="0"/>
          <c:extLst>
            <c:ext xmlns:c16="http://schemas.microsoft.com/office/drawing/2014/chart" uri="{C3380CC4-5D6E-409C-BE32-E72D297353CC}">
              <c16:uniqueId val="{00000001-A894-4A31-A798-2509377EEB71}"/>
            </c:ext>
          </c:extLst>
        </c:ser>
        <c:ser>
          <c:idx val="2"/>
          <c:order val="2"/>
          <c:tx>
            <c:strRef>
              <c:f>Sheet1!$D$1</c:f>
              <c:strCache>
                <c:ptCount val="1"/>
                <c:pt idx="0">
                  <c:v>Academia</c:v>
                </c:pt>
              </c:strCache>
            </c:strRef>
          </c:tx>
          <c:spPr>
            <a:ln w="28575" cap="rnd">
              <a:solidFill>
                <a:schemeClr val="accent3"/>
              </a:solidFill>
              <a:round/>
            </a:ln>
            <a:effectLst/>
          </c:spPr>
          <c:marker>
            <c:symbol val="none"/>
          </c:marker>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Sheet1!$D$2:$D$14</c:f>
              <c:numCache>
                <c:formatCode>General</c:formatCode>
                <c:ptCount val="13"/>
                <c:pt idx="5">
                  <c:v>25</c:v>
                </c:pt>
                <c:pt idx="6">
                  <c:v>36</c:v>
                </c:pt>
                <c:pt idx="7">
                  <c:v>45</c:v>
                </c:pt>
                <c:pt idx="8">
                  <c:v>86</c:v>
                </c:pt>
                <c:pt idx="9">
                  <c:v>109</c:v>
                </c:pt>
                <c:pt idx="10">
                  <c:v>107</c:v>
                </c:pt>
                <c:pt idx="11">
                  <c:v>125</c:v>
                </c:pt>
                <c:pt idx="12">
                  <c:v>154</c:v>
                </c:pt>
              </c:numCache>
            </c:numRef>
          </c:val>
          <c:smooth val="0"/>
          <c:extLst>
            <c:ext xmlns:c16="http://schemas.microsoft.com/office/drawing/2014/chart" uri="{C3380CC4-5D6E-409C-BE32-E72D297353CC}">
              <c16:uniqueId val="{00000002-A894-4A31-A798-2509377EEB71}"/>
            </c:ext>
          </c:extLst>
        </c:ser>
        <c:ser>
          <c:idx val="3"/>
          <c:order val="3"/>
          <c:tx>
            <c:strRef>
              <c:f>Sheet1!$E$1</c:f>
              <c:strCache>
                <c:ptCount val="1"/>
                <c:pt idx="0">
                  <c:v>TOTAL, SM, Associate, Academia</c:v>
                </c:pt>
              </c:strCache>
            </c:strRef>
          </c:tx>
          <c:spPr>
            <a:ln w="28575" cap="rnd">
              <a:solidFill>
                <a:schemeClr val="accent4"/>
              </a:solidFill>
              <a:round/>
            </a:ln>
            <a:effectLst/>
          </c:spPr>
          <c:marker>
            <c:symbol val="none"/>
          </c:marker>
          <c:cat>
            <c:numRef>
              <c:f>Sheet1!$A$2:$A$14</c:f>
              <c:numCache>
                <c:formatCode>General</c:formatCode>
                <c:ptCount val="13"/>
                <c:pt idx="0">
                  <c:v>2006</c:v>
                </c:pt>
                <c:pt idx="1">
                  <c:v>2007</c:v>
                </c:pt>
                <c:pt idx="2">
                  <c:v>2008</c:v>
                </c:pt>
                <c:pt idx="3">
                  <c:v>2009</c:v>
                </c:pt>
                <c:pt idx="4">
                  <c:v>2010</c:v>
                </c:pt>
                <c:pt idx="5">
                  <c:v>2011</c:v>
                </c:pt>
                <c:pt idx="6">
                  <c:v>2012</c:v>
                </c:pt>
                <c:pt idx="7">
                  <c:v>2013</c:v>
                </c:pt>
                <c:pt idx="8">
                  <c:v>2014</c:v>
                </c:pt>
                <c:pt idx="9">
                  <c:v>2015</c:v>
                </c:pt>
                <c:pt idx="10">
                  <c:v>2016</c:v>
                </c:pt>
                <c:pt idx="11">
                  <c:v>2017</c:v>
                </c:pt>
                <c:pt idx="12">
                  <c:v>2018</c:v>
                </c:pt>
              </c:numCache>
            </c:numRef>
          </c:cat>
          <c:val>
            <c:numRef>
              <c:f>Sheet1!$E$2:$E$14</c:f>
              <c:numCache>
                <c:formatCode>General</c:formatCode>
                <c:ptCount val="13"/>
                <c:pt idx="0">
                  <c:v>456</c:v>
                </c:pt>
                <c:pt idx="1">
                  <c:v>430</c:v>
                </c:pt>
                <c:pt idx="2">
                  <c:v>443</c:v>
                </c:pt>
                <c:pt idx="3">
                  <c:v>422</c:v>
                </c:pt>
                <c:pt idx="4">
                  <c:v>398</c:v>
                </c:pt>
                <c:pt idx="5">
                  <c:v>432</c:v>
                </c:pt>
                <c:pt idx="6">
                  <c:v>458</c:v>
                </c:pt>
                <c:pt idx="7">
                  <c:v>468</c:v>
                </c:pt>
                <c:pt idx="8">
                  <c:v>494</c:v>
                </c:pt>
                <c:pt idx="9">
                  <c:v>510</c:v>
                </c:pt>
                <c:pt idx="10">
                  <c:v>491</c:v>
                </c:pt>
                <c:pt idx="11">
                  <c:v>522</c:v>
                </c:pt>
                <c:pt idx="12">
                  <c:v>578</c:v>
                </c:pt>
              </c:numCache>
            </c:numRef>
          </c:val>
          <c:smooth val="0"/>
          <c:extLst>
            <c:ext xmlns:c16="http://schemas.microsoft.com/office/drawing/2014/chart" uri="{C3380CC4-5D6E-409C-BE32-E72D297353CC}">
              <c16:uniqueId val="{00000003-A894-4A31-A798-2509377EEB71}"/>
            </c:ext>
          </c:extLst>
        </c:ser>
        <c:dLbls>
          <c:showLegendKey val="0"/>
          <c:showVal val="0"/>
          <c:showCatName val="0"/>
          <c:showSerName val="0"/>
          <c:showPercent val="0"/>
          <c:showBubbleSize val="0"/>
        </c:dLbls>
        <c:smooth val="0"/>
        <c:axId val="488586112"/>
        <c:axId val="488583872"/>
      </c:lineChart>
      <c:catAx>
        <c:axId val="488586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583872"/>
        <c:crosses val="autoZero"/>
        <c:auto val="1"/>
        <c:lblAlgn val="ctr"/>
        <c:lblOffset val="100"/>
        <c:noMultiLvlLbl val="0"/>
      </c:catAx>
      <c:valAx>
        <c:axId val="488583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58611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40" b="0" i="0" u="none" strike="noStrike" kern="1200" spc="0" baseline="0">
                <a:solidFill>
                  <a:sysClr val="windowText" lastClr="000000">
                    <a:lumMod val="65000"/>
                    <a:lumOff val="35000"/>
                  </a:sysClr>
                </a:solidFill>
                <a:latin typeface="+mn-lt"/>
                <a:ea typeface="+mn-ea"/>
                <a:cs typeface="+mn-cs"/>
              </a:defRPr>
            </a:pPr>
            <a:r>
              <a:rPr lang="en-US" sz="1200" b="1" i="0" baseline="0">
                <a:solidFill>
                  <a:schemeClr val="accent1"/>
                </a:solidFill>
                <a:effectLst/>
              </a:rPr>
              <a:t>Number of Recommendations and Supplements published per year</a:t>
            </a:r>
            <a:br>
              <a:rPr lang="en-US" sz="1200" b="1" i="0" baseline="0">
                <a:solidFill>
                  <a:schemeClr val="accent1"/>
                </a:solidFill>
                <a:effectLst/>
              </a:rPr>
            </a:br>
            <a:r>
              <a:rPr lang="en-US" sz="1000" b="1" i="0" baseline="0">
                <a:solidFill>
                  <a:schemeClr val="accent1"/>
                </a:solidFill>
                <a:effectLst/>
              </a:rPr>
              <a:t>(*) estimated</a:t>
            </a:r>
            <a:endParaRPr lang="en-US" sz="1000">
              <a:solidFill>
                <a:schemeClr val="accent1"/>
              </a:solidFill>
              <a:effectLst/>
            </a:endParaRPr>
          </a:p>
        </c:rich>
      </c:tx>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40" b="0" i="0" u="none" strike="noStrike" kern="1200" spc="0" baseline="0">
              <a:solidFill>
                <a:sysClr val="windowText" lastClr="000000">
                  <a:lumMod val="65000"/>
                  <a:lumOff val="35000"/>
                </a:sys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4"/>
              <c:layout/>
              <c:tx>
                <c:rich>
                  <a:bodyPr rot="0" spcFirstLastPara="1" vertOverflow="ellipsis" horzOverflow="clip"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fld id="{EA68D776-0CD1-4308-B87D-B5792B8C5895}" type="VALUE">
                      <a:rPr lang="en-US"/>
                      <a:pPr>
                        <a:defRPr>
                          <a:solidFill>
                            <a:schemeClr val="tx1">
                              <a:lumMod val="75000"/>
                              <a:lumOff val="25000"/>
                            </a:schemeClr>
                          </a:solidFill>
                        </a:defRPr>
                      </a:pPr>
                      <a:t>[VALUE]</a:t>
                    </a:fld>
                    <a:r>
                      <a:rPr lang="en-US" baseline="0"/>
                      <a:t> (*)</a:t>
                    </a:r>
                  </a:p>
                </c:rich>
              </c:tx>
              <c:spPr>
                <a:noFill/>
                <a:ln>
                  <a:noFill/>
                </a:ln>
                <a:effectLst/>
              </c:spPr>
              <c:txPr>
                <a:bodyPr rot="0" spcFirstLastPara="1" vertOverflow="ellipsis" horzOverflow="clip" vert="horz" wrap="square" lIns="38100" tIns="19050" rIns="38100" bIns="19050" anchor="ctr" anchorCtr="1">
                  <a:no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15:dlblFieldTable/>
                  <c15:showDataLabelsRange val="0"/>
                </c:ext>
                <c:ext xmlns:c16="http://schemas.microsoft.com/office/drawing/2014/chart" uri="{C3380CC4-5D6E-409C-BE32-E72D297353CC}">
                  <c16:uniqueId val="{00000000-1C41-43B5-901E-6397ED4652B1}"/>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Sheet1!$A$20:$A$24</c:f>
              <c:numCache>
                <c:formatCode>General</c:formatCode>
                <c:ptCount val="5"/>
                <c:pt idx="0">
                  <c:v>2014</c:v>
                </c:pt>
                <c:pt idx="1">
                  <c:v>2015</c:v>
                </c:pt>
                <c:pt idx="2">
                  <c:v>2016</c:v>
                </c:pt>
                <c:pt idx="3">
                  <c:v>2017</c:v>
                </c:pt>
                <c:pt idx="4">
                  <c:v>2018</c:v>
                </c:pt>
              </c:numCache>
            </c:numRef>
          </c:cat>
          <c:val>
            <c:numRef>
              <c:f>Sheet1!$B$20:$B$24</c:f>
              <c:numCache>
                <c:formatCode>General</c:formatCode>
                <c:ptCount val="5"/>
                <c:pt idx="0">
                  <c:v>271</c:v>
                </c:pt>
                <c:pt idx="1">
                  <c:v>320</c:v>
                </c:pt>
                <c:pt idx="2">
                  <c:v>469</c:v>
                </c:pt>
                <c:pt idx="3">
                  <c:v>283</c:v>
                </c:pt>
                <c:pt idx="4">
                  <c:v>361</c:v>
                </c:pt>
              </c:numCache>
            </c:numRef>
          </c:val>
          <c:smooth val="0"/>
          <c:extLst>
            <c:ext xmlns:c16="http://schemas.microsoft.com/office/drawing/2014/chart" uri="{C3380CC4-5D6E-409C-BE32-E72D297353CC}">
              <c16:uniqueId val="{00000001-1C41-43B5-901E-6397ED4652B1}"/>
            </c:ext>
          </c:extLst>
        </c:ser>
        <c:dLbls>
          <c:dLblPos val="t"/>
          <c:showLegendKey val="0"/>
          <c:showVal val="1"/>
          <c:showCatName val="0"/>
          <c:showSerName val="0"/>
          <c:showPercent val="0"/>
          <c:showBubbleSize val="0"/>
        </c:dLbls>
        <c:marker val="1"/>
        <c:smooth val="0"/>
        <c:axId val="488584992"/>
        <c:axId val="488587792"/>
      </c:lineChart>
      <c:catAx>
        <c:axId val="48858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88587792"/>
        <c:crosses val="autoZero"/>
        <c:auto val="1"/>
        <c:lblAlgn val="ctr"/>
        <c:lblOffset val="100"/>
        <c:noMultiLvlLbl val="0"/>
      </c:catAx>
      <c:valAx>
        <c:axId val="488587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4885849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US"/>
              <a:t>Remote Participation (2016 - 2018*)</a:t>
            </a:r>
          </a:p>
        </c:rich>
      </c:tx>
      <c:layout>
        <c:manualLayout>
          <c:xMode val="edge"/>
          <c:yMode val="edge"/>
          <c:x val="0.26016351404350319"/>
          <c:y val="6.4814826718088817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tx>
            <c:strRef>
              <c:f>Sheet1!$B$4</c:f>
              <c:strCache>
                <c:ptCount val="1"/>
                <c:pt idx="0">
                  <c:v>Number of e-meetings provided for physical meetings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Sheet1!$A$5:$A$7</c:f>
              <c:strCache>
                <c:ptCount val="3"/>
                <c:pt idx="0">
                  <c:v>2016</c:v>
                </c:pt>
                <c:pt idx="1">
                  <c:v>2017</c:v>
                </c:pt>
                <c:pt idx="2">
                  <c:v>2018 (Jan-Sep)</c:v>
                </c:pt>
              </c:strCache>
            </c:strRef>
          </c:cat>
          <c:val>
            <c:numRef>
              <c:f>Sheet1!$B$5:$B$7</c:f>
              <c:numCache>
                <c:formatCode>General</c:formatCode>
                <c:ptCount val="3"/>
                <c:pt idx="0">
                  <c:v>232</c:v>
                </c:pt>
                <c:pt idx="1">
                  <c:v>253</c:v>
                </c:pt>
                <c:pt idx="2">
                  <c:v>180</c:v>
                </c:pt>
              </c:numCache>
            </c:numRef>
          </c:val>
          <c:extLst>
            <c:ext xmlns:c16="http://schemas.microsoft.com/office/drawing/2014/chart" uri="{C3380CC4-5D6E-409C-BE32-E72D297353CC}">
              <c16:uniqueId val="{00000000-0A87-456C-8CCF-CB740250C67F}"/>
            </c:ext>
          </c:extLst>
        </c:ser>
        <c:ser>
          <c:idx val="1"/>
          <c:order val="1"/>
          <c:tx>
            <c:strRef>
              <c:f>Sheet1!$C$4</c:f>
              <c:strCache>
                <c:ptCount val="1"/>
                <c:pt idx="0">
                  <c:v>Online attendees to physical meetings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Sheet1!$A$5:$A$7</c:f>
              <c:strCache>
                <c:ptCount val="3"/>
                <c:pt idx="0">
                  <c:v>2016</c:v>
                </c:pt>
                <c:pt idx="1">
                  <c:v>2017</c:v>
                </c:pt>
                <c:pt idx="2">
                  <c:v>2018 (Jan-Sep)</c:v>
                </c:pt>
              </c:strCache>
            </c:strRef>
          </c:cat>
          <c:val>
            <c:numRef>
              <c:f>Sheet1!$C$5:$C$7</c:f>
              <c:numCache>
                <c:formatCode>General</c:formatCode>
                <c:ptCount val="3"/>
                <c:pt idx="0">
                  <c:v>1067</c:v>
                </c:pt>
                <c:pt idx="1">
                  <c:v>998</c:v>
                </c:pt>
                <c:pt idx="2">
                  <c:v>491</c:v>
                </c:pt>
              </c:numCache>
            </c:numRef>
          </c:val>
          <c:extLst>
            <c:ext xmlns:c16="http://schemas.microsoft.com/office/drawing/2014/chart" uri="{C3380CC4-5D6E-409C-BE32-E72D297353CC}">
              <c16:uniqueId val="{00000001-0A87-456C-8CCF-CB740250C67F}"/>
            </c:ext>
          </c:extLst>
        </c:ser>
        <c:ser>
          <c:idx val="2"/>
          <c:order val="2"/>
          <c:tx>
            <c:strRef>
              <c:f>Sheet1!$D$4</c:f>
              <c:strCache>
                <c:ptCount val="1"/>
                <c:pt idx="0">
                  <c:v>Number of fully online e-meetings provided</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Sheet1!$A$5:$A$7</c:f>
              <c:strCache>
                <c:ptCount val="3"/>
                <c:pt idx="0">
                  <c:v>2016</c:v>
                </c:pt>
                <c:pt idx="1">
                  <c:v>2017</c:v>
                </c:pt>
                <c:pt idx="2">
                  <c:v>2018 (Jan-Sep)</c:v>
                </c:pt>
              </c:strCache>
            </c:strRef>
          </c:cat>
          <c:val>
            <c:numRef>
              <c:f>Sheet1!$D$5:$D$7</c:f>
              <c:numCache>
                <c:formatCode>General</c:formatCode>
                <c:ptCount val="3"/>
                <c:pt idx="0">
                  <c:v>853</c:v>
                </c:pt>
                <c:pt idx="1">
                  <c:v>819</c:v>
                </c:pt>
                <c:pt idx="2">
                  <c:v>1092</c:v>
                </c:pt>
              </c:numCache>
            </c:numRef>
          </c:val>
          <c:extLst>
            <c:ext xmlns:c16="http://schemas.microsoft.com/office/drawing/2014/chart" uri="{C3380CC4-5D6E-409C-BE32-E72D297353CC}">
              <c16:uniqueId val="{00000002-0A87-456C-8CCF-CB740250C67F}"/>
            </c:ext>
          </c:extLst>
        </c:ser>
        <c:ser>
          <c:idx val="3"/>
          <c:order val="3"/>
          <c:tx>
            <c:strRef>
              <c:f>Sheet1!$E$4</c:f>
              <c:strCache>
                <c:ptCount val="1"/>
                <c:pt idx="0">
                  <c:v>Fully online attendees</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cat>
            <c:strRef>
              <c:f>Sheet1!$A$5:$A$7</c:f>
              <c:strCache>
                <c:ptCount val="3"/>
                <c:pt idx="0">
                  <c:v>2016</c:v>
                </c:pt>
                <c:pt idx="1">
                  <c:v>2017</c:v>
                </c:pt>
                <c:pt idx="2">
                  <c:v>2018 (Jan-Sep)</c:v>
                </c:pt>
              </c:strCache>
            </c:strRef>
          </c:cat>
          <c:val>
            <c:numRef>
              <c:f>Sheet1!$E$5:$E$7</c:f>
              <c:numCache>
                <c:formatCode>General</c:formatCode>
                <c:ptCount val="3"/>
                <c:pt idx="0">
                  <c:v>4910</c:v>
                </c:pt>
                <c:pt idx="1">
                  <c:v>4247</c:v>
                </c:pt>
                <c:pt idx="2">
                  <c:v>6277</c:v>
                </c:pt>
              </c:numCache>
            </c:numRef>
          </c:val>
          <c:extLst>
            <c:ext xmlns:c16="http://schemas.microsoft.com/office/drawing/2014/chart" uri="{C3380CC4-5D6E-409C-BE32-E72D297353CC}">
              <c16:uniqueId val="{00000003-0A87-456C-8CCF-CB740250C67F}"/>
            </c:ext>
          </c:extLst>
        </c:ser>
        <c:dLbls>
          <c:showLegendKey val="0"/>
          <c:showVal val="0"/>
          <c:showCatName val="0"/>
          <c:showSerName val="0"/>
          <c:showPercent val="0"/>
          <c:showBubbleSize val="0"/>
        </c:dLbls>
        <c:gapWidth val="150"/>
        <c:shape val="box"/>
        <c:axId val="452062096"/>
        <c:axId val="452059296"/>
        <c:axId val="0"/>
      </c:bar3DChart>
      <c:catAx>
        <c:axId val="452062096"/>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Year</a:t>
                </a:r>
              </a:p>
            </c:rich>
          </c:tx>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52059296"/>
        <c:crosses val="autoZero"/>
        <c:auto val="0"/>
        <c:lblAlgn val="ctr"/>
        <c:lblOffset val="100"/>
        <c:noMultiLvlLbl val="0"/>
      </c:catAx>
      <c:valAx>
        <c:axId val="452059296"/>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US"/>
                  <a:t>Number of participants</a:t>
                </a:r>
              </a:p>
            </c:rich>
          </c:tx>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45206209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CDF8EEC9E544E4A846316D4B10F5E5"/>
        <w:category>
          <w:name w:val="General"/>
          <w:gallery w:val="placeholder"/>
        </w:category>
        <w:types>
          <w:type w:val="bbPlcHdr"/>
        </w:types>
        <w:behaviors>
          <w:behavior w:val="content"/>
        </w:behaviors>
        <w:guid w:val="{39466289-60FB-47DF-99A5-5B6E777651A9}"/>
      </w:docPartPr>
      <w:docPartBody>
        <w:p w:rsidR="00F5450E" w:rsidRDefault="0090252F" w:rsidP="0090252F">
          <w:pPr>
            <w:pStyle w:val="D8CDF8EEC9E544E4A846316D4B10F5E5"/>
          </w:pPr>
          <w:r>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Dotum">
    <w:altName w:val="돋움"/>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0000012" w:usb3="00000000" w:csb0="0002009F" w:csb1="00000000"/>
  </w:font>
  <w:font w:name="Lucida Console">
    <w:panose1 w:val="020B0609040504020204"/>
    <w:charset w:val="00"/>
    <w:family w:val="modern"/>
    <w:pitch w:val="fixed"/>
    <w:sig w:usb0="8000028F" w:usb1="00001800" w:usb2="00000000" w:usb3="00000000" w:csb0="0000001F" w:csb1="00000000"/>
  </w:font>
  <w:font w:name="Simplified Arabic">
    <w:panose1 w:val="02020603050405020304"/>
    <w:charset w:val="00"/>
    <w:family w:val="roman"/>
    <w:pitch w:val="variable"/>
    <w:sig w:usb0="00002003" w:usb1="00000000" w:usb2="00000000" w:usb3="00000000" w:csb0="00000041" w:csb1="00000000"/>
  </w:font>
  <w:font w:name="SimHei">
    <w:altName w:val="黑体"/>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PMincho">
    <w:panose1 w:val="02020600040205080304"/>
    <w:charset w:val="80"/>
    <w:family w:val="roman"/>
    <w:pitch w:val="variable"/>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Bitter">
    <w:altName w:val="Times New Roman"/>
    <w:charset w:val="00"/>
    <w:family w:val="auto"/>
    <w:pitch w:val="default"/>
  </w:font>
  <w:font w:name="MS Gothic">
    <w:altName w:val="ＭＳ ゴシック"/>
    <w:panose1 w:val="020B0609070205080204"/>
    <w:charset w:val="80"/>
    <w:family w:val="modern"/>
    <w:pitch w:val="fixed"/>
    <w:sig w:usb0="E00002FF" w:usb1="6AC7FDFB" w:usb2="00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47F"/>
    <w:rsid w:val="00007F57"/>
    <w:rsid w:val="00056E2E"/>
    <w:rsid w:val="000640F4"/>
    <w:rsid w:val="000F3FCC"/>
    <w:rsid w:val="0017462A"/>
    <w:rsid w:val="00181927"/>
    <w:rsid w:val="001B199D"/>
    <w:rsid w:val="001F7D9E"/>
    <w:rsid w:val="00242F72"/>
    <w:rsid w:val="00266154"/>
    <w:rsid w:val="00291D2B"/>
    <w:rsid w:val="00295839"/>
    <w:rsid w:val="002C18D7"/>
    <w:rsid w:val="0030662F"/>
    <w:rsid w:val="00306BFB"/>
    <w:rsid w:val="00323BA2"/>
    <w:rsid w:val="00357BB5"/>
    <w:rsid w:val="0036158A"/>
    <w:rsid w:val="00364AFC"/>
    <w:rsid w:val="003851EE"/>
    <w:rsid w:val="00394A2A"/>
    <w:rsid w:val="004C2B5B"/>
    <w:rsid w:val="005C399A"/>
    <w:rsid w:val="00600DF0"/>
    <w:rsid w:val="0060489C"/>
    <w:rsid w:val="006277CD"/>
    <w:rsid w:val="00634F0D"/>
    <w:rsid w:val="00655FEF"/>
    <w:rsid w:val="0067214C"/>
    <w:rsid w:val="006A36B7"/>
    <w:rsid w:val="007227CA"/>
    <w:rsid w:val="00762E99"/>
    <w:rsid w:val="007B08DC"/>
    <w:rsid w:val="007B456B"/>
    <w:rsid w:val="007D6B89"/>
    <w:rsid w:val="007E5CEE"/>
    <w:rsid w:val="00810A93"/>
    <w:rsid w:val="00812B97"/>
    <w:rsid w:val="00813ED7"/>
    <w:rsid w:val="00825B45"/>
    <w:rsid w:val="00826442"/>
    <w:rsid w:val="00843B72"/>
    <w:rsid w:val="00866C70"/>
    <w:rsid w:val="0089158E"/>
    <w:rsid w:val="008A3ED4"/>
    <w:rsid w:val="008F7972"/>
    <w:rsid w:val="0090252F"/>
    <w:rsid w:val="00903FED"/>
    <w:rsid w:val="009937CD"/>
    <w:rsid w:val="009A0F9B"/>
    <w:rsid w:val="009A766A"/>
    <w:rsid w:val="009C7968"/>
    <w:rsid w:val="00A11C42"/>
    <w:rsid w:val="00A432EA"/>
    <w:rsid w:val="00A64101"/>
    <w:rsid w:val="00A85CD5"/>
    <w:rsid w:val="00AF3630"/>
    <w:rsid w:val="00B300E3"/>
    <w:rsid w:val="00B406C8"/>
    <w:rsid w:val="00B722E6"/>
    <w:rsid w:val="00B81036"/>
    <w:rsid w:val="00BA55D5"/>
    <w:rsid w:val="00BB4BF1"/>
    <w:rsid w:val="00BC3B1C"/>
    <w:rsid w:val="00BC5FA1"/>
    <w:rsid w:val="00BE4B1B"/>
    <w:rsid w:val="00BF349E"/>
    <w:rsid w:val="00C01AF4"/>
    <w:rsid w:val="00C1420B"/>
    <w:rsid w:val="00C25430"/>
    <w:rsid w:val="00C2711C"/>
    <w:rsid w:val="00C70686"/>
    <w:rsid w:val="00CA401D"/>
    <w:rsid w:val="00CA45D1"/>
    <w:rsid w:val="00CA5487"/>
    <w:rsid w:val="00CB0DC8"/>
    <w:rsid w:val="00CB4B45"/>
    <w:rsid w:val="00CC047F"/>
    <w:rsid w:val="00CC3AFA"/>
    <w:rsid w:val="00CC3D76"/>
    <w:rsid w:val="00D001A3"/>
    <w:rsid w:val="00D0251D"/>
    <w:rsid w:val="00D03C0E"/>
    <w:rsid w:val="00D60A7E"/>
    <w:rsid w:val="00D62C3D"/>
    <w:rsid w:val="00DA4B6E"/>
    <w:rsid w:val="00DA6F65"/>
    <w:rsid w:val="00E333A7"/>
    <w:rsid w:val="00E920BD"/>
    <w:rsid w:val="00EB2B73"/>
    <w:rsid w:val="00EE3336"/>
    <w:rsid w:val="00F23C80"/>
    <w:rsid w:val="00F50376"/>
    <w:rsid w:val="00F5450E"/>
    <w:rsid w:val="00F774C9"/>
    <w:rsid w:val="00F95D9D"/>
    <w:rsid w:val="00FA48B2"/>
    <w:rsid w:val="00FC31C6"/>
    <w:rsid w:val="00FD06CD"/>
    <w:rsid w:val="00FD226D"/>
    <w:rsid w:val="00FE48E9"/>
    <w:rsid w:val="00FF607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52F"/>
    <w:rPr>
      <w:color w:val="808080"/>
    </w:rPr>
  </w:style>
  <w:style w:type="paragraph" w:customStyle="1" w:styleId="9B3061DF65664B739FC85AE6A219CA21">
    <w:name w:val="9B3061DF65664B739FC85AE6A219CA21"/>
    <w:rsid w:val="00EA7C1D"/>
  </w:style>
  <w:style w:type="paragraph" w:customStyle="1" w:styleId="C726367F34C5411280E545CCA5531E6D">
    <w:name w:val="C726367F34C5411280E545CCA5531E6D"/>
    <w:rsid w:val="00F95D9D"/>
    <w:rPr>
      <w:lang w:val="en-US" w:eastAsia="en-US"/>
    </w:rPr>
  </w:style>
  <w:style w:type="paragraph" w:customStyle="1" w:styleId="D8CDF8EEC9E544E4A846316D4B10F5E5">
    <w:name w:val="D8CDF8EEC9E544E4A846316D4B10F5E5"/>
    <w:rsid w:val="0090252F"/>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14706B5C8C0E7438BEF2951889CCA4F" ma:contentTypeVersion="1" ma:contentTypeDescription="Create a new document." ma:contentTypeScope="" ma:versionID="b61bf29a59bf658147a73706e998063f">
  <xsd:schema xmlns:xsd="http://www.w3.org/2001/XMLSchema" xmlns:xs="http://www.w3.org/2001/XMLSchema" xmlns:p="http://schemas.microsoft.com/office/2006/metadata/properties" xmlns:ns2="0d1600e8-004f-4c6f-afe8-0c63f3945779" targetNamespace="http://schemas.microsoft.com/office/2006/metadata/properties" ma:root="true" ma:fieldsID="dd1bcb1da1bc5c328eb547e2d10c4e77" ns2:_="">
    <xsd:import namespace="0d1600e8-004f-4c6f-afe8-0c63f394577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1600e8-004f-4c6f-afe8-0c63f39457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9112-FE60-4EDC-B8BF-CEC56ED75600}">
  <ds:schemaRefs>
    <ds:schemaRef ds:uri="http://schemas.microsoft.com/sharepoint/v3/contenttype/forms"/>
  </ds:schemaRefs>
</ds:datastoreItem>
</file>

<file path=customXml/itemProps2.xml><?xml version="1.0" encoding="utf-8"?>
<ds:datastoreItem xmlns:ds="http://schemas.openxmlformats.org/officeDocument/2006/customXml" ds:itemID="{3AC7A0AD-09DC-469E-9052-530DF7033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1600e8-004f-4c6f-afe8-0c63f39457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FF9D3-AD49-4CE1-A7D6-D6613B533EB4}">
  <ds:schemaRefs>
    <ds:schemaRef ds:uri="http://schemas.microsoft.com/office/infopath/2007/PartnerControls"/>
    <ds:schemaRef ds:uri="http://www.w3.org/XML/1998/namespace"/>
    <ds:schemaRef ds:uri="http://purl.org/dc/elements/1.1/"/>
    <ds:schemaRef ds:uri="http://purl.org/dc/terms/"/>
    <ds:schemaRef ds:uri="http://schemas.microsoft.com/office/2006/documentManagement/types"/>
    <ds:schemaRef ds:uri="http://purl.org/dc/dcmitype/"/>
    <ds:schemaRef ds:uri="http://schemas.openxmlformats.org/package/2006/metadata/core-properties"/>
    <ds:schemaRef ds:uri="0d1600e8-004f-4c6f-afe8-0c63f3945779"/>
    <ds:schemaRef ds:uri="http://schemas.microsoft.com/office/2006/metadata/properties"/>
  </ds:schemaRefs>
</ds:datastoreItem>
</file>

<file path=customXml/itemProps4.xml><?xml version="1.0" encoding="utf-8"?>
<ds:datastoreItem xmlns:ds="http://schemas.openxmlformats.org/officeDocument/2006/customXml" ds:itemID="{43821DAC-22A8-4221-A110-057C29AD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ItutBasic-Template.dot</Template>
  <TotalTime>0</TotalTime>
  <Pages>83</Pages>
  <Words>38648</Words>
  <Characters>249781</Characters>
  <Application>Microsoft Office Word</Application>
  <DocSecurity>0</DocSecurity>
  <Lines>2081</Lines>
  <Paragraphs>575</Paragraphs>
  <ScaleCrop>false</ScaleCrop>
  <HeadingPairs>
    <vt:vector size="2" baseType="variant">
      <vt:variant>
        <vt:lpstr>Title</vt:lpstr>
      </vt:variant>
      <vt:variant>
        <vt:i4>1</vt:i4>
      </vt:variant>
    </vt:vector>
  </HeadingPairs>
  <TitlesOfParts>
    <vt:vector size="1" baseType="lpstr">
      <vt:lpstr>Report of activities in ITU-T (from February to October 2018)</vt:lpstr>
    </vt:vector>
  </TitlesOfParts>
  <Manager>ITU-T</Manager>
  <Company>International Telecommunication Union (ITU)</Company>
  <LinksUpToDate>false</LinksUpToDate>
  <CharactersWithSpaces>287854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activities in ITU-T (from February to October 2018)</dc:title>
  <dc:subject/>
  <dc:creator>OTA, Hiroshi</dc:creator>
  <cp:keywords/>
  <dc:description/>
  <cp:lastModifiedBy>Al-Mnini, Lara</cp:lastModifiedBy>
  <cp:revision>3</cp:revision>
  <cp:lastPrinted>2018-10-10T15:17:00Z</cp:lastPrinted>
  <dcterms:created xsi:type="dcterms:W3CDTF">2018-11-23T09:55:00Z</dcterms:created>
  <dcterms:modified xsi:type="dcterms:W3CDTF">2018-11-23T09:56:00Z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COM 17 – R 67 – E</vt:lpwstr>
  </property>
  <property fmtid="{D5CDD505-2E9C-101B-9397-08002B2CF9AE}" pid="3" name="Docdate">
    <vt:lpwstr>October 2016</vt:lpwstr>
  </property>
  <property fmtid="{D5CDD505-2E9C-101B-9397-08002B2CF9AE}" pid="4" name="Docorlang">
    <vt:lpwstr>English only Original: English</vt:lpwstr>
  </property>
  <property fmtid="{D5CDD505-2E9C-101B-9397-08002B2CF9AE}" pid="5" name="Docbluepink">
    <vt:lpwstr>All/17</vt:lpwstr>
  </property>
  <property fmtid="{D5CDD505-2E9C-101B-9397-08002B2CF9AE}" pid="6" name="Docdest">
    <vt:lpwstr/>
  </property>
  <property fmtid="{D5CDD505-2E9C-101B-9397-08002B2CF9AE}" pid="7" name="Docauthor">
    <vt:lpwstr>STUDY GROUP 17 (Geneva, 29 August – 7 September 2016)</vt:lpwstr>
  </property>
  <property fmtid="{D5CDD505-2E9C-101B-9397-08002B2CF9AE}" pid="8" name="ContentTypeId">
    <vt:lpwstr>0x010100714706B5C8C0E7438BEF2951889CCA4F</vt:lpwstr>
  </property>
</Properties>
</file>