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7039F7" w:rsidRPr="00B6695D" w:rsidTr="001D49A3">
        <w:trPr>
          <w:cantSplit/>
          <w:jc w:val="center"/>
        </w:trPr>
        <w:tc>
          <w:tcPr>
            <w:tcW w:w="1189" w:type="dxa"/>
            <w:vMerge w:val="restart"/>
          </w:tcPr>
          <w:p w:rsidR="007039F7" w:rsidRPr="00B6695D" w:rsidRDefault="007039F7" w:rsidP="001D49A3">
            <w:pPr>
              <w:rPr>
                <w:sz w:val="20"/>
                <w:lang w:eastAsia="ja-JP"/>
              </w:rPr>
            </w:pPr>
            <w:r w:rsidRPr="00B6695D">
              <w:rPr>
                <w:noProof/>
                <w:sz w:val="20"/>
                <w:lang w:eastAsia="zh-CN"/>
              </w:rPr>
              <w:drawing>
                <wp:inline distT="0" distB="0" distL="0" distR="0" wp14:anchorId="4C28B1F7" wp14:editId="5040355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7039F7" w:rsidRPr="00B6695D" w:rsidRDefault="007039F7" w:rsidP="001D49A3">
            <w:pPr>
              <w:spacing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rsidR="007039F7" w:rsidRPr="00B6695D" w:rsidRDefault="007039F7" w:rsidP="001D49A3">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rsidR="007039F7" w:rsidRPr="00B6695D" w:rsidRDefault="007039F7" w:rsidP="001D49A3">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0" w:name="dstudyperiod"/>
            <w:r w:rsidRPr="00B6695D">
              <w:rPr>
                <w:rFonts w:asciiTheme="majorBidi" w:hAnsiTheme="majorBidi" w:cstheme="majorBidi"/>
                <w:sz w:val="20"/>
                <w:lang w:eastAsia="ja-JP"/>
              </w:rPr>
              <w:t>2017-2020</w:t>
            </w:r>
            <w:bookmarkEnd w:id="0"/>
          </w:p>
        </w:tc>
        <w:tc>
          <w:tcPr>
            <w:tcW w:w="4682" w:type="dxa"/>
            <w:vAlign w:val="center"/>
          </w:tcPr>
          <w:p w:rsidR="007039F7" w:rsidRPr="00B6695D" w:rsidRDefault="007039F7" w:rsidP="00DF6AD5">
            <w:pPr>
              <w:spacing w:after="120"/>
              <w:jc w:val="right"/>
              <w:rPr>
                <w:rFonts w:asciiTheme="majorBidi" w:hAnsiTheme="majorBidi" w:cstheme="majorBidi"/>
                <w:b/>
                <w:sz w:val="40"/>
                <w:lang w:eastAsia="ja-JP"/>
              </w:rPr>
            </w:pPr>
            <w:r w:rsidRPr="00B6695D">
              <w:rPr>
                <w:b/>
                <w:sz w:val="40"/>
                <w:lang w:eastAsia="ja-JP"/>
              </w:rPr>
              <w:t>TD</w:t>
            </w:r>
            <w:r w:rsidRPr="00B6695D">
              <w:rPr>
                <w:rFonts w:asciiTheme="majorBidi" w:eastAsia="SimSun" w:hAnsiTheme="majorBidi" w:cstheme="majorBidi"/>
                <w:b/>
                <w:sz w:val="40"/>
              </w:rPr>
              <w:t xml:space="preserve"> </w:t>
            </w:r>
            <w:r>
              <w:rPr>
                <w:rFonts w:asciiTheme="majorBidi" w:eastAsia="SimSun" w:hAnsiTheme="majorBidi" w:cstheme="majorBidi"/>
                <w:b/>
                <w:sz w:val="40"/>
              </w:rPr>
              <w:t>146</w:t>
            </w:r>
          </w:p>
        </w:tc>
      </w:tr>
      <w:tr w:rsidR="007039F7" w:rsidRPr="00B6695D" w:rsidTr="001D49A3">
        <w:trPr>
          <w:cantSplit/>
          <w:jc w:val="center"/>
        </w:trPr>
        <w:tc>
          <w:tcPr>
            <w:tcW w:w="1189" w:type="dxa"/>
            <w:vMerge/>
          </w:tcPr>
          <w:p w:rsidR="007039F7" w:rsidRPr="00B6695D" w:rsidRDefault="007039F7" w:rsidP="001D49A3">
            <w:pPr>
              <w:rPr>
                <w:smallCaps/>
                <w:sz w:val="20"/>
                <w:szCs w:val="24"/>
                <w:lang w:eastAsia="ja-JP"/>
              </w:rPr>
            </w:pPr>
          </w:p>
        </w:tc>
        <w:tc>
          <w:tcPr>
            <w:tcW w:w="4052" w:type="dxa"/>
            <w:gridSpan w:val="3"/>
            <w:vMerge/>
          </w:tcPr>
          <w:p w:rsidR="007039F7" w:rsidRPr="00B6695D" w:rsidRDefault="007039F7" w:rsidP="001D49A3">
            <w:pPr>
              <w:rPr>
                <w:rFonts w:asciiTheme="majorBidi" w:hAnsiTheme="majorBidi" w:cstheme="majorBidi"/>
                <w:smallCaps/>
                <w:sz w:val="20"/>
                <w:szCs w:val="24"/>
                <w:lang w:eastAsia="ja-JP"/>
              </w:rPr>
            </w:pPr>
          </w:p>
        </w:tc>
        <w:tc>
          <w:tcPr>
            <w:tcW w:w="4682" w:type="dxa"/>
          </w:tcPr>
          <w:p w:rsidR="007039F7" w:rsidRPr="00B6695D" w:rsidRDefault="007039F7" w:rsidP="001D49A3">
            <w:pPr>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7039F7" w:rsidRPr="00B6695D" w:rsidTr="001D49A3">
        <w:trPr>
          <w:cantSplit/>
          <w:jc w:val="center"/>
        </w:trPr>
        <w:tc>
          <w:tcPr>
            <w:tcW w:w="1189" w:type="dxa"/>
            <w:vMerge/>
            <w:tcBorders>
              <w:bottom w:val="single" w:sz="12" w:space="0" w:color="auto"/>
            </w:tcBorders>
          </w:tcPr>
          <w:p w:rsidR="007039F7" w:rsidRPr="00B6695D" w:rsidRDefault="007039F7" w:rsidP="001D49A3">
            <w:pPr>
              <w:rPr>
                <w:b/>
                <w:bCs/>
                <w:sz w:val="26"/>
                <w:szCs w:val="24"/>
                <w:lang w:eastAsia="ja-JP"/>
              </w:rPr>
            </w:pPr>
          </w:p>
        </w:tc>
        <w:tc>
          <w:tcPr>
            <w:tcW w:w="4052" w:type="dxa"/>
            <w:gridSpan w:val="3"/>
            <w:vMerge/>
            <w:tcBorders>
              <w:bottom w:val="single" w:sz="12" w:space="0" w:color="auto"/>
            </w:tcBorders>
          </w:tcPr>
          <w:p w:rsidR="007039F7" w:rsidRPr="00B6695D" w:rsidRDefault="007039F7" w:rsidP="001D49A3">
            <w:pPr>
              <w:rPr>
                <w:rFonts w:asciiTheme="majorBidi" w:hAnsiTheme="majorBidi" w:cstheme="majorBidi"/>
                <w:b/>
                <w:bCs/>
                <w:sz w:val="26"/>
                <w:szCs w:val="24"/>
                <w:lang w:eastAsia="ja-JP"/>
              </w:rPr>
            </w:pPr>
          </w:p>
        </w:tc>
        <w:tc>
          <w:tcPr>
            <w:tcW w:w="4682" w:type="dxa"/>
            <w:tcBorders>
              <w:bottom w:val="single" w:sz="12" w:space="0" w:color="auto"/>
            </w:tcBorders>
            <w:vAlign w:val="center"/>
          </w:tcPr>
          <w:p w:rsidR="007039F7" w:rsidRPr="00B6695D" w:rsidRDefault="007039F7" w:rsidP="001D49A3">
            <w:pPr>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7039F7" w:rsidRPr="00B6695D" w:rsidTr="001D49A3">
        <w:trPr>
          <w:cantSplit/>
          <w:jc w:val="center"/>
        </w:trPr>
        <w:tc>
          <w:tcPr>
            <w:tcW w:w="1615" w:type="dxa"/>
            <w:gridSpan w:val="3"/>
          </w:tcPr>
          <w:p w:rsidR="007039F7" w:rsidRPr="00B6695D" w:rsidRDefault="007039F7" w:rsidP="001D49A3">
            <w:pPr>
              <w:rPr>
                <w:rFonts w:asciiTheme="majorBidi" w:hAnsiTheme="majorBidi" w:cstheme="majorBidi"/>
                <w:b/>
                <w:bCs/>
                <w:szCs w:val="24"/>
                <w:lang w:eastAsia="ja-JP"/>
              </w:rPr>
            </w:pPr>
            <w:r w:rsidRPr="00B6695D">
              <w:rPr>
                <w:rFonts w:asciiTheme="majorBidi" w:hAnsiTheme="majorBidi" w:cstheme="majorBidi"/>
                <w:b/>
                <w:bCs/>
                <w:szCs w:val="24"/>
                <w:lang w:eastAsia="ja-JP"/>
              </w:rPr>
              <w:t>Question(s):</w:t>
            </w:r>
          </w:p>
        </w:tc>
        <w:tc>
          <w:tcPr>
            <w:tcW w:w="3626" w:type="dxa"/>
          </w:tcPr>
          <w:p w:rsidR="007039F7" w:rsidRPr="00B6695D" w:rsidRDefault="007039F7" w:rsidP="001D49A3">
            <w:pPr>
              <w:rPr>
                <w:rFonts w:asciiTheme="majorBidi" w:hAnsiTheme="majorBidi" w:cstheme="majorBidi"/>
                <w:szCs w:val="24"/>
                <w:lang w:eastAsia="ja-JP"/>
              </w:rPr>
            </w:pPr>
            <w:r w:rsidRPr="00B6695D">
              <w:rPr>
                <w:rFonts w:asciiTheme="majorBidi" w:hAnsiTheme="majorBidi" w:cstheme="majorBidi"/>
                <w:szCs w:val="24"/>
                <w:lang w:eastAsia="ja-JP"/>
              </w:rPr>
              <w:t>N/A</w:t>
            </w:r>
          </w:p>
        </w:tc>
        <w:tc>
          <w:tcPr>
            <w:tcW w:w="4682" w:type="dxa"/>
          </w:tcPr>
          <w:p w:rsidR="007039F7" w:rsidRPr="00B6695D" w:rsidRDefault="00136ECC" w:rsidP="001D49A3">
            <w:pPr>
              <w:wordWrap w:val="0"/>
              <w:jc w:val="right"/>
              <w:rPr>
                <w:rFonts w:asciiTheme="majorBidi" w:hAnsiTheme="majorBidi" w:cstheme="majorBidi"/>
                <w:szCs w:val="24"/>
                <w:lang w:eastAsia="ja-JP"/>
              </w:rPr>
            </w:pPr>
            <w:r>
              <w:rPr>
                <w:rFonts w:asciiTheme="majorBidi" w:hAnsiTheme="majorBidi" w:cstheme="majorBidi"/>
                <w:szCs w:val="24"/>
                <w:lang w:eastAsia="ja-JP"/>
              </w:rPr>
              <w:t xml:space="preserve">Geneva, </w:t>
            </w:r>
            <w:r w:rsidR="007039F7" w:rsidRPr="00B6695D">
              <w:rPr>
                <w:rFonts w:asciiTheme="majorBidi" w:hAnsiTheme="majorBidi" w:cstheme="majorBidi"/>
                <w:szCs w:val="24"/>
                <w:lang w:eastAsia="ja-JP"/>
              </w:rPr>
              <w:t>26 February – 2 March 2018</w:t>
            </w:r>
          </w:p>
        </w:tc>
      </w:tr>
      <w:tr w:rsidR="007039F7" w:rsidRPr="00B6695D" w:rsidTr="001D49A3">
        <w:trPr>
          <w:cantSplit/>
          <w:jc w:val="center"/>
        </w:trPr>
        <w:tc>
          <w:tcPr>
            <w:tcW w:w="9923" w:type="dxa"/>
            <w:gridSpan w:val="5"/>
          </w:tcPr>
          <w:p w:rsidR="007039F7" w:rsidRPr="00B6695D" w:rsidRDefault="007039F7" w:rsidP="001D49A3">
            <w:pPr>
              <w:jc w:val="center"/>
              <w:rPr>
                <w:rFonts w:asciiTheme="majorBidi" w:hAnsiTheme="majorBidi" w:cstheme="majorBidi"/>
                <w:b/>
                <w:bCs/>
                <w:szCs w:val="24"/>
                <w:lang w:eastAsia="ja-JP"/>
              </w:rPr>
            </w:pPr>
            <w:bookmarkStart w:id="1" w:name="ddoctype" w:colFirst="0" w:colLast="0"/>
            <w:r w:rsidRPr="00B6695D">
              <w:rPr>
                <w:rFonts w:asciiTheme="majorBidi" w:hAnsiTheme="majorBidi" w:cstheme="majorBidi"/>
                <w:b/>
                <w:bCs/>
                <w:szCs w:val="24"/>
                <w:lang w:eastAsia="ja-JP"/>
              </w:rPr>
              <w:t>TD</w:t>
            </w:r>
          </w:p>
        </w:tc>
      </w:tr>
      <w:bookmarkEnd w:id="1"/>
      <w:tr w:rsidR="007039F7" w:rsidRPr="00B6695D" w:rsidTr="001D49A3">
        <w:trPr>
          <w:cantSplit/>
          <w:jc w:val="center"/>
        </w:trPr>
        <w:tc>
          <w:tcPr>
            <w:tcW w:w="1615" w:type="dxa"/>
            <w:gridSpan w:val="3"/>
          </w:tcPr>
          <w:p w:rsidR="007039F7" w:rsidRPr="00B6695D" w:rsidRDefault="007039F7" w:rsidP="001D49A3">
            <w:pPr>
              <w:rPr>
                <w:rFonts w:asciiTheme="majorBidi" w:hAnsiTheme="majorBidi" w:cstheme="majorBidi"/>
                <w:b/>
                <w:bCs/>
                <w:szCs w:val="24"/>
                <w:lang w:eastAsia="ja-JP"/>
              </w:rPr>
            </w:pPr>
            <w:r w:rsidRPr="00B6695D">
              <w:rPr>
                <w:rFonts w:asciiTheme="majorBidi" w:hAnsiTheme="majorBidi" w:cstheme="majorBidi"/>
                <w:b/>
                <w:bCs/>
                <w:szCs w:val="24"/>
                <w:lang w:eastAsia="ja-JP"/>
              </w:rPr>
              <w:t>Source:</w:t>
            </w:r>
          </w:p>
        </w:tc>
        <w:tc>
          <w:tcPr>
            <w:tcW w:w="8308" w:type="dxa"/>
            <w:gridSpan w:val="2"/>
          </w:tcPr>
          <w:p w:rsidR="007039F7" w:rsidRPr="00B6695D" w:rsidRDefault="001224A7" w:rsidP="001D49A3">
            <w:pPr>
              <w:rPr>
                <w:rFonts w:asciiTheme="majorBidi" w:hAnsiTheme="majorBidi" w:cstheme="majorBidi"/>
                <w:szCs w:val="24"/>
              </w:rPr>
            </w:pPr>
            <w:r w:rsidRPr="001224A7">
              <w:rPr>
                <w:rFonts w:asciiTheme="majorBidi" w:hAnsiTheme="majorBidi" w:cstheme="majorBidi"/>
                <w:szCs w:val="24"/>
              </w:rPr>
              <w:t>Chairman, FG DFC</w:t>
            </w:r>
          </w:p>
        </w:tc>
      </w:tr>
      <w:tr w:rsidR="007039F7" w:rsidRPr="00B6695D" w:rsidTr="001D49A3">
        <w:trPr>
          <w:cantSplit/>
          <w:jc w:val="center"/>
        </w:trPr>
        <w:tc>
          <w:tcPr>
            <w:tcW w:w="1615" w:type="dxa"/>
            <w:gridSpan w:val="3"/>
          </w:tcPr>
          <w:p w:rsidR="007039F7" w:rsidRPr="00B6695D" w:rsidRDefault="007039F7" w:rsidP="001D49A3">
            <w:pPr>
              <w:rPr>
                <w:rFonts w:asciiTheme="majorBidi" w:hAnsiTheme="majorBidi" w:cstheme="majorBidi"/>
                <w:szCs w:val="24"/>
                <w:lang w:eastAsia="ja-JP"/>
              </w:rPr>
            </w:pPr>
            <w:r w:rsidRPr="00B6695D">
              <w:rPr>
                <w:rFonts w:asciiTheme="majorBidi" w:hAnsiTheme="majorBidi" w:cstheme="majorBidi"/>
                <w:b/>
                <w:bCs/>
                <w:szCs w:val="24"/>
                <w:lang w:eastAsia="ja-JP"/>
              </w:rPr>
              <w:t>Title:</w:t>
            </w:r>
          </w:p>
        </w:tc>
        <w:tc>
          <w:tcPr>
            <w:tcW w:w="8308" w:type="dxa"/>
            <w:gridSpan w:val="2"/>
          </w:tcPr>
          <w:p w:rsidR="007039F7" w:rsidRPr="00B6695D" w:rsidRDefault="00155F77" w:rsidP="001D49A3">
            <w:pPr>
              <w:rPr>
                <w:rFonts w:asciiTheme="majorBidi" w:hAnsiTheme="majorBidi" w:cstheme="majorBidi"/>
                <w:szCs w:val="24"/>
              </w:rPr>
            </w:pPr>
            <w:r>
              <w:t xml:space="preserve">FG </w:t>
            </w:r>
            <w:bookmarkStart w:id="2" w:name="_GoBack"/>
            <w:bookmarkEnd w:id="2"/>
            <w:r w:rsidR="001224A7">
              <w:t>DFC progress report</w:t>
            </w:r>
          </w:p>
        </w:tc>
      </w:tr>
      <w:tr w:rsidR="007039F7" w:rsidRPr="00B6695D" w:rsidTr="001D49A3">
        <w:trPr>
          <w:cantSplit/>
          <w:jc w:val="center"/>
        </w:trPr>
        <w:tc>
          <w:tcPr>
            <w:tcW w:w="1615" w:type="dxa"/>
            <w:gridSpan w:val="3"/>
            <w:tcBorders>
              <w:bottom w:val="single" w:sz="8" w:space="0" w:color="auto"/>
            </w:tcBorders>
          </w:tcPr>
          <w:p w:rsidR="007039F7" w:rsidRPr="00B6695D" w:rsidRDefault="007039F7" w:rsidP="001D49A3">
            <w:pPr>
              <w:rPr>
                <w:rFonts w:asciiTheme="majorBidi" w:hAnsiTheme="majorBidi" w:cstheme="majorBidi"/>
                <w:b/>
                <w:bCs/>
                <w:szCs w:val="24"/>
                <w:lang w:eastAsia="ja-JP"/>
              </w:rPr>
            </w:pPr>
            <w:bookmarkStart w:id="3" w:name="dpurpose" w:colFirst="1" w:colLast="1"/>
            <w:r w:rsidRPr="00B6695D">
              <w:rPr>
                <w:rFonts w:asciiTheme="majorBidi" w:hAnsiTheme="majorBidi" w:cstheme="majorBidi"/>
                <w:b/>
                <w:bCs/>
                <w:szCs w:val="24"/>
                <w:lang w:eastAsia="ja-JP"/>
              </w:rPr>
              <w:t>Purpose:</w:t>
            </w:r>
          </w:p>
        </w:tc>
        <w:tc>
          <w:tcPr>
            <w:tcW w:w="8308" w:type="dxa"/>
            <w:gridSpan w:val="2"/>
            <w:tcBorders>
              <w:bottom w:val="single" w:sz="8" w:space="0" w:color="auto"/>
            </w:tcBorders>
          </w:tcPr>
          <w:p w:rsidR="007039F7" w:rsidRPr="00B6695D" w:rsidRDefault="001224A7" w:rsidP="001D49A3">
            <w:pPr>
              <w:rPr>
                <w:rFonts w:asciiTheme="majorBidi" w:hAnsiTheme="majorBidi" w:cstheme="majorBidi"/>
                <w:szCs w:val="24"/>
                <w:lang w:eastAsia="ja-JP"/>
              </w:rPr>
            </w:pPr>
            <w:r w:rsidRPr="002F128F">
              <w:rPr>
                <w:rFonts w:asciiTheme="majorBidi" w:hAnsiTheme="majorBidi" w:cstheme="majorBidi"/>
                <w:szCs w:val="24"/>
                <w:lang w:eastAsia="ja-JP"/>
              </w:rPr>
              <w:t>Information</w:t>
            </w:r>
          </w:p>
        </w:tc>
      </w:tr>
      <w:bookmarkEnd w:id="3"/>
      <w:tr w:rsidR="007039F7" w:rsidRPr="00B6695D" w:rsidTr="001D49A3">
        <w:trPr>
          <w:cantSplit/>
          <w:jc w:val="center"/>
        </w:trPr>
        <w:tc>
          <w:tcPr>
            <w:tcW w:w="1606" w:type="dxa"/>
            <w:gridSpan w:val="2"/>
            <w:tcBorders>
              <w:top w:val="single" w:sz="8" w:space="0" w:color="auto"/>
              <w:bottom w:val="single" w:sz="8" w:space="0" w:color="auto"/>
            </w:tcBorders>
          </w:tcPr>
          <w:p w:rsidR="007039F7" w:rsidRPr="00B6695D" w:rsidRDefault="007039F7" w:rsidP="001D49A3">
            <w:pPr>
              <w:rPr>
                <w:rFonts w:asciiTheme="majorBidi" w:hAnsiTheme="majorBidi" w:cstheme="majorBidi"/>
                <w:b/>
                <w:bCs/>
                <w:szCs w:val="24"/>
                <w:lang w:eastAsia="ja-JP"/>
              </w:rPr>
            </w:pPr>
            <w:r w:rsidRPr="00B6695D">
              <w:rPr>
                <w:rFonts w:asciiTheme="majorBidi" w:hAnsiTheme="majorBidi" w:cstheme="majorBidi"/>
                <w:b/>
                <w:bCs/>
                <w:szCs w:val="24"/>
                <w:lang w:eastAsia="ja-JP"/>
              </w:rPr>
              <w:t>Contact:</w:t>
            </w:r>
          </w:p>
        </w:tc>
        <w:tc>
          <w:tcPr>
            <w:tcW w:w="3635" w:type="dxa"/>
            <w:gridSpan w:val="2"/>
            <w:tcBorders>
              <w:top w:val="single" w:sz="8" w:space="0" w:color="auto"/>
              <w:bottom w:val="single" w:sz="8" w:space="0" w:color="auto"/>
            </w:tcBorders>
          </w:tcPr>
          <w:p w:rsidR="007039F7" w:rsidRPr="001224A7" w:rsidRDefault="001224A7" w:rsidP="002F128F">
            <w:pPr>
              <w:rPr>
                <w:rFonts w:asciiTheme="majorBidi" w:hAnsiTheme="majorBidi" w:cstheme="majorBidi"/>
                <w:szCs w:val="24"/>
              </w:rPr>
            </w:pPr>
            <w:r w:rsidRPr="001224A7">
              <w:rPr>
                <w:rFonts w:asciiTheme="majorBidi" w:hAnsiTheme="majorBidi" w:cstheme="majorBidi"/>
                <w:szCs w:val="24"/>
              </w:rPr>
              <w:t>Davi</w:t>
            </w:r>
            <w:r w:rsidR="002F128F">
              <w:rPr>
                <w:rFonts w:asciiTheme="majorBidi" w:hAnsiTheme="majorBidi" w:cstheme="majorBidi"/>
                <w:szCs w:val="24"/>
              </w:rPr>
              <w:t>d</w:t>
            </w:r>
            <w:r w:rsidRPr="001224A7">
              <w:rPr>
                <w:rFonts w:asciiTheme="majorBidi" w:hAnsiTheme="majorBidi" w:cstheme="majorBidi"/>
                <w:szCs w:val="24"/>
              </w:rPr>
              <w:t xml:space="preserve"> Wen</w:t>
            </w:r>
            <w:r w:rsidR="007039F7" w:rsidRPr="001224A7">
              <w:rPr>
                <w:rFonts w:asciiTheme="majorBidi" w:hAnsiTheme="majorBidi" w:cstheme="majorBidi"/>
                <w:szCs w:val="24"/>
              </w:rPr>
              <w:br/>
            </w:r>
            <w:r w:rsidRPr="001224A7">
              <w:rPr>
                <w:rFonts w:asciiTheme="majorBidi" w:hAnsiTheme="majorBidi" w:cstheme="majorBidi"/>
                <w:szCs w:val="24"/>
              </w:rPr>
              <w:t>Chairman, FG DFC</w:t>
            </w:r>
          </w:p>
        </w:tc>
        <w:tc>
          <w:tcPr>
            <w:tcW w:w="4682" w:type="dxa"/>
            <w:tcBorders>
              <w:top w:val="single" w:sz="8" w:space="0" w:color="auto"/>
              <w:bottom w:val="single" w:sz="8" w:space="0" w:color="auto"/>
            </w:tcBorders>
          </w:tcPr>
          <w:p w:rsidR="007039F7" w:rsidRPr="00B6695D" w:rsidRDefault="007039F7" w:rsidP="001224A7">
            <w:pPr>
              <w:rPr>
                <w:rFonts w:asciiTheme="majorBidi" w:hAnsiTheme="majorBidi" w:cstheme="majorBidi"/>
                <w:szCs w:val="24"/>
              </w:rPr>
            </w:pPr>
            <w:r w:rsidRPr="002F128F">
              <w:rPr>
                <w:rFonts w:asciiTheme="majorBidi" w:hAnsiTheme="majorBidi" w:cstheme="majorBidi"/>
                <w:szCs w:val="24"/>
              </w:rPr>
              <w:t>Tel:</w:t>
            </w:r>
            <w:r w:rsidRPr="002F128F">
              <w:rPr>
                <w:rFonts w:asciiTheme="majorBidi" w:hAnsiTheme="majorBidi" w:cstheme="majorBidi"/>
                <w:szCs w:val="24"/>
              </w:rPr>
              <w:tab/>
            </w:r>
            <w:r w:rsidR="002F128F" w:rsidRPr="002F128F">
              <w:rPr>
                <w:rFonts w:asciiTheme="majorBidi" w:hAnsiTheme="majorBidi" w:cstheme="majorBidi"/>
                <w:szCs w:val="24"/>
              </w:rPr>
              <w:t>+1 650 720 5588</w:t>
            </w:r>
            <w:r w:rsidRPr="002F128F">
              <w:rPr>
                <w:rFonts w:asciiTheme="majorBidi" w:hAnsiTheme="majorBidi" w:cstheme="majorBidi"/>
                <w:szCs w:val="24"/>
              </w:rPr>
              <w:br/>
              <w:t xml:space="preserve">E-mail: </w:t>
            </w:r>
            <w:hyperlink r:id="rId8" w:history="1">
              <w:r w:rsidR="002F128F" w:rsidRPr="002F128F">
                <w:rPr>
                  <w:rStyle w:val="Hyperlink"/>
                  <w:rFonts w:asciiTheme="majorBidi" w:hAnsiTheme="majorBidi" w:cstheme="majorBidi"/>
                  <w:szCs w:val="24"/>
                </w:rPr>
                <w:t>david.w@ecurrency.net</w:t>
              </w:r>
            </w:hyperlink>
            <w:r w:rsidR="002F128F">
              <w:rPr>
                <w:rFonts w:asciiTheme="majorBidi" w:hAnsiTheme="majorBidi" w:cstheme="majorBidi"/>
                <w:szCs w:val="24"/>
              </w:rPr>
              <w:t xml:space="preserve"> </w:t>
            </w:r>
          </w:p>
        </w:tc>
      </w:tr>
    </w:tbl>
    <w:p w:rsidR="001224A7" w:rsidRDefault="001224A7"/>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224A7" w:rsidRPr="00B6695D" w:rsidTr="001D49A3">
        <w:trPr>
          <w:cantSplit/>
          <w:jc w:val="center"/>
        </w:trPr>
        <w:tc>
          <w:tcPr>
            <w:tcW w:w="1615" w:type="dxa"/>
          </w:tcPr>
          <w:p w:rsidR="001224A7" w:rsidRPr="00B6695D" w:rsidRDefault="001224A7" w:rsidP="001D49A3">
            <w:pPr>
              <w:rPr>
                <w:rFonts w:asciiTheme="majorBidi" w:hAnsiTheme="majorBidi" w:cstheme="majorBidi"/>
                <w:b/>
                <w:bCs/>
                <w:szCs w:val="24"/>
                <w:highlight w:val="yellow"/>
              </w:rPr>
            </w:pPr>
            <w:r w:rsidRPr="00B6695D">
              <w:rPr>
                <w:rFonts w:asciiTheme="majorBidi" w:hAnsiTheme="majorBidi" w:cstheme="majorBidi"/>
                <w:b/>
                <w:bCs/>
                <w:szCs w:val="24"/>
              </w:rPr>
              <w:t>Keywords:</w:t>
            </w:r>
          </w:p>
        </w:tc>
        <w:tc>
          <w:tcPr>
            <w:tcW w:w="8308" w:type="dxa"/>
          </w:tcPr>
          <w:p w:rsidR="001224A7" w:rsidRPr="002F128F" w:rsidRDefault="002F128F" w:rsidP="001D49A3">
            <w:pPr>
              <w:rPr>
                <w:rFonts w:asciiTheme="majorBidi" w:hAnsiTheme="majorBidi" w:cstheme="majorBidi"/>
                <w:szCs w:val="24"/>
              </w:rPr>
            </w:pPr>
            <w:r w:rsidRPr="002F128F">
              <w:rPr>
                <w:rFonts w:asciiTheme="majorBidi" w:hAnsiTheme="majorBidi" w:cstheme="majorBidi"/>
                <w:szCs w:val="24"/>
              </w:rPr>
              <w:t>Digital Currency, Digital Fiat Currency, Financial Inclusion, Digital Financial Services, Security, Interoperability</w:t>
            </w:r>
          </w:p>
        </w:tc>
      </w:tr>
      <w:tr w:rsidR="001224A7" w:rsidRPr="00B6695D" w:rsidTr="001D49A3">
        <w:trPr>
          <w:cantSplit/>
          <w:jc w:val="center"/>
        </w:trPr>
        <w:tc>
          <w:tcPr>
            <w:tcW w:w="1615" w:type="dxa"/>
          </w:tcPr>
          <w:p w:rsidR="001224A7" w:rsidRPr="00B6695D" w:rsidRDefault="001224A7" w:rsidP="001D49A3">
            <w:pPr>
              <w:rPr>
                <w:rFonts w:asciiTheme="majorBidi" w:hAnsiTheme="majorBidi" w:cstheme="majorBidi"/>
                <w:b/>
                <w:bCs/>
                <w:szCs w:val="24"/>
                <w:highlight w:val="yellow"/>
              </w:rPr>
            </w:pPr>
            <w:r w:rsidRPr="00B6695D">
              <w:rPr>
                <w:rFonts w:asciiTheme="majorBidi" w:hAnsiTheme="majorBidi" w:cstheme="majorBidi"/>
                <w:b/>
                <w:bCs/>
                <w:szCs w:val="24"/>
              </w:rPr>
              <w:t>Abstract:</w:t>
            </w:r>
          </w:p>
        </w:tc>
        <w:tc>
          <w:tcPr>
            <w:tcW w:w="8308" w:type="dxa"/>
          </w:tcPr>
          <w:p w:rsidR="001224A7" w:rsidRPr="002F128F" w:rsidRDefault="002F128F" w:rsidP="001D49A3">
            <w:pPr>
              <w:ind w:leftChars="14" w:left="34"/>
              <w:rPr>
                <w:rFonts w:asciiTheme="majorBidi" w:hAnsiTheme="majorBidi" w:cstheme="majorBidi"/>
                <w:szCs w:val="24"/>
              </w:rPr>
            </w:pPr>
            <w:r w:rsidRPr="002F128F">
              <w:rPr>
                <w:rFonts w:asciiTheme="majorBidi" w:hAnsiTheme="majorBidi" w:cstheme="majorBidi"/>
                <w:szCs w:val="24"/>
              </w:rPr>
              <w:t xml:space="preserve">The activities of the </w:t>
            </w:r>
            <w:r w:rsidRPr="002F128F">
              <w:rPr>
                <w:szCs w:val="24"/>
              </w:rPr>
              <w:t>ITU-T Focus Group Digital Currency including</w:t>
            </w:r>
            <w:r>
              <w:rPr>
                <w:szCs w:val="24"/>
              </w:rPr>
              <w:t xml:space="preserve"> Digital Fiat Currency (FG DFC), since the last TSAG meeting, </w:t>
            </w:r>
            <w:proofErr w:type="gramStart"/>
            <w:r>
              <w:rPr>
                <w:szCs w:val="24"/>
              </w:rPr>
              <w:t>are presented</w:t>
            </w:r>
            <w:proofErr w:type="gramEnd"/>
            <w:r>
              <w:rPr>
                <w:szCs w:val="24"/>
              </w:rPr>
              <w:t xml:space="preserve"> in this document. </w:t>
            </w:r>
          </w:p>
        </w:tc>
      </w:tr>
    </w:tbl>
    <w:p w:rsidR="007039F7" w:rsidRDefault="007039F7" w:rsidP="00B1718F">
      <w:pPr>
        <w:tabs>
          <w:tab w:val="clear" w:pos="794"/>
          <w:tab w:val="clear" w:pos="1191"/>
          <w:tab w:val="clear" w:pos="1588"/>
          <w:tab w:val="clear" w:pos="1985"/>
          <w:tab w:val="left" w:pos="2358"/>
        </w:tabs>
        <w:rPr>
          <w:b/>
          <w:bCs/>
          <w:szCs w:val="24"/>
        </w:rPr>
      </w:pPr>
    </w:p>
    <w:p w:rsidR="00B1718F" w:rsidRDefault="00B1718F" w:rsidP="00B1718F">
      <w:pPr>
        <w:tabs>
          <w:tab w:val="clear" w:pos="794"/>
          <w:tab w:val="clear" w:pos="1191"/>
          <w:tab w:val="clear" w:pos="1588"/>
          <w:tab w:val="clear" w:pos="1985"/>
          <w:tab w:val="left" w:pos="2358"/>
        </w:tabs>
        <w:rPr>
          <w:b/>
          <w:bCs/>
          <w:szCs w:val="24"/>
        </w:rPr>
      </w:pPr>
      <w:r>
        <w:rPr>
          <w:b/>
          <w:bCs/>
          <w:szCs w:val="24"/>
        </w:rPr>
        <w:t>Summary</w:t>
      </w:r>
      <w:r>
        <w:rPr>
          <w:b/>
          <w:bCs/>
          <w:szCs w:val="24"/>
        </w:rPr>
        <w:tab/>
      </w:r>
    </w:p>
    <w:p w:rsidR="00B1718F" w:rsidRDefault="00B1718F" w:rsidP="00B1718F">
      <w:pPr>
        <w:rPr>
          <w:szCs w:val="24"/>
        </w:rPr>
      </w:pPr>
      <w:r>
        <w:rPr>
          <w:szCs w:val="24"/>
        </w:rPr>
        <w:t xml:space="preserve">This is the progress report of the activities of the ITU-T Focus Group Digital Currency including Digital Fiat Currency (FG DFC). </w:t>
      </w:r>
    </w:p>
    <w:p w:rsidR="00B1718F" w:rsidRDefault="00B1718F" w:rsidP="00B1718F">
      <w:pPr>
        <w:rPr>
          <w:b/>
          <w:bCs/>
          <w:szCs w:val="24"/>
        </w:rPr>
      </w:pPr>
      <w:r>
        <w:rPr>
          <w:b/>
          <w:bCs/>
          <w:szCs w:val="24"/>
        </w:rPr>
        <w:t>Action required:</w:t>
      </w:r>
    </w:p>
    <w:p w:rsidR="00B1718F" w:rsidRDefault="00B1718F" w:rsidP="00B1718F">
      <w:pPr>
        <w:rPr>
          <w:szCs w:val="24"/>
        </w:rPr>
      </w:pPr>
      <w:r>
        <w:rPr>
          <w:szCs w:val="24"/>
        </w:rPr>
        <w:t xml:space="preserve">TSAG </w:t>
      </w:r>
      <w:proofErr w:type="gramStart"/>
      <w:r>
        <w:rPr>
          <w:szCs w:val="24"/>
        </w:rPr>
        <w:t>is invited</w:t>
      </w:r>
      <w:proofErr w:type="gramEnd"/>
      <w:r>
        <w:rPr>
          <w:szCs w:val="24"/>
        </w:rPr>
        <w:t xml:space="preserve"> to note the document.</w:t>
      </w:r>
    </w:p>
    <w:p w:rsidR="00B1718F" w:rsidRDefault="00B1718F" w:rsidP="00B1718F">
      <w:pPr>
        <w:pStyle w:val="Heading1"/>
        <w:rPr>
          <w:rFonts w:eastAsia="MS Mincho"/>
          <w:szCs w:val="24"/>
        </w:rPr>
      </w:pPr>
      <w:r>
        <w:rPr>
          <w:rFonts w:eastAsia="MS Mincho"/>
          <w:szCs w:val="24"/>
        </w:rPr>
        <w:t>Introduction</w:t>
      </w:r>
    </w:p>
    <w:p w:rsidR="00B1718F" w:rsidRDefault="00B1718F" w:rsidP="00B1718F">
      <w:pPr>
        <w:jc w:val="both"/>
        <w:rPr>
          <w:szCs w:val="24"/>
        </w:rPr>
      </w:pPr>
      <w:r>
        <w:rPr>
          <w:szCs w:val="24"/>
        </w:rPr>
        <w:t xml:space="preserve">The </w:t>
      </w:r>
      <w:hyperlink r:id="rId9" w:history="1">
        <w:r w:rsidRPr="00111723">
          <w:rPr>
            <w:rStyle w:val="Hyperlink"/>
            <w:szCs w:val="24"/>
          </w:rPr>
          <w:t>Focus Group Digital Currency including Digital Fiat Currency</w:t>
        </w:r>
      </w:hyperlink>
      <w:r>
        <w:rPr>
          <w:szCs w:val="24"/>
        </w:rPr>
        <w:t xml:space="preserve"> (FG DFC) </w:t>
      </w:r>
      <w:proofErr w:type="gramStart"/>
      <w:r>
        <w:rPr>
          <w:szCs w:val="24"/>
        </w:rPr>
        <w:t>was established</w:t>
      </w:r>
      <w:proofErr w:type="gramEnd"/>
      <w:r>
        <w:rPr>
          <w:szCs w:val="24"/>
        </w:rPr>
        <w:t xml:space="preserve"> by TSAG at its meeting of May 2017. The Focus Group has a duration of two years. </w:t>
      </w:r>
    </w:p>
    <w:p w:rsidR="00B1718F" w:rsidRDefault="00B1718F" w:rsidP="00B1718F">
      <w:pPr>
        <w:tabs>
          <w:tab w:val="clear" w:pos="794"/>
          <w:tab w:val="clear" w:pos="1191"/>
          <w:tab w:val="clear" w:pos="1588"/>
          <w:tab w:val="clear" w:pos="1985"/>
        </w:tabs>
        <w:overflowPunct/>
        <w:autoSpaceDE/>
        <w:autoSpaceDN/>
        <w:adjustRightInd/>
        <w:spacing w:before="0"/>
        <w:rPr>
          <w:rFonts w:ascii="Arial" w:eastAsia="Times New Roman" w:hAnsi="Arial" w:cs="Arial"/>
          <w:color w:val="444444"/>
          <w:sz w:val="18"/>
          <w:szCs w:val="18"/>
          <w:shd w:val="clear" w:color="auto" w:fill="FFFFFF"/>
          <w:lang w:val="en-US" w:eastAsia="zh-CN"/>
        </w:rPr>
      </w:pPr>
    </w:p>
    <w:p w:rsidR="00B1718F" w:rsidRPr="00B1718F" w:rsidRDefault="00B1718F" w:rsidP="00B1718F">
      <w:pPr>
        <w:tabs>
          <w:tab w:val="clear" w:pos="794"/>
          <w:tab w:val="clear" w:pos="1191"/>
          <w:tab w:val="clear" w:pos="1588"/>
          <w:tab w:val="clear" w:pos="1985"/>
        </w:tabs>
        <w:overflowPunct/>
        <w:autoSpaceDE/>
        <w:autoSpaceDN/>
        <w:adjustRightInd/>
        <w:spacing w:before="0"/>
        <w:rPr>
          <w:rFonts w:eastAsia="Times New Roman"/>
          <w:szCs w:val="24"/>
          <w:lang w:val="en-US" w:eastAsia="zh-CN"/>
        </w:rPr>
      </w:pPr>
      <w:r w:rsidRPr="00B1718F">
        <w:rPr>
          <w:rFonts w:eastAsia="Times New Roman"/>
          <w:szCs w:val="24"/>
          <w:shd w:val="clear" w:color="auto" w:fill="FFFFFF"/>
          <w:lang w:val="en-US" w:eastAsia="zh-CN"/>
        </w:rPr>
        <w:t>The main objectives of the Focus Group are:</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Study the economic benefit and impact of introducing DFC over mobile money;</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Investigate the ecosystem of digital fiat currency implementation for financial inclusion;</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Map the functional network reference architecture and process components required to implement digital fiat currency and integration with existing payment systems for interoperability;</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Identify use cases, requirements and applications of digital fiat currency;</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Develop better understanding of the security, regulatory implications, consumer protection, fraud prevention and counterfeiting issues of DFS and how can digital fiat currency can address these concerns;</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t>Identify critical sovereign security, transparency and verifiability of DFC technology and provide guidelines towards the escrow of critical software and hardware components to ensure trust and verifiability; and</w:t>
      </w:r>
    </w:p>
    <w:p w:rsidR="00B1718F" w:rsidRPr="00035C29" w:rsidRDefault="00B1718F" w:rsidP="00B1718F">
      <w:pPr>
        <w:pStyle w:val="ListParagraph"/>
        <w:numPr>
          <w:ilvl w:val="0"/>
          <w:numId w:val="6"/>
        </w:numPr>
        <w:shd w:val="clear" w:color="auto" w:fill="FFFFFF"/>
        <w:tabs>
          <w:tab w:val="clear" w:pos="794"/>
          <w:tab w:val="clear" w:pos="1191"/>
          <w:tab w:val="clear" w:pos="1588"/>
          <w:tab w:val="clear" w:pos="1985"/>
        </w:tabs>
        <w:overflowPunct/>
        <w:autoSpaceDE/>
        <w:autoSpaceDN/>
        <w:adjustRightInd/>
        <w:spacing w:before="0" w:after="120"/>
        <w:ind w:left="714" w:hanging="357"/>
        <w:textAlignment w:val="baseline"/>
        <w:rPr>
          <w:rFonts w:eastAsia="Times New Roman"/>
          <w:szCs w:val="24"/>
          <w:lang w:val="en-US" w:eastAsia="zh-CN"/>
        </w:rPr>
      </w:pPr>
      <w:r w:rsidRPr="00035C29">
        <w:rPr>
          <w:rFonts w:eastAsia="Times New Roman"/>
          <w:szCs w:val="24"/>
          <w:lang w:val="en-US" w:eastAsia="zh-CN"/>
        </w:rPr>
        <w:lastRenderedPageBreak/>
        <w:t>Identify new areas for standardization in ITU-T study groups.</w:t>
      </w:r>
    </w:p>
    <w:p w:rsidR="00B1718F" w:rsidRDefault="00B1718F" w:rsidP="00B1718F">
      <w:pPr>
        <w:pStyle w:val="Heading1"/>
        <w:tabs>
          <w:tab w:val="clear" w:pos="794"/>
          <w:tab w:val="left" w:pos="426"/>
        </w:tabs>
        <w:rPr>
          <w:rFonts w:eastAsia="MS Mincho"/>
          <w:szCs w:val="24"/>
        </w:rPr>
      </w:pPr>
      <w:r>
        <w:rPr>
          <w:rFonts w:eastAsia="MS Mincho"/>
          <w:szCs w:val="24"/>
        </w:rPr>
        <w:t>Meetings and Working Groups</w:t>
      </w:r>
    </w:p>
    <w:p w:rsidR="00B1718F" w:rsidRDefault="00B1718F" w:rsidP="00B1718F">
      <w:pPr>
        <w:spacing w:before="0"/>
        <w:ind w:left="-6" w:right="85"/>
        <w:jc w:val="both"/>
        <w:rPr>
          <w:szCs w:val="24"/>
        </w:rPr>
      </w:pPr>
    </w:p>
    <w:p w:rsidR="00B1718F" w:rsidRDefault="00B1718F" w:rsidP="00B1718F">
      <w:pPr>
        <w:rPr>
          <w:szCs w:val="24"/>
        </w:rPr>
      </w:pPr>
      <w:r>
        <w:rPr>
          <w:szCs w:val="24"/>
        </w:rPr>
        <w:t xml:space="preserve">Since its establishment, the Focus Group has met once on 12-13 October 2017 in Beijing, China. Some 106 participants from 25 countries (10 developing countries) attended the meeting. A workshop on Standards for Digital Fiat Currency for Universal Financial Access </w:t>
      </w:r>
      <w:proofErr w:type="gramStart"/>
      <w:r>
        <w:rPr>
          <w:szCs w:val="24"/>
        </w:rPr>
        <w:t>was held</w:t>
      </w:r>
      <w:proofErr w:type="gramEnd"/>
      <w:r>
        <w:rPr>
          <w:szCs w:val="24"/>
        </w:rPr>
        <w:t xml:space="preserve"> on 12</w:t>
      </w:r>
      <w:r w:rsidRPr="00B1718F">
        <w:rPr>
          <w:szCs w:val="24"/>
          <w:vertAlign w:val="superscript"/>
        </w:rPr>
        <w:t>th</w:t>
      </w:r>
      <w:r>
        <w:rPr>
          <w:szCs w:val="24"/>
        </w:rPr>
        <w:t xml:space="preserve"> October 2017 preceding the first meeting.</w:t>
      </w:r>
      <w:r w:rsidRPr="00B1718F">
        <w:rPr>
          <w:szCs w:val="24"/>
        </w:rPr>
        <w:t xml:space="preserve"> </w:t>
      </w:r>
      <w:r>
        <w:rPr>
          <w:szCs w:val="24"/>
        </w:rPr>
        <w:t xml:space="preserve">The presentations made at the workshop </w:t>
      </w:r>
      <w:proofErr w:type="gramStart"/>
      <w:r>
        <w:rPr>
          <w:szCs w:val="24"/>
        </w:rPr>
        <w:t>can be accessed</w:t>
      </w:r>
      <w:proofErr w:type="gramEnd"/>
      <w:r>
        <w:rPr>
          <w:szCs w:val="24"/>
        </w:rPr>
        <w:t xml:space="preserve"> here: </w:t>
      </w:r>
      <w:hyperlink r:id="rId10" w:history="1">
        <w:r w:rsidRPr="00324FC0">
          <w:rPr>
            <w:rStyle w:val="Hyperlink"/>
          </w:rPr>
          <w:t>https://www.itu.int/en/ITU-T/Workshops-and-Seminars/dfc/201710/Pages/default.aspx</w:t>
        </w:r>
      </w:hyperlink>
      <w:r>
        <w:t xml:space="preserve">. </w:t>
      </w:r>
      <w:r>
        <w:rPr>
          <w:szCs w:val="24"/>
        </w:rPr>
        <w:t xml:space="preserve"> </w:t>
      </w:r>
    </w:p>
    <w:p w:rsidR="002F3DE6" w:rsidRDefault="00B1718F" w:rsidP="002F3DE6">
      <w:pPr>
        <w:rPr>
          <w:szCs w:val="24"/>
        </w:rPr>
      </w:pPr>
      <w:r>
        <w:rPr>
          <w:szCs w:val="24"/>
        </w:rPr>
        <w:t xml:space="preserve">The notes of meeting of the first meeting and the list of participants who attended the meeting </w:t>
      </w:r>
      <w:proofErr w:type="gramStart"/>
      <w:r>
        <w:rPr>
          <w:szCs w:val="24"/>
        </w:rPr>
        <w:t>can be found</w:t>
      </w:r>
      <w:proofErr w:type="gramEnd"/>
      <w:r>
        <w:rPr>
          <w:szCs w:val="24"/>
        </w:rPr>
        <w:t xml:space="preserve"> here: </w:t>
      </w:r>
      <w:hyperlink r:id="rId11" w:history="1">
        <w:r w:rsidRPr="00324FC0">
          <w:rPr>
            <w:rStyle w:val="Hyperlink"/>
            <w:szCs w:val="24"/>
          </w:rPr>
          <w:t>https://extranet.itu.int/sites/itu-t/focusgroups/dfc/SitePages/Home.aspx</w:t>
        </w:r>
      </w:hyperlink>
      <w:r w:rsidR="002F3DE6">
        <w:rPr>
          <w:szCs w:val="24"/>
        </w:rPr>
        <w:t>.</w:t>
      </w:r>
    </w:p>
    <w:p w:rsidR="00311593" w:rsidRDefault="00311593" w:rsidP="00311593">
      <w:pPr>
        <w:spacing w:after="120"/>
        <w:contextualSpacing/>
        <w:jc w:val="both"/>
        <w:rPr>
          <w:rFonts w:eastAsia="Times New Roman"/>
          <w:color w:val="000000"/>
        </w:rPr>
      </w:pPr>
    </w:p>
    <w:p w:rsidR="00311593" w:rsidRDefault="00311593" w:rsidP="00111723">
      <w:pPr>
        <w:spacing w:after="120"/>
        <w:contextualSpacing/>
        <w:jc w:val="both"/>
        <w:rPr>
          <w:rFonts w:eastAsia="Times New Roman"/>
          <w:color w:val="000000"/>
        </w:rPr>
      </w:pPr>
      <w:r>
        <w:rPr>
          <w:rFonts w:eastAsia="Times New Roman"/>
          <w:color w:val="000000"/>
        </w:rPr>
        <w:t xml:space="preserve">The following persons below </w:t>
      </w:r>
      <w:proofErr w:type="gramStart"/>
      <w:r>
        <w:rPr>
          <w:rFonts w:eastAsia="Times New Roman"/>
          <w:color w:val="000000"/>
        </w:rPr>
        <w:t>were appointed</w:t>
      </w:r>
      <w:proofErr w:type="gramEnd"/>
      <w:r>
        <w:rPr>
          <w:rFonts w:eastAsia="Times New Roman"/>
          <w:color w:val="000000"/>
        </w:rPr>
        <w:t xml:space="preserve"> as Vice Chairs </w:t>
      </w:r>
      <w:r w:rsidR="00111723">
        <w:rPr>
          <w:rFonts w:eastAsia="Times New Roman"/>
          <w:color w:val="000000"/>
        </w:rPr>
        <w:t>at</w:t>
      </w:r>
      <w:r>
        <w:rPr>
          <w:rFonts w:eastAsia="Times New Roman"/>
          <w:color w:val="000000"/>
        </w:rPr>
        <w:t xml:space="preserve"> the first meeting:</w:t>
      </w:r>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r>
        <w:rPr>
          <w:rFonts w:eastAsia="Times New Roman"/>
          <w:color w:val="000000"/>
        </w:rPr>
        <w:t>Yao Qian, Digital Finance Institute, People’s Bank of China</w:t>
      </w:r>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proofErr w:type="spellStart"/>
      <w:r>
        <w:rPr>
          <w:rFonts w:eastAsia="Times New Roman"/>
          <w:color w:val="000000"/>
        </w:rPr>
        <w:t>Yury</w:t>
      </w:r>
      <w:proofErr w:type="spellEnd"/>
      <w:r>
        <w:rPr>
          <w:rFonts w:eastAsia="Times New Roman"/>
          <w:color w:val="000000"/>
        </w:rPr>
        <w:t xml:space="preserve"> Grin, </w:t>
      </w:r>
      <w:proofErr w:type="spellStart"/>
      <w:r>
        <w:rPr>
          <w:rFonts w:eastAsia="Times New Roman"/>
          <w:color w:val="000000"/>
        </w:rPr>
        <w:t>Intervale</w:t>
      </w:r>
      <w:proofErr w:type="spellEnd"/>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r>
        <w:rPr>
          <w:rFonts w:eastAsia="Times New Roman"/>
          <w:color w:val="000000"/>
        </w:rPr>
        <w:t>Ahmed Said, NTRA, Egypt</w:t>
      </w:r>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r>
        <w:rPr>
          <w:rFonts w:eastAsia="Times New Roman"/>
          <w:color w:val="000000"/>
        </w:rPr>
        <w:t xml:space="preserve">Sami </w:t>
      </w:r>
      <w:proofErr w:type="spellStart"/>
      <w:r>
        <w:rPr>
          <w:rFonts w:eastAsia="Times New Roman"/>
          <w:color w:val="000000"/>
        </w:rPr>
        <w:t>Trimmech</w:t>
      </w:r>
      <w:proofErr w:type="spellEnd"/>
      <w:r>
        <w:rPr>
          <w:rFonts w:eastAsia="Times New Roman"/>
          <w:color w:val="000000"/>
        </w:rPr>
        <w:t>, Arab ICT Organization</w:t>
      </w:r>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proofErr w:type="spellStart"/>
      <w:r>
        <w:rPr>
          <w:rFonts w:eastAsia="Times New Roman"/>
          <w:color w:val="000000"/>
        </w:rPr>
        <w:t>Prof.</w:t>
      </w:r>
      <w:proofErr w:type="spellEnd"/>
      <w:r>
        <w:rPr>
          <w:rFonts w:eastAsia="Times New Roman"/>
          <w:color w:val="000000"/>
        </w:rPr>
        <w:t xml:space="preserve"> </w:t>
      </w:r>
      <w:proofErr w:type="spellStart"/>
      <w:r>
        <w:rPr>
          <w:rFonts w:eastAsia="Times New Roman"/>
          <w:color w:val="000000"/>
        </w:rPr>
        <w:t>Njunga</w:t>
      </w:r>
      <w:proofErr w:type="spellEnd"/>
      <w:r>
        <w:rPr>
          <w:rFonts w:eastAsia="Times New Roman"/>
          <w:color w:val="000000"/>
        </w:rPr>
        <w:t xml:space="preserve"> </w:t>
      </w:r>
      <w:proofErr w:type="spellStart"/>
      <w:r>
        <w:rPr>
          <w:rFonts w:eastAsia="Times New Roman"/>
          <w:color w:val="000000"/>
        </w:rPr>
        <w:t>Ngundu</w:t>
      </w:r>
      <w:proofErr w:type="spellEnd"/>
      <w:r>
        <w:rPr>
          <w:rFonts w:eastAsia="Times New Roman"/>
          <w:color w:val="000000"/>
        </w:rPr>
        <w:t>, Fo</w:t>
      </w:r>
      <w:r w:rsidR="00111723">
        <w:rPr>
          <w:rFonts w:eastAsia="Times New Roman"/>
          <w:color w:val="000000"/>
        </w:rPr>
        <w:t>rmer Governor of Central Bank</w:t>
      </w:r>
      <w:r>
        <w:rPr>
          <w:rFonts w:eastAsia="Times New Roman"/>
          <w:color w:val="000000"/>
        </w:rPr>
        <w:t xml:space="preserve"> Kenya</w:t>
      </w:r>
    </w:p>
    <w:p w:rsidR="00311593" w:rsidRDefault="00311593" w:rsidP="00311593">
      <w:pPr>
        <w:pStyle w:val="ListParagraph"/>
        <w:numPr>
          <w:ilvl w:val="0"/>
          <w:numId w:val="10"/>
        </w:numPr>
        <w:tabs>
          <w:tab w:val="clear" w:pos="794"/>
          <w:tab w:val="clear" w:pos="1191"/>
          <w:tab w:val="clear" w:pos="1588"/>
          <w:tab w:val="clear" w:pos="1985"/>
        </w:tabs>
        <w:overflowPunct/>
        <w:autoSpaceDE/>
        <w:autoSpaceDN/>
        <w:adjustRightInd/>
        <w:spacing w:before="0" w:after="120" w:line="259" w:lineRule="auto"/>
        <w:jc w:val="both"/>
        <w:rPr>
          <w:rFonts w:eastAsia="Times New Roman"/>
          <w:color w:val="000000"/>
        </w:rPr>
      </w:pPr>
      <w:proofErr w:type="spellStart"/>
      <w:r>
        <w:rPr>
          <w:rFonts w:eastAsia="Times New Roman"/>
          <w:color w:val="000000"/>
        </w:rPr>
        <w:t>Mandar</w:t>
      </w:r>
      <w:proofErr w:type="spellEnd"/>
      <w:r>
        <w:rPr>
          <w:rFonts w:eastAsia="Times New Roman"/>
          <w:color w:val="000000"/>
        </w:rPr>
        <w:t xml:space="preserve"> Deshpande, Ministry of Communications, India</w:t>
      </w:r>
    </w:p>
    <w:p w:rsidR="00B1718F" w:rsidRDefault="00111723" w:rsidP="002F3DE6">
      <w:pPr>
        <w:ind w:left="-6" w:right="85"/>
        <w:rPr>
          <w:szCs w:val="24"/>
          <w:lang w:val="en-US"/>
        </w:rPr>
      </w:pPr>
      <w:r>
        <w:rPr>
          <w:szCs w:val="24"/>
          <w:lang w:val="en-US"/>
        </w:rPr>
        <w:t>T</w:t>
      </w:r>
      <w:r w:rsidR="002F3DE6">
        <w:rPr>
          <w:szCs w:val="24"/>
          <w:lang w:val="en-US"/>
        </w:rPr>
        <w:t>hree</w:t>
      </w:r>
      <w:r w:rsidR="00B1718F">
        <w:rPr>
          <w:szCs w:val="24"/>
          <w:lang w:val="en-US"/>
        </w:rPr>
        <w:t xml:space="preserve"> working groups </w:t>
      </w:r>
      <w:proofErr w:type="gramStart"/>
      <w:r w:rsidR="00B1718F">
        <w:rPr>
          <w:szCs w:val="24"/>
          <w:lang w:val="en-US"/>
        </w:rPr>
        <w:t>were established</w:t>
      </w:r>
      <w:proofErr w:type="gramEnd"/>
      <w:r w:rsidR="00B1718F">
        <w:rPr>
          <w:szCs w:val="24"/>
          <w:lang w:val="en-US"/>
        </w:rPr>
        <w:t xml:space="preserve"> to implement the tasks outlined in the terms of reference:</w:t>
      </w:r>
    </w:p>
    <w:p w:rsidR="00B1718F" w:rsidRDefault="00B1718F" w:rsidP="00B1718F">
      <w:pPr>
        <w:spacing w:before="0"/>
        <w:ind w:left="-6" w:right="85"/>
        <w:rPr>
          <w:szCs w:val="24"/>
          <w:lang w:val="en-US"/>
        </w:rPr>
      </w:pPr>
    </w:p>
    <w:p w:rsidR="00B1718F" w:rsidRDefault="002F3DE6" w:rsidP="00B1718F">
      <w:pPr>
        <w:numPr>
          <w:ilvl w:val="0"/>
          <w:numId w:val="3"/>
        </w:numPr>
        <w:spacing w:before="0"/>
        <w:ind w:right="85"/>
        <w:rPr>
          <w:szCs w:val="24"/>
          <w:lang w:val="en-US"/>
        </w:rPr>
      </w:pPr>
      <w:r>
        <w:rPr>
          <w:szCs w:val="24"/>
          <w:lang w:val="en-US"/>
        </w:rPr>
        <w:t>Regulatory Requirements and Economic Impact</w:t>
      </w:r>
    </w:p>
    <w:p w:rsidR="002F3DE6" w:rsidRDefault="002F3DE6" w:rsidP="008B4488">
      <w:pPr>
        <w:spacing w:after="120"/>
        <w:ind w:left="352" w:right="85"/>
        <w:rPr>
          <w:szCs w:val="24"/>
          <w:lang w:val="en-US"/>
        </w:rPr>
      </w:pPr>
      <w:r>
        <w:rPr>
          <w:szCs w:val="24"/>
          <w:lang w:val="en-US"/>
        </w:rPr>
        <w:t xml:space="preserve">The main activities of this working group </w:t>
      </w:r>
      <w:r w:rsidR="008B4488">
        <w:rPr>
          <w:szCs w:val="24"/>
          <w:lang w:val="en-US"/>
        </w:rPr>
        <w:t>are</w:t>
      </w:r>
      <w:r>
        <w:rPr>
          <w:szCs w:val="24"/>
          <w:lang w:val="en-US"/>
        </w:rPr>
        <w:t>:</w:t>
      </w:r>
    </w:p>
    <w:p w:rsidR="0026062A" w:rsidRPr="002F3DE6" w:rsidRDefault="005D3329" w:rsidP="002F3DE6">
      <w:pPr>
        <w:numPr>
          <w:ilvl w:val="1"/>
          <w:numId w:val="3"/>
        </w:numPr>
        <w:spacing w:before="0"/>
        <w:ind w:right="85"/>
        <w:jc w:val="both"/>
        <w:rPr>
          <w:szCs w:val="24"/>
          <w:lang w:val="en-US"/>
        </w:rPr>
      </w:pPr>
      <w:r w:rsidRPr="002F3DE6">
        <w:rPr>
          <w:szCs w:val="24"/>
          <w:lang w:val="en-US"/>
        </w:rPr>
        <w:t>Create a repository of documentation of the legal, regulatory and policy aspects of Digital Fiat Currency that serves as the governance foundation.</w:t>
      </w:r>
    </w:p>
    <w:p w:rsidR="0026062A" w:rsidRPr="002F3DE6" w:rsidRDefault="005D3329" w:rsidP="002F3DE6">
      <w:pPr>
        <w:numPr>
          <w:ilvl w:val="1"/>
          <w:numId w:val="3"/>
        </w:numPr>
        <w:spacing w:before="0"/>
        <w:ind w:right="85"/>
        <w:jc w:val="both"/>
        <w:rPr>
          <w:szCs w:val="24"/>
          <w:lang w:val="en-US"/>
        </w:rPr>
      </w:pPr>
      <w:r w:rsidRPr="002F3DE6">
        <w:rPr>
          <w:szCs w:val="24"/>
          <w:lang w:val="en-US"/>
        </w:rPr>
        <w:t xml:space="preserve">Perform a gap analysis on the work that </w:t>
      </w:r>
      <w:proofErr w:type="gramStart"/>
      <w:r w:rsidRPr="002F3DE6">
        <w:rPr>
          <w:szCs w:val="24"/>
          <w:lang w:val="en-US"/>
        </w:rPr>
        <w:t>was completed</w:t>
      </w:r>
      <w:proofErr w:type="gramEnd"/>
      <w:r w:rsidRPr="002F3DE6">
        <w:rPr>
          <w:szCs w:val="24"/>
          <w:lang w:val="en-US"/>
        </w:rPr>
        <w:t xml:space="preserve"> on DFS, the ongoing work in ISO and other ongoing work in digital financial services.</w:t>
      </w:r>
    </w:p>
    <w:p w:rsidR="0026062A" w:rsidRPr="002F3DE6" w:rsidRDefault="005D3329" w:rsidP="002F3DE6">
      <w:pPr>
        <w:numPr>
          <w:ilvl w:val="1"/>
          <w:numId w:val="3"/>
        </w:numPr>
        <w:spacing w:before="0"/>
        <w:ind w:right="85"/>
        <w:jc w:val="both"/>
        <w:rPr>
          <w:szCs w:val="24"/>
          <w:lang w:val="en-US"/>
        </w:rPr>
      </w:pPr>
      <w:r w:rsidRPr="002F3DE6">
        <w:rPr>
          <w:szCs w:val="24"/>
          <w:lang w:val="en-US"/>
        </w:rPr>
        <w:t>Investigate current standardization work in digital fiat currency to identify areas which could be standardized in ITU-T</w:t>
      </w:r>
    </w:p>
    <w:p w:rsidR="00B1718F" w:rsidRPr="008B4488" w:rsidRDefault="00B1718F" w:rsidP="008B4488">
      <w:pPr>
        <w:spacing w:before="0"/>
        <w:ind w:left="794" w:right="85"/>
        <w:jc w:val="both"/>
      </w:pPr>
      <w:r>
        <w:t xml:space="preserve">   </w:t>
      </w:r>
    </w:p>
    <w:p w:rsidR="00B1718F" w:rsidRDefault="002F3DE6" w:rsidP="00B1718F">
      <w:pPr>
        <w:numPr>
          <w:ilvl w:val="0"/>
          <w:numId w:val="3"/>
        </w:numPr>
        <w:spacing w:before="0"/>
        <w:ind w:right="85"/>
        <w:rPr>
          <w:szCs w:val="24"/>
          <w:lang w:val="en-US"/>
        </w:rPr>
      </w:pPr>
      <w:r>
        <w:rPr>
          <w:szCs w:val="24"/>
          <w:lang w:val="en-US"/>
        </w:rPr>
        <w:t>Ecosystem and Reference Architecture</w:t>
      </w:r>
    </w:p>
    <w:p w:rsidR="002F3DE6" w:rsidRDefault="002F3DE6" w:rsidP="008B4488">
      <w:pPr>
        <w:spacing w:after="120"/>
        <w:ind w:left="352" w:right="85"/>
        <w:rPr>
          <w:szCs w:val="24"/>
          <w:lang w:val="en-US"/>
        </w:rPr>
      </w:pPr>
      <w:r>
        <w:rPr>
          <w:szCs w:val="24"/>
          <w:lang w:val="en-US"/>
        </w:rPr>
        <w:t xml:space="preserve">The main activities of this working group </w:t>
      </w:r>
      <w:r w:rsidR="008B4488">
        <w:rPr>
          <w:szCs w:val="24"/>
          <w:lang w:val="en-US"/>
        </w:rPr>
        <w:t>are</w:t>
      </w:r>
      <w:r>
        <w:rPr>
          <w:szCs w:val="24"/>
          <w:lang w:val="en-US"/>
        </w:rPr>
        <w:t>:</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 xml:space="preserve">Investigate use cases of architecture and ICT infrastructure used for implementation of digital fiat currency;  </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Collect and document information on current initiatives from the stakeholders involved in digital fiat currency.</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Collect best practices and lessons learned from existing efforts in achieving interoperability among different payment systems by the integration of traditional payment systems with digital fiat currency.</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Perform a gap analysis between the existing ICT infrastructure services and what is required by a seamless interoperable DFC solution</w:t>
      </w:r>
    </w:p>
    <w:p w:rsidR="00BD5F84" w:rsidRDefault="005D3329" w:rsidP="008B4488">
      <w:pPr>
        <w:numPr>
          <w:ilvl w:val="1"/>
          <w:numId w:val="3"/>
        </w:numPr>
        <w:tabs>
          <w:tab w:val="num" w:pos="720"/>
        </w:tabs>
        <w:spacing w:before="0"/>
        <w:ind w:right="85"/>
        <w:jc w:val="both"/>
        <w:rPr>
          <w:szCs w:val="24"/>
          <w:lang w:val="en-US"/>
        </w:rPr>
      </w:pPr>
      <w:r w:rsidRPr="008B4488">
        <w:rPr>
          <w:szCs w:val="24"/>
          <w:lang w:val="en-US"/>
        </w:rPr>
        <w:t>Investigate current standardization work in digital fiat currency to identify areas which could be standardized in ITU-T</w:t>
      </w:r>
    </w:p>
    <w:p w:rsidR="00B1718F" w:rsidRDefault="002F3DE6" w:rsidP="00B1718F">
      <w:pPr>
        <w:numPr>
          <w:ilvl w:val="0"/>
          <w:numId w:val="3"/>
        </w:numPr>
        <w:spacing w:before="0"/>
        <w:ind w:right="85"/>
        <w:rPr>
          <w:szCs w:val="24"/>
          <w:lang w:val="en-US"/>
        </w:rPr>
      </w:pPr>
      <w:r>
        <w:rPr>
          <w:szCs w:val="24"/>
          <w:lang w:val="en-US"/>
        </w:rPr>
        <w:lastRenderedPageBreak/>
        <w:t xml:space="preserve">Security </w:t>
      </w:r>
    </w:p>
    <w:p w:rsidR="008B4488" w:rsidRDefault="008B4488" w:rsidP="008B4488">
      <w:pPr>
        <w:spacing w:after="120"/>
        <w:ind w:left="352" w:right="85"/>
        <w:rPr>
          <w:szCs w:val="24"/>
          <w:lang w:val="en-US"/>
        </w:rPr>
      </w:pPr>
      <w:r>
        <w:rPr>
          <w:szCs w:val="24"/>
          <w:lang w:val="en-US"/>
        </w:rPr>
        <w:t>The main activities of this working group are:</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Undertake an assessment of current security standards and best practices from other standards bodies and industry consortia that are applicable to the different components of an ICT infrastructure using digital fiat currency.</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Undertake an assessment of the benefits and lessons learned of implementations of existing digital fiat currency technology, focusing on the impact of digital fiat currency on enhancing security and interoperability in digital financial services to advance financial inclusion.</w:t>
      </w:r>
    </w:p>
    <w:p w:rsidR="008B4488" w:rsidRPr="008B4488" w:rsidRDefault="008B4488" w:rsidP="008B4488">
      <w:pPr>
        <w:numPr>
          <w:ilvl w:val="1"/>
          <w:numId w:val="3"/>
        </w:numPr>
        <w:tabs>
          <w:tab w:val="num" w:pos="720"/>
        </w:tabs>
        <w:spacing w:before="0"/>
        <w:ind w:right="85"/>
        <w:jc w:val="both"/>
        <w:rPr>
          <w:szCs w:val="24"/>
          <w:lang w:val="en-US"/>
        </w:rPr>
      </w:pPr>
      <w:r w:rsidRPr="008B4488">
        <w:rPr>
          <w:szCs w:val="24"/>
          <w:lang w:val="en-US"/>
        </w:rPr>
        <w:t>Develop the security architecture and governance framework for digital fiat currency</w:t>
      </w:r>
    </w:p>
    <w:p w:rsidR="0026062A" w:rsidRPr="008B4488" w:rsidRDefault="005D3329" w:rsidP="008B4488">
      <w:pPr>
        <w:numPr>
          <w:ilvl w:val="1"/>
          <w:numId w:val="3"/>
        </w:numPr>
        <w:tabs>
          <w:tab w:val="num" w:pos="720"/>
        </w:tabs>
        <w:spacing w:before="0"/>
        <w:ind w:right="85"/>
        <w:jc w:val="both"/>
        <w:rPr>
          <w:szCs w:val="24"/>
          <w:lang w:val="en-US"/>
        </w:rPr>
      </w:pPr>
      <w:r w:rsidRPr="008B4488">
        <w:rPr>
          <w:szCs w:val="24"/>
          <w:lang w:val="en-US"/>
        </w:rPr>
        <w:t>Investigate current standardization work in digital fiat currency to identify areas which could be standardized in ITU-T</w:t>
      </w:r>
    </w:p>
    <w:p w:rsidR="00B1718F" w:rsidRDefault="00B1718F" w:rsidP="008B4488">
      <w:pPr>
        <w:ind w:right="85"/>
      </w:pPr>
      <w:r>
        <w:t xml:space="preserve">Each working group has held </w:t>
      </w:r>
      <w:r w:rsidR="002F3DE6">
        <w:t xml:space="preserve">two </w:t>
      </w:r>
      <w:proofErr w:type="spellStart"/>
      <w:r w:rsidR="002F3DE6">
        <w:t>e-</w:t>
      </w:r>
      <w:r>
        <w:t>meetings</w:t>
      </w:r>
      <w:proofErr w:type="spellEnd"/>
      <w:r>
        <w:t xml:space="preserve"> electronically since the first meeting in order to advance the work on the tasks. </w:t>
      </w:r>
    </w:p>
    <w:p w:rsidR="00E075F1" w:rsidRDefault="00E075F1" w:rsidP="005D3329">
      <w:pPr>
        <w:ind w:right="85"/>
      </w:pPr>
      <w:r>
        <w:t>The Focus Group has also sent liaison to ISO TC68 SC2, ISO TC68 SC</w:t>
      </w:r>
      <w:r w:rsidR="005D3329">
        <w:t>7</w:t>
      </w:r>
      <w:r>
        <w:t xml:space="preserve"> and ISO TC307 to participate in its work. </w:t>
      </w:r>
    </w:p>
    <w:p w:rsidR="00B1718F" w:rsidRDefault="002F3DE6" w:rsidP="00B1718F">
      <w:pPr>
        <w:pStyle w:val="Heading1"/>
        <w:tabs>
          <w:tab w:val="clear" w:pos="794"/>
          <w:tab w:val="left" w:pos="426"/>
        </w:tabs>
        <w:rPr>
          <w:rFonts w:eastAsia="MS Mincho"/>
          <w:szCs w:val="24"/>
        </w:rPr>
      </w:pPr>
      <w:r>
        <w:rPr>
          <w:rFonts w:eastAsia="MS Mincho"/>
          <w:szCs w:val="24"/>
        </w:rPr>
        <w:t>Next meeting</w:t>
      </w:r>
    </w:p>
    <w:p w:rsidR="00B1718F" w:rsidRDefault="00B1718F" w:rsidP="00B1718F">
      <w:pPr>
        <w:spacing w:before="0"/>
        <w:jc w:val="both"/>
        <w:rPr>
          <w:szCs w:val="24"/>
        </w:rPr>
      </w:pPr>
    </w:p>
    <w:p w:rsidR="00B1718F" w:rsidRDefault="00B1718F" w:rsidP="00111723">
      <w:pPr>
        <w:spacing w:before="0"/>
        <w:jc w:val="both"/>
        <w:rPr>
          <w:szCs w:val="24"/>
        </w:rPr>
      </w:pPr>
      <w:r>
        <w:rPr>
          <w:szCs w:val="24"/>
        </w:rPr>
        <w:t xml:space="preserve">The </w:t>
      </w:r>
      <w:proofErr w:type="gramStart"/>
      <w:r w:rsidR="002F3DE6">
        <w:rPr>
          <w:szCs w:val="24"/>
        </w:rPr>
        <w:t>2</w:t>
      </w:r>
      <w:r w:rsidR="002F3DE6" w:rsidRPr="002F3DE6">
        <w:rPr>
          <w:szCs w:val="24"/>
          <w:vertAlign w:val="superscript"/>
        </w:rPr>
        <w:t>nd</w:t>
      </w:r>
      <w:proofErr w:type="gramEnd"/>
      <w:r w:rsidR="002F3DE6">
        <w:rPr>
          <w:szCs w:val="24"/>
        </w:rPr>
        <w:t xml:space="preserve"> FG DFC Meeting is planned on 2</w:t>
      </w:r>
      <w:r w:rsidR="002F3DE6" w:rsidRPr="002F3DE6">
        <w:rPr>
          <w:szCs w:val="24"/>
          <w:vertAlign w:val="superscript"/>
        </w:rPr>
        <w:t>nd</w:t>
      </w:r>
      <w:r w:rsidR="002F3DE6">
        <w:rPr>
          <w:szCs w:val="24"/>
        </w:rPr>
        <w:t xml:space="preserve"> week July 2018, USA. Between</w:t>
      </w:r>
      <w:r w:rsidR="00216DE5">
        <w:rPr>
          <w:szCs w:val="24"/>
        </w:rPr>
        <w:t xml:space="preserve"> now</w:t>
      </w:r>
      <w:r w:rsidR="002F3DE6">
        <w:rPr>
          <w:szCs w:val="24"/>
        </w:rPr>
        <w:t xml:space="preserve"> and the next meeting of the Focus Group, </w:t>
      </w:r>
      <w:proofErr w:type="spellStart"/>
      <w:r w:rsidR="002F3DE6">
        <w:rPr>
          <w:szCs w:val="24"/>
        </w:rPr>
        <w:t>e-meetings</w:t>
      </w:r>
      <w:proofErr w:type="spellEnd"/>
      <w:r w:rsidR="002F3DE6">
        <w:rPr>
          <w:szCs w:val="24"/>
        </w:rPr>
        <w:t xml:space="preserve"> of the working groups are planned each month to advance the work on the deliverables.</w:t>
      </w:r>
    </w:p>
    <w:p w:rsidR="001224A7" w:rsidRDefault="001224A7" w:rsidP="00111723">
      <w:pPr>
        <w:spacing w:before="0"/>
        <w:jc w:val="both"/>
        <w:rPr>
          <w:szCs w:val="24"/>
        </w:rPr>
      </w:pPr>
    </w:p>
    <w:p w:rsidR="001224A7" w:rsidRPr="00111723" w:rsidRDefault="001224A7" w:rsidP="001224A7">
      <w:pPr>
        <w:spacing w:before="0"/>
        <w:jc w:val="center"/>
        <w:rPr>
          <w:szCs w:val="24"/>
        </w:rPr>
      </w:pPr>
      <w:r>
        <w:rPr>
          <w:szCs w:val="24"/>
        </w:rPr>
        <w:t>___________________</w:t>
      </w:r>
    </w:p>
    <w:sectPr w:rsidR="001224A7" w:rsidRPr="00111723" w:rsidSect="001224A7">
      <w:headerReference w:type="default" r:id="rId12"/>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A7" w:rsidRDefault="002427A7" w:rsidP="001224A7">
      <w:pPr>
        <w:spacing w:before="0"/>
      </w:pPr>
      <w:r>
        <w:separator/>
      </w:r>
    </w:p>
  </w:endnote>
  <w:endnote w:type="continuationSeparator" w:id="0">
    <w:p w:rsidR="002427A7" w:rsidRDefault="002427A7" w:rsidP="001224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A7" w:rsidRDefault="002427A7" w:rsidP="001224A7">
      <w:pPr>
        <w:spacing w:before="0"/>
      </w:pPr>
      <w:r>
        <w:separator/>
      </w:r>
    </w:p>
  </w:footnote>
  <w:footnote w:type="continuationSeparator" w:id="0">
    <w:p w:rsidR="002427A7" w:rsidRDefault="002427A7" w:rsidP="001224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01737"/>
      <w:docPartObj>
        <w:docPartGallery w:val="Page Numbers (Top of Page)"/>
        <w:docPartUnique/>
      </w:docPartObj>
    </w:sdtPr>
    <w:sdtEndPr>
      <w:rPr>
        <w:noProof/>
        <w:sz w:val="18"/>
        <w:szCs w:val="18"/>
      </w:rPr>
    </w:sdtEndPr>
    <w:sdtContent>
      <w:p w:rsidR="001224A7" w:rsidRPr="001224A7" w:rsidRDefault="001224A7">
        <w:pPr>
          <w:pStyle w:val="Header"/>
          <w:jc w:val="center"/>
          <w:rPr>
            <w:sz w:val="18"/>
            <w:szCs w:val="18"/>
          </w:rPr>
        </w:pPr>
        <w:r w:rsidRPr="001224A7">
          <w:rPr>
            <w:sz w:val="18"/>
            <w:szCs w:val="18"/>
          </w:rPr>
          <w:fldChar w:fldCharType="begin"/>
        </w:r>
        <w:r w:rsidRPr="001224A7">
          <w:rPr>
            <w:sz w:val="18"/>
            <w:szCs w:val="18"/>
          </w:rPr>
          <w:instrText xml:space="preserve"> PAGE   \* MERGEFORMAT </w:instrText>
        </w:r>
        <w:r w:rsidRPr="001224A7">
          <w:rPr>
            <w:sz w:val="18"/>
            <w:szCs w:val="18"/>
          </w:rPr>
          <w:fldChar w:fldCharType="separate"/>
        </w:r>
        <w:r w:rsidR="00155F77">
          <w:rPr>
            <w:noProof/>
            <w:sz w:val="18"/>
            <w:szCs w:val="18"/>
          </w:rPr>
          <w:t>- 3 -</w:t>
        </w:r>
        <w:r w:rsidRPr="001224A7">
          <w:rPr>
            <w:noProof/>
            <w:sz w:val="18"/>
            <w:szCs w:val="18"/>
          </w:rPr>
          <w:fldChar w:fldCharType="end"/>
        </w:r>
        <w:r>
          <w:rPr>
            <w:noProof/>
            <w:sz w:val="18"/>
            <w:szCs w:val="18"/>
          </w:rPr>
          <w:br/>
          <w:t>TD 146</w:t>
        </w:r>
      </w:p>
    </w:sdtContent>
  </w:sdt>
  <w:p w:rsidR="001224A7" w:rsidRDefault="00122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027F5"/>
    <w:multiLevelType w:val="hybridMultilevel"/>
    <w:tmpl w:val="46AC9906"/>
    <w:lvl w:ilvl="0" w:tplc="0C80F9B8">
      <w:start w:val="1"/>
      <w:numFmt w:val="bullet"/>
      <w:lvlText w:val="•"/>
      <w:lvlJc w:val="left"/>
      <w:pPr>
        <w:tabs>
          <w:tab w:val="num" w:pos="720"/>
        </w:tabs>
        <w:ind w:left="720" w:hanging="360"/>
      </w:pPr>
      <w:rPr>
        <w:rFonts w:ascii="Arial" w:hAnsi="Arial" w:hint="default"/>
      </w:rPr>
    </w:lvl>
    <w:lvl w:ilvl="1" w:tplc="C2C8FEE4" w:tentative="1">
      <w:start w:val="1"/>
      <w:numFmt w:val="bullet"/>
      <w:lvlText w:val="•"/>
      <w:lvlJc w:val="left"/>
      <w:pPr>
        <w:tabs>
          <w:tab w:val="num" w:pos="1440"/>
        </w:tabs>
        <w:ind w:left="1440" w:hanging="360"/>
      </w:pPr>
      <w:rPr>
        <w:rFonts w:ascii="Arial" w:hAnsi="Arial" w:hint="default"/>
      </w:rPr>
    </w:lvl>
    <w:lvl w:ilvl="2" w:tplc="164E31D8" w:tentative="1">
      <w:start w:val="1"/>
      <w:numFmt w:val="bullet"/>
      <w:lvlText w:val="•"/>
      <w:lvlJc w:val="left"/>
      <w:pPr>
        <w:tabs>
          <w:tab w:val="num" w:pos="2160"/>
        </w:tabs>
        <w:ind w:left="2160" w:hanging="360"/>
      </w:pPr>
      <w:rPr>
        <w:rFonts w:ascii="Arial" w:hAnsi="Arial" w:hint="default"/>
      </w:rPr>
    </w:lvl>
    <w:lvl w:ilvl="3" w:tplc="97E0DA72" w:tentative="1">
      <w:start w:val="1"/>
      <w:numFmt w:val="bullet"/>
      <w:lvlText w:val="•"/>
      <w:lvlJc w:val="left"/>
      <w:pPr>
        <w:tabs>
          <w:tab w:val="num" w:pos="2880"/>
        </w:tabs>
        <w:ind w:left="2880" w:hanging="360"/>
      </w:pPr>
      <w:rPr>
        <w:rFonts w:ascii="Arial" w:hAnsi="Arial" w:hint="default"/>
      </w:rPr>
    </w:lvl>
    <w:lvl w:ilvl="4" w:tplc="D0C6BBA2" w:tentative="1">
      <w:start w:val="1"/>
      <w:numFmt w:val="bullet"/>
      <w:lvlText w:val="•"/>
      <w:lvlJc w:val="left"/>
      <w:pPr>
        <w:tabs>
          <w:tab w:val="num" w:pos="3600"/>
        </w:tabs>
        <w:ind w:left="3600" w:hanging="360"/>
      </w:pPr>
      <w:rPr>
        <w:rFonts w:ascii="Arial" w:hAnsi="Arial" w:hint="default"/>
      </w:rPr>
    </w:lvl>
    <w:lvl w:ilvl="5" w:tplc="B0FEA636" w:tentative="1">
      <w:start w:val="1"/>
      <w:numFmt w:val="bullet"/>
      <w:lvlText w:val="•"/>
      <w:lvlJc w:val="left"/>
      <w:pPr>
        <w:tabs>
          <w:tab w:val="num" w:pos="4320"/>
        </w:tabs>
        <w:ind w:left="4320" w:hanging="360"/>
      </w:pPr>
      <w:rPr>
        <w:rFonts w:ascii="Arial" w:hAnsi="Arial" w:hint="default"/>
      </w:rPr>
    </w:lvl>
    <w:lvl w:ilvl="6" w:tplc="F034BE18" w:tentative="1">
      <w:start w:val="1"/>
      <w:numFmt w:val="bullet"/>
      <w:lvlText w:val="•"/>
      <w:lvlJc w:val="left"/>
      <w:pPr>
        <w:tabs>
          <w:tab w:val="num" w:pos="5040"/>
        </w:tabs>
        <w:ind w:left="5040" w:hanging="360"/>
      </w:pPr>
      <w:rPr>
        <w:rFonts w:ascii="Arial" w:hAnsi="Arial" w:hint="default"/>
      </w:rPr>
    </w:lvl>
    <w:lvl w:ilvl="7" w:tplc="19E49162" w:tentative="1">
      <w:start w:val="1"/>
      <w:numFmt w:val="bullet"/>
      <w:lvlText w:val="•"/>
      <w:lvlJc w:val="left"/>
      <w:pPr>
        <w:tabs>
          <w:tab w:val="num" w:pos="5760"/>
        </w:tabs>
        <w:ind w:left="5760" w:hanging="360"/>
      </w:pPr>
      <w:rPr>
        <w:rFonts w:ascii="Arial" w:hAnsi="Arial" w:hint="default"/>
      </w:rPr>
    </w:lvl>
    <w:lvl w:ilvl="8" w:tplc="03868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042B48"/>
    <w:multiLevelType w:val="hybridMultilevel"/>
    <w:tmpl w:val="551E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060523"/>
    <w:multiLevelType w:val="hybridMultilevel"/>
    <w:tmpl w:val="8CC261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DD04DBE"/>
    <w:multiLevelType w:val="hybridMultilevel"/>
    <w:tmpl w:val="8D9E6DCC"/>
    <w:lvl w:ilvl="0" w:tplc="BD20248A">
      <w:start w:val="1"/>
      <w:numFmt w:val="bullet"/>
      <w:lvlText w:val="•"/>
      <w:lvlJc w:val="left"/>
      <w:pPr>
        <w:tabs>
          <w:tab w:val="num" w:pos="720"/>
        </w:tabs>
        <w:ind w:left="720" w:hanging="360"/>
      </w:pPr>
      <w:rPr>
        <w:rFonts w:ascii="Arial" w:hAnsi="Arial" w:hint="default"/>
      </w:rPr>
    </w:lvl>
    <w:lvl w:ilvl="1" w:tplc="3E40922A" w:tentative="1">
      <w:start w:val="1"/>
      <w:numFmt w:val="bullet"/>
      <w:lvlText w:val="•"/>
      <w:lvlJc w:val="left"/>
      <w:pPr>
        <w:tabs>
          <w:tab w:val="num" w:pos="1440"/>
        </w:tabs>
        <w:ind w:left="1440" w:hanging="360"/>
      </w:pPr>
      <w:rPr>
        <w:rFonts w:ascii="Arial" w:hAnsi="Arial" w:hint="default"/>
      </w:rPr>
    </w:lvl>
    <w:lvl w:ilvl="2" w:tplc="D49AAB16" w:tentative="1">
      <w:start w:val="1"/>
      <w:numFmt w:val="bullet"/>
      <w:lvlText w:val="•"/>
      <w:lvlJc w:val="left"/>
      <w:pPr>
        <w:tabs>
          <w:tab w:val="num" w:pos="2160"/>
        </w:tabs>
        <w:ind w:left="2160" w:hanging="360"/>
      </w:pPr>
      <w:rPr>
        <w:rFonts w:ascii="Arial" w:hAnsi="Arial" w:hint="default"/>
      </w:rPr>
    </w:lvl>
    <w:lvl w:ilvl="3" w:tplc="FC480D64" w:tentative="1">
      <w:start w:val="1"/>
      <w:numFmt w:val="bullet"/>
      <w:lvlText w:val="•"/>
      <w:lvlJc w:val="left"/>
      <w:pPr>
        <w:tabs>
          <w:tab w:val="num" w:pos="2880"/>
        </w:tabs>
        <w:ind w:left="2880" w:hanging="360"/>
      </w:pPr>
      <w:rPr>
        <w:rFonts w:ascii="Arial" w:hAnsi="Arial" w:hint="default"/>
      </w:rPr>
    </w:lvl>
    <w:lvl w:ilvl="4" w:tplc="12FCA9C0" w:tentative="1">
      <w:start w:val="1"/>
      <w:numFmt w:val="bullet"/>
      <w:lvlText w:val="•"/>
      <w:lvlJc w:val="left"/>
      <w:pPr>
        <w:tabs>
          <w:tab w:val="num" w:pos="3600"/>
        </w:tabs>
        <w:ind w:left="3600" w:hanging="360"/>
      </w:pPr>
      <w:rPr>
        <w:rFonts w:ascii="Arial" w:hAnsi="Arial" w:hint="default"/>
      </w:rPr>
    </w:lvl>
    <w:lvl w:ilvl="5" w:tplc="C3EA9754" w:tentative="1">
      <w:start w:val="1"/>
      <w:numFmt w:val="bullet"/>
      <w:lvlText w:val="•"/>
      <w:lvlJc w:val="left"/>
      <w:pPr>
        <w:tabs>
          <w:tab w:val="num" w:pos="4320"/>
        </w:tabs>
        <w:ind w:left="4320" w:hanging="360"/>
      </w:pPr>
      <w:rPr>
        <w:rFonts w:ascii="Arial" w:hAnsi="Arial" w:hint="default"/>
      </w:rPr>
    </w:lvl>
    <w:lvl w:ilvl="6" w:tplc="08B0A53A" w:tentative="1">
      <w:start w:val="1"/>
      <w:numFmt w:val="bullet"/>
      <w:lvlText w:val="•"/>
      <w:lvlJc w:val="left"/>
      <w:pPr>
        <w:tabs>
          <w:tab w:val="num" w:pos="5040"/>
        </w:tabs>
        <w:ind w:left="5040" w:hanging="360"/>
      </w:pPr>
      <w:rPr>
        <w:rFonts w:ascii="Arial" w:hAnsi="Arial" w:hint="default"/>
      </w:rPr>
    </w:lvl>
    <w:lvl w:ilvl="7" w:tplc="24147E20" w:tentative="1">
      <w:start w:val="1"/>
      <w:numFmt w:val="bullet"/>
      <w:lvlText w:val="•"/>
      <w:lvlJc w:val="left"/>
      <w:pPr>
        <w:tabs>
          <w:tab w:val="num" w:pos="5760"/>
        </w:tabs>
        <w:ind w:left="5760" w:hanging="360"/>
      </w:pPr>
      <w:rPr>
        <w:rFonts w:ascii="Arial" w:hAnsi="Arial" w:hint="default"/>
      </w:rPr>
    </w:lvl>
    <w:lvl w:ilvl="8" w:tplc="205E40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492EBC"/>
    <w:multiLevelType w:val="hybridMultilevel"/>
    <w:tmpl w:val="54246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B85253C"/>
    <w:multiLevelType w:val="multilevel"/>
    <w:tmpl w:val="743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37C8D"/>
    <w:multiLevelType w:val="hybridMultilevel"/>
    <w:tmpl w:val="019AC442"/>
    <w:lvl w:ilvl="0" w:tplc="04090001">
      <w:start w:val="1"/>
      <w:numFmt w:val="bullet"/>
      <w:lvlText w:val=""/>
      <w:lvlJc w:val="left"/>
      <w:pPr>
        <w:ind w:left="78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4056723C">
      <w:start w:val="1"/>
      <w:numFmt w:val="bullet"/>
      <w:lvlText w:val="o"/>
      <w:lvlJc w:val="left"/>
      <w:pPr>
        <w:ind w:left="1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05E0B10">
      <w:start w:val="1"/>
      <w:numFmt w:val="bullet"/>
      <w:lvlText w:val="▪"/>
      <w:lvlJc w:val="left"/>
      <w:pPr>
        <w:ind w:left="21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E42DD86">
      <w:start w:val="1"/>
      <w:numFmt w:val="bullet"/>
      <w:lvlText w:val="•"/>
      <w:lvlJc w:val="left"/>
      <w:pPr>
        <w:ind w:left="29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CB23744">
      <w:start w:val="1"/>
      <w:numFmt w:val="bullet"/>
      <w:lvlText w:val="o"/>
      <w:lvlJc w:val="left"/>
      <w:pPr>
        <w:ind w:left="36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F4607A4">
      <w:start w:val="1"/>
      <w:numFmt w:val="bullet"/>
      <w:lvlText w:val="▪"/>
      <w:lvlJc w:val="left"/>
      <w:pPr>
        <w:ind w:left="43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BEC4E84">
      <w:start w:val="1"/>
      <w:numFmt w:val="bullet"/>
      <w:lvlText w:val="•"/>
      <w:lvlJc w:val="left"/>
      <w:pPr>
        <w:ind w:left="50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7AA447C">
      <w:start w:val="1"/>
      <w:numFmt w:val="bullet"/>
      <w:lvlText w:val="o"/>
      <w:lvlJc w:val="left"/>
      <w:pPr>
        <w:ind w:left="5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30AD6F0">
      <w:start w:val="1"/>
      <w:numFmt w:val="bullet"/>
      <w:lvlText w:val="▪"/>
      <w:lvlJc w:val="left"/>
      <w:pPr>
        <w:ind w:left="65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1CE3B6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268421E"/>
    <w:multiLevelType w:val="hybridMultilevel"/>
    <w:tmpl w:val="E35A987A"/>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4A0786B"/>
    <w:multiLevelType w:val="hybridMultilevel"/>
    <w:tmpl w:val="F6E07D08"/>
    <w:lvl w:ilvl="0" w:tplc="08749F9A">
      <w:start w:val="1"/>
      <w:numFmt w:val="bullet"/>
      <w:lvlText w:val="•"/>
      <w:lvlJc w:val="left"/>
      <w:pPr>
        <w:tabs>
          <w:tab w:val="num" w:pos="720"/>
        </w:tabs>
        <w:ind w:left="720" w:hanging="360"/>
      </w:pPr>
      <w:rPr>
        <w:rFonts w:ascii="Arial" w:hAnsi="Arial" w:hint="default"/>
      </w:rPr>
    </w:lvl>
    <w:lvl w:ilvl="1" w:tplc="68CCCBF0" w:tentative="1">
      <w:start w:val="1"/>
      <w:numFmt w:val="bullet"/>
      <w:lvlText w:val="•"/>
      <w:lvlJc w:val="left"/>
      <w:pPr>
        <w:tabs>
          <w:tab w:val="num" w:pos="1440"/>
        </w:tabs>
        <w:ind w:left="1440" w:hanging="360"/>
      </w:pPr>
      <w:rPr>
        <w:rFonts w:ascii="Arial" w:hAnsi="Arial" w:hint="default"/>
      </w:rPr>
    </w:lvl>
    <w:lvl w:ilvl="2" w:tplc="6D302EE0" w:tentative="1">
      <w:start w:val="1"/>
      <w:numFmt w:val="bullet"/>
      <w:lvlText w:val="•"/>
      <w:lvlJc w:val="left"/>
      <w:pPr>
        <w:tabs>
          <w:tab w:val="num" w:pos="2160"/>
        </w:tabs>
        <w:ind w:left="2160" w:hanging="360"/>
      </w:pPr>
      <w:rPr>
        <w:rFonts w:ascii="Arial" w:hAnsi="Arial" w:hint="default"/>
      </w:rPr>
    </w:lvl>
    <w:lvl w:ilvl="3" w:tplc="AD52CE84" w:tentative="1">
      <w:start w:val="1"/>
      <w:numFmt w:val="bullet"/>
      <w:lvlText w:val="•"/>
      <w:lvlJc w:val="left"/>
      <w:pPr>
        <w:tabs>
          <w:tab w:val="num" w:pos="2880"/>
        </w:tabs>
        <w:ind w:left="2880" w:hanging="360"/>
      </w:pPr>
      <w:rPr>
        <w:rFonts w:ascii="Arial" w:hAnsi="Arial" w:hint="default"/>
      </w:rPr>
    </w:lvl>
    <w:lvl w:ilvl="4" w:tplc="1E9494BA" w:tentative="1">
      <w:start w:val="1"/>
      <w:numFmt w:val="bullet"/>
      <w:lvlText w:val="•"/>
      <w:lvlJc w:val="left"/>
      <w:pPr>
        <w:tabs>
          <w:tab w:val="num" w:pos="3600"/>
        </w:tabs>
        <w:ind w:left="3600" w:hanging="360"/>
      </w:pPr>
      <w:rPr>
        <w:rFonts w:ascii="Arial" w:hAnsi="Arial" w:hint="default"/>
      </w:rPr>
    </w:lvl>
    <w:lvl w:ilvl="5" w:tplc="45CC2B2C" w:tentative="1">
      <w:start w:val="1"/>
      <w:numFmt w:val="bullet"/>
      <w:lvlText w:val="•"/>
      <w:lvlJc w:val="left"/>
      <w:pPr>
        <w:tabs>
          <w:tab w:val="num" w:pos="4320"/>
        </w:tabs>
        <w:ind w:left="4320" w:hanging="360"/>
      </w:pPr>
      <w:rPr>
        <w:rFonts w:ascii="Arial" w:hAnsi="Arial" w:hint="default"/>
      </w:rPr>
    </w:lvl>
    <w:lvl w:ilvl="6" w:tplc="92F8DADE" w:tentative="1">
      <w:start w:val="1"/>
      <w:numFmt w:val="bullet"/>
      <w:lvlText w:val="•"/>
      <w:lvlJc w:val="left"/>
      <w:pPr>
        <w:tabs>
          <w:tab w:val="num" w:pos="5040"/>
        </w:tabs>
        <w:ind w:left="5040" w:hanging="360"/>
      </w:pPr>
      <w:rPr>
        <w:rFonts w:ascii="Arial" w:hAnsi="Arial" w:hint="default"/>
      </w:rPr>
    </w:lvl>
    <w:lvl w:ilvl="7" w:tplc="F7B0C3EC" w:tentative="1">
      <w:start w:val="1"/>
      <w:numFmt w:val="bullet"/>
      <w:lvlText w:val="•"/>
      <w:lvlJc w:val="left"/>
      <w:pPr>
        <w:tabs>
          <w:tab w:val="num" w:pos="5760"/>
        </w:tabs>
        <w:ind w:left="5760" w:hanging="360"/>
      </w:pPr>
      <w:rPr>
        <w:rFonts w:ascii="Arial" w:hAnsi="Arial" w:hint="default"/>
      </w:rPr>
    </w:lvl>
    <w:lvl w:ilvl="8" w:tplc="CD28051A" w:tentative="1">
      <w:start w:val="1"/>
      <w:numFmt w:val="bullet"/>
      <w:lvlText w:val="•"/>
      <w:lvlJc w:val="left"/>
      <w:pPr>
        <w:tabs>
          <w:tab w:val="num" w:pos="6480"/>
        </w:tabs>
        <w:ind w:left="6480" w:hanging="360"/>
      </w:pPr>
      <w:rPr>
        <w:rFonts w:ascii="Arial" w:hAnsi="Aria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5"/>
  </w:num>
  <w:num w:numId="6">
    <w:abstractNumId w:val="4"/>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F"/>
    <w:rsid w:val="00035C29"/>
    <w:rsid w:val="00111723"/>
    <w:rsid w:val="001224A7"/>
    <w:rsid w:val="00136ECC"/>
    <w:rsid w:val="00155F77"/>
    <w:rsid w:val="00216DE5"/>
    <w:rsid w:val="002427A7"/>
    <w:rsid w:val="0026062A"/>
    <w:rsid w:val="002F128F"/>
    <w:rsid w:val="002F3DE6"/>
    <w:rsid w:val="00311593"/>
    <w:rsid w:val="005D3329"/>
    <w:rsid w:val="007039F7"/>
    <w:rsid w:val="008B4488"/>
    <w:rsid w:val="00950848"/>
    <w:rsid w:val="00B1718F"/>
    <w:rsid w:val="00BD5F84"/>
    <w:rsid w:val="00DF6AD5"/>
    <w:rsid w:val="00E075F1"/>
    <w:rsid w:val="00ED7FF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938D"/>
  <w15:chartTrackingRefBased/>
  <w15:docId w15:val="{4FE0EFF0-B450-41F8-90DD-568F1105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18F"/>
    <w:pPr>
      <w:tabs>
        <w:tab w:val="left" w:pos="794"/>
        <w:tab w:val="left" w:pos="1191"/>
        <w:tab w:val="left" w:pos="1588"/>
        <w:tab w:val="left" w:pos="1985"/>
      </w:tabs>
      <w:overflowPunct w:val="0"/>
      <w:autoSpaceDE w:val="0"/>
      <w:autoSpaceDN w:val="0"/>
      <w:adjustRightInd w:val="0"/>
      <w:spacing w:before="120" w:after="0" w:line="240" w:lineRule="auto"/>
    </w:pPr>
    <w:rPr>
      <w:rFonts w:ascii="Times New Roman" w:eastAsia="MS Mincho" w:hAnsi="Times New Roman" w:cs="Times New Roman"/>
      <w:sz w:val="24"/>
      <w:szCs w:val="20"/>
      <w:lang w:val="en-GB" w:eastAsia="en-US"/>
    </w:rPr>
  </w:style>
  <w:style w:type="paragraph" w:styleId="Heading1">
    <w:name w:val="heading 1"/>
    <w:basedOn w:val="Normal"/>
    <w:next w:val="Normal"/>
    <w:link w:val="Heading1Char"/>
    <w:qFormat/>
    <w:rsid w:val="00B1718F"/>
    <w:pPr>
      <w:keepNext/>
      <w:keepLines/>
      <w:numPr>
        <w:numId w:val="1"/>
      </w:numPr>
      <w:spacing w:before="360"/>
      <w:outlineLvl w:val="0"/>
    </w:pPr>
    <w:rPr>
      <w:rFonts w:eastAsia="Times New Roman"/>
      <w:b/>
    </w:rPr>
  </w:style>
  <w:style w:type="paragraph" w:styleId="Heading2">
    <w:name w:val="heading 2"/>
    <w:basedOn w:val="Heading1"/>
    <w:next w:val="Normal"/>
    <w:link w:val="Heading2Char"/>
    <w:semiHidden/>
    <w:unhideWhenUsed/>
    <w:qFormat/>
    <w:rsid w:val="00B1718F"/>
    <w:pPr>
      <w:numPr>
        <w:ilvl w:val="1"/>
      </w:numPr>
      <w:spacing w:before="240"/>
      <w:outlineLvl w:val="1"/>
    </w:pPr>
  </w:style>
  <w:style w:type="paragraph" w:styleId="Heading3">
    <w:name w:val="heading 3"/>
    <w:basedOn w:val="Heading1"/>
    <w:next w:val="Normal"/>
    <w:link w:val="Heading3Char"/>
    <w:semiHidden/>
    <w:unhideWhenUsed/>
    <w:qFormat/>
    <w:rsid w:val="00B1718F"/>
    <w:pPr>
      <w:numPr>
        <w:ilvl w:val="2"/>
      </w:numPr>
      <w:spacing w:before="160"/>
      <w:outlineLvl w:val="2"/>
    </w:pPr>
  </w:style>
  <w:style w:type="paragraph" w:styleId="Heading4">
    <w:name w:val="heading 4"/>
    <w:basedOn w:val="Heading3"/>
    <w:next w:val="Normal"/>
    <w:link w:val="Heading4Char"/>
    <w:semiHidden/>
    <w:unhideWhenUsed/>
    <w:qFormat/>
    <w:rsid w:val="00B1718F"/>
    <w:pPr>
      <w:numPr>
        <w:ilvl w:val="3"/>
      </w:numPr>
      <w:tabs>
        <w:tab w:val="clear" w:pos="794"/>
        <w:tab w:val="left" w:pos="1021"/>
      </w:tabs>
      <w:outlineLvl w:val="3"/>
    </w:pPr>
  </w:style>
  <w:style w:type="paragraph" w:styleId="Heading5">
    <w:name w:val="heading 5"/>
    <w:basedOn w:val="Heading4"/>
    <w:next w:val="Normal"/>
    <w:link w:val="Heading5Char"/>
    <w:semiHidden/>
    <w:unhideWhenUsed/>
    <w:qFormat/>
    <w:rsid w:val="00B1718F"/>
    <w:pPr>
      <w:numPr>
        <w:ilvl w:val="4"/>
      </w:numPr>
      <w:outlineLvl w:val="4"/>
    </w:pPr>
  </w:style>
  <w:style w:type="paragraph" w:styleId="Heading6">
    <w:name w:val="heading 6"/>
    <w:basedOn w:val="Heading4"/>
    <w:next w:val="Normal"/>
    <w:link w:val="Heading6Char"/>
    <w:semiHidden/>
    <w:unhideWhenUsed/>
    <w:qFormat/>
    <w:rsid w:val="00B1718F"/>
    <w:pPr>
      <w:numPr>
        <w:ilvl w:val="5"/>
      </w:numPr>
      <w:tabs>
        <w:tab w:val="clear" w:pos="1021"/>
        <w:tab w:val="clear" w:pos="1191"/>
      </w:tabs>
      <w:outlineLvl w:val="5"/>
    </w:pPr>
  </w:style>
  <w:style w:type="paragraph" w:styleId="Heading7">
    <w:name w:val="heading 7"/>
    <w:basedOn w:val="Heading6"/>
    <w:next w:val="Normal"/>
    <w:link w:val="Heading7Char"/>
    <w:semiHidden/>
    <w:unhideWhenUsed/>
    <w:qFormat/>
    <w:rsid w:val="00B1718F"/>
    <w:pPr>
      <w:numPr>
        <w:ilvl w:val="6"/>
      </w:numPr>
      <w:outlineLvl w:val="6"/>
    </w:pPr>
    <w:rPr>
      <w:rFonts w:eastAsia="MS Mincho"/>
    </w:rPr>
  </w:style>
  <w:style w:type="paragraph" w:styleId="Heading8">
    <w:name w:val="heading 8"/>
    <w:basedOn w:val="Heading6"/>
    <w:next w:val="Normal"/>
    <w:link w:val="Heading8Char"/>
    <w:semiHidden/>
    <w:unhideWhenUsed/>
    <w:qFormat/>
    <w:rsid w:val="00B1718F"/>
    <w:pPr>
      <w:numPr>
        <w:ilvl w:val="7"/>
      </w:numPr>
      <w:outlineLvl w:val="7"/>
    </w:pPr>
    <w:rPr>
      <w:rFonts w:eastAsia="MS Mincho"/>
    </w:rPr>
  </w:style>
  <w:style w:type="paragraph" w:styleId="Heading9">
    <w:name w:val="heading 9"/>
    <w:basedOn w:val="Heading6"/>
    <w:next w:val="Normal"/>
    <w:link w:val="Heading9Char"/>
    <w:semiHidden/>
    <w:unhideWhenUsed/>
    <w:qFormat/>
    <w:rsid w:val="00B1718F"/>
    <w:pPr>
      <w:numPr>
        <w:ilvl w:val="8"/>
      </w:numPr>
      <w:outlineLvl w:val="8"/>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18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semiHidden/>
    <w:rsid w:val="00B1718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semiHidden/>
    <w:rsid w:val="00B1718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semiHidden/>
    <w:rsid w:val="00B1718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semiHidden/>
    <w:rsid w:val="00B1718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semiHidden/>
    <w:rsid w:val="00B1718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semiHidden/>
    <w:rsid w:val="00B1718F"/>
    <w:rPr>
      <w:rFonts w:ascii="Times New Roman" w:eastAsia="MS Mincho" w:hAnsi="Times New Roman" w:cs="Times New Roman"/>
      <w:b/>
      <w:sz w:val="24"/>
      <w:szCs w:val="20"/>
      <w:lang w:val="en-GB" w:eastAsia="en-US"/>
    </w:rPr>
  </w:style>
  <w:style w:type="character" w:customStyle="1" w:styleId="Heading8Char">
    <w:name w:val="Heading 8 Char"/>
    <w:basedOn w:val="DefaultParagraphFont"/>
    <w:link w:val="Heading8"/>
    <w:semiHidden/>
    <w:rsid w:val="00B1718F"/>
    <w:rPr>
      <w:rFonts w:ascii="Times New Roman" w:eastAsia="MS Mincho" w:hAnsi="Times New Roman" w:cs="Times New Roman"/>
      <w:b/>
      <w:sz w:val="24"/>
      <w:szCs w:val="20"/>
      <w:lang w:val="en-GB" w:eastAsia="en-US"/>
    </w:rPr>
  </w:style>
  <w:style w:type="character" w:customStyle="1" w:styleId="Heading9Char">
    <w:name w:val="Heading 9 Char"/>
    <w:basedOn w:val="DefaultParagraphFont"/>
    <w:link w:val="Heading9"/>
    <w:semiHidden/>
    <w:rsid w:val="00B1718F"/>
    <w:rPr>
      <w:rFonts w:ascii="Times New Roman" w:eastAsia="MS Mincho" w:hAnsi="Times New Roman" w:cs="Times New Roman"/>
      <w:b/>
      <w:sz w:val="24"/>
      <w:szCs w:val="20"/>
      <w:lang w:val="en-GB" w:eastAsia="en-US"/>
    </w:rPr>
  </w:style>
  <w:style w:type="character" w:styleId="Hyperlink">
    <w:name w:val="Hyperlink"/>
    <w:uiPriority w:val="99"/>
    <w:unhideWhenUsed/>
    <w:rsid w:val="00B1718F"/>
    <w:rPr>
      <w:color w:val="0000FF"/>
      <w:u w:val="single"/>
    </w:rPr>
  </w:style>
  <w:style w:type="paragraph" w:styleId="ListParagraph">
    <w:name w:val="List Paragraph"/>
    <w:basedOn w:val="Normal"/>
    <w:link w:val="ListParagraphChar"/>
    <w:uiPriority w:val="34"/>
    <w:qFormat/>
    <w:rsid w:val="00B1718F"/>
    <w:pPr>
      <w:ind w:left="720"/>
      <w:contextualSpacing/>
    </w:pPr>
  </w:style>
  <w:style w:type="character" w:customStyle="1" w:styleId="ListParagraphChar">
    <w:name w:val="List Paragraph Char"/>
    <w:link w:val="ListParagraph"/>
    <w:uiPriority w:val="34"/>
    <w:rsid w:val="00311593"/>
    <w:rPr>
      <w:rFonts w:ascii="Times New Roman" w:eastAsia="MS Mincho" w:hAnsi="Times New Roman" w:cs="Times New Roman"/>
      <w:sz w:val="24"/>
      <w:szCs w:val="20"/>
      <w:lang w:val="en-GB" w:eastAsia="en-US"/>
    </w:rPr>
  </w:style>
  <w:style w:type="paragraph" w:styleId="Header">
    <w:name w:val="header"/>
    <w:basedOn w:val="Normal"/>
    <w:link w:val="HeaderChar"/>
    <w:uiPriority w:val="99"/>
    <w:unhideWhenUsed/>
    <w:rsid w:val="001224A7"/>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1224A7"/>
    <w:rPr>
      <w:rFonts w:ascii="Times New Roman" w:eastAsia="MS Mincho" w:hAnsi="Times New Roman" w:cs="Times New Roman"/>
      <w:sz w:val="24"/>
      <w:szCs w:val="20"/>
      <w:lang w:val="en-GB" w:eastAsia="en-US"/>
    </w:rPr>
  </w:style>
  <w:style w:type="paragraph" w:styleId="Footer">
    <w:name w:val="footer"/>
    <w:basedOn w:val="Normal"/>
    <w:link w:val="FooterChar"/>
    <w:uiPriority w:val="99"/>
    <w:unhideWhenUsed/>
    <w:rsid w:val="001224A7"/>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1224A7"/>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989">
      <w:bodyDiv w:val="1"/>
      <w:marLeft w:val="0"/>
      <w:marRight w:val="0"/>
      <w:marTop w:val="0"/>
      <w:marBottom w:val="0"/>
      <w:divBdr>
        <w:top w:val="none" w:sz="0" w:space="0" w:color="auto"/>
        <w:left w:val="none" w:sz="0" w:space="0" w:color="auto"/>
        <w:bottom w:val="none" w:sz="0" w:space="0" w:color="auto"/>
        <w:right w:val="none" w:sz="0" w:space="0" w:color="auto"/>
      </w:divBdr>
      <w:divsChild>
        <w:div w:id="628628768">
          <w:marLeft w:val="360"/>
          <w:marRight w:val="0"/>
          <w:marTop w:val="200"/>
          <w:marBottom w:val="0"/>
          <w:divBdr>
            <w:top w:val="none" w:sz="0" w:space="0" w:color="auto"/>
            <w:left w:val="none" w:sz="0" w:space="0" w:color="auto"/>
            <w:bottom w:val="none" w:sz="0" w:space="0" w:color="auto"/>
            <w:right w:val="none" w:sz="0" w:space="0" w:color="auto"/>
          </w:divBdr>
        </w:div>
        <w:div w:id="1707214711">
          <w:marLeft w:val="360"/>
          <w:marRight w:val="0"/>
          <w:marTop w:val="200"/>
          <w:marBottom w:val="0"/>
          <w:divBdr>
            <w:top w:val="none" w:sz="0" w:space="0" w:color="auto"/>
            <w:left w:val="none" w:sz="0" w:space="0" w:color="auto"/>
            <w:bottom w:val="none" w:sz="0" w:space="0" w:color="auto"/>
            <w:right w:val="none" w:sz="0" w:space="0" w:color="auto"/>
          </w:divBdr>
        </w:div>
        <w:div w:id="1892957148">
          <w:marLeft w:val="360"/>
          <w:marRight w:val="0"/>
          <w:marTop w:val="200"/>
          <w:marBottom w:val="0"/>
          <w:divBdr>
            <w:top w:val="none" w:sz="0" w:space="0" w:color="auto"/>
            <w:left w:val="none" w:sz="0" w:space="0" w:color="auto"/>
            <w:bottom w:val="none" w:sz="0" w:space="0" w:color="auto"/>
            <w:right w:val="none" w:sz="0" w:space="0" w:color="auto"/>
          </w:divBdr>
        </w:div>
      </w:divsChild>
    </w:div>
    <w:div w:id="384837910">
      <w:bodyDiv w:val="1"/>
      <w:marLeft w:val="0"/>
      <w:marRight w:val="0"/>
      <w:marTop w:val="0"/>
      <w:marBottom w:val="0"/>
      <w:divBdr>
        <w:top w:val="none" w:sz="0" w:space="0" w:color="auto"/>
        <w:left w:val="none" w:sz="0" w:space="0" w:color="auto"/>
        <w:bottom w:val="none" w:sz="0" w:space="0" w:color="auto"/>
        <w:right w:val="none" w:sz="0" w:space="0" w:color="auto"/>
      </w:divBdr>
    </w:div>
    <w:div w:id="872113311">
      <w:bodyDiv w:val="1"/>
      <w:marLeft w:val="0"/>
      <w:marRight w:val="0"/>
      <w:marTop w:val="0"/>
      <w:marBottom w:val="0"/>
      <w:divBdr>
        <w:top w:val="none" w:sz="0" w:space="0" w:color="auto"/>
        <w:left w:val="none" w:sz="0" w:space="0" w:color="auto"/>
        <w:bottom w:val="none" w:sz="0" w:space="0" w:color="auto"/>
        <w:right w:val="none" w:sz="0" w:space="0" w:color="auto"/>
      </w:divBdr>
      <w:divsChild>
        <w:div w:id="1964189631">
          <w:marLeft w:val="360"/>
          <w:marRight w:val="0"/>
          <w:marTop w:val="200"/>
          <w:marBottom w:val="0"/>
          <w:divBdr>
            <w:top w:val="none" w:sz="0" w:space="0" w:color="auto"/>
            <w:left w:val="none" w:sz="0" w:space="0" w:color="auto"/>
            <w:bottom w:val="none" w:sz="0" w:space="0" w:color="auto"/>
            <w:right w:val="none" w:sz="0" w:space="0" w:color="auto"/>
          </w:divBdr>
        </w:div>
        <w:div w:id="284967407">
          <w:marLeft w:val="360"/>
          <w:marRight w:val="0"/>
          <w:marTop w:val="200"/>
          <w:marBottom w:val="0"/>
          <w:divBdr>
            <w:top w:val="none" w:sz="0" w:space="0" w:color="auto"/>
            <w:left w:val="none" w:sz="0" w:space="0" w:color="auto"/>
            <w:bottom w:val="none" w:sz="0" w:space="0" w:color="auto"/>
            <w:right w:val="none" w:sz="0" w:space="0" w:color="auto"/>
          </w:divBdr>
        </w:div>
        <w:div w:id="1251040516">
          <w:marLeft w:val="360"/>
          <w:marRight w:val="0"/>
          <w:marTop w:val="200"/>
          <w:marBottom w:val="0"/>
          <w:divBdr>
            <w:top w:val="none" w:sz="0" w:space="0" w:color="auto"/>
            <w:left w:val="none" w:sz="0" w:space="0" w:color="auto"/>
            <w:bottom w:val="none" w:sz="0" w:space="0" w:color="auto"/>
            <w:right w:val="none" w:sz="0" w:space="0" w:color="auto"/>
          </w:divBdr>
        </w:div>
        <w:div w:id="1932546906">
          <w:marLeft w:val="360"/>
          <w:marRight w:val="0"/>
          <w:marTop w:val="200"/>
          <w:marBottom w:val="0"/>
          <w:divBdr>
            <w:top w:val="none" w:sz="0" w:space="0" w:color="auto"/>
            <w:left w:val="none" w:sz="0" w:space="0" w:color="auto"/>
            <w:bottom w:val="none" w:sz="0" w:space="0" w:color="auto"/>
            <w:right w:val="none" w:sz="0" w:space="0" w:color="auto"/>
          </w:divBdr>
        </w:div>
        <w:div w:id="232816100">
          <w:marLeft w:val="360"/>
          <w:marRight w:val="0"/>
          <w:marTop w:val="200"/>
          <w:marBottom w:val="0"/>
          <w:divBdr>
            <w:top w:val="none" w:sz="0" w:space="0" w:color="auto"/>
            <w:left w:val="none" w:sz="0" w:space="0" w:color="auto"/>
            <w:bottom w:val="none" w:sz="0" w:space="0" w:color="auto"/>
            <w:right w:val="none" w:sz="0" w:space="0" w:color="auto"/>
          </w:divBdr>
        </w:div>
      </w:divsChild>
    </w:div>
    <w:div w:id="1066731992">
      <w:bodyDiv w:val="1"/>
      <w:marLeft w:val="0"/>
      <w:marRight w:val="0"/>
      <w:marTop w:val="0"/>
      <w:marBottom w:val="0"/>
      <w:divBdr>
        <w:top w:val="none" w:sz="0" w:space="0" w:color="auto"/>
        <w:left w:val="none" w:sz="0" w:space="0" w:color="auto"/>
        <w:bottom w:val="none" w:sz="0" w:space="0" w:color="auto"/>
        <w:right w:val="none" w:sz="0" w:space="0" w:color="auto"/>
      </w:divBdr>
      <w:divsChild>
        <w:div w:id="440609882">
          <w:marLeft w:val="360"/>
          <w:marRight w:val="0"/>
          <w:marTop w:val="200"/>
          <w:marBottom w:val="0"/>
          <w:divBdr>
            <w:top w:val="none" w:sz="0" w:space="0" w:color="auto"/>
            <w:left w:val="none" w:sz="0" w:space="0" w:color="auto"/>
            <w:bottom w:val="none" w:sz="0" w:space="0" w:color="auto"/>
            <w:right w:val="none" w:sz="0" w:space="0" w:color="auto"/>
          </w:divBdr>
        </w:div>
        <w:div w:id="2076732980">
          <w:marLeft w:val="360"/>
          <w:marRight w:val="0"/>
          <w:marTop w:val="200"/>
          <w:marBottom w:val="0"/>
          <w:divBdr>
            <w:top w:val="none" w:sz="0" w:space="0" w:color="auto"/>
            <w:left w:val="none" w:sz="0" w:space="0" w:color="auto"/>
            <w:bottom w:val="none" w:sz="0" w:space="0" w:color="auto"/>
            <w:right w:val="none" w:sz="0" w:space="0" w:color="auto"/>
          </w:divBdr>
        </w:div>
        <w:div w:id="6565669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currency.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sites/itu-t/focusgroups/dfc/SitePages/Home.aspx" TargetMode="External"/><Relationship Id="rId5" Type="http://schemas.openxmlformats.org/officeDocument/2006/relationships/footnotes" Target="footnotes.xml"/><Relationship Id="rId10" Type="http://schemas.openxmlformats.org/officeDocument/2006/relationships/hyperlink" Target="https://www.itu.int/en/ITU-T/Workshops-and-Seminars/dfc/201710/Pages/default.aspx" TargetMode="External"/><Relationship Id="rId4" Type="http://schemas.openxmlformats.org/officeDocument/2006/relationships/webSettings" Target="webSettings.xml"/><Relationship Id="rId9" Type="http://schemas.openxmlformats.org/officeDocument/2006/relationships/hyperlink" Target="https://www.itu.int/en/ITU-T/focusgroups/dfc/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 Venkatesen</dc:creator>
  <cp:keywords/>
  <dc:description/>
  <cp:lastModifiedBy>Al-Mnini, Lara</cp:lastModifiedBy>
  <cp:revision>4</cp:revision>
  <dcterms:created xsi:type="dcterms:W3CDTF">2018-02-07T07:54:00Z</dcterms:created>
  <dcterms:modified xsi:type="dcterms:W3CDTF">2018-02-07T08:04:00Z</dcterms:modified>
</cp:coreProperties>
</file>