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417"/>
        <w:gridCol w:w="9"/>
        <w:gridCol w:w="3626"/>
        <w:gridCol w:w="4682"/>
      </w:tblGrid>
      <w:tr w:rsidR="00146C7B" w:rsidRPr="00AA1FDC" w:rsidTr="00757B09">
        <w:trPr>
          <w:cantSplit/>
          <w:jc w:val="center"/>
        </w:trPr>
        <w:tc>
          <w:tcPr>
            <w:tcW w:w="1189" w:type="dxa"/>
            <w:vMerge w:val="restart"/>
          </w:tcPr>
          <w:p w:rsidR="00146C7B" w:rsidRPr="00AA1FDC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AA1FDC">
              <w:rPr>
                <w:rFonts w:asciiTheme="majorBidi" w:hAnsiTheme="majorBidi" w:cstheme="majorBidi"/>
                <w:noProof/>
                <w:sz w:val="20"/>
              </w:rPr>
              <w:drawing>
                <wp:inline distT="0" distB="0" distL="0" distR="0" wp14:anchorId="5E43D4EA" wp14:editId="6B4BFA0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:rsidR="00146C7B" w:rsidRPr="00AA1FDC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sz w:val="16"/>
                <w:szCs w:val="16"/>
                <w:lang w:eastAsia="ja-JP"/>
              </w:rPr>
            </w:pPr>
            <w:r w:rsidRPr="00AA1FDC">
              <w:rPr>
                <w:rFonts w:asciiTheme="majorBidi" w:hAnsiTheme="majorBidi" w:cstheme="majorBidi"/>
                <w:sz w:val="16"/>
                <w:szCs w:val="16"/>
                <w:lang w:eastAsia="ja-JP"/>
              </w:rPr>
              <w:t>INTERNATIONAL TELECOMMUNICATION UNION</w:t>
            </w:r>
          </w:p>
          <w:p w:rsidR="00146C7B" w:rsidRPr="00AA1FDC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</w:pPr>
            <w:r w:rsidRPr="00AA1FDC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AA1FDC">
              <w:rPr>
                <w:rFonts w:asciiTheme="majorBidi" w:hAnsiTheme="majorBidi" w:cstheme="majorBidi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146C7B" w:rsidRPr="00AA1FDC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AA1FDC">
              <w:rPr>
                <w:rFonts w:asciiTheme="majorBidi" w:hAnsiTheme="majorBidi" w:cstheme="majorBidi"/>
                <w:sz w:val="20"/>
                <w:lang w:eastAsia="ja-JP"/>
              </w:rPr>
              <w:t xml:space="preserve">STUDY PERIOD </w:t>
            </w:r>
            <w:bookmarkStart w:id="0" w:name="dstudyperiod"/>
            <w:r w:rsidRPr="00AA1FDC">
              <w:rPr>
                <w:rFonts w:asciiTheme="majorBidi" w:hAnsiTheme="majorBidi" w:cstheme="majorBidi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2" w:type="dxa"/>
            <w:vAlign w:val="center"/>
          </w:tcPr>
          <w:p w:rsidR="00146C7B" w:rsidRPr="00AA1FDC" w:rsidRDefault="00146C7B" w:rsidP="00243CBF">
            <w:pPr>
              <w:spacing w:before="120" w:after="100" w:afterAutospacing="1"/>
              <w:jc w:val="right"/>
              <w:rPr>
                <w:rFonts w:asciiTheme="majorBidi" w:eastAsia="SimSun" w:hAnsiTheme="majorBidi" w:cstheme="majorBidi"/>
                <w:b/>
                <w:sz w:val="40"/>
              </w:rPr>
            </w:pPr>
            <w:r w:rsidRPr="00AA1FDC">
              <w:rPr>
                <w:rFonts w:asciiTheme="majorBidi" w:eastAsia="SimSun" w:hAnsiTheme="majorBidi" w:cstheme="majorBidi"/>
                <w:b/>
                <w:sz w:val="40"/>
              </w:rPr>
              <w:t>T</w:t>
            </w:r>
            <w:r w:rsidR="00243CBF">
              <w:rPr>
                <w:rFonts w:asciiTheme="majorBidi" w:eastAsia="SimSun" w:hAnsiTheme="majorBidi" w:cstheme="majorBidi"/>
                <w:b/>
                <w:sz w:val="40"/>
              </w:rPr>
              <w:t>SAG-T</w:t>
            </w:r>
            <w:r w:rsidRPr="00AA1FDC">
              <w:rPr>
                <w:rFonts w:asciiTheme="majorBidi" w:eastAsia="SimSun" w:hAnsiTheme="majorBidi" w:cstheme="majorBidi"/>
                <w:b/>
                <w:sz w:val="40"/>
              </w:rPr>
              <w:t>D</w:t>
            </w:r>
            <w:r w:rsidR="00B03AF5">
              <w:rPr>
                <w:rFonts w:asciiTheme="majorBidi" w:eastAsia="SimSun" w:hAnsiTheme="majorBidi" w:cstheme="majorBidi"/>
                <w:b/>
                <w:sz w:val="40"/>
              </w:rPr>
              <w:t>130</w:t>
            </w:r>
          </w:p>
        </w:tc>
      </w:tr>
      <w:tr w:rsidR="00146C7B" w:rsidRPr="00AA1FDC" w:rsidTr="00757B09">
        <w:trPr>
          <w:cantSplit/>
          <w:jc w:val="center"/>
        </w:trPr>
        <w:tc>
          <w:tcPr>
            <w:tcW w:w="1189" w:type="dxa"/>
            <w:vMerge/>
          </w:tcPr>
          <w:p w:rsidR="00146C7B" w:rsidRPr="00AA1FDC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</w:tcPr>
          <w:p w:rsidR="00146C7B" w:rsidRPr="00AA1FDC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</w:tcPr>
          <w:p w:rsidR="00146C7B" w:rsidRPr="00AA1FDC" w:rsidRDefault="00146C7B" w:rsidP="00910DBB">
            <w:pPr>
              <w:spacing w:before="120" w:after="100" w:afterAutospacing="1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</w:pPr>
            <w:r w:rsidRPr="00AA1FDC">
              <w:rPr>
                <w:rFonts w:asciiTheme="majorBidi" w:hAnsiTheme="majorBidi" w:cstheme="majorBidi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146C7B" w:rsidRPr="00AA1FDC" w:rsidTr="00757B09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auto"/>
            </w:tcBorders>
          </w:tcPr>
          <w:p w:rsidR="00146C7B" w:rsidRPr="00AA1FDC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:rsidR="00146C7B" w:rsidRPr="00AA1FDC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tcBorders>
              <w:bottom w:val="single" w:sz="12" w:space="0" w:color="auto"/>
            </w:tcBorders>
            <w:vAlign w:val="center"/>
          </w:tcPr>
          <w:p w:rsidR="00146C7B" w:rsidRPr="00AA1FDC" w:rsidRDefault="00146C7B" w:rsidP="00910DBB">
            <w:pPr>
              <w:spacing w:before="120" w:after="100" w:afterAutospacing="1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</w:pPr>
            <w:r w:rsidRPr="00AA1FDC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146C7B" w:rsidRPr="00910DBB" w:rsidTr="00757B09">
        <w:trPr>
          <w:cantSplit/>
          <w:jc w:val="center"/>
        </w:trPr>
        <w:tc>
          <w:tcPr>
            <w:tcW w:w="1615" w:type="dxa"/>
            <w:gridSpan w:val="3"/>
          </w:tcPr>
          <w:p w:rsidR="00146C7B" w:rsidRPr="00910DBB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10DB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6" w:type="dxa"/>
          </w:tcPr>
          <w:p w:rsidR="00146C7B" w:rsidRPr="00910DBB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10DBB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</w:tcPr>
          <w:p w:rsidR="00146C7B" w:rsidRPr="00910DBB" w:rsidRDefault="00146C7B" w:rsidP="00910DBB">
            <w:pPr>
              <w:spacing w:before="120" w:after="100" w:afterAutospacing="1"/>
              <w:jc w:val="right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10DBB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 xml:space="preserve">Geneva, </w:t>
            </w:r>
            <w:r w:rsidR="007262D3" w:rsidRPr="007262D3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26 February - 2 March 2018</w:t>
            </w:r>
          </w:p>
        </w:tc>
      </w:tr>
      <w:tr w:rsidR="00146C7B" w:rsidRPr="00910DBB" w:rsidTr="00757B09">
        <w:trPr>
          <w:cantSplit/>
          <w:jc w:val="center"/>
        </w:trPr>
        <w:tc>
          <w:tcPr>
            <w:tcW w:w="9923" w:type="dxa"/>
            <w:gridSpan w:val="5"/>
          </w:tcPr>
          <w:p w:rsidR="00146C7B" w:rsidRPr="00910DBB" w:rsidRDefault="00146C7B" w:rsidP="00910DBB">
            <w:pPr>
              <w:spacing w:before="120" w:after="100" w:after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1" w:name="ddoctype" w:colFirst="0" w:colLast="0"/>
            <w:r w:rsidRPr="00910DB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bookmarkEnd w:id="1"/>
      <w:tr w:rsidR="00146C7B" w:rsidRPr="00910DBB" w:rsidTr="00757B09">
        <w:trPr>
          <w:cantSplit/>
          <w:jc w:val="center"/>
        </w:trPr>
        <w:tc>
          <w:tcPr>
            <w:tcW w:w="1615" w:type="dxa"/>
            <w:gridSpan w:val="3"/>
          </w:tcPr>
          <w:p w:rsidR="00146C7B" w:rsidRPr="00910DBB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10DB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8" w:type="dxa"/>
            <w:gridSpan w:val="2"/>
          </w:tcPr>
          <w:p w:rsidR="00146C7B" w:rsidRPr="00910DBB" w:rsidRDefault="009E754D" w:rsidP="00910DBB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10DBB">
              <w:rPr>
                <w:rFonts w:asciiTheme="majorBidi" w:hAnsiTheme="majorBidi" w:cstheme="majorBidi"/>
                <w:sz w:val="24"/>
                <w:szCs w:val="24"/>
              </w:rPr>
              <w:t>Rapporteur</w:t>
            </w:r>
            <w:r w:rsidR="0016141C" w:rsidRPr="00910DB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910D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740F8">
              <w:rPr>
                <w:rFonts w:asciiTheme="majorBidi" w:hAnsiTheme="majorBidi" w:cstheme="majorBidi"/>
                <w:sz w:val="24"/>
                <w:szCs w:val="24"/>
              </w:rPr>
              <w:t xml:space="preserve">TSAG </w:t>
            </w:r>
            <w:r w:rsidRPr="00910DBB">
              <w:rPr>
                <w:rFonts w:asciiTheme="majorBidi" w:hAnsiTheme="majorBidi" w:cstheme="majorBidi"/>
                <w:sz w:val="24"/>
                <w:szCs w:val="24"/>
              </w:rPr>
              <w:t>RG-S</w:t>
            </w:r>
            <w:r w:rsidR="00E26229" w:rsidRPr="00910DBB">
              <w:rPr>
                <w:rFonts w:asciiTheme="majorBidi" w:hAnsiTheme="majorBidi" w:cstheme="majorBidi"/>
                <w:sz w:val="24"/>
                <w:szCs w:val="24"/>
              </w:rPr>
              <w:t>OP</w:t>
            </w:r>
          </w:p>
        </w:tc>
      </w:tr>
      <w:tr w:rsidR="00146C7B" w:rsidRPr="00910DBB" w:rsidTr="00757B09">
        <w:trPr>
          <w:cantSplit/>
          <w:jc w:val="center"/>
        </w:trPr>
        <w:tc>
          <w:tcPr>
            <w:tcW w:w="1615" w:type="dxa"/>
            <w:gridSpan w:val="3"/>
          </w:tcPr>
          <w:p w:rsidR="00146C7B" w:rsidRPr="00910DBB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10DB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8" w:type="dxa"/>
            <w:gridSpan w:val="2"/>
          </w:tcPr>
          <w:p w:rsidR="00146C7B" w:rsidRPr="00910DBB" w:rsidRDefault="00506C0E" w:rsidP="00910DBB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</w:rPr>
            </w:pPr>
            <w:r w:rsidRPr="00910DBB">
              <w:rPr>
                <w:rFonts w:asciiTheme="majorBidi" w:hAnsiTheme="majorBidi" w:cstheme="majorBidi"/>
                <w:sz w:val="24"/>
                <w:szCs w:val="24"/>
              </w:rPr>
              <w:t xml:space="preserve">Draft agenda </w:t>
            </w:r>
            <w:r w:rsidR="00621C4D" w:rsidRPr="00910DBB">
              <w:rPr>
                <w:rFonts w:asciiTheme="majorBidi" w:hAnsiTheme="majorBidi" w:cstheme="majorBidi"/>
                <w:sz w:val="24"/>
                <w:szCs w:val="24"/>
              </w:rPr>
              <w:t xml:space="preserve">of the </w:t>
            </w:r>
            <w:r w:rsidR="00C740F8">
              <w:rPr>
                <w:rFonts w:asciiTheme="majorBidi" w:hAnsiTheme="majorBidi" w:cstheme="majorBidi"/>
                <w:sz w:val="24"/>
                <w:szCs w:val="24"/>
              </w:rPr>
              <w:t xml:space="preserve">TSAG </w:t>
            </w:r>
            <w:r w:rsidR="00621C4D" w:rsidRPr="00910DBB">
              <w:rPr>
                <w:rFonts w:asciiTheme="majorBidi" w:hAnsiTheme="majorBidi" w:cstheme="majorBidi"/>
                <w:sz w:val="24"/>
                <w:szCs w:val="24"/>
              </w:rPr>
              <w:t xml:space="preserve">RG-SOP </w:t>
            </w:r>
            <w:r w:rsidRPr="00910DBB">
              <w:rPr>
                <w:rFonts w:asciiTheme="majorBidi" w:hAnsiTheme="majorBidi" w:cstheme="majorBidi"/>
                <w:sz w:val="24"/>
                <w:szCs w:val="24"/>
              </w:rPr>
              <w:t>meeting</w:t>
            </w:r>
          </w:p>
        </w:tc>
      </w:tr>
      <w:tr w:rsidR="00146C7B" w:rsidRPr="00910DBB" w:rsidTr="00757B09">
        <w:trPr>
          <w:cantSplit/>
          <w:jc w:val="center"/>
        </w:trPr>
        <w:tc>
          <w:tcPr>
            <w:tcW w:w="1615" w:type="dxa"/>
            <w:gridSpan w:val="3"/>
            <w:tcBorders>
              <w:bottom w:val="single" w:sz="8" w:space="0" w:color="auto"/>
            </w:tcBorders>
          </w:tcPr>
          <w:p w:rsidR="00146C7B" w:rsidRPr="00910DBB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bookmarkStart w:id="2" w:name="dpurpose" w:colFirst="1" w:colLast="1"/>
            <w:r w:rsidRPr="00910DB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8" w:type="dxa"/>
            <w:gridSpan w:val="2"/>
            <w:tcBorders>
              <w:bottom w:val="single" w:sz="8" w:space="0" w:color="auto"/>
            </w:tcBorders>
          </w:tcPr>
          <w:p w:rsidR="00146C7B" w:rsidRPr="00910DBB" w:rsidRDefault="00A833F9" w:rsidP="00910DBB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eastAsia="ja-JP"/>
              </w:rPr>
            </w:pPr>
            <w:r w:rsidRPr="00910DBB">
              <w:rPr>
                <w:rFonts w:asciiTheme="majorBidi" w:hAnsiTheme="majorBidi" w:cstheme="majorBidi"/>
                <w:sz w:val="24"/>
                <w:szCs w:val="24"/>
                <w:lang w:eastAsia="ja-JP"/>
              </w:rPr>
              <w:t>Discussion</w:t>
            </w:r>
          </w:p>
        </w:tc>
      </w:tr>
      <w:bookmarkEnd w:id="2"/>
      <w:tr w:rsidR="00146C7B" w:rsidRPr="00910DBB" w:rsidTr="00757B09">
        <w:trPr>
          <w:cantSplit/>
          <w:jc w:val="center"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46C7B" w:rsidRPr="00910DBB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910DB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63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46C7B" w:rsidRPr="00910DBB" w:rsidRDefault="00E26229" w:rsidP="00910DBB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910DB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Victor Manuel Martinez Vanegas</w:t>
            </w:r>
            <w:r w:rsidR="00CD4ABE" w:rsidRPr="00910DBB">
              <w:rPr>
                <w:rFonts w:asciiTheme="majorBidi" w:hAnsiTheme="majorBidi" w:cstheme="majorBidi"/>
                <w:sz w:val="24"/>
                <w:szCs w:val="24"/>
                <w:lang w:val="fr-CH"/>
              </w:rPr>
              <w:br/>
              <w:t>Rapporteur RG-S</w:t>
            </w:r>
            <w:r w:rsidRPr="00910DBB">
              <w:rPr>
                <w:rFonts w:asciiTheme="majorBidi" w:hAnsiTheme="majorBidi" w:cstheme="majorBidi"/>
                <w:sz w:val="24"/>
                <w:szCs w:val="24"/>
                <w:lang w:val="fr-CH"/>
              </w:rPr>
              <w:t>OP</w:t>
            </w:r>
          </w:p>
        </w:tc>
        <w:tc>
          <w:tcPr>
            <w:tcW w:w="4682" w:type="dxa"/>
            <w:tcBorders>
              <w:top w:val="single" w:sz="8" w:space="0" w:color="auto"/>
              <w:bottom w:val="single" w:sz="8" w:space="0" w:color="auto"/>
            </w:tcBorders>
          </w:tcPr>
          <w:p w:rsidR="00146C7B" w:rsidRPr="00910DBB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910DB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Tel:</w:t>
            </w:r>
            <w:r w:rsidRPr="00910DBB">
              <w:rPr>
                <w:rFonts w:asciiTheme="majorBidi" w:hAnsiTheme="majorBidi" w:cstheme="majorBidi"/>
                <w:sz w:val="24"/>
                <w:szCs w:val="24"/>
                <w:lang w:val="fr-FR"/>
              </w:rPr>
              <w:tab/>
            </w:r>
            <w:r w:rsidR="00E26229" w:rsidRPr="00910DB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+52 55 5015 4344</w:t>
            </w:r>
            <w:r w:rsidRPr="00910DBB">
              <w:rPr>
                <w:rFonts w:asciiTheme="majorBidi" w:hAnsiTheme="majorBidi" w:cstheme="majorBidi"/>
                <w:sz w:val="24"/>
                <w:szCs w:val="24"/>
                <w:lang w:val="fr-FR"/>
              </w:rPr>
              <w:br/>
              <w:t>E-mail:</w:t>
            </w:r>
            <w:r w:rsidR="00CD4ABE" w:rsidRPr="00910DBB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hyperlink r:id="rId9" w:history="1">
              <w:r w:rsidR="000E6A19" w:rsidRPr="00910DB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victor.martinezv@ift.org.mx</w:t>
              </w:r>
            </w:hyperlink>
          </w:p>
        </w:tc>
      </w:tr>
    </w:tbl>
    <w:p w:rsidR="00AA1FDC" w:rsidRPr="00910DBB" w:rsidRDefault="00AA1FDC" w:rsidP="00AA1FDC">
      <w:pPr>
        <w:spacing w:before="120" w:after="0"/>
        <w:rPr>
          <w:rFonts w:asciiTheme="majorBidi" w:hAnsiTheme="majorBidi" w:cstheme="majorBidi"/>
          <w:sz w:val="24"/>
          <w:szCs w:val="24"/>
          <w:lang w:val="fr-FR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8308"/>
      </w:tblGrid>
      <w:tr w:rsidR="00146C7B" w:rsidRPr="00910DBB" w:rsidTr="00757B09">
        <w:trPr>
          <w:cantSplit/>
          <w:jc w:val="center"/>
        </w:trPr>
        <w:tc>
          <w:tcPr>
            <w:tcW w:w="1615" w:type="dxa"/>
          </w:tcPr>
          <w:p w:rsidR="00146C7B" w:rsidRPr="00910DBB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10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308" w:type="dxa"/>
          </w:tcPr>
          <w:p w:rsidR="00146C7B" w:rsidRPr="00910DBB" w:rsidRDefault="00506C0E" w:rsidP="00910DBB">
            <w:pPr>
              <w:spacing w:before="120" w:after="100" w:afterAutospacing="1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10DBB">
              <w:rPr>
                <w:rFonts w:asciiTheme="majorBidi" w:hAnsiTheme="majorBidi" w:cstheme="majorBidi"/>
                <w:sz w:val="24"/>
                <w:szCs w:val="24"/>
              </w:rPr>
              <w:t>RG-S</w:t>
            </w:r>
            <w:r w:rsidR="00E26229" w:rsidRPr="00910DBB">
              <w:rPr>
                <w:rFonts w:asciiTheme="majorBidi" w:hAnsiTheme="majorBidi" w:cstheme="majorBidi"/>
                <w:sz w:val="24"/>
                <w:szCs w:val="24"/>
              </w:rPr>
              <w:t>OP</w:t>
            </w:r>
            <w:r w:rsidRPr="00910DBB">
              <w:rPr>
                <w:rFonts w:asciiTheme="majorBidi" w:hAnsiTheme="majorBidi" w:cstheme="majorBidi"/>
                <w:sz w:val="24"/>
                <w:szCs w:val="24"/>
              </w:rPr>
              <w:t xml:space="preserve"> agenda</w:t>
            </w:r>
            <w:r w:rsidR="006552C9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</w:tc>
      </w:tr>
      <w:tr w:rsidR="00146C7B" w:rsidRPr="00910DBB" w:rsidTr="00757B09">
        <w:trPr>
          <w:cantSplit/>
          <w:jc w:val="center"/>
        </w:trPr>
        <w:tc>
          <w:tcPr>
            <w:tcW w:w="1615" w:type="dxa"/>
          </w:tcPr>
          <w:p w:rsidR="00146C7B" w:rsidRPr="00910DBB" w:rsidRDefault="00146C7B" w:rsidP="00910DBB">
            <w:pPr>
              <w:spacing w:before="120" w:after="100" w:afterAutospacing="1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10D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tc>
          <w:tcPr>
            <w:tcW w:w="8308" w:type="dxa"/>
          </w:tcPr>
          <w:p w:rsidR="00146C7B" w:rsidRPr="00910DBB" w:rsidRDefault="00146C7B" w:rsidP="006552C9">
            <w:pPr>
              <w:spacing w:before="120" w:after="60"/>
              <w:rPr>
                <w:rFonts w:asciiTheme="majorBidi" w:hAnsiTheme="majorBidi" w:cstheme="majorBidi"/>
                <w:sz w:val="24"/>
                <w:szCs w:val="24"/>
              </w:rPr>
            </w:pPr>
            <w:r w:rsidRPr="00910DBB">
              <w:rPr>
                <w:rFonts w:asciiTheme="majorBidi" w:hAnsiTheme="majorBidi" w:cstheme="majorBidi"/>
                <w:sz w:val="24"/>
                <w:szCs w:val="24"/>
              </w:rPr>
              <w:t xml:space="preserve">This TD </w:t>
            </w:r>
            <w:r w:rsidR="00506C0E" w:rsidRPr="00910DBB">
              <w:rPr>
                <w:rFonts w:asciiTheme="majorBidi" w:hAnsiTheme="majorBidi" w:cstheme="majorBidi"/>
                <w:sz w:val="24"/>
                <w:szCs w:val="24"/>
              </w:rPr>
              <w:t>provides the draft ag</w:t>
            </w:r>
            <w:bookmarkStart w:id="3" w:name="_GoBack"/>
            <w:bookmarkEnd w:id="3"/>
            <w:r w:rsidR="00506C0E" w:rsidRPr="00910DBB">
              <w:rPr>
                <w:rFonts w:asciiTheme="majorBidi" w:hAnsiTheme="majorBidi" w:cstheme="majorBidi"/>
                <w:sz w:val="24"/>
                <w:szCs w:val="24"/>
              </w:rPr>
              <w:t>enda for RG-S</w:t>
            </w:r>
            <w:r w:rsidR="00E26229" w:rsidRPr="00910DBB">
              <w:rPr>
                <w:rFonts w:asciiTheme="majorBidi" w:hAnsiTheme="majorBidi" w:cstheme="majorBidi"/>
                <w:sz w:val="24"/>
                <w:szCs w:val="24"/>
              </w:rPr>
              <w:t>OP</w:t>
            </w:r>
            <w:r w:rsidR="00506C0E" w:rsidRPr="00910DBB">
              <w:rPr>
                <w:rFonts w:asciiTheme="majorBidi" w:hAnsiTheme="majorBidi" w:cstheme="majorBidi"/>
                <w:sz w:val="24"/>
                <w:szCs w:val="24"/>
              </w:rPr>
              <w:t xml:space="preserve"> meeting</w:t>
            </w:r>
            <w:r w:rsidR="00F24960" w:rsidRPr="00910DB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</w:tbl>
    <w:p w:rsidR="0007736C" w:rsidRDefault="0007736C" w:rsidP="00E26229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321"/>
        <w:gridCol w:w="2290"/>
        <w:gridCol w:w="850"/>
        <w:gridCol w:w="4962"/>
      </w:tblGrid>
      <w:tr w:rsidR="006864F5" w:rsidTr="007F2428">
        <w:trPr>
          <w:cantSplit/>
          <w:trHeight w:val="20"/>
          <w:jc w:val="center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4F5" w:rsidRPr="008D2BC6" w:rsidRDefault="006864F5" w:rsidP="006864F5">
            <w:pPr>
              <w:jc w:val="center"/>
              <w:rPr>
                <w:rFonts w:asciiTheme="majorBidi" w:eastAsia="SimSun" w:hAnsiTheme="majorBidi" w:cstheme="majorBidi"/>
                <w:b/>
                <w:sz w:val="20"/>
                <w:szCs w:val="20"/>
                <w:highlight w:val="yellow"/>
              </w:rPr>
            </w:pPr>
            <w:r w:rsidRPr="008D2BC6"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Timing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4F5" w:rsidRPr="008D2BC6" w:rsidRDefault="006864F5" w:rsidP="006864F5">
            <w:pPr>
              <w:jc w:val="center"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  <w:r w:rsidRPr="008D2BC6"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#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4F5" w:rsidRPr="008D2BC6" w:rsidRDefault="006864F5" w:rsidP="006864F5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8D2BC6"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Agenda Item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Pr="008D2BC6" w:rsidRDefault="006864F5" w:rsidP="006864F5">
            <w:pPr>
              <w:jc w:val="center"/>
              <w:rPr>
                <w:rFonts w:asciiTheme="majorBidi" w:eastAsia="SimSun" w:hAnsiTheme="majorBidi" w:cstheme="majorBidi"/>
                <w:sz w:val="20"/>
                <w:szCs w:val="20"/>
              </w:rPr>
            </w:pPr>
            <w:r w:rsidRPr="008D2BC6"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Docs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Pr="008D2BC6" w:rsidRDefault="006864F5" w:rsidP="006864F5">
            <w:pPr>
              <w:jc w:val="center"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  <w:r w:rsidRPr="008D2BC6"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Summary and Proposal</w:t>
            </w:r>
          </w:p>
        </w:tc>
      </w:tr>
      <w:tr w:rsidR="006864F5" w:rsidTr="007F2428">
        <w:trPr>
          <w:cantSplit/>
          <w:trHeight w:val="20"/>
          <w:jc w:val="center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Default="006864F5" w:rsidP="006864F5">
            <w:pPr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Wednesday</w:t>
            </w:r>
          </w:p>
          <w:p w:rsidR="006864F5" w:rsidRDefault="006864F5" w:rsidP="006864F5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1430-1545</w:t>
            </w: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Default="006864F5" w:rsidP="006864F5">
            <w:pPr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Default="006864F5" w:rsidP="006864F5">
            <w:pPr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TSAG Rapporteur Group on Strategic and Operational Plan (RG-SOP)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Default="006864F5" w:rsidP="006864F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Default="006864F5" w:rsidP="006864F5">
            <w:pPr>
              <w:spacing w:line="252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864F5" w:rsidTr="007F2428">
        <w:trPr>
          <w:cantSplit/>
          <w:trHeight w:val="20"/>
          <w:jc w:val="center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Default="006864F5" w:rsidP="006864F5">
            <w:pPr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Pr="0000102E" w:rsidRDefault="006864F5" w:rsidP="006864F5">
            <w:pPr>
              <w:contextualSpacing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  <w:r w:rsidRPr="0000102E"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1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Pr="008570F0" w:rsidRDefault="006864F5" w:rsidP="006864F5">
            <w:pPr>
              <w:tabs>
                <w:tab w:val="left" w:pos="720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70F0">
              <w:rPr>
                <w:rFonts w:ascii="Times New Roman" w:hAnsi="Times New Roman"/>
                <w:b/>
                <w:bCs/>
                <w:sz w:val="20"/>
                <w:szCs w:val="20"/>
              </w:rPr>
              <w:t>Opening and welcome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Default="006864F5" w:rsidP="006864F5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Default="006864F5" w:rsidP="006864F5">
            <w:pPr>
              <w:spacing w:line="252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864F5" w:rsidTr="007F2428">
        <w:trPr>
          <w:cantSplit/>
          <w:trHeight w:val="20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4F5" w:rsidRDefault="006864F5" w:rsidP="006864F5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4F5" w:rsidRPr="006864F5" w:rsidRDefault="006864F5" w:rsidP="006864F5">
            <w:pPr>
              <w:contextualSpacing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  <w:r w:rsidRPr="006864F5"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2</w:t>
            </w:r>
          </w:p>
          <w:p w:rsidR="006864F5" w:rsidRDefault="006864F5" w:rsidP="006864F5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4F5" w:rsidRPr="006864F5" w:rsidRDefault="006864F5" w:rsidP="006864F5">
            <w:pPr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70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Rapporteur, TSAG Rapporteur Group on </w:t>
            </w:r>
            <w:r w:rsidRPr="006864F5">
              <w:rPr>
                <w:rFonts w:ascii="Times New Roman" w:hAnsi="Times New Roman"/>
                <w:b/>
                <w:bCs/>
                <w:sz w:val="20"/>
                <w:szCs w:val="20"/>
              </w:rPr>
              <w:t>Strategic and Operational Plan</w:t>
            </w:r>
            <w:r w:rsidRPr="008570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draft agenda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4F5" w:rsidRPr="00802C74" w:rsidRDefault="00A20CF9" w:rsidP="00802C74">
            <w:pPr>
              <w:spacing w:line="252" w:lineRule="auto"/>
              <w:jc w:val="center"/>
              <w:rPr>
                <w:rStyle w:val="Hyperlink"/>
                <w:rFonts w:asciiTheme="majorBidi" w:hAnsiTheme="majorBidi" w:cstheme="majorBidi"/>
                <w:sz w:val="20"/>
                <w:szCs w:val="20"/>
              </w:rPr>
            </w:pPr>
            <w:r w:rsidRPr="00802C74">
              <w:rPr>
                <w:rFonts w:asciiTheme="majorBidi" w:eastAsia="Calibri" w:hAnsiTheme="majorBidi" w:cstheme="majorBidi"/>
                <w:sz w:val="20"/>
                <w:szCs w:val="20"/>
              </w:rPr>
              <w:t>TD130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4F5" w:rsidRPr="00E26229" w:rsidRDefault="006864F5" w:rsidP="008570F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8570F0">
              <w:rPr>
                <w:rFonts w:ascii="Times New Roman" w:hAnsi="Times New Roman"/>
                <w:sz w:val="20"/>
                <w:szCs w:val="20"/>
              </w:rPr>
              <w:t>This TD provides the draft agenda for RG-SOP meeting.</w:t>
            </w:r>
            <w:r w:rsidR="008570F0">
              <w:rPr>
                <w:rFonts w:ascii="Times New Roman" w:hAnsi="Times New Roman"/>
                <w:sz w:val="20"/>
                <w:szCs w:val="20"/>
              </w:rPr>
              <w:br/>
            </w:r>
            <w:r w:rsidRPr="008570F0">
              <w:rPr>
                <w:rFonts w:ascii="Times New Roman" w:hAnsi="Times New Roman"/>
                <w:sz w:val="20"/>
                <w:szCs w:val="20"/>
              </w:rPr>
              <w:t xml:space="preserve">RG-SOP </w:t>
            </w:r>
            <w:proofErr w:type="gramStart"/>
            <w:r w:rsidRPr="008570F0">
              <w:rPr>
                <w:rFonts w:ascii="Times New Roman" w:hAnsi="Times New Roman"/>
                <w:sz w:val="20"/>
                <w:szCs w:val="20"/>
              </w:rPr>
              <w:t>is invited</w:t>
            </w:r>
            <w:proofErr w:type="gramEnd"/>
            <w:r w:rsidRPr="008570F0">
              <w:rPr>
                <w:rFonts w:ascii="Times New Roman" w:hAnsi="Times New Roman"/>
                <w:sz w:val="20"/>
                <w:szCs w:val="20"/>
              </w:rPr>
              <w:t xml:space="preserve"> to adopt this agenda.</w:t>
            </w:r>
          </w:p>
        </w:tc>
      </w:tr>
      <w:tr w:rsidR="00CB6100" w:rsidTr="007F2428">
        <w:trPr>
          <w:cantSplit/>
          <w:trHeight w:val="20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contextualSpacing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6864F5" w:rsidRDefault="00CB6100" w:rsidP="00CB6100">
            <w:pPr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70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TSB Director: </w:t>
            </w:r>
            <w:r w:rsidRPr="0084245C">
              <w:rPr>
                <w:rFonts w:ascii="Times New Roman" w:hAnsi="Times New Roman"/>
                <w:b/>
                <w:bCs/>
                <w:sz w:val="20"/>
                <w:szCs w:val="20"/>
              </w:rPr>
              <w:t>Four-year Rolling Operational Plan for the General Secretariat for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8424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to 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336DE3" w:rsidRDefault="006552C9" w:rsidP="00CB6100">
            <w:pPr>
              <w:spacing w:line="252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10" w:history="1">
              <w:r w:rsidR="00CB6100" w:rsidRPr="00A4388A">
                <w:rPr>
                  <w:rStyle w:val="Hyperlink"/>
                  <w:rFonts w:asciiTheme="majorBidi" w:hAnsiTheme="majorBidi" w:cstheme="majorBidi"/>
                  <w:sz w:val="20"/>
                </w:rPr>
                <w:t>TD140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9E492B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9E492B">
              <w:rPr>
                <w:rFonts w:ascii="Times New Roman" w:hAnsi="Times New Roman"/>
                <w:sz w:val="20"/>
                <w:szCs w:val="20"/>
              </w:rPr>
              <w:t>This document presents the draft four-year rolling Operational Plan for the General Secretariat for the period 2019-2022.</w:t>
            </w:r>
          </w:p>
          <w:p w:rsidR="00CB6100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9E492B">
              <w:rPr>
                <w:rFonts w:ascii="Times New Roman" w:hAnsi="Times New Roman"/>
                <w:sz w:val="20"/>
                <w:szCs w:val="20"/>
              </w:rPr>
              <w:t>TSAG to review the draft Operational Plan for the General Secretariat for 2019-2022 according to Article 87A of the Convention (“this four-year operational plan shall be reviewed by the advisory groups of all three Sectors”).</w:t>
            </w:r>
          </w:p>
        </w:tc>
      </w:tr>
      <w:tr w:rsidR="00CB6100" w:rsidTr="007F2428">
        <w:trPr>
          <w:cantSplit/>
          <w:trHeight w:val="20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contextualSpacing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8570F0" w:rsidRDefault="00CB6100" w:rsidP="00CB6100">
            <w:pPr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70F0">
              <w:rPr>
                <w:rFonts w:ascii="Times New Roman" w:hAnsi="Times New Roman"/>
                <w:b/>
                <w:bCs/>
                <w:sz w:val="20"/>
                <w:szCs w:val="20"/>
              </w:rPr>
              <w:t>TSB Director: Draft Four-year Rolling Operational Plan for the Telecommunication Standardization Sector for 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8570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to 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336DE3" w:rsidRDefault="006552C9" w:rsidP="00CB6100">
            <w:pPr>
              <w:spacing w:line="252" w:lineRule="auto"/>
              <w:jc w:val="center"/>
              <w:rPr>
                <w:rStyle w:val="Hyperlink"/>
                <w:rFonts w:asciiTheme="majorBidi" w:hAnsiTheme="majorBidi" w:cstheme="majorBidi"/>
              </w:rPr>
            </w:pPr>
            <w:hyperlink r:id="rId11" w:history="1">
              <w:r w:rsidR="00CB6100" w:rsidRPr="00A4388A">
                <w:rPr>
                  <w:rStyle w:val="Hyperlink"/>
                  <w:rFonts w:asciiTheme="majorBidi" w:hAnsiTheme="majorBidi" w:cstheme="majorBidi"/>
                  <w:sz w:val="20"/>
                </w:rPr>
                <w:t>TD141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E492B">
              <w:rPr>
                <w:rFonts w:ascii="Times New Roman" w:hAnsi="Times New Roman"/>
                <w:sz w:val="20"/>
                <w:szCs w:val="20"/>
              </w:rPr>
              <w:t xml:space="preserve">TSAG </w:t>
            </w:r>
            <w:proofErr w:type="gramStart"/>
            <w:r w:rsidRPr="009E492B">
              <w:rPr>
                <w:rFonts w:ascii="Times New Roman" w:hAnsi="Times New Roman"/>
                <w:sz w:val="20"/>
                <w:szCs w:val="20"/>
              </w:rPr>
              <w:t>is invited</w:t>
            </w:r>
            <w:proofErr w:type="gramEnd"/>
            <w:r w:rsidRPr="009E492B">
              <w:rPr>
                <w:rFonts w:ascii="Times New Roman" w:hAnsi="Times New Roman"/>
                <w:sz w:val="20"/>
                <w:szCs w:val="20"/>
              </w:rPr>
              <w:t xml:space="preserve"> to review the draft four-year Operational Plan for the Telecommunication Standardization Sector for 2019-2022. The draft Operational Plan below is the document submitted to the Council meeting 17 - 27 April 2018.</w:t>
            </w:r>
          </w:p>
        </w:tc>
      </w:tr>
      <w:tr w:rsidR="00CB6100" w:rsidTr="007F2428">
        <w:trPr>
          <w:cantSplit/>
          <w:trHeight w:val="20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contextualSpacing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7D493C" w:rsidRDefault="00CB6100" w:rsidP="00CB6100">
            <w:pPr>
              <w:tabs>
                <w:tab w:val="left" w:pos="72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D493C">
              <w:rPr>
                <w:rFonts w:asciiTheme="majorBidi" w:hAnsiTheme="majorBidi" w:cstheme="majorBidi"/>
                <w:b/>
                <w:bCs/>
                <w:sz w:val="20"/>
              </w:rPr>
              <w:t>TSB Director: Draft Strategic and Financial Plans 2020-2023; outcome of 3rd meeting of Council Working Group for Strategic and Financial Plans 2020-2023 (CWG-SFP), 15-16 January 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6552C9" w:rsidP="00CB6100">
            <w:pPr>
              <w:spacing w:line="252" w:lineRule="auto"/>
              <w:jc w:val="center"/>
            </w:pPr>
            <w:hyperlink r:id="rId12" w:history="1">
              <w:r w:rsidR="00CB6100" w:rsidRPr="00A4388A">
                <w:rPr>
                  <w:rStyle w:val="Hyperlink"/>
                  <w:rFonts w:asciiTheme="majorBidi" w:hAnsiTheme="majorBidi" w:cstheme="majorBidi"/>
                  <w:sz w:val="20"/>
                </w:rPr>
                <w:t>TD252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4388A">
              <w:rPr>
                <w:sz w:val="20"/>
              </w:rPr>
              <w:t>Attached please find the draft Strategic and Financial Plans 2020-2023, which resulted from the 3</w:t>
            </w:r>
            <w:r w:rsidRPr="00A4388A">
              <w:rPr>
                <w:sz w:val="20"/>
                <w:vertAlign w:val="superscript"/>
              </w:rPr>
              <w:t>rd</w:t>
            </w:r>
            <w:r w:rsidRPr="00A4388A">
              <w:rPr>
                <w:sz w:val="20"/>
              </w:rPr>
              <w:t xml:space="preserve"> meeting of the CWG-SFP on 15-16 January 2018. The document </w:t>
            </w:r>
            <w:proofErr w:type="gramStart"/>
            <w:r w:rsidRPr="00A4388A">
              <w:rPr>
                <w:sz w:val="20"/>
              </w:rPr>
              <w:t>is also published</w:t>
            </w:r>
            <w:proofErr w:type="gramEnd"/>
            <w:r w:rsidRPr="00A4388A">
              <w:rPr>
                <w:sz w:val="20"/>
              </w:rPr>
              <w:t xml:space="preserve"> in the CWG-SFP under </w:t>
            </w:r>
            <w:hyperlink r:id="rId13" w:history="1">
              <w:r w:rsidRPr="00A4388A">
                <w:rPr>
                  <w:rStyle w:val="Hyperlink"/>
                  <w:sz w:val="20"/>
                </w:rPr>
                <w:t>https://www.itu.int/md/meetingdoc.asp?lang=en&amp;parent=S18-CLCWGSPF3-C-0005</w:t>
              </w:r>
            </w:hyperlink>
            <w:r w:rsidRPr="00A4388A">
              <w:rPr>
                <w:color w:val="1F497D"/>
                <w:sz w:val="20"/>
              </w:rPr>
              <w:t xml:space="preserve">. This text is currently also under </w:t>
            </w:r>
            <w:hyperlink r:id="rId14" w:history="1">
              <w:r w:rsidRPr="00A4388A">
                <w:rPr>
                  <w:rStyle w:val="Hyperlink"/>
                  <w:sz w:val="20"/>
                </w:rPr>
                <w:t>Public Consultation</w:t>
              </w:r>
            </w:hyperlink>
            <w:r w:rsidRPr="00A4388A">
              <w:rPr>
                <w:color w:val="1F497D"/>
                <w:sz w:val="20"/>
              </w:rPr>
              <w:t>.</w:t>
            </w:r>
          </w:p>
        </w:tc>
      </w:tr>
      <w:tr w:rsidR="00CB6100" w:rsidTr="007F2428">
        <w:trPr>
          <w:cantSplit/>
          <w:trHeight w:val="20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contextualSpacing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8570F0" w:rsidRDefault="00CB6100" w:rsidP="00CB6100">
            <w:pPr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1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Russian Federation: </w:t>
            </w:r>
            <w:r w:rsidRPr="00A20CF9">
              <w:rPr>
                <w:rFonts w:ascii="Times New Roman" w:hAnsi="Times New Roman"/>
                <w:b/>
                <w:bCs/>
                <w:sz w:val="20"/>
                <w:szCs w:val="20"/>
              </w:rPr>
              <w:t>Proposals to the draft four-year rolling Operational Plan for the Telecommunication Standardization Sector (ITU-T) for the period 2018-2021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6552C9" w:rsidP="00CB6100">
            <w:pPr>
              <w:spacing w:line="252" w:lineRule="auto"/>
              <w:jc w:val="center"/>
            </w:pPr>
            <w:hyperlink r:id="rId15" w:history="1">
              <w:r w:rsidR="00CB6100" w:rsidRPr="00A4388A">
                <w:rPr>
                  <w:rStyle w:val="Hyperlink"/>
                  <w:rFonts w:asciiTheme="majorBidi" w:hAnsiTheme="majorBidi" w:cstheme="majorBidi"/>
                  <w:sz w:val="20"/>
                </w:rPr>
                <w:t>C40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A20CF9" w:rsidRDefault="00CB6100" w:rsidP="00CB6100">
            <w:pPr>
              <w:tabs>
                <w:tab w:val="left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A20CF9">
              <w:rPr>
                <w:rFonts w:ascii="Times New Roman" w:hAnsi="Times New Roman"/>
                <w:sz w:val="20"/>
                <w:szCs w:val="20"/>
              </w:rPr>
              <w:t xml:space="preserve">The document proposes to consider modifications to the draft four-year rolling Operational Plan for the ITU-T for 2018-2021. The contribution proposes to supplement the assessment of the T.2 outcomes with a new outcome indicator –Level of delegates’ satisfaction with interpretation at the SG meetings, WP meetings, Regional Group meetings and workshops, which </w:t>
            </w:r>
            <w:proofErr w:type="gramStart"/>
            <w:r w:rsidRPr="00A20CF9">
              <w:rPr>
                <w:rFonts w:ascii="Times New Roman" w:hAnsi="Times New Roman"/>
                <w:sz w:val="20"/>
                <w:szCs w:val="20"/>
              </w:rPr>
              <w:t>could be measured</w:t>
            </w:r>
            <w:proofErr w:type="gramEnd"/>
            <w:r w:rsidRPr="00A20CF9">
              <w:rPr>
                <w:rFonts w:ascii="Times New Roman" w:hAnsi="Times New Roman"/>
                <w:sz w:val="20"/>
                <w:szCs w:val="20"/>
              </w:rPr>
              <w:t xml:space="preserve"> through questionnaire survey for the participants of events where interpretation was provided.</w:t>
            </w:r>
          </w:p>
          <w:p w:rsidR="00CB6100" w:rsidRPr="00FA0567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20CF9">
              <w:rPr>
                <w:rFonts w:ascii="Times New Roman" w:hAnsi="Times New Roman"/>
                <w:sz w:val="20"/>
                <w:szCs w:val="20"/>
              </w:rPr>
              <w:t>Russian Federation invites TSAG to consider modifications to the draft four-year rolling ITU-T Operational Plan for 2018-2021 provided in the Annex to this Document.</w:t>
            </w:r>
          </w:p>
        </w:tc>
      </w:tr>
      <w:tr w:rsidR="00CB6100" w:rsidTr="007F2428">
        <w:trPr>
          <w:cantSplit/>
          <w:trHeight w:val="20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contextualSpacing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8570F0" w:rsidRDefault="00CB6100" w:rsidP="00CB6100">
            <w:pPr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0CF9">
              <w:rPr>
                <w:rFonts w:ascii="Times New Roman" w:hAnsi="Times New Roman"/>
                <w:b/>
                <w:bCs/>
                <w:sz w:val="20"/>
                <w:szCs w:val="20"/>
              </w:rPr>
              <w:t>United States of America: Proposed edits to revised draft Annex 1 to Res. 71: ITU Strategic Plan 2020-2023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6552C9" w:rsidP="00CB6100">
            <w:pPr>
              <w:spacing w:line="252" w:lineRule="auto"/>
              <w:jc w:val="center"/>
            </w:pPr>
            <w:hyperlink r:id="rId16" w:history="1">
              <w:r w:rsidR="00CB6100" w:rsidRPr="00A4388A">
                <w:rPr>
                  <w:rStyle w:val="Hyperlink"/>
                  <w:rFonts w:asciiTheme="majorBidi" w:hAnsiTheme="majorBidi" w:cstheme="majorBidi"/>
                  <w:sz w:val="20"/>
                </w:rPr>
                <w:t>C45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A20CF9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20CF9">
              <w:rPr>
                <w:rFonts w:ascii="Times New Roman" w:hAnsi="Times New Roman"/>
                <w:sz w:val="20"/>
                <w:szCs w:val="20"/>
              </w:rPr>
              <w:t xml:space="preserve">The United States proposes several edits to the ITU-T sections of the revised draft Annex 1 to Res. 71: ITU Strategic Plan 2020-2023, including the deletion of the term “non-discriminatory” from the phrase “non-discriminatory international standards,” and encourages TSAG </w:t>
            </w:r>
            <w:proofErr w:type="gramStart"/>
            <w:r w:rsidRPr="00A20CF9">
              <w:rPr>
                <w:rFonts w:ascii="Times New Roman" w:hAnsi="Times New Roman"/>
                <w:sz w:val="20"/>
                <w:szCs w:val="20"/>
              </w:rPr>
              <w:t>to carefully consider</w:t>
            </w:r>
            <w:proofErr w:type="gramEnd"/>
            <w:r w:rsidRPr="00A20CF9">
              <w:rPr>
                <w:rFonts w:ascii="Times New Roman" w:hAnsi="Times New Roman"/>
                <w:sz w:val="20"/>
                <w:szCs w:val="20"/>
              </w:rPr>
              <w:t xml:space="preserve"> the division of responsibilities between ITU-T and ITU-D as reflected in the draft text.</w:t>
            </w:r>
          </w:p>
          <w:p w:rsidR="00CB6100" w:rsidRPr="00A20CF9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20CF9">
              <w:rPr>
                <w:rFonts w:ascii="Times New Roman" w:hAnsi="Times New Roman"/>
                <w:sz w:val="20"/>
                <w:szCs w:val="20"/>
              </w:rPr>
              <w:t>The United States proposes the deletion of the bracketed term “non-discriminatory” from the phrase “non-discriminatory international standards” (in ITU-T Objectives T.1 and T.2 on pg. 7 and in Table 6 on pgs. 10-11).</w:t>
            </w:r>
          </w:p>
          <w:p w:rsidR="00CB6100" w:rsidRPr="00FA0567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A20CF9">
              <w:rPr>
                <w:rFonts w:ascii="Times New Roman" w:hAnsi="Times New Roman"/>
                <w:sz w:val="20"/>
                <w:szCs w:val="20"/>
              </w:rPr>
              <w:t>The United States would welcome further discussion in TSAG on the unresolved item identified in fn. 4, pg. 11 (“clarification to be added regarding the work in ITU-T and ITU-D”), in order to ensure that the ITU Strategic Plan accurately reflects the appropriate division of responsibilities between ITU-T and ITU-D with respect to capacity-building work on bridging the standardization gap.</w:t>
            </w:r>
          </w:p>
        </w:tc>
      </w:tr>
      <w:tr w:rsidR="00CB6100" w:rsidTr="007F2428">
        <w:trPr>
          <w:cantSplit/>
          <w:trHeight w:val="20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contextualSpacing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00102E" w:rsidRDefault="00CB6100" w:rsidP="00CB6100">
            <w:pPr>
              <w:tabs>
                <w:tab w:val="left" w:pos="72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102E">
              <w:rPr>
                <w:rFonts w:asciiTheme="majorBidi" w:hAnsiTheme="majorBidi" w:cstheme="majorBidi"/>
                <w:b/>
                <w:sz w:val="20"/>
                <w:szCs w:val="20"/>
              </w:rPr>
              <w:t>AOB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jc w:val="center"/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6100" w:rsidTr="007F2428">
        <w:trPr>
          <w:cantSplit/>
          <w:trHeight w:val="20"/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AD15FE" w:rsidRDefault="00CB6100" w:rsidP="00CB6100">
            <w:pPr>
              <w:contextualSpacing/>
              <w:rPr>
                <w:rFonts w:asciiTheme="majorBidi" w:eastAsia="SimSun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  <w:szCs w:val="20"/>
              </w:rPr>
              <w:t>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Pr="0000102E" w:rsidRDefault="00CB6100" w:rsidP="00CB6100">
            <w:pPr>
              <w:tabs>
                <w:tab w:val="left" w:pos="72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00102E">
              <w:rPr>
                <w:rFonts w:asciiTheme="majorBidi" w:hAnsiTheme="majorBidi" w:cstheme="majorBidi"/>
                <w:b/>
                <w:sz w:val="20"/>
                <w:szCs w:val="20"/>
              </w:rPr>
              <w:t>Closure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of the meeting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100" w:rsidRDefault="00CB6100" w:rsidP="00CB6100">
            <w:pPr>
              <w:spacing w:line="252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7F493D" w:rsidRPr="00CD4ABE" w:rsidRDefault="00910DBB" w:rsidP="00CD4ABE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kern w:val="36"/>
          <w:sz w:val="24"/>
          <w:szCs w:val="24"/>
        </w:rPr>
        <w:br/>
      </w:r>
      <w:r w:rsidR="007F493D" w:rsidRPr="00CD4ABE">
        <w:rPr>
          <w:rFonts w:asciiTheme="majorBidi" w:eastAsia="Times New Roman" w:hAnsiTheme="majorBidi" w:cstheme="majorBidi"/>
          <w:kern w:val="36"/>
          <w:sz w:val="24"/>
          <w:szCs w:val="24"/>
        </w:rPr>
        <w:t>______</w:t>
      </w:r>
      <w:r w:rsidR="005D26D5">
        <w:rPr>
          <w:rFonts w:asciiTheme="majorBidi" w:eastAsia="Times New Roman" w:hAnsiTheme="majorBidi" w:cstheme="majorBidi"/>
          <w:kern w:val="36"/>
          <w:sz w:val="24"/>
          <w:szCs w:val="24"/>
        </w:rPr>
        <w:t>_______________</w:t>
      </w:r>
    </w:p>
    <w:sectPr w:rsidR="007F493D" w:rsidRPr="00CD4ABE" w:rsidSect="005D26D5">
      <w:headerReference w:type="default" r:id="rId17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21B" w:rsidRDefault="0059221B" w:rsidP="005D26D5">
      <w:pPr>
        <w:spacing w:after="0" w:line="240" w:lineRule="auto"/>
      </w:pPr>
      <w:r>
        <w:separator/>
      </w:r>
    </w:p>
  </w:endnote>
  <w:endnote w:type="continuationSeparator" w:id="0">
    <w:p w:rsidR="0059221B" w:rsidRDefault="0059221B" w:rsidP="005D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21B" w:rsidRDefault="0059221B" w:rsidP="005D26D5">
      <w:pPr>
        <w:spacing w:after="0" w:line="240" w:lineRule="auto"/>
      </w:pPr>
      <w:r>
        <w:separator/>
      </w:r>
    </w:p>
  </w:footnote>
  <w:footnote w:type="continuationSeparator" w:id="0">
    <w:p w:rsidR="0059221B" w:rsidRDefault="0059221B" w:rsidP="005D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466877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  <w:sz w:val="18"/>
        <w:szCs w:val="18"/>
      </w:rPr>
    </w:sdtEndPr>
    <w:sdtContent>
      <w:p w:rsidR="00A17406" w:rsidRPr="005D26D5" w:rsidRDefault="00A17406" w:rsidP="00243CBF">
        <w:pPr>
          <w:pStyle w:val="Header"/>
          <w:jc w:val="center"/>
          <w:rPr>
            <w:rFonts w:asciiTheme="majorBidi" w:hAnsiTheme="majorBidi" w:cstheme="majorBidi"/>
            <w:sz w:val="18"/>
            <w:szCs w:val="18"/>
          </w:rPr>
        </w:pPr>
        <w:r w:rsidRPr="005D26D5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5D26D5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5D26D5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C740F8">
          <w:rPr>
            <w:rFonts w:asciiTheme="majorBidi" w:hAnsiTheme="majorBidi" w:cstheme="majorBidi"/>
            <w:noProof/>
            <w:sz w:val="18"/>
            <w:szCs w:val="18"/>
          </w:rPr>
          <w:t>- 2 -</w:t>
        </w:r>
        <w:r w:rsidRPr="005D26D5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  <w:r w:rsidR="00910DBB">
          <w:rPr>
            <w:rFonts w:asciiTheme="majorBidi" w:hAnsiTheme="majorBidi" w:cstheme="majorBidi"/>
            <w:noProof/>
            <w:sz w:val="18"/>
            <w:szCs w:val="18"/>
          </w:rPr>
          <w:br/>
          <w:t>T</w:t>
        </w:r>
        <w:r w:rsidR="00243CBF">
          <w:rPr>
            <w:rFonts w:asciiTheme="majorBidi" w:hAnsiTheme="majorBidi" w:cstheme="majorBidi"/>
            <w:noProof/>
            <w:sz w:val="18"/>
            <w:szCs w:val="18"/>
          </w:rPr>
          <w:t>SAG-T</w:t>
        </w:r>
        <w:r w:rsidR="00910DBB">
          <w:rPr>
            <w:rFonts w:asciiTheme="majorBidi" w:hAnsiTheme="majorBidi" w:cstheme="majorBidi"/>
            <w:noProof/>
            <w:sz w:val="18"/>
            <w:szCs w:val="18"/>
          </w:rPr>
          <w:t>D</w:t>
        </w:r>
        <w:r w:rsidR="00243CBF">
          <w:rPr>
            <w:rFonts w:asciiTheme="majorBidi" w:hAnsiTheme="majorBidi" w:cstheme="majorBidi"/>
            <w:noProof/>
            <w:sz w:val="18"/>
            <w:szCs w:val="18"/>
          </w:rPr>
          <w:t>130</w:t>
        </w:r>
      </w:p>
    </w:sdtContent>
  </w:sdt>
  <w:p w:rsidR="00A17406" w:rsidRDefault="00A17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E70"/>
    <w:multiLevelType w:val="multilevel"/>
    <w:tmpl w:val="692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22E0A"/>
    <w:multiLevelType w:val="hybridMultilevel"/>
    <w:tmpl w:val="C81C8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B7964"/>
    <w:multiLevelType w:val="multilevel"/>
    <w:tmpl w:val="619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B1D66"/>
    <w:multiLevelType w:val="multilevel"/>
    <w:tmpl w:val="0C6864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9B7DFF"/>
    <w:multiLevelType w:val="hybridMultilevel"/>
    <w:tmpl w:val="FE36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D0D9C"/>
    <w:multiLevelType w:val="multilevel"/>
    <w:tmpl w:val="8CBC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24FA9"/>
    <w:multiLevelType w:val="multilevel"/>
    <w:tmpl w:val="8132E2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3706A7"/>
    <w:multiLevelType w:val="hybridMultilevel"/>
    <w:tmpl w:val="16004A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E22D54"/>
    <w:multiLevelType w:val="hybridMultilevel"/>
    <w:tmpl w:val="9E9649AC"/>
    <w:lvl w:ilvl="0" w:tplc="C13804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4673054"/>
    <w:multiLevelType w:val="hybridMultilevel"/>
    <w:tmpl w:val="5D96BD14"/>
    <w:lvl w:ilvl="0" w:tplc="E7FC5D7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75E7B56"/>
    <w:multiLevelType w:val="hybridMultilevel"/>
    <w:tmpl w:val="E70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A5C47"/>
    <w:multiLevelType w:val="hybridMultilevel"/>
    <w:tmpl w:val="D48A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2F5855"/>
    <w:multiLevelType w:val="hybridMultilevel"/>
    <w:tmpl w:val="1CCAC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3280A"/>
    <w:multiLevelType w:val="hybridMultilevel"/>
    <w:tmpl w:val="8140D9E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68BA683C"/>
    <w:multiLevelType w:val="hybridMultilevel"/>
    <w:tmpl w:val="07A4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103F3"/>
    <w:multiLevelType w:val="multilevel"/>
    <w:tmpl w:val="803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1A520B"/>
    <w:multiLevelType w:val="multilevel"/>
    <w:tmpl w:val="7B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583FDF"/>
    <w:multiLevelType w:val="multilevel"/>
    <w:tmpl w:val="06065C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1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7"/>
  </w:num>
  <w:num w:numId="17">
    <w:abstractNumId w:val="19"/>
  </w:num>
  <w:num w:numId="18">
    <w:abstractNumId w:val="21"/>
  </w:num>
  <w:num w:numId="19">
    <w:abstractNumId w:val="0"/>
  </w:num>
  <w:num w:numId="20">
    <w:abstractNumId w:val="1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9"/>
    <w:rsid w:val="0000102E"/>
    <w:rsid w:val="00033F67"/>
    <w:rsid w:val="00044A3E"/>
    <w:rsid w:val="0007736C"/>
    <w:rsid w:val="00084C1B"/>
    <w:rsid w:val="00085FAC"/>
    <w:rsid w:val="000E51C1"/>
    <w:rsid w:val="000E6A19"/>
    <w:rsid w:val="00113203"/>
    <w:rsid w:val="0012773A"/>
    <w:rsid w:val="001311C2"/>
    <w:rsid w:val="00144E51"/>
    <w:rsid w:val="00146C7B"/>
    <w:rsid w:val="001470E7"/>
    <w:rsid w:val="0016141C"/>
    <w:rsid w:val="00162AAB"/>
    <w:rsid w:val="001A5CA2"/>
    <w:rsid w:val="001C1603"/>
    <w:rsid w:val="001C70EC"/>
    <w:rsid w:val="001F42C5"/>
    <w:rsid w:val="00217FE5"/>
    <w:rsid w:val="0022429C"/>
    <w:rsid w:val="00230DE2"/>
    <w:rsid w:val="00243CBF"/>
    <w:rsid w:val="00281C95"/>
    <w:rsid w:val="00285319"/>
    <w:rsid w:val="00291743"/>
    <w:rsid w:val="00291D86"/>
    <w:rsid w:val="002C23E3"/>
    <w:rsid w:val="002F1334"/>
    <w:rsid w:val="00307193"/>
    <w:rsid w:val="00336DE3"/>
    <w:rsid w:val="00346DE5"/>
    <w:rsid w:val="003A64F7"/>
    <w:rsid w:val="003A7828"/>
    <w:rsid w:val="003C0319"/>
    <w:rsid w:val="003C1B79"/>
    <w:rsid w:val="003C5154"/>
    <w:rsid w:val="003D6872"/>
    <w:rsid w:val="003E0C41"/>
    <w:rsid w:val="003E14B3"/>
    <w:rsid w:val="00430EC6"/>
    <w:rsid w:val="00442F89"/>
    <w:rsid w:val="004437FB"/>
    <w:rsid w:val="00450E24"/>
    <w:rsid w:val="00456069"/>
    <w:rsid w:val="00456089"/>
    <w:rsid w:val="00472C68"/>
    <w:rsid w:val="004856AC"/>
    <w:rsid w:val="004D24AF"/>
    <w:rsid w:val="004D6090"/>
    <w:rsid w:val="004F0ABD"/>
    <w:rsid w:val="00506C0E"/>
    <w:rsid w:val="00523B0E"/>
    <w:rsid w:val="00525F34"/>
    <w:rsid w:val="005266B3"/>
    <w:rsid w:val="00541E79"/>
    <w:rsid w:val="00545E1A"/>
    <w:rsid w:val="00550292"/>
    <w:rsid w:val="00586C56"/>
    <w:rsid w:val="0059221B"/>
    <w:rsid w:val="005930F3"/>
    <w:rsid w:val="005D26D5"/>
    <w:rsid w:val="005D2D9A"/>
    <w:rsid w:val="00621C4D"/>
    <w:rsid w:val="00631A92"/>
    <w:rsid w:val="00635B32"/>
    <w:rsid w:val="00647EE2"/>
    <w:rsid w:val="006552C9"/>
    <w:rsid w:val="00685B8C"/>
    <w:rsid w:val="006864F5"/>
    <w:rsid w:val="006A7A43"/>
    <w:rsid w:val="006B3403"/>
    <w:rsid w:val="006B4A2A"/>
    <w:rsid w:val="006E7463"/>
    <w:rsid w:val="007262D3"/>
    <w:rsid w:val="00757B09"/>
    <w:rsid w:val="00762C91"/>
    <w:rsid w:val="00770DBD"/>
    <w:rsid w:val="007748F2"/>
    <w:rsid w:val="007A33E2"/>
    <w:rsid w:val="007B4D85"/>
    <w:rsid w:val="007C36AF"/>
    <w:rsid w:val="007D493C"/>
    <w:rsid w:val="007F2428"/>
    <w:rsid w:val="007F493D"/>
    <w:rsid w:val="00802C74"/>
    <w:rsid w:val="00803A91"/>
    <w:rsid w:val="00817CA9"/>
    <w:rsid w:val="008376A7"/>
    <w:rsid w:val="0084245C"/>
    <w:rsid w:val="008570F0"/>
    <w:rsid w:val="008654CD"/>
    <w:rsid w:val="008947EB"/>
    <w:rsid w:val="008A6BE0"/>
    <w:rsid w:val="008C1B4E"/>
    <w:rsid w:val="008D2BC6"/>
    <w:rsid w:val="008E5F5E"/>
    <w:rsid w:val="008F7C3C"/>
    <w:rsid w:val="00910DBB"/>
    <w:rsid w:val="009357CB"/>
    <w:rsid w:val="00946075"/>
    <w:rsid w:val="009462B9"/>
    <w:rsid w:val="00955BDD"/>
    <w:rsid w:val="00962211"/>
    <w:rsid w:val="009B3C12"/>
    <w:rsid w:val="009D142F"/>
    <w:rsid w:val="009D4B36"/>
    <w:rsid w:val="009E1BC8"/>
    <w:rsid w:val="009E492B"/>
    <w:rsid w:val="009E6A56"/>
    <w:rsid w:val="009E754D"/>
    <w:rsid w:val="009F2AB7"/>
    <w:rsid w:val="00A02CA4"/>
    <w:rsid w:val="00A13040"/>
    <w:rsid w:val="00A132C2"/>
    <w:rsid w:val="00A17406"/>
    <w:rsid w:val="00A20326"/>
    <w:rsid w:val="00A20CF9"/>
    <w:rsid w:val="00A26513"/>
    <w:rsid w:val="00A344C6"/>
    <w:rsid w:val="00A429C8"/>
    <w:rsid w:val="00A833F9"/>
    <w:rsid w:val="00A91372"/>
    <w:rsid w:val="00A92BAE"/>
    <w:rsid w:val="00AA1FDC"/>
    <w:rsid w:val="00AA674E"/>
    <w:rsid w:val="00AC3668"/>
    <w:rsid w:val="00AD15FE"/>
    <w:rsid w:val="00B03AF5"/>
    <w:rsid w:val="00B14782"/>
    <w:rsid w:val="00B236B4"/>
    <w:rsid w:val="00B31961"/>
    <w:rsid w:val="00B322C3"/>
    <w:rsid w:val="00B56169"/>
    <w:rsid w:val="00B75880"/>
    <w:rsid w:val="00B841C7"/>
    <w:rsid w:val="00BD0344"/>
    <w:rsid w:val="00BE179B"/>
    <w:rsid w:val="00BE5A78"/>
    <w:rsid w:val="00C04BC1"/>
    <w:rsid w:val="00C07447"/>
    <w:rsid w:val="00C210EC"/>
    <w:rsid w:val="00C54A4B"/>
    <w:rsid w:val="00C60B25"/>
    <w:rsid w:val="00C60C33"/>
    <w:rsid w:val="00C61E3F"/>
    <w:rsid w:val="00C740F8"/>
    <w:rsid w:val="00C8414E"/>
    <w:rsid w:val="00C857BC"/>
    <w:rsid w:val="00C85BFD"/>
    <w:rsid w:val="00CB6100"/>
    <w:rsid w:val="00CD2791"/>
    <w:rsid w:val="00CD4ABE"/>
    <w:rsid w:val="00CE06E1"/>
    <w:rsid w:val="00CF2579"/>
    <w:rsid w:val="00D271B1"/>
    <w:rsid w:val="00D6487B"/>
    <w:rsid w:val="00D6513F"/>
    <w:rsid w:val="00D70645"/>
    <w:rsid w:val="00DB7920"/>
    <w:rsid w:val="00DC2B3E"/>
    <w:rsid w:val="00DC49FD"/>
    <w:rsid w:val="00DC4B94"/>
    <w:rsid w:val="00DD30E4"/>
    <w:rsid w:val="00DE20A9"/>
    <w:rsid w:val="00DE2787"/>
    <w:rsid w:val="00DF1A29"/>
    <w:rsid w:val="00DF2F8B"/>
    <w:rsid w:val="00E0346A"/>
    <w:rsid w:val="00E12CE6"/>
    <w:rsid w:val="00E157BD"/>
    <w:rsid w:val="00E15BF2"/>
    <w:rsid w:val="00E26229"/>
    <w:rsid w:val="00E35903"/>
    <w:rsid w:val="00E52541"/>
    <w:rsid w:val="00E57E4D"/>
    <w:rsid w:val="00E73E6B"/>
    <w:rsid w:val="00E76BA0"/>
    <w:rsid w:val="00E96A34"/>
    <w:rsid w:val="00EC2500"/>
    <w:rsid w:val="00EC62EE"/>
    <w:rsid w:val="00EE2405"/>
    <w:rsid w:val="00F12647"/>
    <w:rsid w:val="00F15BF4"/>
    <w:rsid w:val="00F24960"/>
    <w:rsid w:val="00F41DF2"/>
    <w:rsid w:val="00F53A2F"/>
    <w:rsid w:val="00F579A3"/>
    <w:rsid w:val="00F942CB"/>
    <w:rsid w:val="00FA0567"/>
    <w:rsid w:val="00FC4A5C"/>
    <w:rsid w:val="00FD5CB0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3471B"/>
  <w15:chartTrackingRefBased/>
  <w15:docId w15:val="{5DE3ECD4-BA95-498F-A10F-9B587912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6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aliases w:val="超级链接,超?级链,CEO_Hyperlink"/>
    <w:basedOn w:val="DefaultParagraphFont"/>
    <w:uiPriority w:val="99"/>
    <w:unhideWhenUsed/>
    <w:rsid w:val="009462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462B9"/>
    <w:rPr>
      <w:i/>
      <w:iCs/>
    </w:rPr>
  </w:style>
  <w:style w:type="character" w:styleId="Strong">
    <w:name w:val="Strong"/>
    <w:basedOn w:val="DefaultParagraphFont"/>
    <w:uiPriority w:val="22"/>
    <w:qFormat/>
    <w:rsid w:val="009462B9"/>
    <w:rPr>
      <w:b/>
      <w:bCs/>
    </w:rPr>
  </w:style>
  <w:style w:type="table" w:styleId="TableGrid">
    <w:name w:val="Table Grid"/>
    <w:basedOn w:val="TableNormal"/>
    <w:uiPriority w:val="39"/>
    <w:rsid w:val="00B3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2651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3F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Default">
    <w:name w:val="Default"/>
    <w:rsid w:val="003A782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6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D2BC6"/>
  </w:style>
  <w:style w:type="paragraph" w:styleId="Header">
    <w:name w:val="header"/>
    <w:basedOn w:val="Normal"/>
    <w:link w:val="HeaderChar"/>
    <w:uiPriority w:val="99"/>
    <w:unhideWhenUsed/>
    <w:rsid w:val="005D2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D5"/>
  </w:style>
  <w:style w:type="paragraph" w:styleId="Footer">
    <w:name w:val="footer"/>
    <w:basedOn w:val="Normal"/>
    <w:link w:val="FooterChar"/>
    <w:uiPriority w:val="99"/>
    <w:unhideWhenUsed/>
    <w:rsid w:val="005D26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D5"/>
  </w:style>
  <w:style w:type="character" w:styleId="FollowedHyperlink">
    <w:name w:val="FollowedHyperlink"/>
    <w:basedOn w:val="DefaultParagraphFont"/>
    <w:uiPriority w:val="99"/>
    <w:semiHidden/>
    <w:unhideWhenUsed/>
    <w:rsid w:val="00621C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6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tu.int/md/meetingdoc.asp?lang=en&amp;parent=S18-CLCWGSPF3-C-000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meetingdoc.asp?lang=en&amp;parent=T17-TSAG-180226-TD-GEN-025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C-00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meetingdoc.asp?lang=en&amp;parent=T17-TSAG-180226-TD-GEN-01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meetingdoc.asp?lang=en&amp;parent=T17-TSAG-C-0040" TargetMode="External"/><Relationship Id="rId10" Type="http://schemas.openxmlformats.org/officeDocument/2006/relationships/hyperlink" Target="https://www.itu.int/md/meetingdoc.asp?lang=en&amp;parent=T17-TSAG-180226-TD-GEN-01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ctor.martinezv@ift.org.mx" TargetMode="External"/><Relationship Id="rId14" Type="http://schemas.openxmlformats.org/officeDocument/2006/relationships/hyperlink" Target="https://www.itu.int/en/council/CWG-SFP-2020-2023/Pages/second-public-consult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7500-3CC8-4DF3-805B-B333459F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5</cp:revision>
  <cp:lastPrinted>2017-04-28T08:40:00Z</cp:lastPrinted>
  <dcterms:created xsi:type="dcterms:W3CDTF">2018-02-26T14:35:00Z</dcterms:created>
  <dcterms:modified xsi:type="dcterms:W3CDTF">2018-02-26T14:39:00Z</dcterms:modified>
</cp:coreProperties>
</file>