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F26D5" w:rsidTr="00C63F6D">
        <w:trPr>
          <w:cantSplit/>
        </w:trPr>
        <w:tc>
          <w:tcPr>
            <w:tcW w:w="1190" w:type="dxa"/>
            <w:vMerge w:val="restart"/>
          </w:tcPr>
          <w:p w:rsidR="00D55AF9" w:rsidRPr="004F26D5" w:rsidRDefault="00D55AF9" w:rsidP="00C63F6D">
            <w:pPr>
              <w:rPr>
                <w:rFonts w:eastAsiaTheme="minorEastAsia"/>
                <w:sz w:val="20"/>
                <w:lang w:eastAsia="ja-JP"/>
              </w:rPr>
            </w:pPr>
            <w:bookmarkStart w:id="0" w:name="_GoBack"/>
            <w:bookmarkEnd w:id="0"/>
            <w:r w:rsidRPr="004F26D5">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F26D5" w:rsidRDefault="00D55AF9" w:rsidP="00C63F6D">
            <w:pPr>
              <w:rPr>
                <w:rFonts w:eastAsiaTheme="minorEastAsia"/>
                <w:sz w:val="16"/>
                <w:szCs w:val="16"/>
                <w:lang w:eastAsia="ja-JP"/>
              </w:rPr>
            </w:pPr>
            <w:r w:rsidRPr="004F26D5">
              <w:rPr>
                <w:rFonts w:eastAsiaTheme="minorEastAsia"/>
                <w:sz w:val="16"/>
                <w:szCs w:val="16"/>
                <w:lang w:eastAsia="ja-JP"/>
              </w:rPr>
              <w:t>INTERNATIONAL TELECOMMUNICATION UNION</w:t>
            </w:r>
          </w:p>
          <w:p w:rsidR="00D55AF9" w:rsidRPr="004F26D5" w:rsidRDefault="00D55AF9" w:rsidP="00C63F6D">
            <w:pPr>
              <w:rPr>
                <w:rFonts w:eastAsiaTheme="minorEastAsia"/>
                <w:b/>
                <w:bCs/>
                <w:sz w:val="26"/>
                <w:szCs w:val="26"/>
                <w:lang w:eastAsia="ja-JP"/>
              </w:rPr>
            </w:pPr>
            <w:r w:rsidRPr="004F26D5">
              <w:rPr>
                <w:rFonts w:eastAsiaTheme="minorEastAsia"/>
                <w:b/>
                <w:bCs/>
                <w:sz w:val="26"/>
                <w:szCs w:val="26"/>
                <w:lang w:eastAsia="ja-JP"/>
              </w:rPr>
              <w:t>TELECOMMUNICATION</w:t>
            </w:r>
            <w:r w:rsidRPr="004F26D5">
              <w:rPr>
                <w:rFonts w:eastAsiaTheme="minorEastAsia"/>
                <w:b/>
                <w:bCs/>
                <w:sz w:val="26"/>
                <w:szCs w:val="26"/>
                <w:lang w:eastAsia="ja-JP"/>
              </w:rPr>
              <w:br/>
              <w:t>STANDARDIZATION SECTOR</w:t>
            </w:r>
          </w:p>
          <w:p w:rsidR="00D55AF9" w:rsidRPr="004F26D5" w:rsidRDefault="00D55AF9" w:rsidP="00C63F6D">
            <w:pPr>
              <w:rPr>
                <w:rFonts w:eastAsiaTheme="minorEastAsia"/>
                <w:sz w:val="20"/>
                <w:lang w:eastAsia="ja-JP"/>
              </w:rPr>
            </w:pPr>
            <w:r w:rsidRPr="004F26D5">
              <w:rPr>
                <w:rFonts w:eastAsiaTheme="minorEastAsia"/>
                <w:sz w:val="20"/>
                <w:lang w:eastAsia="ja-JP"/>
              </w:rPr>
              <w:t xml:space="preserve">STUDY PERIOD </w:t>
            </w:r>
            <w:bookmarkStart w:id="1" w:name="dstudyperiod"/>
            <w:r w:rsidRPr="004F26D5">
              <w:rPr>
                <w:rFonts w:eastAsiaTheme="minorEastAsia"/>
                <w:sz w:val="20"/>
                <w:lang w:eastAsia="ja-JP"/>
              </w:rPr>
              <w:t>2017-2020</w:t>
            </w:r>
            <w:bookmarkEnd w:id="1"/>
          </w:p>
        </w:tc>
        <w:tc>
          <w:tcPr>
            <w:tcW w:w="4680" w:type="dxa"/>
            <w:vAlign w:val="center"/>
          </w:tcPr>
          <w:p w:rsidR="00D55AF9" w:rsidRPr="00FB4E97" w:rsidRDefault="00475D23" w:rsidP="002C1EB0">
            <w:pPr>
              <w:jc w:val="right"/>
              <w:rPr>
                <w:rFonts w:eastAsia="SimSun"/>
                <w:b/>
                <w:sz w:val="32"/>
                <w:szCs w:val="32"/>
              </w:rPr>
            </w:pPr>
            <w:r w:rsidRPr="00FB4E97">
              <w:rPr>
                <w:rFonts w:eastAsia="SimSun"/>
                <w:b/>
                <w:sz w:val="32"/>
                <w:szCs w:val="32"/>
              </w:rPr>
              <w:t>TSAG-TD</w:t>
            </w:r>
            <w:r w:rsidR="00D26248" w:rsidRPr="00FB4E97">
              <w:rPr>
                <w:rFonts w:eastAsia="SimSun"/>
                <w:b/>
                <w:sz w:val="32"/>
                <w:szCs w:val="32"/>
              </w:rPr>
              <w:t>12</w:t>
            </w:r>
            <w:r w:rsidR="007E4966">
              <w:rPr>
                <w:rFonts w:eastAsia="SimSun"/>
                <w:b/>
                <w:sz w:val="32"/>
                <w:szCs w:val="32"/>
              </w:rPr>
              <w:t>5-R3</w:t>
            </w:r>
          </w:p>
        </w:tc>
      </w:tr>
      <w:tr w:rsidR="00D55AF9" w:rsidRPr="004F26D5" w:rsidTr="00C63F6D">
        <w:trPr>
          <w:cantSplit/>
        </w:trPr>
        <w:tc>
          <w:tcPr>
            <w:tcW w:w="1190" w:type="dxa"/>
            <w:vMerge/>
          </w:tcPr>
          <w:p w:rsidR="00D55AF9" w:rsidRPr="004F26D5" w:rsidRDefault="00D55AF9" w:rsidP="00C63F6D">
            <w:pPr>
              <w:rPr>
                <w:rFonts w:eastAsiaTheme="minorEastAsia"/>
                <w:smallCaps/>
                <w:sz w:val="20"/>
                <w:szCs w:val="24"/>
                <w:lang w:eastAsia="ja-JP"/>
              </w:rPr>
            </w:pPr>
          </w:p>
        </w:tc>
        <w:tc>
          <w:tcPr>
            <w:tcW w:w="4053" w:type="dxa"/>
            <w:gridSpan w:val="3"/>
            <w:vMerge/>
          </w:tcPr>
          <w:p w:rsidR="00D55AF9" w:rsidRPr="004F26D5" w:rsidRDefault="00D55AF9" w:rsidP="00C63F6D">
            <w:pPr>
              <w:rPr>
                <w:rFonts w:eastAsiaTheme="minorEastAsia"/>
                <w:smallCaps/>
                <w:sz w:val="20"/>
                <w:szCs w:val="24"/>
                <w:lang w:eastAsia="ja-JP"/>
              </w:rPr>
            </w:pPr>
          </w:p>
        </w:tc>
        <w:tc>
          <w:tcPr>
            <w:tcW w:w="4680" w:type="dxa"/>
          </w:tcPr>
          <w:p w:rsidR="00D55AF9" w:rsidRPr="004F26D5" w:rsidRDefault="00D55AF9" w:rsidP="00C63F6D">
            <w:pPr>
              <w:jc w:val="right"/>
              <w:rPr>
                <w:rFonts w:eastAsiaTheme="minorEastAsia"/>
                <w:b/>
                <w:bCs/>
                <w:smallCaps/>
                <w:sz w:val="28"/>
                <w:szCs w:val="28"/>
                <w:lang w:eastAsia="ja-JP"/>
              </w:rPr>
            </w:pPr>
            <w:r w:rsidRPr="004F26D5">
              <w:rPr>
                <w:rFonts w:eastAsiaTheme="minorEastAsia"/>
                <w:b/>
                <w:bCs/>
                <w:smallCaps/>
                <w:sz w:val="28"/>
                <w:szCs w:val="28"/>
                <w:lang w:eastAsia="ja-JP"/>
              </w:rPr>
              <w:t>TSAG</w:t>
            </w:r>
          </w:p>
        </w:tc>
      </w:tr>
      <w:tr w:rsidR="00D55AF9" w:rsidRPr="004F26D5" w:rsidTr="00C63F6D">
        <w:trPr>
          <w:cantSplit/>
        </w:trPr>
        <w:tc>
          <w:tcPr>
            <w:tcW w:w="1190" w:type="dxa"/>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F26D5" w:rsidRDefault="00D55AF9" w:rsidP="00C63F6D">
            <w:pPr>
              <w:jc w:val="right"/>
              <w:rPr>
                <w:rFonts w:eastAsiaTheme="minorEastAsia"/>
                <w:b/>
                <w:bCs/>
                <w:sz w:val="28"/>
                <w:szCs w:val="28"/>
                <w:lang w:eastAsia="ja-JP"/>
              </w:rPr>
            </w:pPr>
            <w:r w:rsidRPr="004F26D5">
              <w:rPr>
                <w:rFonts w:eastAsiaTheme="minorEastAsia"/>
                <w:b/>
                <w:bCs/>
                <w:sz w:val="28"/>
                <w:szCs w:val="28"/>
                <w:lang w:eastAsia="ja-JP"/>
              </w:rPr>
              <w:t>Original: English</w:t>
            </w:r>
          </w:p>
        </w:tc>
      </w:tr>
      <w:tr w:rsidR="00D55AF9" w:rsidRPr="004F26D5" w:rsidTr="00C63F6D">
        <w:trPr>
          <w:cantSplit/>
        </w:trPr>
        <w:tc>
          <w:tcPr>
            <w:tcW w:w="1616" w:type="dxa"/>
            <w:gridSpan w:val="3"/>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Question(s):</w:t>
            </w:r>
          </w:p>
        </w:tc>
        <w:tc>
          <w:tcPr>
            <w:tcW w:w="3627" w:type="dxa"/>
          </w:tcPr>
          <w:p w:rsidR="00D55AF9" w:rsidRPr="004F26D5" w:rsidRDefault="00D55AF9" w:rsidP="00C63F6D">
            <w:pPr>
              <w:rPr>
                <w:rFonts w:eastAsiaTheme="minorEastAsia"/>
                <w:szCs w:val="24"/>
                <w:lang w:eastAsia="ja-JP"/>
              </w:rPr>
            </w:pPr>
            <w:r w:rsidRPr="004F26D5">
              <w:rPr>
                <w:rFonts w:eastAsiaTheme="minorEastAsia"/>
                <w:szCs w:val="24"/>
                <w:lang w:eastAsia="ja-JP"/>
              </w:rPr>
              <w:t>N/A</w:t>
            </w:r>
          </w:p>
        </w:tc>
        <w:tc>
          <w:tcPr>
            <w:tcW w:w="4680" w:type="dxa"/>
          </w:tcPr>
          <w:p w:rsidR="00D55AF9" w:rsidRPr="004F26D5" w:rsidRDefault="00D55AF9" w:rsidP="00624D96">
            <w:pPr>
              <w:jc w:val="right"/>
              <w:rPr>
                <w:rFonts w:eastAsiaTheme="minorEastAsia"/>
                <w:szCs w:val="24"/>
                <w:lang w:eastAsia="ja-JP"/>
              </w:rPr>
            </w:pPr>
            <w:r w:rsidRPr="004F26D5">
              <w:rPr>
                <w:rFonts w:eastAsiaTheme="minorEastAsia"/>
                <w:szCs w:val="24"/>
                <w:lang w:eastAsia="ja-JP"/>
              </w:rPr>
              <w:t xml:space="preserve">Geneva, </w:t>
            </w:r>
            <w:r w:rsidR="00624D96" w:rsidRPr="004F26D5">
              <w:rPr>
                <w:rFonts w:eastAsiaTheme="minorEastAsia"/>
                <w:szCs w:val="24"/>
                <w:lang w:eastAsia="ja-JP"/>
              </w:rPr>
              <w:t>26 February</w:t>
            </w:r>
            <w:r w:rsidRPr="004F26D5">
              <w:rPr>
                <w:rFonts w:eastAsiaTheme="minorEastAsia"/>
                <w:szCs w:val="24"/>
                <w:lang w:eastAsia="ja-JP"/>
              </w:rPr>
              <w:t>-</w:t>
            </w:r>
            <w:r w:rsidR="00624D96" w:rsidRPr="004F26D5">
              <w:rPr>
                <w:rFonts w:eastAsiaTheme="minorEastAsia"/>
                <w:szCs w:val="24"/>
                <w:lang w:eastAsia="ja-JP"/>
              </w:rPr>
              <w:t>2</w:t>
            </w:r>
            <w:r w:rsidRPr="004F26D5">
              <w:rPr>
                <w:rFonts w:eastAsiaTheme="minorEastAsia"/>
                <w:szCs w:val="24"/>
                <w:lang w:eastAsia="ja-JP"/>
              </w:rPr>
              <w:t xml:space="preserve"> Ma</w:t>
            </w:r>
            <w:r w:rsidR="00624D96" w:rsidRPr="004F26D5">
              <w:rPr>
                <w:rFonts w:eastAsiaTheme="minorEastAsia"/>
                <w:szCs w:val="24"/>
                <w:lang w:eastAsia="ja-JP"/>
              </w:rPr>
              <w:t>rch</w:t>
            </w:r>
            <w:r w:rsidRPr="004F26D5">
              <w:rPr>
                <w:rFonts w:eastAsiaTheme="minorEastAsia"/>
                <w:szCs w:val="24"/>
                <w:lang w:eastAsia="ja-JP"/>
              </w:rPr>
              <w:t xml:space="preserve"> 201</w:t>
            </w:r>
            <w:r w:rsidR="00624D96" w:rsidRPr="004F26D5">
              <w:rPr>
                <w:rFonts w:eastAsiaTheme="minorEastAsia"/>
                <w:szCs w:val="24"/>
                <w:lang w:eastAsia="ja-JP"/>
              </w:rPr>
              <w:t>8</w:t>
            </w:r>
          </w:p>
        </w:tc>
      </w:tr>
      <w:tr w:rsidR="00D55AF9" w:rsidRPr="004F26D5" w:rsidTr="00C63F6D">
        <w:trPr>
          <w:cantSplit/>
        </w:trPr>
        <w:tc>
          <w:tcPr>
            <w:tcW w:w="9923" w:type="dxa"/>
            <w:gridSpan w:val="5"/>
          </w:tcPr>
          <w:p w:rsidR="00D55AF9" w:rsidRPr="004F26D5" w:rsidRDefault="00D55AF9" w:rsidP="00C63F6D">
            <w:pPr>
              <w:jc w:val="center"/>
              <w:rPr>
                <w:rFonts w:eastAsiaTheme="minorEastAsia"/>
                <w:b/>
                <w:bCs/>
                <w:szCs w:val="24"/>
                <w:lang w:eastAsia="ja-JP"/>
              </w:rPr>
            </w:pPr>
            <w:bookmarkStart w:id="2" w:name="ddoctype" w:colFirst="0" w:colLast="0"/>
            <w:r w:rsidRPr="004F26D5">
              <w:rPr>
                <w:rFonts w:eastAsiaTheme="minorEastAsia"/>
                <w:b/>
                <w:bCs/>
                <w:szCs w:val="24"/>
                <w:lang w:eastAsia="ja-JP"/>
              </w:rPr>
              <w:t>TD</w:t>
            </w:r>
          </w:p>
        </w:tc>
      </w:tr>
      <w:bookmarkEnd w:id="2"/>
      <w:tr w:rsidR="00D55AF9" w:rsidRPr="004F26D5" w:rsidTr="00C63F6D">
        <w:trPr>
          <w:cantSplit/>
        </w:trPr>
        <w:tc>
          <w:tcPr>
            <w:tcW w:w="1616" w:type="dxa"/>
            <w:gridSpan w:val="3"/>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Source:</w:t>
            </w:r>
          </w:p>
        </w:tc>
        <w:tc>
          <w:tcPr>
            <w:tcW w:w="8307" w:type="dxa"/>
            <w:gridSpan w:val="2"/>
          </w:tcPr>
          <w:p w:rsidR="00D55AF9" w:rsidRPr="004F26D5" w:rsidRDefault="00D55AF9" w:rsidP="00C63F6D">
            <w:pPr>
              <w:rPr>
                <w:szCs w:val="24"/>
              </w:rPr>
            </w:pPr>
            <w:r w:rsidRPr="004F26D5">
              <w:t>TSAG Management Team</w:t>
            </w:r>
          </w:p>
        </w:tc>
      </w:tr>
      <w:tr w:rsidR="00D55AF9" w:rsidRPr="004F26D5" w:rsidTr="00C63F6D">
        <w:trPr>
          <w:cantSplit/>
        </w:trPr>
        <w:tc>
          <w:tcPr>
            <w:tcW w:w="1616" w:type="dxa"/>
            <w:gridSpan w:val="3"/>
          </w:tcPr>
          <w:p w:rsidR="00D55AF9" w:rsidRPr="004F26D5" w:rsidRDefault="00D55AF9" w:rsidP="00C63F6D">
            <w:pPr>
              <w:rPr>
                <w:rFonts w:eastAsiaTheme="minorEastAsia"/>
                <w:szCs w:val="24"/>
                <w:lang w:eastAsia="ja-JP"/>
              </w:rPr>
            </w:pPr>
            <w:r w:rsidRPr="004F26D5">
              <w:rPr>
                <w:rFonts w:eastAsiaTheme="minorEastAsia"/>
                <w:b/>
                <w:bCs/>
                <w:szCs w:val="24"/>
                <w:lang w:eastAsia="ja-JP"/>
              </w:rPr>
              <w:t>Title:</w:t>
            </w:r>
          </w:p>
        </w:tc>
        <w:tc>
          <w:tcPr>
            <w:tcW w:w="8307" w:type="dxa"/>
            <w:gridSpan w:val="2"/>
          </w:tcPr>
          <w:p w:rsidR="00D55AF9" w:rsidRPr="004F26D5" w:rsidRDefault="0088612E" w:rsidP="0088612E">
            <w:pPr>
              <w:spacing w:line="256" w:lineRule="auto"/>
              <w:rPr>
                <w:szCs w:val="24"/>
                <w:lang w:eastAsia="zh-CN"/>
              </w:rPr>
            </w:pPr>
            <w:r>
              <w:rPr>
                <w:lang w:eastAsia="zh-CN"/>
              </w:rPr>
              <w:t>Agenda for the TSAG closing plenary, 2 March 2018</w:t>
            </w:r>
          </w:p>
        </w:tc>
      </w:tr>
      <w:tr w:rsidR="00D55AF9" w:rsidRPr="004F26D5" w:rsidTr="00C63F6D">
        <w:trPr>
          <w:cantSplit/>
        </w:trPr>
        <w:tc>
          <w:tcPr>
            <w:tcW w:w="1616" w:type="dxa"/>
            <w:gridSpan w:val="3"/>
            <w:tcBorders>
              <w:bottom w:val="single" w:sz="8" w:space="0" w:color="auto"/>
            </w:tcBorders>
          </w:tcPr>
          <w:p w:rsidR="00D55AF9" w:rsidRPr="004F26D5" w:rsidRDefault="00D55AF9" w:rsidP="00C63F6D">
            <w:pPr>
              <w:rPr>
                <w:rFonts w:eastAsiaTheme="minorEastAsia"/>
                <w:b/>
                <w:bCs/>
                <w:szCs w:val="24"/>
                <w:lang w:eastAsia="ja-JP"/>
              </w:rPr>
            </w:pPr>
            <w:bookmarkStart w:id="3" w:name="dpurpose" w:colFirst="1" w:colLast="1"/>
            <w:r w:rsidRPr="004F26D5">
              <w:rPr>
                <w:rFonts w:eastAsiaTheme="minorEastAsia"/>
                <w:b/>
                <w:bCs/>
                <w:szCs w:val="24"/>
                <w:lang w:eastAsia="ja-JP"/>
              </w:rPr>
              <w:t>Purpose:</w:t>
            </w:r>
          </w:p>
        </w:tc>
        <w:tc>
          <w:tcPr>
            <w:tcW w:w="8307" w:type="dxa"/>
            <w:gridSpan w:val="2"/>
            <w:tcBorders>
              <w:bottom w:val="single" w:sz="8" w:space="0" w:color="auto"/>
            </w:tcBorders>
          </w:tcPr>
          <w:p w:rsidR="00D55AF9" w:rsidRPr="004F26D5" w:rsidRDefault="00D55AF9" w:rsidP="00C63F6D">
            <w:pPr>
              <w:rPr>
                <w:rFonts w:eastAsiaTheme="minorEastAsia"/>
                <w:szCs w:val="24"/>
                <w:lang w:eastAsia="ja-JP"/>
              </w:rPr>
            </w:pPr>
            <w:r w:rsidRPr="004F26D5">
              <w:rPr>
                <w:rFonts w:eastAsiaTheme="minorEastAsia"/>
                <w:szCs w:val="24"/>
                <w:lang w:eastAsia="ja-JP"/>
              </w:rPr>
              <w:t>Discussion</w:t>
            </w:r>
          </w:p>
        </w:tc>
      </w:tr>
      <w:bookmarkEnd w:id="3"/>
      <w:tr w:rsidR="00D55AF9" w:rsidRPr="00464470" w:rsidTr="00C63F6D">
        <w:trPr>
          <w:cantSplit/>
        </w:trPr>
        <w:tc>
          <w:tcPr>
            <w:tcW w:w="1607" w:type="dxa"/>
            <w:gridSpan w:val="2"/>
            <w:tcBorders>
              <w:top w:val="single" w:sz="8" w:space="0" w:color="auto"/>
              <w:bottom w:val="single" w:sz="8" w:space="0" w:color="auto"/>
            </w:tcBorders>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4F26D5" w:rsidRDefault="00D55AF9" w:rsidP="00C63F6D">
            <w:pPr>
              <w:rPr>
                <w:szCs w:val="24"/>
              </w:rPr>
            </w:pPr>
            <w:r w:rsidRPr="004F26D5">
              <w:rPr>
                <w:sz w:val="22"/>
                <w:szCs w:val="22"/>
              </w:rPr>
              <w:t>Reinhard Scholl</w:t>
            </w:r>
            <w:r w:rsidRPr="004F26D5">
              <w:rPr>
                <w:szCs w:val="24"/>
              </w:rPr>
              <w:br/>
            </w:r>
            <w:r w:rsidRPr="004F26D5">
              <w:rPr>
                <w:sz w:val="22"/>
                <w:szCs w:val="22"/>
              </w:rPr>
              <w:t>TSB</w:t>
            </w:r>
          </w:p>
        </w:tc>
        <w:tc>
          <w:tcPr>
            <w:tcW w:w="4680" w:type="dxa"/>
            <w:tcBorders>
              <w:top w:val="single" w:sz="8" w:space="0" w:color="auto"/>
              <w:bottom w:val="single" w:sz="8" w:space="0" w:color="auto"/>
            </w:tcBorders>
          </w:tcPr>
          <w:p w:rsidR="00D55AF9" w:rsidRPr="00A76484" w:rsidRDefault="00D55AF9" w:rsidP="00C63F6D">
            <w:pPr>
              <w:rPr>
                <w:szCs w:val="24"/>
                <w:lang w:val="de-DE"/>
              </w:rPr>
            </w:pPr>
            <w:r w:rsidRPr="00A76484">
              <w:rPr>
                <w:sz w:val="22"/>
                <w:szCs w:val="22"/>
                <w:lang w:val="de-DE"/>
              </w:rPr>
              <w:t>Tel:</w:t>
            </w:r>
            <w:r w:rsidRPr="00A76484">
              <w:rPr>
                <w:sz w:val="22"/>
                <w:szCs w:val="22"/>
                <w:lang w:val="de-DE"/>
              </w:rPr>
              <w:tab/>
              <w:t>+41 22 730 5860</w:t>
            </w:r>
            <w:r w:rsidRPr="00A76484">
              <w:rPr>
                <w:sz w:val="22"/>
                <w:szCs w:val="22"/>
                <w:lang w:val="de-DE"/>
              </w:rPr>
              <w:br/>
              <w:t>E-mail:</w:t>
            </w:r>
            <w:r w:rsidRPr="00A76484">
              <w:rPr>
                <w:sz w:val="22"/>
                <w:szCs w:val="22"/>
                <w:lang w:val="de-DE"/>
              </w:rPr>
              <w:tab/>
            </w:r>
            <w:r w:rsidR="00FB4E97">
              <w:fldChar w:fldCharType="begin"/>
            </w:r>
            <w:r w:rsidR="00FB4E97">
              <w:instrText xml:space="preserve"> HYPERLINK "mailto:tsbtsag@itu.int" </w:instrText>
            </w:r>
            <w:r w:rsidR="00FB4E97">
              <w:fldChar w:fldCharType="separate"/>
            </w:r>
            <w:r w:rsidRPr="00A76484">
              <w:rPr>
                <w:rStyle w:val="Hyperlink"/>
                <w:sz w:val="22"/>
                <w:szCs w:val="22"/>
                <w:lang w:val="de-DE"/>
              </w:rPr>
              <w:t>tsbtsag@itu.int</w:t>
            </w:r>
            <w:r w:rsidR="00FB4E97">
              <w:rPr>
                <w:rStyle w:val="Hyperlink"/>
                <w:sz w:val="22"/>
                <w:szCs w:val="22"/>
                <w:lang w:val="de-DE"/>
              </w:rPr>
              <w:fldChar w:fldCharType="end"/>
            </w:r>
          </w:p>
        </w:tc>
      </w:tr>
    </w:tbl>
    <w:p w:rsidR="00D55AF9" w:rsidRPr="00A76484" w:rsidRDefault="00D55AF9" w:rsidP="00D55AF9">
      <w:pPr>
        <w:spacing w:before="240"/>
        <w:rPr>
          <w:b/>
          <w:bCs/>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F26D5" w:rsidTr="00C63F6D">
        <w:trPr>
          <w:cantSplit/>
        </w:trPr>
        <w:tc>
          <w:tcPr>
            <w:tcW w:w="1616" w:type="dxa"/>
          </w:tcPr>
          <w:p w:rsidR="00D55AF9" w:rsidRPr="004F26D5" w:rsidRDefault="00D55AF9" w:rsidP="00C63F6D">
            <w:pPr>
              <w:rPr>
                <w:b/>
                <w:bCs/>
                <w:highlight w:val="yellow"/>
              </w:rPr>
            </w:pPr>
            <w:r w:rsidRPr="004F26D5">
              <w:rPr>
                <w:b/>
                <w:bCs/>
              </w:rPr>
              <w:t>Keywords:</w:t>
            </w:r>
          </w:p>
        </w:tc>
        <w:tc>
          <w:tcPr>
            <w:tcW w:w="8363" w:type="dxa"/>
          </w:tcPr>
          <w:p w:rsidR="00D55AF9" w:rsidRPr="004F26D5" w:rsidRDefault="00D55AF9" w:rsidP="00C63F6D">
            <w:r w:rsidRPr="004F26D5">
              <w:rPr>
                <w:szCs w:val="24"/>
              </w:rPr>
              <w:t>TSAG agenda</w:t>
            </w:r>
          </w:p>
        </w:tc>
      </w:tr>
      <w:tr w:rsidR="00D55AF9" w:rsidRPr="004F26D5" w:rsidTr="00C63F6D">
        <w:trPr>
          <w:cantSplit/>
        </w:trPr>
        <w:tc>
          <w:tcPr>
            <w:tcW w:w="1616" w:type="dxa"/>
          </w:tcPr>
          <w:p w:rsidR="00D55AF9" w:rsidRPr="004F26D5" w:rsidRDefault="00D55AF9" w:rsidP="00C63F6D">
            <w:pPr>
              <w:rPr>
                <w:b/>
                <w:bCs/>
                <w:highlight w:val="yellow"/>
              </w:rPr>
            </w:pPr>
            <w:r w:rsidRPr="004F26D5">
              <w:rPr>
                <w:b/>
                <w:bCs/>
              </w:rPr>
              <w:t>Abstract:</w:t>
            </w:r>
          </w:p>
        </w:tc>
        <w:tc>
          <w:tcPr>
            <w:tcW w:w="8363" w:type="dxa"/>
          </w:tcPr>
          <w:p w:rsidR="00D55AF9" w:rsidRPr="004F26D5" w:rsidRDefault="00D55AF9" w:rsidP="00611340">
            <w:r w:rsidRPr="004F26D5">
              <w:t xml:space="preserve">This </w:t>
            </w:r>
            <w:r w:rsidR="00397286">
              <w:t>TD</w:t>
            </w:r>
            <w:r w:rsidR="00697420">
              <w:t xml:space="preserve"> </w:t>
            </w:r>
            <w:r w:rsidRPr="004F26D5">
              <w:t>holds the draft agenda for the</w:t>
            </w:r>
            <w:r w:rsidR="00611340">
              <w:t xml:space="preserve"> closing plenary</w:t>
            </w:r>
            <w:r w:rsidRPr="004F26D5">
              <w:t xml:space="preserve"> TSAG meeting </w:t>
            </w:r>
            <w:r w:rsidR="00611340">
              <w:t>on 2 March 2018</w:t>
            </w:r>
            <w:r w:rsidRPr="004F26D5">
              <w:t>.</w:t>
            </w:r>
          </w:p>
        </w:tc>
      </w:tr>
    </w:tbl>
    <w:p w:rsidR="00D55AF9" w:rsidRPr="004F26D5" w:rsidRDefault="00D55AF9" w:rsidP="00D55AF9">
      <w:r w:rsidRPr="004F26D5">
        <w:rPr>
          <w:b/>
          <w:bCs/>
        </w:rPr>
        <w:t>Action</w:t>
      </w:r>
      <w:r w:rsidRPr="004F26D5">
        <w:t>:</w:t>
      </w:r>
      <w:r w:rsidRPr="004F26D5">
        <w:tab/>
      </w:r>
      <w:r w:rsidRPr="004F26D5">
        <w:tab/>
      </w:r>
      <w:r w:rsidRPr="004F26D5">
        <w:tab/>
        <w:t>TSAG is invited to review and approve this draft agenda.</w:t>
      </w:r>
    </w:p>
    <w:p w:rsidR="00D55AF9" w:rsidRPr="004F26D5" w:rsidRDefault="00D55AF9" w:rsidP="007E4966">
      <w:r w:rsidRPr="004F26D5">
        <w:t xml:space="preserve">Status: </w:t>
      </w:r>
      <w:r w:rsidR="007E4966">
        <w:t>2</w:t>
      </w:r>
      <w:r w:rsidR="00EB1DE1" w:rsidRPr="007E4966">
        <w:t xml:space="preserve"> March</w:t>
      </w:r>
      <w:r w:rsidR="00477760" w:rsidRPr="007E4966">
        <w:t xml:space="preserve"> 201</w:t>
      </w:r>
      <w:r w:rsidR="00A13EC9" w:rsidRPr="007E4966">
        <w:t>8</w:t>
      </w:r>
      <w:r w:rsidR="00477760" w:rsidRPr="007E4966">
        <w:t>,</w:t>
      </w:r>
      <w:r w:rsidR="008604D6" w:rsidRPr="007E4966">
        <w:t xml:space="preserve"> </w:t>
      </w:r>
      <w:r w:rsidR="007E4966">
        <w:t>08:30</w:t>
      </w:r>
      <w:r w:rsidR="00697420">
        <w:t>.</w:t>
      </w:r>
    </w:p>
    <w:p w:rsidR="00D55AF9" w:rsidRPr="004F26D5"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D55AF9" w:rsidRPr="00A76484" w:rsidRDefault="00977940" w:rsidP="0097794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fr-CH"/>
        </w:rPr>
      </w:pPr>
      <w:r w:rsidRPr="00A76484">
        <w:rPr>
          <w:rFonts w:asciiTheme="majorBidi" w:hAnsiTheme="majorBidi" w:cstheme="majorBidi"/>
          <w:szCs w:val="24"/>
          <w:lang w:val="fr-CH"/>
        </w:rPr>
        <w:t xml:space="preserve">TSAG Contributions </w:t>
      </w:r>
      <w:proofErr w:type="spellStart"/>
      <w:r w:rsidRPr="00A76484">
        <w:rPr>
          <w:rFonts w:asciiTheme="majorBidi" w:hAnsiTheme="majorBidi" w:cstheme="majorBidi"/>
          <w:szCs w:val="24"/>
          <w:lang w:val="fr-CH"/>
        </w:rPr>
        <w:t>available</w:t>
      </w:r>
      <w:proofErr w:type="spellEnd"/>
      <w:r w:rsidRPr="00A76484">
        <w:rPr>
          <w:rFonts w:asciiTheme="majorBidi" w:hAnsiTheme="majorBidi" w:cstheme="majorBidi"/>
          <w:szCs w:val="24"/>
          <w:lang w:val="fr-CH"/>
        </w:rPr>
        <w:t xml:space="preserve"> at:</w:t>
      </w:r>
      <w:r w:rsidRPr="00A76484">
        <w:rPr>
          <w:rFonts w:asciiTheme="majorBidi" w:hAnsiTheme="majorBidi" w:cstheme="majorBidi"/>
          <w:szCs w:val="24"/>
          <w:lang w:val="fr-CH"/>
        </w:rPr>
        <w:tab/>
      </w:r>
      <w:hyperlink r:id="rId9" w:history="1">
        <w:r w:rsidR="009B6CAA" w:rsidRPr="00A76484">
          <w:rPr>
            <w:rStyle w:val="Hyperlink"/>
            <w:rFonts w:asciiTheme="majorBidi" w:hAnsiTheme="majorBidi" w:cstheme="majorBidi"/>
            <w:szCs w:val="24"/>
            <w:lang w:val="fr-CH"/>
          </w:rPr>
          <w:t>https://www.itu.int/md/T17-TSAG-180226-C</w:t>
        </w:r>
      </w:hyperlink>
    </w:p>
    <w:p w:rsidR="00D55AF9" w:rsidRPr="004F26D5"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F26D5">
        <w:rPr>
          <w:rFonts w:asciiTheme="majorBidi" w:hAnsiTheme="majorBidi" w:cstheme="majorBidi"/>
          <w:szCs w:val="24"/>
        </w:rPr>
        <w:t>TSAG TDs available at:</w:t>
      </w:r>
      <w:r w:rsidRPr="004F26D5">
        <w:rPr>
          <w:rFonts w:asciiTheme="majorBidi" w:hAnsiTheme="majorBidi" w:cstheme="majorBidi"/>
          <w:szCs w:val="24"/>
        </w:rPr>
        <w:tab/>
      </w:r>
      <w:r w:rsidRPr="004F26D5">
        <w:rPr>
          <w:rFonts w:asciiTheme="majorBidi" w:hAnsiTheme="majorBidi" w:cstheme="majorBidi"/>
          <w:szCs w:val="24"/>
        </w:rPr>
        <w:tab/>
      </w:r>
      <w:hyperlink r:id="rId10" w:history="1">
        <w:r w:rsidR="009B6CAA" w:rsidRPr="004F26D5">
          <w:rPr>
            <w:rStyle w:val="Hyperlink"/>
            <w:rFonts w:asciiTheme="majorBidi" w:hAnsiTheme="majorBidi" w:cstheme="majorBidi"/>
            <w:szCs w:val="24"/>
          </w:rPr>
          <w:t>https://www.itu.int/md/T17-TSAG-180226-TD</w:t>
        </w:r>
      </w:hyperlink>
    </w:p>
    <w:p w:rsidR="00DB4631" w:rsidRPr="004F26D5" w:rsidRDefault="00926D98" w:rsidP="00926D98">
      <w:pPr>
        <w:pStyle w:val="Heading1"/>
        <w:keepNext w:val="0"/>
        <w:keepLines w:val="0"/>
        <w:tabs>
          <w:tab w:val="left" w:pos="2557"/>
          <w:tab w:val="center" w:pos="4819"/>
        </w:tabs>
        <w:spacing w:after="240"/>
      </w:pPr>
      <w:bookmarkStart w:id="4" w:name="_Ref505769215"/>
      <w:r>
        <w:tab/>
      </w:r>
      <w:r>
        <w:tab/>
      </w:r>
      <w:r>
        <w:tab/>
      </w:r>
      <w:r>
        <w:tab/>
      </w:r>
      <w:r>
        <w:tab/>
      </w:r>
      <w:r>
        <w:tab/>
      </w:r>
      <w:r w:rsidR="00DA10FF" w:rsidRPr="004F26D5">
        <w:t>Draft Agenda</w:t>
      </w:r>
      <w:bookmarkEnd w:id="4"/>
    </w:p>
    <w:p w:rsidR="0065004A" w:rsidRPr="008B6318" w:rsidRDefault="0065004A">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099"/>
        <w:gridCol w:w="2388"/>
        <w:gridCol w:w="850"/>
        <w:gridCol w:w="3909"/>
      </w:tblGrid>
      <w:tr w:rsidR="00006E7B" w:rsidRPr="004F26D5" w:rsidTr="00A82ACD">
        <w:trPr>
          <w:cantSplit/>
          <w:trHeight w:val="20"/>
        </w:trPr>
        <w:tc>
          <w:tcPr>
            <w:tcW w:w="1385" w:type="dxa"/>
          </w:tcPr>
          <w:p w:rsidR="00006E7B" w:rsidRPr="004F26D5" w:rsidRDefault="00006E7B" w:rsidP="00006E7B">
            <w:pPr>
              <w:spacing w:before="60" w:after="60"/>
              <w:jc w:val="center"/>
              <w:rPr>
                <w:rFonts w:asciiTheme="majorBidi" w:eastAsia="SimSun" w:hAnsiTheme="majorBidi" w:cstheme="majorBidi"/>
                <w:b/>
                <w:sz w:val="20"/>
              </w:rPr>
            </w:pPr>
            <w:r w:rsidRPr="004F26D5">
              <w:rPr>
                <w:rFonts w:asciiTheme="majorBidi" w:eastAsia="SimSun" w:hAnsiTheme="majorBidi" w:cstheme="majorBidi"/>
                <w:b/>
                <w:sz w:val="20"/>
              </w:rPr>
              <w:t>Timing</w:t>
            </w:r>
          </w:p>
        </w:tc>
        <w:tc>
          <w:tcPr>
            <w:tcW w:w="1099" w:type="dxa"/>
          </w:tcPr>
          <w:p w:rsidR="00006E7B" w:rsidRPr="004F26D5" w:rsidRDefault="00006E7B" w:rsidP="00006E7B">
            <w:pPr>
              <w:spacing w:before="60" w:after="60"/>
              <w:jc w:val="center"/>
              <w:rPr>
                <w:rFonts w:asciiTheme="majorBidi" w:eastAsia="SimSun" w:hAnsiTheme="majorBidi" w:cstheme="majorBidi"/>
                <w:b/>
                <w:sz w:val="20"/>
              </w:rPr>
            </w:pPr>
            <w:r w:rsidRPr="004F26D5">
              <w:rPr>
                <w:rFonts w:asciiTheme="majorBidi" w:eastAsia="SimSun" w:hAnsiTheme="majorBidi" w:cstheme="majorBidi"/>
                <w:b/>
                <w:sz w:val="20"/>
              </w:rPr>
              <w:t>#</w:t>
            </w:r>
          </w:p>
        </w:tc>
        <w:tc>
          <w:tcPr>
            <w:tcW w:w="2388" w:type="dxa"/>
          </w:tcPr>
          <w:p w:rsidR="00006E7B" w:rsidRPr="004F26D5" w:rsidRDefault="00006E7B" w:rsidP="00006E7B">
            <w:pPr>
              <w:spacing w:before="60" w:after="60"/>
              <w:jc w:val="center"/>
              <w:rPr>
                <w:rFonts w:asciiTheme="majorBidi" w:eastAsia="SimSun" w:hAnsiTheme="majorBidi" w:cstheme="majorBidi"/>
                <w:sz w:val="20"/>
              </w:rPr>
            </w:pPr>
            <w:r w:rsidRPr="004F26D5">
              <w:rPr>
                <w:rFonts w:asciiTheme="majorBidi" w:eastAsia="SimSun" w:hAnsiTheme="majorBidi" w:cstheme="majorBidi"/>
                <w:b/>
                <w:sz w:val="20"/>
              </w:rPr>
              <w:t>Agenda Item</w:t>
            </w:r>
          </w:p>
        </w:tc>
        <w:tc>
          <w:tcPr>
            <w:tcW w:w="850" w:type="dxa"/>
          </w:tcPr>
          <w:p w:rsidR="00006E7B" w:rsidRPr="004F26D5" w:rsidRDefault="00006E7B" w:rsidP="00006E7B">
            <w:pPr>
              <w:spacing w:before="60" w:after="60"/>
              <w:jc w:val="center"/>
              <w:rPr>
                <w:rFonts w:asciiTheme="majorBidi" w:eastAsia="SimSun" w:hAnsiTheme="majorBidi" w:cstheme="majorBidi"/>
                <w:sz w:val="20"/>
              </w:rPr>
            </w:pPr>
            <w:r w:rsidRPr="004F26D5">
              <w:rPr>
                <w:rFonts w:asciiTheme="majorBidi" w:eastAsia="SimSun" w:hAnsiTheme="majorBidi" w:cstheme="majorBidi"/>
                <w:b/>
                <w:sz w:val="20"/>
              </w:rPr>
              <w:t>Docs</w:t>
            </w:r>
          </w:p>
        </w:tc>
        <w:tc>
          <w:tcPr>
            <w:tcW w:w="3909" w:type="dxa"/>
          </w:tcPr>
          <w:p w:rsidR="00006E7B" w:rsidRPr="004F26D5" w:rsidRDefault="00006E7B" w:rsidP="00006E7B">
            <w:pPr>
              <w:spacing w:before="60" w:after="60"/>
              <w:jc w:val="center"/>
              <w:rPr>
                <w:rFonts w:asciiTheme="majorBidi" w:eastAsia="SimSun" w:hAnsiTheme="majorBidi" w:cstheme="majorBidi"/>
                <w:b/>
                <w:sz w:val="20"/>
              </w:rPr>
            </w:pPr>
            <w:r w:rsidRPr="004F26D5">
              <w:rPr>
                <w:rFonts w:asciiTheme="majorBidi" w:eastAsia="SimSun" w:hAnsiTheme="majorBidi" w:cstheme="majorBidi"/>
                <w:b/>
                <w:sz w:val="20"/>
              </w:rPr>
              <w:t>Summary and Proposal</w:t>
            </w:r>
          </w:p>
        </w:tc>
      </w:tr>
      <w:tr w:rsidR="00006E7B" w:rsidRPr="004F26D5" w:rsidTr="00033CFF">
        <w:trPr>
          <w:cantSplit/>
          <w:trHeight w:val="20"/>
        </w:trPr>
        <w:tc>
          <w:tcPr>
            <w:tcW w:w="9631" w:type="dxa"/>
            <w:gridSpan w:val="5"/>
          </w:tcPr>
          <w:p w:rsidR="00006E7B" w:rsidRPr="004F26D5" w:rsidRDefault="00006E7B" w:rsidP="00006E7B">
            <w:pPr>
              <w:spacing w:before="60" w:after="60"/>
              <w:rPr>
                <w:rFonts w:asciiTheme="majorBidi" w:eastAsia="SimSun" w:hAnsiTheme="majorBidi" w:cstheme="majorBidi"/>
                <w:b/>
                <w:sz w:val="20"/>
              </w:rPr>
            </w:pPr>
            <w:r w:rsidRPr="004F26D5">
              <w:rPr>
                <w:rFonts w:asciiTheme="majorBidi" w:hAnsiTheme="majorBidi" w:cstheme="majorBidi"/>
                <w:b/>
                <w:bCs/>
                <w:color w:val="000000"/>
                <w:sz w:val="20"/>
                <w:lang w:eastAsia="zh-CN"/>
              </w:rPr>
              <w:t>Friday 2 March 2018</w:t>
            </w:r>
          </w:p>
        </w:tc>
      </w:tr>
      <w:tr w:rsidR="002062F2" w:rsidRPr="004F26D5" w:rsidTr="00A82ACD">
        <w:trPr>
          <w:cantSplit/>
          <w:trHeight w:val="20"/>
        </w:trPr>
        <w:tc>
          <w:tcPr>
            <w:tcW w:w="1385" w:type="dxa"/>
          </w:tcPr>
          <w:p w:rsidR="002062F2" w:rsidRPr="004F26D5" w:rsidRDefault="0025783E" w:rsidP="002062F2">
            <w:pPr>
              <w:spacing w:before="60" w:after="60"/>
              <w:rPr>
                <w:rFonts w:asciiTheme="majorBidi" w:eastAsia="SimSun" w:hAnsiTheme="majorBidi" w:cstheme="majorBidi"/>
                <w:b/>
                <w:sz w:val="20"/>
                <w:highlight w:val="yellow"/>
              </w:rPr>
            </w:pPr>
            <w:r>
              <w:rPr>
                <w:rFonts w:asciiTheme="majorBidi" w:eastAsia="SimSun" w:hAnsiTheme="majorBidi" w:cstheme="majorBidi"/>
                <w:b/>
                <w:sz w:val="20"/>
              </w:rPr>
              <w:t>09:0</w:t>
            </w:r>
            <w:r w:rsidR="002062F2" w:rsidRPr="004F26D5">
              <w:rPr>
                <w:rFonts w:asciiTheme="majorBidi" w:eastAsia="SimSun" w:hAnsiTheme="majorBidi" w:cstheme="majorBidi"/>
                <w:b/>
                <w:sz w:val="20"/>
              </w:rPr>
              <w:t>0</w:t>
            </w:r>
          </w:p>
        </w:tc>
        <w:tc>
          <w:tcPr>
            <w:tcW w:w="1099" w:type="dxa"/>
          </w:tcPr>
          <w:p w:rsidR="002062F2" w:rsidRPr="004F26D5" w:rsidRDefault="007A078D" w:rsidP="00F73BE8">
            <w:pPr>
              <w:spacing w:before="60" w:after="60"/>
              <w:rPr>
                <w:rFonts w:asciiTheme="majorBidi" w:eastAsia="SimSun" w:hAnsiTheme="majorBidi" w:cstheme="majorBidi"/>
                <w:b/>
                <w:sz w:val="20"/>
              </w:rPr>
            </w:pPr>
            <w:r>
              <w:rPr>
                <w:rFonts w:asciiTheme="majorBidi" w:eastAsia="SimSun" w:hAnsiTheme="majorBidi" w:cstheme="majorBidi"/>
                <w:b/>
                <w:sz w:val="20"/>
              </w:rPr>
              <w:t>18</w:t>
            </w:r>
          </w:p>
        </w:tc>
        <w:tc>
          <w:tcPr>
            <w:tcW w:w="2388" w:type="dxa"/>
          </w:tcPr>
          <w:p w:rsidR="002062F2" w:rsidRPr="004F26D5" w:rsidRDefault="002062F2" w:rsidP="002062F2">
            <w:pPr>
              <w:tabs>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Intellectual Property Rights (IPR)</w:t>
            </w:r>
          </w:p>
        </w:tc>
        <w:tc>
          <w:tcPr>
            <w:tcW w:w="850" w:type="dxa"/>
          </w:tcPr>
          <w:p w:rsidR="002062F2" w:rsidRPr="004F26D5" w:rsidRDefault="002062F2" w:rsidP="002062F2">
            <w:pPr>
              <w:spacing w:before="60" w:after="60"/>
              <w:jc w:val="center"/>
              <w:rPr>
                <w:rFonts w:asciiTheme="majorBidi" w:hAnsiTheme="majorBidi" w:cstheme="majorBidi"/>
                <w:sz w:val="20"/>
              </w:rPr>
            </w:pPr>
          </w:p>
        </w:tc>
        <w:tc>
          <w:tcPr>
            <w:tcW w:w="3909" w:type="dxa"/>
          </w:tcPr>
          <w:p w:rsidR="002062F2" w:rsidRPr="004F26D5" w:rsidRDefault="002062F2" w:rsidP="00794093">
            <w:pPr>
              <w:spacing w:before="60" w:after="60"/>
              <w:rPr>
                <w:rFonts w:asciiTheme="majorBidi" w:hAnsiTheme="majorBidi" w:cstheme="majorBidi"/>
                <w:color w:val="0000FF"/>
                <w:sz w:val="20"/>
                <w:u w:val="single"/>
              </w:rPr>
            </w:pPr>
            <w:r w:rsidRPr="004F26D5">
              <w:rPr>
                <w:rFonts w:asciiTheme="majorBidi" w:eastAsia="SimSun" w:hAnsiTheme="majorBidi" w:cstheme="majorBidi"/>
                <w:bCs/>
                <w:sz w:val="20"/>
              </w:rPr>
              <w:t>See section 1</w:t>
            </w:r>
            <w:r w:rsidR="00794093">
              <w:rPr>
                <w:rFonts w:asciiTheme="majorBidi" w:eastAsia="SimSun" w:hAnsiTheme="majorBidi" w:cstheme="majorBidi"/>
                <w:bCs/>
                <w:sz w:val="20"/>
              </w:rPr>
              <w:t>1</w:t>
            </w:r>
            <w:r w:rsidRPr="004F26D5">
              <w:rPr>
                <w:rFonts w:asciiTheme="majorBidi" w:eastAsia="SimSun" w:hAnsiTheme="majorBidi" w:cstheme="majorBidi"/>
                <w:bCs/>
                <w:sz w:val="20"/>
              </w:rPr>
              <w:t xml:space="preserve"> of TSB Director’s Report </w:t>
            </w:r>
            <w:hyperlink r:id="rId11" w:history="1">
              <w:r w:rsidRPr="004E5A22">
                <w:rPr>
                  <w:rStyle w:val="Hyperlink"/>
                  <w:rFonts w:asciiTheme="majorBidi" w:hAnsiTheme="majorBidi" w:cstheme="majorBidi"/>
                  <w:sz w:val="20"/>
                </w:rPr>
                <w:t>TD138</w:t>
              </w:r>
            </w:hyperlink>
          </w:p>
        </w:tc>
      </w:tr>
      <w:tr w:rsidR="002062F2" w:rsidRPr="004F26D5" w:rsidTr="00A82ACD">
        <w:trPr>
          <w:cantSplit/>
          <w:trHeight w:val="20"/>
        </w:trPr>
        <w:tc>
          <w:tcPr>
            <w:tcW w:w="1385" w:type="dxa"/>
          </w:tcPr>
          <w:p w:rsidR="002062F2" w:rsidRPr="004F26D5" w:rsidRDefault="002062F2" w:rsidP="002062F2">
            <w:pPr>
              <w:spacing w:before="60" w:after="60"/>
              <w:rPr>
                <w:rFonts w:asciiTheme="majorBidi" w:eastAsia="SimSun" w:hAnsiTheme="majorBidi" w:cstheme="majorBidi"/>
                <w:b/>
                <w:sz w:val="20"/>
                <w:highlight w:val="yellow"/>
              </w:rPr>
            </w:pPr>
          </w:p>
        </w:tc>
        <w:tc>
          <w:tcPr>
            <w:tcW w:w="1099" w:type="dxa"/>
          </w:tcPr>
          <w:p w:rsidR="002062F2" w:rsidRPr="004F26D5" w:rsidRDefault="007A078D" w:rsidP="002062F2">
            <w:pPr>
              <w:spacing w:before="60" w:after="60"/>
              <w:jc w:val="center"/>
              <w:rPr>
                <w:rFonts w:asciiTheme="majorBidi" w:eastAsia="SimSun" w:hAnsiTheme="majorBidi" w:cstheme="majorBidi"/>
                <w:bCs/>
                <w:sz w:val="20"/>
                <w:highlight w:val="yellow"/>
              </w:rPr>
            </w:pPr>
            <w:r>
              <w:rPr>
                <w:rFonts w:asciiTheme="majorBidi" w:eastAsia="SimSun" w:hAnsiTheme="majorBidi" w:cstheme="majorBidi"/>
                <w:bCs/>
                <w:sz w:val="20"/>
              </w:rPr>
              <w:t>18</w:t>
            </w:r>
            <w:r w:rsidR="002062F2" w:rsidRPr="004F26D5">
              <w:rPr>
                <w:rFonts w:asciiTheme="majorBidi" w:eastAsia="SimSun" w:hAnsiTheme="majorBidi" w:cstheme="majorBidi"/>
                <w:bCs/>
                <w:sz w:val="20"/>
              </w:rPr>
              <w:t>.1</w:t>
            </w:r>
          </w:p>
        </w:tc>
        <w:tc>
          <w:tcPr>
            <w:tcW w:w="2388" w:type="dxa"/>
          </w:tcPr>
          <w:p w:rsidR="002062F2" w:rsidRPr="004F26D5"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sz w:val="20"/>
                <w:highlight w:val="yellow"/>
              </w:rPr>
            </w:pPr>
            <w:r w:rsidRPr="004F26D5">
              <w:rPr>
                <w:rFonts w:asciiTheme="majorBidi" w:hAnsiTheme="majorBidi" w:cstheme="majorBidi"/>
                <w:color w:val="000000"/>
                <w:sz w:val="20"/>
                <w:lang w:eastAsia="ru-RU"/>
              </w:rPr>
              <w:t>TSB: Statistics on ITU-T Recommendations and patent declarations</w:t>
            </w:r>
          </w:p>
        </w:tc>
        <w:tc>
          <w:tcPr>
            <w:tcW w:w="850" w:type="dxa"/>
          </w:tcPr>
          <w:p w:rsidR="002062F2" w:rsidRPr="008B6318" w:rsidRDefault="00391D67" w:rsidP="002062F2">
            <w:pPr>
              <w:spacing w:before="60" w:after="60"/>
              <w:jc w:val="center"/>
              <w:rPr>
                <w:rFonts w:asciiTheme="majorBidi" w:hAnsiTheme="majorBidi" w:cstheme="majorBidi"/>
                <w:sz w:val="20"/>
              </w:rPr>
            </w:pPr>
            <w:hyperlink r:id="rId12" w:history="1">
              <w:r w:rsidR="002062F2" w:rsidRPr="008B6318">
                <w:rPr>
                  <w:rStyle w:val="Hyperlink"/>
                  <w:rFonts w:asciiTheme="majorBidi" w:hAnsiTheme="majorBidi" w:cstheme="majorBidi"/>
                  <w:sz w:val="20"/>
                </w:rPr>
                <w:t>TD241</w:t>
              </w:r>
            </w:hyperlink>
          </w:p>
        </w:tc>
        <w:tc>
          <w:tcPr>
            <w:tcW w:w="3909" w:type="dxa"/>
          </w:tcPr>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This TD presents the statistics on patents requested by the 2017 meeting of TSAG (Item 13.3 of the TSAG report)</w:t>
            </w:r>
          </w:p>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eastAsia="F1" w:hAnsiTheme="majorBidi" w:cstheme="majorBidi"/>
                <w:kern w:val="3"/>
                <w:sz w:val="20"/>
              </w:rPr>
            </w:pPr>
            <w:r w:rsidRPr="008B6318">
              <w:rPr>
                <w:rFonts w:asciiTheme="majorBidi" w:hAnsiTheme="majorBidi" w:cstheme="majorBidi"/>
                <w:color w:val="000000"/>
                <w:sz w:val="20"/>
                <w:lang w:eastAsia="ru-RU"/>
              </w:rPr>
              <w:t>TSAG is invited to consider this document.</w:t>
            </w:r>
          </w:p>
        </w:tc>
      </w:tr>
      <w:tr w:rsidR="002062F2" w:rsidRPr="004F26D5" w:rsidTr="00A82ACD">
        <w:trPr>
          <w:cantSplit/>
          <w:trHeight w:val="20"/>
        </w:trPr>
        <w:tc>
          <w:tcPr>
            <w:tcW w:w="1385" w:type="dxa"/>
          </w:tcPr>
          <w:p w:rsidR="002062F2" w:rsidRPr="008432FE" w:rsidRDefault="002062F2" w:rsidP="002062F2">
            <w:pPr>
              <w:spacing w:before="60" w:after="60"/>
              <w:rPr>
                <w:rFonts w:asciiTheme="majorBidi" w:eastAsia="SimSun" w:hAnsiTheme="majorBidi" w:cstheme="majorBidi"/>
                <w:b/>
                <w:sz w:val="20"/>
                <w:highlight w:val="red"/>
              </w:rPr>
            </w:pPr>
          </w:p>
        </w:tc>
        <w:tc>
          <w:tcPr>
            <w:tcW w:w="1099" w:type="dxa"/>
          </w:tcPr>
          <w:p w:rsidR="002062F2" w:rsidRPr="006040D1" w:rsidRDefault="006040D1" w:rsidP="002062F2">
            <w:pPr>
              <w:spacing w:before="60" w:after="60"/>
              <w:jc w:val="center"/>
              <w:rPr>
                <w:rFonts w:asciiTheme="majorBidi" w:eastAsia="SimSun" w:hAnsiTheme="majorBidi" w:cstheme="majorBidi"/>
                <w:bCs/>
                <w:sz w:val="20"/>
              </w:rPr>
            </w:pPr>
            <w:r w:rsidRPr="006040D1">
              <w:rPr>
                <w:rFonts w:asciiTheme="majorBidi" w:eastAsia="SimSun" w:hAnsiTheme="majorBidi" w:cstheme="majorBidi"/>
                <w:bCs/>
                <w:sz w:val="20"/>
              </w:rPr>
              <w:t>18.2</w:t>
            </w:r>
          </w:p>
        </w:tc>
        <w:tc>
          <w:tcPr>
            <w:tcW w:w="2388" w:type="dxa"/>
          </w:tcPr>
          <w:p w:rsidR="002062F2" w:rsidRPr="006040D1" w:rsidRDefault="006040D1" w:rsidP="006040D1">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Pr>
                <w:rFonts w:asciiTheme="majorBidi" w:hAnsiTheme="majorBidi" w:cstheme="majorBidi"/>
                <w:color w:val="000000"/>
                <w:sz w:val="20"/>
                <w:lang w:eastAsia="ru-RU"/>
              </w:rPr>
              <w:t>Outcome of special session on copyright (Monday 26 February 2018)</w:t>
            </w:r>
          </w:p>
        </w:tc>
        <w:tc>
          <w:tcPr>
            <w:tcW w:w="850" w:type="dxa"/>
          </w:tcPr>
          <w:p w:rsidR="002062F2" w:rsidRPr="006040D1" w:rsidRDefault="002062F2" w:rsidP="002062F2">
            <w:pPr>
              <w:spacing w:before="60" w:after="60"/>
              <w:jc w:val="center"/>
            </w:pPr>
          </w:p>
        </w:tc>
        <w:tc>
          <w:tcPr>
            <w:tcW w:w="3909" w:type="dxa"/>
          </w:tcPr>
          <w:p w:rsidR="002062F2" w:rsidRPr="006040D1"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p>
        </w:tc>
      </w:tr>
      <w:tr w:rsidR="00B64742" w:rsidRPr="004F26D5" w:rsidTr="00A82ACD">
        <w:trPr>
          <w:cantSplit/>
          <w:trHeight w:val="20"/>
        </w:trPr>
        <w:tc>
          <w:tcPr>
            <w:tcW w:w="1385" w:type="dxa"/>
          </w:tcPr>
          <w:p w:rsidR="00B64742" w:rsidRPr="00F339E4" w:rsidRDefault="00B64742" w:rsidP="002062F2">
            <w:pPr>
              <w:spacing w:before="60" w:after="60"/>
              <w:rPr>
                <w:rFonts w:asciiTheme="majorBidi" w:eastAsia="SimSun" w:hAnsiTheme="majorBidi" w:cstheme="majorBidi"/>
                <w:b/>
                <w:sz w:val="20"/>
              </w:rPr>
            </w:pPr>
          </w:p>
        </w:tc>
        <w:tc>
          <w:tcPr>
            <w:tcW w:w="1099" w:type="dxa"/>
          </w:tcPr>
          <w:p w:rsidR="00B64742" w:rsidRDefault="00B64742" w:rsidP="002062F2">
            <w:pPr>
              <w:spacing w:before="60" w:after="60"/>
              <w:jc w:val="center"/>
              <w:rPr>
                <w:rFonts w:asciiTheme="majorBidi" w:eastAsia="SimSun" w:hAnsiTheme="majorBidi" w:cstheme="majorBidi"/>
                <w:bCs/>
                <w:sz w:val="20"/>
              </w:rPr>
            </w:pPr>
          </w:p>
        </w:tc>
        <w:tc>
          <w:tcPr>
            <w:tcW w:w="2388" w:type="dxa"/>
          </w:tcPr>
          <w:p w:rsidR="00B64742" w:rsidRPr="00F339E4" w:rsidRDefault="00B6474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sz w:val="20"/>
              </w:rPr>
            </w:pPr>
          </w:p>
        </w:tc>
        <w:tc>
          <w:tcPr>
            <w:tcW w:w="850" w:type="dxa"/>
          </w:tcPr>
          <w:p w:rsidR="00B64742" w:rsidRDefault="00B64742" w:rsidP="002062F2">
            <w:pPr>
              <w:spacing w:before="60" w:after="60"/>
              <w:jc w:val="center"/>
            </w:pPr>
          </w:p>
        </w:tc>
        <w:tc>
          <w:tcPr>
            <w:tcW w:w="3909" w:type="dxa"/>
          </w:tcPr>
          <w:p w:rsidR="00B64742" w:rsidRPr="008B6318" w:rsidRDefault="00B64742" w:rsidP="002062F2">
            <w:pPr>
              <w:keepNext/>
              <w:keepLines/>
              <w:spacing w:before="0"/>
              <w:rPr>
                <w:rFonts w:asciiTheme="majorBidi" w:hAnsiTheme="majorBidi" w:cstheme="majorBidi"/>
                <w:color w:val="000000"/>
                <w:sz w:val="20"/>
                <w:lang w:eastAsia="ru-RU"/>
              </w:rPr>
            </w:pPr>
          </w:p>
        </w:tc>
      </w:tr>
      <w:tr w:rsidR="00F93EB4" w:rsidRPr="004F26D5" w:rsidTr="00A82ACD">
        <w:trPr>
          <w:trHeight w:val="20"/>
        </w:trPr>
        <w:tc>
          <w:tcPr>
            <w:tcW w:w="1385" w:type="dxa"/>
          </w:tcPr>
          <w:p w:rsidR="00F93EB4" w:rsidRPr="004F26D5" w:rsidRDefault="00F93EB4" w:rsidP="00467D50">
            <w:pPr>
              <w:spacing w:before="60" w:after="60"/>
              <w:rPr>
                <w:rFonts w:asciiTheme="majorBidi" w:eastAsia="SimSun" w:hAnsiTheme="majorBidi" w:cstheme="majorBidi"/>
                <w:b/>
                <w:sz w:val="20"/>
                <w:highlight w:val="yellow"/>
              </w:rPr>
            </w:pPr>
          </w:p>
        </w:tc>
        <w:tc>
          <w:tcPr>
            <w:tcW w:w="1099" w:type="dxa"/>
          </w:tcPr>
          <w:p w:rsidR="00F93EB4" w:rsidRPr="00F73BE8" w:rsidRDefault="007A078D" w:rsidP="00F73BE8">
            <w:pPr>
              <w:spacing w:before="60" w:after="60"/>
              <w:rPr>
                <w:rFonts w:asciiTheme="majorBidi" w:hAnsiTheme="majorBidi" w:cstheme="majorBidi"/>
                <w:b/>
                <w:sz w:val="20"/>
              </w:rPr>
            </w:pPr>
            <w:r>
              <w:rPr>
                <w:rFonts w:asciiTheme="majorBidi" w:hAnsiTheme="majorBidi" w:cstheme="majorBidi"/>
                <w:b/>
                <w:sz w:val="20"/>
              </w:rPr>
              <w:t>19</w:t>
            </w:r>
          </w:p>
        </w:tc>
        <w:tc>
          <w:tcPr>
            <w:tcW w:w="2388" w:type="dxa"/>
          </w:tcPr>
          <w:p w:rsidR="00F93EB4" w:rsidRPr="004F26D5" w:rsidRDefault="00F73BE8" w:rsidP="00F007B2">
            <w:pPr>
              <w:keepNext/>
              <w:keepLines/>
              <w:tabs>
                <w:tab w:val="left" w:pos="720"/>
              </w:tabs>
              <w:spacing w:before="60" w:after="60"/>
              <w:rPr>
                <w:rFonts w:asciiTheme="majorBidi" w:eastAsia="SimSun" w:hAnsiTheme="majorBidi" w:cstheme="majorBidi"/>
                <w:b/>
                <w:sz w:val="20"/>
              </w:rPr>
            </w:pPr>
            <w:r>
              <w:rPr>
                <w:rFonts w:asciiTheme="majorBidi" w:eastAsia="SimSun" w:hAnsiTheme="majorBidi" w:cstheme="majorBidi"/>
                <w:b/>
                <w:sz w:val="20"/>
              </w:rPr>
              <w:t>Kaleidoscope</w:t>
            </w:r>
          </w:p>
        </w:tc>
        <w:tc>
          <w:tcPr>
            <w:tcW w:w="850" w:type="dxa"/>
          </w:tcPr>
          <w:p w:rsidR="00F93EB4" w:rsidRPr="008B6318" w:rsidRDefault="00F93EB4" w:rsidP="00F007B2">
            <w:pPr>
              <w:keepNext/>
              <w:keepLines/>
              <w:spacing w:before="60" w:after="60"/>
              <w:jc w:val="center"/>
              <w:rPr>
                <w:rFonts w:asciiTheme="majorBidi" w:hAnsiTheme="majorBidi" w:cstheme="majorBidi"/>
                <w:sz w:val="20"/>
              </w:rPr>
            </w:pPr>
          </w:p>
        </w:tc>
        <w:tc>
          <w:tcPr>
            <w:tcW w:w="3909" w:type="dxa"/>
          </w:tcPr>
          <w:p w:rsidR="00F6013D" w:rsidRPr="008B6318" w:rsidRDefault="00F6013D" w:rsidP="00F007B2">
            <w:pPr>
              <w:keepNext/>
              <w:keepLines/>
              <w:tabs>
                <w:tab w:val="left" w:pos="720"/>
              </w:tabs>
              <w:spacing w:before="60" w:after="60"/>
              <w:rPr>
                <w:rFonts w:asciiTheme="majorBidi" w:hAnsiTheme="majorBidi" w:cstheme="majorBidi"/>
                <w:sz w:val="20"/>
              </w:rPr>
            </w:pPr>
          </w:p>
        </w:tc>
      </w:tr>
      <w:tr w:rsidR="00467D50" w:rsidRPr="004F26D5" w:rsidTr="00A82ACD">
        <w:trPr>
          <w:trHeight w:val="20"/>
        </w:trPr>
        <w:tc>
          <w:tcPr>
            <w:tcW w:w="1385" w:type="dxa"/>
          </w:tcPr>
          <w:p w:rsidR="00467D50" w:rsidRPr="004F26D5" w:rsidRDefault="00467D50" w:rsidP="00F007B2">
            <w:pPr>
              <w:spacing w:before="60" w:after="60"/>
              <w:rPr>
                <w:rFonts w:asciiTheme="majorBidi" w:eastAsia="SimSun" w:hAnsiTheme="majorBidi" w:cstheme="majorBidi"/>
                <w:b/>
                <w:sz w:val="20"/>
                <w:highlight w:val="yellow"/>
              </w:rPr>
            </w:pPr>
          </w:p>
        </w:tc>
        <w:tc>
          <w:tcPr>
            <w:tcW w:w="1099" w:type="dxa"/>
          </w:tcPr>
          <w:p w:rsidR="00467D50" w:rsidRPr="004F26D5" w:rsidRDefault="007A078D" w:rsidP="00F007B2">
            <w:pPr>
              <w:spacing w:before="60" w:after="60"/>
              <w:jc w:val="center"/>
              <w:rPr>
                <w:rFonts w:asciiTheme="majorBidi" w:hAnsiTheme="majorBidi" w:cstheme="majorBidi"/>
                <w:sz w:val="20"/>
              </w:rPr>
            </w:pPr>
            <w:r>
              <w:rPr>
                <w:rFonts w:asciiTheme="majorBidi" w:hAnsiTheme="majorBidi" w:cstheme="majorBidi"/>
                <w:sz w:val="20"/>
              </w:rPr>
              <w:t>19</w:t>
            </w:r>
            <w:r w:rsidR="00F93EB4" w:rsidRPr="004F26D5">
              <w:rPr>
                <w:rFonts w:asciiTheme="majorBidi" w:hAnsiTheme="majorBidi" w:cstheme="majorBidi"/>
                <w:sz w:val="20"/>
              </w:rPr>
              <w:t>.</w:t>
            </w:r>
            <w:r w:rsidR="00F73BE8">
              <w:rPr>
                <w:rFonts w:asciiTheme="majorBidi" w:hAnsiTheme="majorBidi" w:cstheme="majorBidi"/>
                <w:sz w:val="20"/>
              </w:rPr>
              <w:t>1</w:t>
            </w:r>
          </w:p>
        </w:tc>
        <w:tc>
          <w:tcPr>
            <w:tcW w:w="2388" w:type="dxa"/>
          </w:tcPr>
          <w:p w:rsidR="00467D50" w:rsidRPr="004F26D5" w:rsidRDefault="00467D50" w:rsidP="00F007B2">
            <w:pPr>
              <w:tabs>
                <w:tab w:val="left" w:pos="720"/>
              </w:tabs>
              <w:spacing w:before="60" w:after="60"/>
              <w:rPr>
                <w:rFonts w:asciiTheme="majorBidi" w:hAnsiTheme="majorBidi" w:cstheme="majorBidi"/>
                <w:sz w:val="20"/>
              </w:rPr>
            </w:pPr>
            <w:r w:rsidRPr="004F26D5">
              <w:rPr>
                <w:rFonts w:asciiTheme="majorBidi" w:hAnsiTheme="majorBidi" w:cstheme="majorBidi"/>
                <w:sz w:val="20"/>
              </w:rPr>
              <w:t>TSB</w:t>
            </w:r>
            <w:r w:rsidR="00401A01">
              <w:rPr>
                <w:rFonts w:asciiTheme="majorBidi" w:hAnsiTheme="majorBidi" w:cstheme="majorBidi"/>
                <w:sz w:val="20"/>
              </w:rPr>
              <w:t xml:space="preserve"> </w:t>
            </w:r>
            <w:r w:rsidRPr="004F26D5">
              <w:rPr>
                <w:rFonts w:asciiTheme="majorBidi" w:hAnsiTheme="majorBidi" w:cstheme="majorBidi"/>
                <w:sz w:val="20"/>
              </w:rPr>
              <w:t>Dir</w:t>
            </w:r>
            <w:r w:rsidR="00861458">
              <w:rPr>
                <w:rFonts w:asciiTheme="majorBidi" w:hAnsiTheme="majorBidi" w:cstheme="majorBidi"/>
                <w:sz w:val="20"/>
              </w:rPr>
              <w:t>ector</w:t>
            </w:r>
            <w:r w:rsidRPr="004F26D5">
              <w:rPr>
                <w:rFonts w:asciiTheme="majorBidi" w:hAnsiTheme="majorBidi" w:cstheme="majorBidi"/>
                <w:sz w:val="20"/>
              </w:rPr>
              <w:t>: Evaluation of Kaleidoscope 2017 papers with respect to relevance in ITU activities</w:t>
            </w:r>
          </w:p>
        </w:tc>
        <w:tc>
          <w:tcPr>
            <w:tcW w:w="850" w:type="dxa"/>
          </w:tcPr>
          <w:p w:rsidR="00467D50" w:rsidRPr="008B6318" w:rsidRDefault="00391D67" w:rsidP="00FB6F28">
            <w:pPr>
              <w:spacing w:before="60" w:after="60"/>
              <w:jc w:val="center"/>
              <w:rPr>
                <w:rFonts w:asciiTheme="majorBidi" w:hAnsiTheme="majorBidi" w:cstheme="majorBidi"/>
                <w:sz w:val="20"/>
              </w:rPr>
            </w:pPr>
            <w:hyperlink r:id="rId13" w:history="1">
              <w:r w:rsidR="00397286" w:rsidRPr="008B6318">
                <w:rPr>
                  <w:rStyle w:val="Hyperlink"/>
                  <w:rFonts w:asciiTheme="majorBidi" w:hAnsiTheme="majorBidi" w:cstheme="majorBidi"/>
                  <w:sz w:val="20"/>
                </w:rPr>
                <w:t>TD</w:t>
              </w:r>
              <w:r w:rsidR="00467D50" w:rsidRPr="008B6318">
                <w:rPr>
                  <w:rStyle w:val="Hyperlink"/>
                  <w:rFonts w:asciiTheme="majorBidi" w:hAnsiTheme="majorBidi" w:cstheme="majorBidi"/>
                  <w:sz w:val="20"/>
                </w:rPr>
                <w:t>24</w:t>
              </w:r>
              <w:r w:rsidR="00FB6F28">
                <w:rPr>
                  <w:rStyle w:val="Hyperlink"/>
                  <w:rFonts w:asciiTheme="majorBidi" w:hAnsiTheme="majorBidi" w:cstheme="majorBidi"/>
                  <w:sz w:val="20"/>
                </w:rPr>
                <w:t>0-R1</w:t>
              </w:r>
            </w:hyperlink>
          </w:p>
        </w:tc>
        <w:tc>
          <w:tcPr>
            <w:tcW w:w="3909" w:type="dxa"/>
          </w:tcPr>
          <w:p w:rsidR="00467D50" w:rsidRPr="008B6318" w:rsidRDefault="00467D50" w:rsidP="00F007B2">
            <w:pPr>
              <w:tabs>
                <w:tab w:val="left" w:pos="720"/>
              </w:tabs>
              <w:spacing w:before="60" w:after="60"/>
              <w:rPr>
                <w:rFonts w:asciiTheme="majorBidi" w:hAnsiTheme="majorBidi" w:cstheme="majorBidi"/>
                <w:sz w:val="20"/>
              </w:rPr>
            </w:pPr>
            <w:r w:rsidRPr="008B6318">
              <w:rPr>
                <w:rFonts w:asciiTheme="majorBidi" w:hAnsiTheme="majorBidi" w:cstheme="majorBidi"/>
                <w:sz w:val="20"/>
              </w:rPr>
              <w:t xml:space="preserve">This document provides an overview of the ITU Kaleidoscope academic conference 2017 (K-2017) that was held in Nanjing, China, from 27-29 November 2017. The Annex to this document presents accepted papers, </w:t>
            </w:r>
            <w:r w:rsidRPr="008B6318">
              <w:rPr>
                <w:rFonts w:asciiTheme="majorBidi" w:hAnsiTheme="majorBidi" w:cstheme="majorBidi"/>
                <w:sz w:val="20"/>
              </w:rPr>
              <w:lastRenderedPageBreak/>
              <w:t>invited papers and keynote speeches selected by the K-2017 steering and technical programme committees and identifies links to related activities in ITU-T and other ITU sectors</w:t>
            </w:r>
          </w:p>
          <w:p w:rsidR="00467D50" w:rsidRPr="008B6318" w:rsidRDefault="00467D50" w:rsidP="00F007B2">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
                <w:sz w:val="20"/>
              </w:rPr>
              <w:t>Action:</w:t>
            </w:r>
            <w:r w:rsidRPr="008B6318">
              <w:rPr>
                <w:rFonts w:asciiTheme="majorBidi" w:eastAsia="SimSun" w:hAnsiTheme="majorBidi" w:cstheme="majorBidi"/>
                <w:bCs/>
                <w:sz w:val="20"/>
              </w:rPr>
              <w:t xml:space="preserve"> </w:t>
            </w:r>
            <w:r w:rsidRPr="008B6318">
              <w:rPr>
                <w:rFonts w:asciiTheme="majorBidi" w:hAnsiTheme="majorBidi" w:cstheme="majorBidi"/>
                <w:sz w:val="20"/>
              </w:rPr>
              <w:t>TSAG, ITU-T study groups and focus groups are invited to review the papers relevant to their scope of work, and to take into consideration this input from the research community. Tailored TDs are also being submitted to the ITU-T study groups and focus groups. In addition, this report will be transmitted to TDAG and RAG.</w:t>
            </w:r>
          </w:p>
        </w:tc>
      </w:tr>
      <w:tr w:rsidR="007136EE" w:rsidRPr="004F26D5" w:rsidTr="00A82ACD">
        <w:trPr>
          <w:cantSplit/>
          <w:trHeight w:val="20"/>
        </w:trPr>
        <w:tc>
          <w:tcPr>
            <w:tcW w:w="1385" w:type="dxa"/>
          </w:tcPr>
          <w:p w:rsidR="007136EE" w:rsidRPr="004F26D5" w:rsidRDefault="007136EE" w:rsidP="00C35DD8">
            <w:pPr>
              <w:spacing w:before="60" w:after="60"/>
              <w:rPr>
                <w:rFonts w:asciiTheme="majorBidi" w:eastAsia="SimSun" w:hAnsiTheme="majorBidi" w:cstheme="majorBidi"/>
                <w:b/>
                <w:sz w:val="20"/>
                <w:highlight w:val="yellow"/>
              </w:rPr>
            </w:pPr>
          </w:p>
        </w:tc>
        <w:tc>
          <w:tcPr>
            <w:tcW w:w="1099" w:type="dxa"/>
          </w:tcPr>
          <w:p w:rsidR="007136EE" w:rsidRPr="004F26D5" w:rsidRDefault="00A20B0C" w:rsidP="00C35DD8">
            <w:pPr>
              <w:spacing w:before="60" w:after="60"/>
              <w:rPr>
                <w:rFonts w:asciiTheme="majorBidi" w:eastAsia="SimSun" w:hAnsiTheme="majorBidi" w:cstheme="majorBidi"/>
                <w:b/>
                <w:sz w:val="20"/>
                <w:highlight w:val="yellow"/>
              </w:rPr>
            </w:pPr>
            <w:r w:rsidRPr="00F03D25">
              <w:rPr>
                <w:rFonts w:asciiTheme="majorBidi" w:eastAsia="SimSun" w:hAnsiTheme="majorBidi" w:cstheme="majorBidi"/>
                <w:b/>
                <w:sz w:val="20"/>
              </w:rPr>
              <w:t>20</w:t>
            </w:r>
          </w:p>
        </w:tc>
        <w:tc>
          <w:tcPr>
            <w:tcW w:w="2388" w:type="dxa"/>
          </w:tcPr>
          <w:p w:rsidR="007136EE" w:rsidRPr="004F26D5" w:rsidRDefault="008432FE" w:rsidP="00C35DD8">
            <w:pPr>
              <w:tabs>
                <w:tab w:val="left" w:pos="720"/>
              </w:tabs>
              <w:spacing w:before="60" w:after="60"/>
              <w:rPr>
                <w:rFonts w:asciiTheme="majorBidi" w:eastAsia="SimSun" w:hAnsiTheme="majorBidi" w:cstheme="majorBidi"/>
                <w:b/>
                <w:bCs/>
                <w:sz w:val="20"/>
                <w:highlight w:val="yellow"/>
              </w:rPr>
            </w:pPr>
            <w:r w:rsidRPr="00AA6DAA">
              <w:rPr>
                <w:rFonts w:asciiTheme="majorBidi" w:eastAsia="SimSun" w:hAnsiTheme="majorBidi" w:cstheme="majorBidi"/>
                <w:b/>
                <w:bCs/>
                <w:sz w:val="20"/>
              </w:rPr>
              <w:t xml:space="preserve">TSB Director: </w:t>
            </w:r>
            <w:r w:rsidR="00D82092" w:rsidRPr="00D82092">
              <w:rPr>
                <w:rFonts w:asciiTheme="majorBidi" w:eastAsia="SimSun" w:hAnsiTheme="majorBidi" w:cstheme="majorBidi"/>
                <w:b/>
                <w:bCs/>
                <w:sz w:val="20"/>
              </w:rPr>
              <w:t>ITU Telecom 10-13 September 2018, Durban, South Africa</w:t>
            </w:r>
          </w:p>
        </w:tc>
        <w:tc>
          <w:tcPr>
            <w:tcW w:w="850" w:type="dxa"/>
          </w:tcPr>
          <w:p w:rsidR="007136EE" w:rsidRPr="008B6318" w:rsidRDefault="00391D67" w:rsidP="00D82092">
            <w:pPr>
              <w:spacing w:before="60" w:after="60"/>
              <w:jc w:val="center"/>
              <w:rPr>
                <w:rFonts w:asciiTheme="majorBidi" w:hAnsiTheme="majorBidi" w:cstheme="majorBidi"/>
                <w:sz w:val="20"/>
              </w:rPr>
            </w:pPr>
            <w:hyperlink r:id="rId14" w:history="1">
              <w:r w:rsidR="008432FE" w:rsidRPr="00D82092">
                <w:rPr>
                  <w:rStyle w:val="Hyperlink"/>
                  <w:rFonts w:asciiTheme="majorBidi" w:hAnsiTheme="majorBidi" w:cstheme="majorBidi"/>
                  <w:sz w:val="20"/>
                </w:rPr>
                <w:t>TD</w:t>
              </w:r>
              <w:r w:rsidR="00D82092" w:rsidRPr="00D82092">
                <w:rPr>
                  <w:rStyle w:val="Hyperlink"/>
                  <w:rFonts w:asciiTheme="majorBidi" w:hAnsiTheme="majorBidi" w:cstheme="majorBidi"/>
                  <w:sz w:val="20"/>
                </w:rPr>
                <w:t>273</w:t>
              </w:r>
            </w:hyperlink>
          </w:p>
        </w:tc>
        <w:tc>
          <w:tcPr>
            <w:tcW w:w="3909" w:type="dxa"/>
          </w:tcPr>
          <w:p w:rsidR="007136EE" w:rsidRPr="008B6318" w:rsidRDefault="007B48AE" w:rsidP="00C35DD8">
            <w:pPr>
              <w:tabs>
                <w:tab w:val="left" w:pos="720"/>
              </w:tabs>
              <w:spacing w:before="60" w:after="60"/>
              <w:rPr>
                <w:rFonts w:asciiTheme="majorBidi" w:hAnsiTheme="majorBidi" w:cstheme="majorBidi"/>
                <w:sz w:val="20"/>
              </w:rPr>
            </w:pPr>
            <w:r>
              <w:rPr>
                <w:rFonts w:asciiTheme="majorBidi" w:hAnsiTheme="majorBidi" w:cstheme="majorBidi"/>
                <w:sz w:val="20"/>
              </w:rPr>
              <w:t>For information.</w:t>
            </w:r>
          </w:p>
        </w:tc>
      </w:tr>
      <w:tr w:rsidR="008432FE" w:rsidRPr="004F26D5" w:rsidTr="00A82ACD">
        <w:trPr>
          <w:cantSplit/>
          <w:trHeight w:val="20"/>
        </w:trPr>
        <w:tc>
          <w:tcPr>
            <w:tcW w:w="1385" w:type="dxa"/>
          </w:tcPr>
          <w:p w:rsidR="008432FE" w:rsidRPr="004F26D5" w:rsidRDefault="008432FE" w:rsidP="00C35DD8">
            <w:pPr>
              <w:spacing w:before="60" w:after="60"/>
              <w:rPr>
                <w:rFonts w:asciiTheme="majorBidi" w:eastAsia="SimSun" w:hAnsiTheme="majorBidi" w:cstheme="majorBidi"/>
                <w:b/>
                <w:sz w:val="20"/>
                <w:highlight w:val="yellow"/>
              </w:rPr>
            </w:pPr>
          </w:p>
        </w:tc>
        <w:tc>
          <w:tcPr>
            <w:tcW w:w="1099" w:type="dxa"/>
          </w:tcPr>
          <w:p w:rsidR="008432FE" w:rsidRPr="004F26D5" w:rsidRDefault="008432FE" w:rsidP="00C35DD8">
            <w:pPr>
              <w:spacing w:before="60" w:after="60"/>
              <w:rPr>
                <w:rFonts w:asciiTheme="majorBidi" w:eastAsia="SimSun" w:hAnsiTheme="majorBidi" w:cstheme="majorBidi"/>
                <w:b/>
                <w:sz w:val="20"/>
                <w:highlight w:val="yellow"/>
              </w:rPr>
            </w:pPr>
          </w:p>
        </w:tc>
        <w:tc>
          <w:tcPr>
            <w:tcW w:w="2388" w:type="dxa"/>
          </w:tcPr>
          <w:p w:rsidR="008432FE" w:rsidRDefault="008432FE" w:rsidP="00C35DD8">
            <w:pPr>
              <w:tabs>
                <w:tab w:val="left" w:pos="720"/>
              </w:tabs>
              <w:spacing w:before="60" w:after="60"/>
              <w:rPr>
                <w:rFonts w:asciiTheme="majorBidi" w:eastAsia="SimSun" w:hAnsiTheme="majorBidi" w:cstheme="majorBidi"/>
                <w:b/>
                <w:bCs/>
                <w:sz w:val="20"/>
                <w:highlight w:val="yellow"/>
              </w:rPr>
            </w:pPr>
          </w:p>
        </w:tc>
        <w:tc>
          <w:tcPr>
            <w:tcW w:w="850" w:type="dxa"/>
          </w:tcPr>
          <w:p w:rsidR="008432FE" w:rsidRPr="008B6318" w:rsidRDefault="008432FE" w:rsidP="00C35DD8">
            <w:pPr>
              <w:spacing w:before="60" w:after="60"/>
              <w:jc w:val="center"/>
              <w:rPr>
                <w:rFonts w:asciiTheme="majorBidi" w:hAnsiTheme="majorBidi" w:cstheme="majorBidi"/>
                <w:sz w:val="20"/>
              </w:rPr>
            </w:pPr>
          </w:p>
        </w:tc>
        <w:tc>
          <w:tcPr>
            <w:tcW w:w="3909" w:type="dxa"/>
          </w:tcPr>
          <w:p w:rsidR="008432FE" w:rsidRPr="008B6318" w:rsidRDefault="008432FE" w:rsidP="00C35DD8">
            <w:pPr>
              <w:tabs>
                <w:tab w:val="left" w:pos="720"/>
              </w:tabs>
              <w:spacing w:before="60" w:after="60"/>
              <w:rPr>
                <w:rFonts w:asciiTheme="majorBidi" w:hAnsiTheme="majorBidi" w:cstheme="majorBidi"/>
                <w:sz w:val="20"/>
              </w:rPr>
            </w:pPr>
          </w:p>
        </w:tc>
      </w:tr>
      <w:tr w:rsidR="00565EFC" w:rsidRPr="004F26D5" w:rsidTr="00A82ACD">
        <w:trPr>
          <w:cantSplit/>
          <w:trHeight w:val="20"/>
        </w:trPr>
        <w:tc>
          <w:tcPr>
            <w:tcW w:w="1385" w:type="dxa"/>
          </w:tcPr>
          <w:p w:rsidR="00565EFC" w:rsidRPr="008432FE" w:rsidRDefault="00565EFC" w:rsidP="00C35DD8">
            <w:pPr>
              <w:spacing w:before="60" w:after="60"/>
              <w:rPr>
                <w:rFonts w:asciiTheme="majorBidi" w:eastAsia="SimSun" w:hAnsiTheme="majorBidi" w:cstheme="majorBidi"/>
                <w:b/>
                <w:sz w:val="20"/>
              </w:rPr>
            </w:pPr>
          </w:p>
        </w:tc>
        <w:tc>
          <w:tcPr>
            <w:tcW w:w="1099" w:type="dxa"/>
          </w:tcPr>
          <w:p w:rsidR="00565EFC" w:rsidRPr="008432FE" w:rsidRDefault="00A20B0C" w:rsidP="00C35DD8">
            <w:pPr>
              <w:spacing w:before="60" w:after="60"/>
              <w:rPr>
                <w:rFonts w:asciiTheme="majorBidi" w:eastAsia="SimSun" w:hAnsiTheme="majorBidi" w:cstheme="majorBidi"/>
                <w:b/>
                <w:sz w:val="20"/>
              </w:rPr>
            </w:pPr>
            <w:r>
              <w:rPr>
                <w:rFonts w:asciiTheme="majorBidi" w:eastAsia="SimSun" w:hAnsiTheme="majorBidi" w:cstheme="majorBidi"/>
                <w:b/>
                <w:sz w:val="20"/>
              </w:rPr>
              <w:t>21</w:t>
            </w:r>
          </w:p>
        </w:tc>
        <w:tc>
          <w:tcPr>
            <w:tcW w:w="2388" w:type="dxa"/>
          </w:tcPr>
          <w:p w:rsidR="00565EFC" w:rsidRPr="004F26D5" w:rsidRDefault="000209AD" w:rsidP="00C35DD8">
            <w:pPr>
              <w:tabs>
                <w:tab w:val="left" w:pos="720"/>
              </w:tabs>
              <w:spacing w:before="60" w:after="60"/>
              <w:rPr>
                <w:rFonts w:asciiTheme="majorBidi" w:eastAsia="SimSun" w:hAnsiTheme="majorBidi" w:cstheme="majorBidi"/>
                <w:b/>
                <w:bCs/>
                <w:sz w:val="20"/>
                <w:highlight w:val="yellow"/>
              </w:rPr>
            </w:pPr>
            <w:r w:rsidRPr="000209AD">
              <w:rPr>
                <w:rFonts w:asciiTheme="majorBidi" w:eastAsia="SimSun" w:hAnsiTheme="majorBidi" w:cstheme="majorBidi"/>
                <w:b/>
                <w:bCs/>
                <w:sz w:val="20"/>
              </w:rPr>
              <w:t>TSB: Introduction to the new Customer Relationship Management (CRM) system to register for ITU-T meetings</w:t>
            </w:r>
          </w:p>
        </w:tc>
        <w:tc>
          <w:tcPr>
            <w:tcW w:w="850" w:type="dxa"/>
          </w:tcPr>
          <w:p w:rsidR="00565EFC" w:rsidRPr="000209AD" w:rsidRDefault="00391D67" w:rsidP="00C35DD8">
            <w:pPr>
              <w:spacing w:before="60" w:after="60"/>
              <w:jc w:val="center"/>
              <w:rPr>
                <w:rFonts w:asciiTheme="majorBidi" w:hAnsiTheme="majorBidi" w:cstheme="majorBidi"/>
                <w:sz w:val="20"/>
              </w:rPr>
            </w:pPr>
            <w:hyperlink r:id="rId15" w:history="1">
              <w:r w:rsidR="000209AD" w:rsidRPr="000209AD">
                <w:rPr>
                  <w:rStyle w:val="Hyperlink"/>
                  <w:rFonts w:asciiTheme="majorBidi" w:hAnsiTheme="majorBidi" w:cstheme="majorBidi"/>
                  <w:sz w:val="20"/>
                </w:rPr>
                <w:t>TD267</w:t>
              </w:r>
            </w:hyperlink>
          </w:p>
        </w:tc>
        <w:tc>
          <w:tcPr>
            <w:tcW w:w="3909" w:type="dxa"/>
          </w:tcPr>
          <w:p w:rsidR="00565EFC" w:rsidRPr="008B6318" w:rsidRDefault="000209AD" w:rsidP="00C35DD8">
            <w:pPr>
              <w:tabs>
                <w:tab w:val="left" w:pos="720"/>
              </w:tabs>
              <w:spacing w:before="60" w:after="60"/>
              <w:rPr>
                <w:rFonts w:asciiTheme="majorBidi" w:hAnsiTheme="majorBidi" w:cstheme="majorBidi"/>
                <w:sz w:val="20"/>
              </w:rPr>
            </w:pPr>
            <w:r w:rsidRPr="000209AD">
              <w:rPr>
                <w:rFonts w:asciiTheme="majorBidi" w:hAnsiTheme="majorBidi" w:cstheme="majorBidi"/>
                <w:sz w:val="20"/>
              </w:rPr>
              <w:t>This TD contains material presented to TSAG participants during the introduction of the new Customer Relationship Management (CRM) system to register for ITU-T meetings (TSAG meeting, Geneva, 26 February - 2 March 2018).</w:t>
            </w:r>
          </w:p>
        </w:tc>
      </w:tr>
      <w:tr w:rsidR="008432FE" w:rsidRPr="004F26D5" w:rsidTr="00A82ACD">
        <w:trPr>
          <w:cantSplit/>
          <w:trHeight w:val="20"/>
        </w:trPr>
        <w:tc>
          <w:tcPr>
            <w:tcW w:w="1385" w:type="dxa"/>
          </w:tcPr>
          <w:p w:rsidR="008432FE" w:rsidRPr="004F26D5" w:rsidRDefault="008432FE" w:rsidP="00C35DD8">
            <w:pPr>
              <w:spacing w:before="60" w:after="60"/>
              <w:rPr>
                <w:rFonts w:asciiTheme="majorBidi" w:eastAsia="SimSun" w:hAnsiTheme="majorBidi" w:cstheme="majorBidi"/>
                <w:b/>
                <w:sz w:val="20"/>
                <w:highlight w:val="yellow"/>
              </w:rPr>
            </w:pPr>
          </w:p>
        </w:tc>
        <w:tc>
          <w:tcPr>
            <w:tcW w:w="1099" w:type="dxa"/>
          </w:tcPr>
          <w:p w:rsidR="008432FE" w:rsidRDefault="008432FE" w:rsidP="00C35DD8">
            <w:pPr>
              <w:spacing w:before="60" w:after="60"/>
              <w:rPr>
                <w:rFonts w:asciiTheme="majorBidi" w:eastAsia="SimSun" w:hAnsiTheme="majorBidi" w:cstheme="majorBidi"/>
                <w:b/>
                <w:sz w:val="20"/>
                <w:highlight w:val="yellow"/>
              </w:rPr>
            </w:pPr>
          </w:p>
        </w:tc>
        <w:tc>
          <w:tcPr>
            <w:tcW w:w="2388" w:type="dxa"/>
          </w:tcPr>
          <w:p w:rsidR="008432FE" w:rsidRDefault="008432FE" w:rsidP="00C35DD8">
            <w:pPr>
              <w:tabs>
                <w:tab w:val="left" w:pos="720"/>
              </w:tabs>
              <w:spacing w:before="60" w:after="60"/>
              <w:rPr>
                <w:rFonts w:asciiTheme="majorBidi" w:eastAsia="SimSun" w:hAnsiTheme="majorBidi" w:cstheme="majorBidi"/>
                <w:b/>
                <w:bCs/>
                <w:sz w:val="20"/>
                <w:highlight w:val="yellow"/>
              </w:rPr>
            </w:pPr>
          </w:p>
        </w:tc>
        <w:tc>
          <w:tcPr>
            <w:tcW w:w="850" w:type="dxa"/>
          </w:tcPr>
          <w:p w:rsidR="008432FE" w:rsidRPr="00565EFC" w:rsidRDefault="008432FE" w:rsidP="00C35DD8">
            <w:pPr>
              <w:spacing w:before="60" w:after="60"/>
              <w:jc w:val="center"/>
              <w:rPr>
                <w:rFonts w:asciiTheme="majorBidi" w:hAnsiTheme="majorBidi" w:cstheme="majorBidi"/>
                <w:sz w:val="20"/>
                <w:highlight w:val="yellow"/>
              </w:rPr>
            </w:pPr>
          </w:p>
        </w:tc>
        <w:tc>
          <w:tcPr>
            <w:tcW w:w="3909" w:type="dxa"/>
          </w:tcPr>
          <w:p w:rsidR="008432FE" w:rsidRPr="00565EFC" w:rsidRDefault="008432FE" w:rsidP="00C35DD8">
            <w:pPr>
              <w:tabs>
                <w:tab w:val="left" w:pos="720"/>
              </w:tabs>
              <w:spacing w:before="60" w:after="60"/>
              <w:rPr>
                <w:rFonts w:asciiTheme="majorBidi" w:hAnsiTheme="majorBidi" w:cstheme="majorBidi"/>
                <w:sz w:val="20"/>
                <w:highlight w:val="yellow"/>
              </w:rPr>
            </w:pPr>
          </w:p>
        </w:tc>
      </w:tr>
      <w:tr w:rsidR="00521901" w:rsidRPr="004F26D5" w:rsidTr="00A82ACD">
        <w:trPr>
          <w:trHeight w:val="20"/>
        </w:trPr>
        <w:tc>
          <w:tcPr>
            <w:tcW w:w="1385" w:type="dxa"/>
            <w:tcBorders>
              <w:top w:val="single" w:sz="12" w:space="0" w:color="auto"/>
            </w:tcBorders>
          </w:tcPr>
          <w:p w:rsidR="00521901" w:rsidRPr="004F26D5" w:rsidRDefault="00521901" w:rsidP="004C2EB3">
            <w:pPr>
              <w:spacing w:before="60" w:after="60"/>
              <w:rPr>
                <w:rFonts w:asciiTheme="majorBidi" w:eastAsia="SimSun" w:hAnsiTheme="majorBidi" w:cstheme="majorBidi"/>
                <w:b/>
                <w:sz w:val="20"/>
                <w:highlight w:val="yellow"/>
              </w:rPr>
            </w:pPr>
          </w:p>
        </w:tc>
        <w:tc>
          <w:tcPr>
            <w:tcW w:w="1099" w:type="dxa"/>
            <w:tcBorders>
              <w:top w:val="single" w:sz="12" w:space="0" w:color="auto"/>
            </w:tcBorders>
          </w:tcPr>
          <w:p w:rsidR="00521901" w:rsidRPr="004F26D5" w:rsidRDefault="007A078D" w:rsidP="00A20B0C">
            <w:pPr>
              <w:spacing w:before="60" w:after="60"/>
              <w:rPr>
                <w:rFonts w:asciiTheme="majorBidi" w:eastAsia="SimSun" w:hAnsiTheme="majorBidi" w:cstheme="majorBidi"/>
                <w:b/>
                <w:sz w:val="20"/>
              </w:rPr>
            </w:pPr>
            <w:r>
              <w:rPr>
                <w:rFonts w:asciiTheme="majorBidi" w:eastAsia="SimSun" w:hAnsiTheme="majorBidi" w:cstheme="majorBidi"/>
                <w:b/>
                <w:sz w:val="20"/>
              </w:rPr>
              <w:t>2</w:t>
            </w:r>
            <w:r w:rsidR="00A20B0C">
              <w:rPr>
                <w:rFonts w:asciiTheme="majorBidi" w:eastAsia="SimSun" w:hAnsiTheme="majorBidi" w:cstheme="majorBidi"/>
                <w:b/>
                <w:sz w:val="20"/>
              </w:rPr>
              <w:t>2</w:t>
            </w:r>
          </w:p>
        </w:tc>
        <w:tc>
          <w:tcPr>
            <w:tcW w:w="2388" w:type="dxa"/>
            <w:tcBorders>
              <w:top w:val="single" w:sz="12" w:space="0" w:color="auto"/>
            </w:tcBorders>
          </w:tcPr>
          <w:p w:rsidR="00521901" w:rsidRPr="004F26D5" w:rsidRDefault="00521901" w:rsidP="00C35DD8">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
                <w:sz w:val="20"/>
              </w:rPr>
              <w:t>Bridging the Standardization Gap</w:t>
            </w:r>
            <w:r w:rsidR="00D45A66" w:rsidRPr="004F26D5">
              <w:rPr>
                <w:rFonts w:asciiTheme="majorBidi" w:eastAsia="SimSun" w:hAnsiTheme="majorBidi" w:cstheme="majorBidi"/>
                <w:b/>
                <w:sz w:val="20"/>
              </w:rPr>
              <w:t xml:space="preserve"> (BSG)</w:t>
            </w:r>
          </w:p>
        </w:tc>
        <w:tc>
          <w:tcPr>
            <w:tcW w:w="850" w:type="dxa"/>
            <w:tcBorders>
              <w:top w:val="single" w:sz="12" w:space="0" w:color="auto"/>
            </w:tcBorders>
          </w:tcPr>
          <w:p w:rsidR="00521901" w:rsidRPr="008B6318" w:rsidRDefault="00521901" w:rsidP="00C35DD8">
            <w:pPr>
              <w:spacing w:before="60" w:after="60"/>
              <w:jc w:val="center"/>
              <w:rPr>
                <w:rFonts w:asciiTheme="majorBidi" w:hAnsiTheme="majorBidi" w:cstheme="majorBidi"/>
                <w:sz w:val="20"/>
              </w:rPr>
            </w:pPr>
          </w:p>
        </w:tc>
        <w:tc>
          <w:tcPr>
            <w:tcW w:w="3909" w:type="dxa"/>
            <w:tcBorders>
              <w:top w:val="single" w:sz="12" w:space="0" w:color="auto"/>
            </w:tcBorders>
          </w:tcPr>
          <w:p w:rsidR="00521901" w:rsidRPr="008B6318" w:rsidRDefault="00521901"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(ref. WTSA-16 Res. 44)</w:t>
            </w:r>
          </w:p>
          <w:p w:rsidR="00521901" w:rsidRPr="008B6318" w:rsidRDefault="00521901" w:rsidP="0054708A">
            <w:pPr>
              <w:tabs>
                <w:tab w:val="left" w:pos="720"/>
              </w:tabs>
              <w:spacing w:before="60" w:after="60"/>
              <w:rPr>
                <w:rFonts w:asciiTheme="majorBidi" w:hAnsiTheme="majorBidi" w:cstheme="majorBidi"/>
                <w:color w:val="0000FF"/>
                <w:sz w:val="20"/>
                <w:u w:val="single"/>
              </w:rPr>
            </w:pPr>
            <w:r w:rsidRPr="008B6318">
              <w:rPr>
                <w:rFonts w:asciiTheme="majorBidi" w:eastAsia="SimSun" w:hAnsiTheme="majorBidi" w:cstheme="majorBidi"/>
                <w:bCs/>
                <w:sz w:val="20"/>
              </w:rPr>
              <w:t>See section 1</w:t>
            </w:r>
            <w:r w:rsidR="0054708A" w:rsidRPr="008B6318">
              <w:rPr>
                <w:rFonts w:asciiTheme="majorBidi" w:eastAsia="SimSun" w:hAnsiTheme="majorBidi" w:cstheme="majorBidi"/>
                <w:bCs/>
                <w:sz w:val="20"/>
              </w:rPr>
              <w:t>5</w:t>
            </w:r>
            <w:r w:rsidRPr="008B6318">
              <w:rPr>
                <w:rFonts w:asciiTheme="majorBidi" w:eastAsia="SimSun" w:hAnsiTheme="majorBidi" w:cstheme="majorBidi"/>
                <w:bCs/>
                <w:sz w:val="20"/>
              </w:rPr>
              <w:t xml:space="preserve"> of TSB Director’s Report </w:t>
            </w:r>
            <w:hyperlink r:id="rId16" w:history="1">
              <w:r w:rsidR="00397286" w:rsidRPr="00503860">
                <w:rPr>
                  <w:rStyle w:val="Hyperlink"/>
                  <w:rFonts w:asciiTheme="majorBidi" w:hAnsiTheme="majorBidi" w:cstheme="majorBidi"/>
                  <w:sz w:val="20"/>
                </w:rPr>
                <w:t>TD</w:t>
              </w:r>
              <w:r w:rsidR="00503860" w:rsidRPr="00503860">
                <w:rPr>
                  <w:rStyle w:val="Hyperlink"/>
                  <w:rFonts w:asciiTheme="majorBidi" w:hAnsiTheme="majorBidi" w:cstheme="majorBidi"/>
                  <w:sz w:val="20"/>
                </w:rPr>
                <w:t>138</w:t>
              </w:r>
            </w:hyperlink>
          </w:p>
        </w:tc>
      </w:tr>
      <w:tr w:rsidR="00A87018" w:rsidRPr="004F26D5" w:rsidTr="00A82ACD">
        <w:trPr>
          <w:trHeight w:val="20"/>
        </w:trPr>
        <w:tc>
          <w:tcPr>
            <w:tcW w:w="1385" w:type="dxa"/>
            <w:tcBorders>
              <w:top w:val="single" w:sz="12" w:space="0" w:color="auto"/>
            </w:tcBorders>
          </w:tcPr>
          <w:p w:rsidR="00A87018" w:rsidRDefault="007E4966" w:rsidP="007E4966">
            <w:pPr>
              <w:spacing w:before="60" w:after="60"/>
              <w:rPr>
                <w:rFonts w:asciiTheme="majorBidi" w:eastAsia="SimSun" w:hAnsiTheme="majorBidi" w:cstheme="majorBidi"/>
                <w:b/>
                <w:bCs/>
                <w:sz w:val="20"/>
              </w:rPr>
            </w:pPr>
            <w:r>
              <w:rPr>
                <w:rFonts w:asciiTheme="majorBidi" w:eastAsia="SimSun" w:hAnsiTheme="majorBidi" w:cstheme="majorBidi"/>
                <w:b/>
                <w:bCs/>
                <w:sz w:val="20"/>
              </w:rPr>
              <w:t>(r</w:t>
            </w:r>
            <w:r w:rsidR="00422AC8">
              <w:rPr>
                <w:rFonts w:asciiTheme="majorBidi" w:eastAsia="SimSun" w:hAnsiTheme="majorBidi" w:cstheme="majorBidi"/>
                <w:b/>
                <w:bCs/>
                <w:sz w:val="20"/>
              </w:rPr>
              <w:t>emote presentation</w:t>
            </w:r>
            <w:r>
              <w:rPr>
                <w:rFonts w:asciiTheme="majorBidi" w:eastAsia="SimSun" w:hAnsiTheme="majorBidi" w:cstheme="majorBidi"/>
                <w:b/>
                <w:bCs/>
                <w:sz w:val="20"/>
              </w:rPr>
              <w:t>)</w:t>
            </w:r>
          </w:p>
        </w:tc>
        <w:tc>
          <w:tcPr>
            <w:tcW w:w="1099" w:type="dxa"/>
            <w:tcBorders>
              <w:top w:val="single" w:sz="12" w:space="0" w:color="auto"/>
            </w:tcBorders>
          </w:tcPr>
          <w:p w:rsidR="00A87018" w:rsidRPr="007A078D" w:rsidRDefault="00A20B0C" w:rsidP="00A87018">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22</w:t>
            </w:r>
            <w:r w:rsidR="00A87018" w:rsidRPr="007A078D">
              <w:rPr>
                <w:rFonts w:asciiTheme="majorBidi" w:eastAsia="SimSun" w:hAnsiTheme="majorBidi" w:cstheme="majorBidi"/>
                <w:bCs/>
                <w:sz w:val="20"/>
              </w:rPr>
              <w:t>.1</w:t>
            </w:r>
          </w:p>
        </w:tc>
        <w:tc>
          <w:tcPr>
            <w:tcW w:w="2388" w:type="dxa"/>
            <w:tcBorders>
              <w:top w:val="single" w:sz="12" w:space="0" w:color="auto"/>
            </w:tcBorders>
          </w:tcPr>
          <w:p w:rsidR="00A87018" w:rsidRPr="004F26D5" w:rsidRDefault="00A87018" w:rsidP="00A87018">
            <w:pPr>
              <w:tabs>
                <w:tab w:val="left" w:pos="720"/>
              </w:tabs>
              <w:spacing w:before="60" w:after="60"/>
              <w:rPr>
                <w:rFonts w:asciiTheme="majorBidi" w:eastAsia="SimSun" w:hAnsiTheme="majorBidi" w:cstheme="majorBidi"/>
                <w:bCs/>
                <w:sz w:val="20"/>
              </w:rPr>
            </w:pPr>
            <w:r w:rsidRPr="004F26D5">
              <w:rPr>
                <w:rFonts w:asciiTheme="majorBidi" w:eastAsia="SimSun" w:hAnsiTheme="majorBidi" w:cstheme="majorBidi"/>
                <w:bCs/>
                <w:sz w:val="20"/>
              </w:rPr>
              <w:t>Côte d’Ivoire, Togo, Zambia, Zimbabwe, Guinea, Sierra Leone, Senegal, Gambia, Mali, Burkina Faso, Sudan, Rwanda, Democratic Republic of Congo, Comoros, Madagascar, Niger, Nigeria, Sao Tome e Principe: The importance of ITU-T Regional Groups in Bridging the Standardization Gap</w:t>
            </w:r>
          </w:p>
        </w:tc>
        <w:tc>
          <w:tcPr>
            <w:tcW w:w="850" w:type="dxa"/>
            <w:tcBorders>
              <w:top w:val="single" w:sz="12" w:space="0" w:color="auto"/>
            </w:tcBorders>
          </w:tcPr>
          <w:p w:rsidR="00A87018" w:rsidRPr="008B6318" w:rsidRDefault="00391D67" w:rsidP="00A87018">
            <w:pPr>
              <w:spacing w:before="60" w:after="60"/>
              <w:jc w:val="center"/>
            </w:pPr>
            <w:hyperlink r:id="rId17" w:history="1">
              <w:r w:rsidR="00A87018" w:rsidRPr="008B6318">
                <w:rPr>
                  <w:rStyle w:val="Hyperlink"/>
                  <w:rFonts w:asciiTheme="majorBidi" w:hAnsiTheme="majorBidi" w:cstheme="majorBidi"/>
                  <w:sz w:val="20"/>
                </w:rPr>
                <w:t>C30</w:t>
              </w:r>
            </w:hyperlink>
          </w:p>
        </w:tc>
        <w:tc>
          <w:tcPr>
            <w:tcW w:w="3909" w:type="dxa"/>
            <w:tcBorders>
              <w:top w:val="single" w:sz="12" w:space="0" w:color="auto"/>
            </w:tcBorders>
          </w:tcPr>
          <w:p w:rsidR="00A87018" w:rsidRPr="008B6318" w:rsidRDefault="00A87018" w:rsidP="00A87018">
            <w:pPr>
              <w:rPr>
                <w:sz w:val="20"/>
              </w:rPr>
            </w:pPr>
            <w:r w:rsidRPr="008B6318">
              <w:rPr>
                <w:sz w:val="20"/>
              </w:rPr>
              <w:t>Members States above propose to TSAG to invite Chairmen of ITU-T Study Groups to disseminate information i.e. TDs to their respective SG members on the history and importance of Regional Groups in Bridging the Standardization Gap.</w:t>
            </w:r>
          </w:p>
          <w:p w:rsidR="00A87018" w:rsidRPr="008B6318" w:rsidRDefault="00A87018" w:rsidP="00A87018">
            <w:pPr>
              <w:rPr>
                <w:sz w:val="20"/>
              </w:rPr>
            </w:pPr>
            <w:r w:rsidRPr="008B6318">
              <w:rPr>
                <w:sz w:val="20"/>
              </w:rPr>
              <w:t xml:space="preserve">Furthermore, Member States above request TSAG to recognize the unique nature of the pioneer regional groups of ITU-T SG3, in term of their long history, size diversity, </w:t>
            </w:r>
            <w:proofErr w:type="gramStart"/>
            <w:r w:rsidRPr="008B6318">
              <w:rPr>
                <w:sz w:val="20"/>
              </w:rPr>
              <w:t>effective</w:t>
            </w:r>
            <w:proofErr w:type="gramEnd"/>
            <w:r w:rsidRPr="008B6318">
              <w:rPr>
                <w:sz w:val="20"/>
              </w:rPr>
              <w:t xml:space="preserve"> participation and ensure the allocation of appropriate/ proportionate support and resources. It is important to acknowledge that the success of SG3 RG under Res. 26 led to the genesis and the evolution of WTSA Resolutions 54 and 44.</w:t>
            </w:r>
          </w:p>
          <w:p w:rsidR="00A87018" w:rsidRPr="008B6318" w:rsidRDefault="00A87018" w:rsidP="00A87018">
            <w:r w:rsidRPr="008B6318">
              <w:rPr>
                <w:sz w:val="20"/>
              </w:rPr>
              <w:t xml:space="preserve">Member States above also support </w:t>
            </w:r>
            <w:hyperlink r:id="rId18" w:history="1">
              <w:r w:rsidRPr="008B6318">
                <w:rPr>
                  <w:rStyle w:val="Hyperlink"/>
                  <w:sz w:val="20"/>
                </w:rPr>
                <w:t>C25</w:t>
              </w:r>
            </w:hyperlink>
            <w:r w:rsidRPr="008B6318">
              <w:rPr>
                <w:sz w:val="20"/>
              </w:rPr>
              <w:t xml:space="preserve"> to this TSAG meeting mainly the creation of BSG Regional and sub regional Hubs.</w:t>
            </w:r>
          </w:p>
        </w:tc>
      </w:tr>
      <w:tr w:rsidR="00A87018" w:rsidRPr="004F26D5" w:rsidTr="00A82ACD">
        <w:trPr>
          <w:trHeight w:val="20"/>
        </w:trPr>
        <w:tc>
          <w:tcPr>
            <w:tcW w:w="1385" w:type="dxa"/>
            <w:tcBorders>
              <w:top w:val="single" w:sz="12" w:space="0" w:color="auto"/>
            </w:tcBorders>
          </w:tcPr>
          <w:p w:rsidR="00A87018" w:rsidRDefault="00A87018" w:rsidP="00A87018">
            <w:pPr>
              <w:spacing w:before="60" w:after="60"/>
              <w:rPr>
                <w:rFonts w:asciiTheme="majorBidi" w:eastAsia="SimSun" w:hAnsiTheme="majorBidi" w:cstheme="majorBidi"/>
                <w:b/>
                <w:bCs/>
                <w:sz w:val="20"/>
              </w:rPr>
            </w:pPr>
          </w:p>
        </w:tc>
        <w:tc>
          <w:tcPr>
            <w:tcW w:w="1099" w:type="dxa"/>
            <w:tcBorders>
              <w:top w:val="single" w:sz="12" w:space="0" w:color="auto"/>
            </w:tcBorders>
          </w:tcPr>
          <w:p w:rsidR="00A87018" w:rsidRPr="004F26D5" w:rsidRDefault="00A20B0C" w:rsidP="00A87018">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22</w:t>
            </w:r>
            <w:r w:rsidR="00A87018">
              <w:rPr>
                <w:rFonts w:asciiTheme="majorBidi" w:eastAsia="SimSun" w:hAnsiTheme="majorBidi" w:cstheme="majorBidi"/>
                <w:bCs/>
                <w:sz w:val="20"/>
              </w:rPr>
              <w:t>.2</w:t>
            </w:r>
          </w:p>
        </w:tc>
        <w:tc>
          <w:tcPr>
            <w:tcW w:w="2388" w:type="dxa"/>
            <w:tcBorders>
              <w:top w:val="single" w:sz="12" w:space="0" w:color="auto"/>
            </w:tcBorders>
          </w:tcPr>
          <w:p w:rsidR="00A87018" w:rsidRPr="004F26D5" w:rsidRDefault="00A87018" w:rsidP="00A87018">
            <w:pPr>
              <w:spacing w:before="0"/>
              <w:rPr>
                <w:rFonts w:asciiTheme="majorBidi" w:hAnsiTheme="majorBidi" w:cstheme="majorBidi"/>
                <w:color w:val="0000FF"/>
                <w:sz w:val="20"/>
                <w:u w:val="single"/>
              </w:rPr>
            </w:pPr>
            <w:r w:rsidRPr="004F26D5">
              <w:rPr>
                <w:rFonts w:asciiTheme="majorBidi" w:hAnsiTheme="majorBidi" w:cstheme="majorBidi"/>
                <w:sz w:val="20"/>
              </w:rPr>
              <w:t>India: The importance of ITU-T Regional Groups in Bridging the Standardization Gap</w:t>
            </w:r>
          </w:p>
        </w:tc>
        <w:tc>
          <w:tcPr>
            <w:tcW w:w="850" w:type="dxa"/>
            <w:tcBorders>
              <w:top w:val="single" w:sz="12" w:space="0" w:color="auto"/>
            </w:tcBorders>
          </w:tcPr>
          <w:p w:rsidR="00A87018" w:rsidRPr="008B6318" w:rsidRDefault="00391D67" w:rsidP="00A87018">
            <w:pPr>
              <w:spacing w:before="60" w:after="60"/>
              <w:jc w:val="center"/>
            </w:pPr>
            <w:hyperlink r:id="rId19" w:history="1">
              <w:r w:rsidR="00A87018" w:rsidRPr="008B6318">
                <w:rPr>
                  <w:rStyle w:val="Hyperlink"/>
                  <w:rFonts w:asciiTheme="majorBidi" w:hAnsiTheme="majorBidi" w:cstheme="majorBidi"/>
                  <w:sz w:val="20"/>
                </w:rPr>
                <w:t>C33</w:t>
              </w:r>
            </w:hyperlink>
          </w:p>
        </w:tc>
        <w:tc>
          <w:tcPr>
            <w:tcW w:w="3909" w:type="dxa"/>
            <w:tcBorders>
              <w:top w:val="single" w:sz="12" w:space="0" w:color="auto"/>
            </w:tcBorders>
          </w:tcPr>
          <w:p w:rsidR="00A87018" w:rsidRPr="008B6318" w:rsidRDefault="00A87018" w:rsidP="00A87018">
            <w:pPr>
              <w:rPr>
                <w:sz w:val="20"/>
              </w:rPr>
            </w:pPr>
            <w:r w:rsidRPr="008B6318">
              <w:rPr>
                <w:sz w:val="20"/>
              </w:rPr>
              <w:t xml:space="preserve">There are six regional groups of Study Group 3. From our experience of Asia-Oceania (AO) Region, we have seen that these regional groups provide a forum for exchange of views, determine regional priorities and build consensus for the overall success of the parent meeting.  From the meeting reports of </w:t>
            </w:r>
            <w:r w:rsidRPr="008B6318">
              <w:rPr>
                <w:sz w:val="20"/>
              </w:rPr>
              <w:lastRenderedPageBreak/>
              <w:t>the other regional groups of SG3, it is evident that it is being done in all other regions of the world too. All these means should be encouraged by TSAG and different ITU bodies. Res.54 of WTSA 16 also resolved to support on a case by case basis the coordinated creation of regional groups and to encourage cooperation and collaboration of regional groups with regional standardization entities (regional organizations, regional standardization bodies, and so forth). It also invited to create regional standardization bodies, joint meetings of regional groups.</w:t>
            </w:r>
          </w:p>
          <w:p w:rsidR="00A87018" w:rsidRPr="008B6318" w:rsidRDefault="00A87018" w:rsidP="00A87018">
            <w:pPr>
              <w:rPr>
                <w:sz w:val="20"/>
              </w:rPr>
            </w:pPr>
            <w:r w:rsidRPr="008B6318">
              <w:rPr>
                <w:sz w:val="20"/>
              </w:rPr>
              <w:t>It is proposed to TSAG to invite Chairmen of ITU-T Study Groups to disseminate information i.e. TDs to their respective SG members on the history and importance of Regional Groups in Br</w:t>
            </w:r>
            <w:r w:rsidR="00DB3233">
              <w:rPr>
                <w:sz w:val="20"/>
              </w:rPr>
              <w:t>idging the Standardization Gap.</w:t>
            </w:r>
          </w:p>
          <w:p w:rsidR="00A87018" w:rsidRPr="008B6318" w:rsidRDefault="00A87018" w:rsidP="00A87018">
            <w:pPr>
              <w:rPr>
                <w:sz w:val="20"/>
              </w:rPr>
            </w:pPr>
            <w:r w:rsidRPr="008B6318">
              <w:rPr>
                <w:sz w:val="20"/>
              </w:rPr>
              <w:t>It is also requested to TSAG to recognize the unique nature of the pioneer regional groups of ITU-T SG3, in term of their long history, size, diversity, effective participation and ensure the allocation of appropriate/ proportionate support and resources. It is important to acknowledge that the success of SG3 RG under Res. 26 led to the genesis and the evolution of WTSA Resolutions 54 and 44.</w:t>
            </w:r>
          </w:p>
        </w:tc>
      </w:tr>
      <w:tr w:rsidR="00E4365D" w:rsidRPr="004F26D5" w:rsidTr="00A82ACD">
        <w:trPr>
          <w:trHeight w:val="20"/>
        </w:trPr>
        <w:tc>
          <w:tcPr>
            <w:tcW w:w="1385" w:type="dxa"/>
          </w:tcPr>
          <w:p w:rsidR="00E4365D" w:rsidRPr="004F26D5" w:rsidRDefault="00E51470" w:rsidP="00C35DD8">
            <w:pPr>
              <w:spacing w:before="60" w:after="60"/>
              <w:rPr>
                <w:rFonts w:asciiTheme="majorBidi" w:eastAsia="SimSun" w:hAnsiTheme="majorBidi" w:cstheme="majorBidi"/>
                <w:b/>
                <w:sz w:val="20"/>
                <w:highlight w:val="yellow"/>
              </w:rPr>
            </w:pPr>
            <w:r w:rsidRPr="008B6318">
              <w:rPr>
                <w:rFonts w:asciiTheme="majorBidi" w:eastAsia="SimSun" w:hAnsiTheme="majorBidi" w:cstheme="majorBidi"/>
                <w:b/>
                <w:sz w:val="20"/>
              </w:rPr>
              <w:lastRenderedPageBreak/>
              <w:t>(remote presentation)</w:t>
            </w:r>
          </w:p>
        </w:tc>
        <w:tc>
          <w:tcPr>
            <w:tcW w:w="1099" w:type="dxa"/>
          </w:tcPr>
          <w:p w:rsidR="00E4365D" w:rsidRPr="004F26D5" w:rsidRDefault="00E4365D" w:rsidP="00422AC8">
            <w:pPr>
              <w:spacing w:before="60" w:after="60"/>
              <w:jc w:val="center"/>
              <w:rPr>
                <w:rFonts w:asciiTheme="majorBidi" w:eastAsia="SimSun" w:hAnsiTheme="majorBidi" w:cstheme="majorBidi"/>
                <w:bCs/>
                <w:sz w:val="20"/>
              </w:rPr>
            </w:pPr>
            <w:r w:rsidRPr="004F26D5">
              <w:rPr>
                <w:rFonts w:asciiTheme="majorBidi" w:eastAsia="SimSun" w:hAnsiTheme="majorBidi" w:cstheme="majorBidi"/>
                <w:bCs/>
                <w:sz w:val="20"/>
              </w:rPr>
              <w:t>2</w:t>
            </w:r>
            <w:r w:rsidR="005901BF">
              <w:rPr>
                <w:rFonts w:asciiTheme="majorBidi" w:eastAsia="SimSun" w:hAnsiTheme="majorBidi" w:cstheme="majorBidi"/>
                <w:bCs/>
                <w:sz w:val="20"/>
              </w:rPr>
              <w:t>2</w:t>
            </w:r>
            <w:r w:rsidRPr="004F26D5">
              <w:rPr>
                <w:rFonts w:asciiTheme="majorBidi" w:eastAsia="SimSun" w:hAnsiTheme="majorBidi" w:cstheme="majorBidi"/>
                <w:bCs/>
                <w:sz w:val="20"/>
              </w:rPr>
              <w:t>.</w:t>
            </w:r>
            <w:r w:rsidR="00422AC8">
              <w:rPr>
                <w:rFonts w:asciiTheme="majorBidi" w:eastAsia="SimSun" w:hAnsiTheme="majorBidi" w:cstheme="majorBidi"/>
                <w:bCs/>
                <w:sz w:val="20"/>
              </w:rPr>
              <w:t>3</w:t>
            </w:r>
          </w:p>
        </w:tc>
        <w:tc>
          <w:tcPr>
            <w:tcW w:w="2388" w:type="dxa"/>
          </w:tcPr>
          <w:p w:rsidR="00E4365D" w:rsidRPr="004F26D5" w:rsidRDefault="00E4365D" w:rsidP="00C35DD8">
            <w:pPr>
              <w:tabs>
                <w:tab w:val="left" w:pos="720"/>
              </w:tabs>
              <w:spacing w:before="60" w:after="60"/>
              <w:rPr>
                <w:rFonts w:asciiTheme="majorBidi" w:eastAsia="SimSun" w:hAnsiTheme="majorBidi" w:cstheme="majorBidi"/>
                <w:bCs/>
                <w:sz w:val="20"/>
              </w:rPr>
            </w:pPr>
            <w:r w:rsidRPr="004F26D5">
              <w:rPr>
                <w:rFonts w:asciiTheme="majorBidi" w:eastAsia="SimSun" w:hAnsiTheme="majorBidi" w:cstheme="majorBidi"/>
                <w:bCs/>
                <w:sz w:val="20"/>
              </w:rPr>
              <w:t>Nigeria, University of Nigeria: Implementation of WTSA-16 Resolution 44</w:t>
            </w:r>
          </w:p>
        </w:tc>
        <w:tc>
          <w:tcPr>
            <w:tcW w:w="850" w:type="dxa"/>
          </w:tcPr>
          <w:p w:rsidR="00E4365D" w:rsidRPr="008B6318" w:rsidRDefault="00391D67" w:rsidP="00C35DD8">
            <w:pPr>
              <w:spacing w:before="60" w:after="60"/>
              <w:jc w:val="center"/>
              <w:rPr>
                <w:rFonts w:asciiTheme="majorBidi" w:hAnsiTheme="majorBidi" w:cstheme="majorBidi"/>
                <w:sz w:val="20"/>
              </w:rPr>
            </w:pPr>
            <w:hyperlink r:id="rId20" w:history="1">
              <w:r w:rsidR="00105CA2" w:rsidRPr="008B6318">
                <w:rPr>
                  <w:rStyle w:val="Hyperlink"/>
                  <w:rFonts w:asciiTheme="majorBidi" w:hAnsiTheme="majorBidi" w:cstheme="majorBidi"/>
                  <w:sz w:val="20"/>
                </w:rPr>
                <w:t>C</w:t>
              </w:r>
              <w:r w:rsidR="00E4365D" w:rsidRPr="008B6318">
                <w:rPr>
                  <w:rStyle w:val="Hyperlink"/>
                  <w:rFonts w:asciiTheme="majorBidi" w:hAnsiTheme="majorBidi" w:cstheme="majorBidi"/>
                  <w:sz w:val="20"/>
                </w:rPr>
                <w:t>25</w:t>
              </w:r>
            </w:hyperlink>
          </w:p>
        </w:tc>
        <w:tc>
          <w:tcPr>
            <w:tcW w:w="3909" w:type="dxa"/>
          </w:tcPr>
          <w:p w:rsidR="00E4365D" w:rsidRPr="008B6318" w:rsidRDefault="00E4365D"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The spirit of Resolution 44 (Rev. Hammamet, 2016) is to help mostly developing countries who may not have sufficient capacity to implement ITU-T recommendation. However it should be understood that some developed countries may also be finding it difficult to understand Resolution 44 (Rev. Hammamet, 2016) because it is not well understood as not all ITU-T recommendations are well crafted. It is therefore believed that the lack of capacity to understand these recommendations contributes to low implementations of the recommendations.</w:t>
            </w:r>
          </w:p>
          <w:p w:rsidR="00E4365D" w:rsidRPr="008B6318" w:rsidRDefault="00E4365D" w:rsidP="00C35DD8">
            <w:pPr>
              <w:tabs>
                <w:tab w:val="left" w:pos="2985"/>
              </w:tabs>
              <w:spacing w:before="60" w:after="60"/>
              <w:rPr>
                <w:rFonts w:asciiTheme="majorBidi" w:hAnsiTheme="majorBidi" w:cstheme="majorBidi"/>
                <w:sz w:val="20"/>
              </w:rPr>
            </w:pPr>
            <w:r w:rsidRPr="008B6318">
              <w:rPr>
                <w:rFonts w:asciiTheme="majorBidi" w:hAnsiTheme="majorBidi" w:cstheme="majorBidi"/>
                <w:bCs/>
                <w:sz w:val="20"/>
              </w:rPr>
              <w:t>The University of</w:t>
            </w:r>
            <w:r w:rsidRPr="008B6318">
              <w:rPr>
                <w:rFonts w:asciiTheme="majorBidi" w:hAnsiTheme="majorBidi" w:cstheme="majorBidi"/>
                <w:b/>
                <w:sz w:val="20"/>
              </w:rPr>
              <w:t xml:space="preserve"> </w:t>
            </w:r>
            <w:r w:rsidRPr="008B6318">
              <w:rPr>
                <w:rFonts w:asciiTheme="majorBidi" w:hAnsiTheme="majorBidi" w:cstheme="majorBidi"/>
                <w:sz w:val="20"/>
              </w:rPr>
              <w:t>Nigeria therefore proposes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that a new work item be introduced in the TSAG Work plan on production of guidelines on which ICT issues can be best championed by the High Level delegates;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to conduct survey on the implementation by administrations in adopting the age long guidelines and establishment of national Standardization secretariat for ITU-T;</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call for proposals on how to reduce the cost of equipment and of rolling out networks and facilities taking into account the needs and requirements of developing countries;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lastRenderedPageBreak/>
              <w:t>conduct gap analysis on participation in the establishment and widespread use of telecommunication standards, and  enhancing contribution in ITU-T study groups by developing countries in order to contribute to work in ITU-T;</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to call for contributions on the cause of low participation in ITU-T study group activities from developing countries;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that</w:t>
            </w:r>
            <w:proofErr w:type="gramEnd"/>
            <w:r w:rsidRPr="008B6318">
              <w:rPr>
                <w:rFonts w:asciiTheme="majorBidi" w:hAnsiTheme="majorBidi" w:cstheme="majorBidi"/>
                <w:sz w:val="20"/>
              </w:rPr>
              <w:t xml:space="preserve"> the Regional office for ITU in Africa should have a very strong link with the Africa Union (AU). A permanent office in the AU on ICT/Telecommunications has to be created in the AU and maned by personnel approved and or appointed by ITU. The role of the ITU office in AU should be to hold and host constant conferences, workshops etc. for the High Level delegate on ICT (Head of States inclusive) on a regular bases on developments in ITU;</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to</w:t>
            </w:r>
            <w:proofErr w:type="gramEnd"/>
            <w:r w:rsidRPr="008B6318">
              <w:rPr>
                <w:rFonts w:asciiTheme="majorBidi" w:hAnsiTheme="majorBidi" w:cstheme="majorBidi"/>
                <w:sz w:val="20"/>
              </w:rPr>
              <w:t xml:space="preserve"> call for contributions for the creation of sub-regional offices, for sub-regional group activities on ITU–T issues</w:t>
            </w:r>
            <w:r w:rsidRPr="008B6318">
              <w:rPr>
                <w:rFonts w:asciiTheme="majorBidi" w:hAnsiTheme="majorBidi" w:cstheme="majorBidi"/>
                <w:color w:val="00B0F0"/>
                <w:sz w:val="20"/>
              </w:rPr>
              <w:t>.</w:t>
            </w:r>
          </w:p>
          <w:p w:rsidR="00E4365D" w:rsidRPr="008B6318"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This offices</w:t>
            </w:r>
            <w:proofErr w:type="gramEnd"/>
            <w:r w:rsidRPr="008B6318">
              <w:rPr>
                <w:rFonts w:asciiTheme="majorBidi" w:hAnsiTheme="majorBidi" w:cstheme="majorBidi"/>
                <w:sz w:val="20"/>
              </w:rPr>
              <w:t xml:space="preserve"> can be integrated into the sub-regional bodies, for example for Africa, ECOWAS, SADEC, EAST AFRICA NORTH AFRICA.</w:t>
            </w:r>
          </w:p>
          <w:p w:rsidR="00E4365D" w:rsidRPr="008B6318"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r w:rsidRPr="008B6318">
              <w:rPr>
                <w:rFonts w:asciiTheme="majorBidi" w:hAnsiTheme="majorBidi" w:cstheme="majorBidi"/>
                <w:sz w:val="20"/>
              </w:rPr>
              <w:t>WTSA (Hammamet, 2016) RECALLED 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rsidR="00E4365D" w:rsidRPr="008B6318" w:rsidRDefault="00E4365D" w:rsidP="00C35DD8">
            <w:pPr>
              <w:tabs>
                <w:tab w:val="left" w:pos="2985"/>
              </w:tabs>
              <w:spacing w:before="60" w:after="60"/>
              <w:rPr>
                <w:rFonts w:asciiTheme="majorBidi" w:hAnsiTheme="majorBidi" w:cstheme="majorBidi"/>
                <w:sz w:val="20"/>
              </w:rPr>
            </w:pPr>
            <w:r w:rsidRPr="008B6318">
              <w:rPr>
                <w:rFonts w:asciiTheme="majorBidi" w:hAnsiTheme="majorBidi" w:cstheme="majorBidi"/>
                <w:bCs/>
                <w:sz w:val="20"/>
              </w:rPr>
              <w:t>The University of</w:t>
            </w:r>
            <w:r w:rsidRPr="008B6318">
              <w:rPr>
                <w:rFonts w:asciiTheme="majorBidi" w:hAnsiTheme="majorBidi" w:cstheme="majorBidi"/>
                <w:b/>
                <w:sz w:val="20"/>
              </w:rPr>
              <w:t xml:space="preserve"> </w:t>
            </w:r>
            <w:r w:rsidRPr="008B6318">
              <w:rPr>
                <w:rFonts w:asciiTheme="majorBidi" w:hAnsiTheme="majorBidi" w:cstheme="majorBidi"/>
                <w:sz w:val="20"/>
              </w:rPr>
              <w:t>Nigeria propose to establish a new work item under TSAG</w:t>
            </w:r>
          </w:p>
          <w:p w:rsidR="00E4365D" w:rsidRPr="008B6318"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on need to create awareness of the implementation, benefits and impact both to ITU-T and member states of Resolution 44 through, for instance, the establishment of offices at the regional entities like AU in Africa and sub-regional levels in Africa as well at the other continents;</w:t>
            </w:r>
          </w:p>
          <w:p w:rsidR="00E4365D" w:rsidRPr="008B6318"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 xml:space="preserve">invite ITU-T to the identify, particularly training needs to be required at ITU-T RGs meetings for support particular in capacity building towards effective contributions of proposal that is of </w:t>
            </w:r>
            <w:r w:rsidRPr="008B6318">
              <w:rPr>
                <w:rFonts w:asciiTheme="majorBidi" w:hAnsiTheme="majorBidi" w:cstheme="majorBidi"/>
                <w:sz w:val="20"/>
              </w:rPr>
              <w:lastRenderedPageBreak/>
              <w:t>interest to each region, and the provision of more fellowship awards.</w:t>
            </w:r>
          </w:p>
        </w:tc>
      </w:tr>
      <w:tr w:rsidR="00D45A66" w:rsidRPr="004F26D5" w:rsidTr="00A82ACD">
        <w:trPr>
          <w:cantSplit/>
          <w:trHeight w:val="20"/>
        </w:trPr>
        <w:tc>
          <w:tcPr>
            <w:tcW w:w="1385" w:type="dxa"/>
            <w:tcBorders>
              <w:top w:val="single" w:sz="4" w:space="0" w:color="auto"/>
              <w:bottom w:val="single" w:sz="12" w:space="0" w:color="auto"/>
            </w:tcBorders>
          </w:tcPr>
          <w:p w:rsidR="00D45A66" w:rsidRPr="004F26D5" w:rsidRDefault="00D45A66" w:rsidP="00C35DD8">
            <w:pPr>
              <w:spacing w:before="60" w:after="60"/>
              <w:rPr>
                <w:rFonts w:asciiTheme="majorBidi" w:eastAsia="SimSun" w:hAnsiTheme="majorBidi" w:cstheme="majorBidi"/>
                <w:b/>
                <w:sz w:val="20"/>
                <w:highlight w:val="yellow"/>
              </w:rPr>
            </w:pPr>
          </w:p>
        </w:tc>
        <w:tc>
          <w:tcPr>
            <w:tcW w:w="1099" w:type="dxa"/>
            <w:tcBorders>
              <w:bottom w:val="single" w:sz="12" w:space="0" w:color="auto"/>
            </w:tcBorders>
          </w:tcPr>
          <w:p w:rsidR="00D45A66" w:rsidRPr="004F26D5" w:rsidRDefault="00D45A66" w:rsidP="00C35DD8">
            <w:pPr>
              <w:spacing w:before="60" w:after="60"/>
              <w:jc w:val="center"/>
              <w:rPr>
                <w:rFonts w:asciiTheme="majorBidi" w:eastAsia="SimSun" w:hAnsiTheme="majorBidi" w:cstheme="majorBidi"/>
                <w:bCs/>
                <w:sz w:val="20"/>
              </w:rPr>
            </w:pPr>
          </w:p>
        </w:tc>
        <w:tc>
          <w:tcPr>
            <w:tcW w:w="2388" w:type="dxa"/>
            <w:tcBorders>
              <w:bottom w:val="single" w:sz="12" w:space="0" w:color="auto"/>
            </w:tcBorders>
          </w:tcPr>
          <w:p w:rsidR="00D45A66" w:rsidRPr="004F26D5" w:rsidRDefault="00D45A66" w:rsidP="00C35DD8">
            <w:pPr>
              <w:tabs>
                <w:tab w:val="left" w:pos="720"/>
              </w:tabs>
              <w:spacing w:before="60" w:after="60"/>
              <w:rPr>
                <w:rFonts w:asciiTheme="majorBidi" w:eastAsia="SimSun" w:hAnsiTheme="majorBidi" w:cstheme="majorBidi"/>
                <w:b/>
                <w:sz w:val="20"/>
              </w:rPr>
            </w:pPr>
          </w:p>
        </w:tc>
        <w:tc>
          <w:tcPr>
            <w:tcW w:w="850" w:type="dxa"/>
            <w:tcBorders>
              <w:bottom w:val="single" w:sz="12" w:space="0" w:color="auto"/>
            </w:tcBorders>
          </w:tcPr>
          <w:p w:rsidR="00D45A66" w:rsidRPr="008B6318" w:rsidRDefault="00D45A66" w:rsidP="00C35DD8">
            <w:pPr>
              <w:spacing w:before="60" w:after="60"/>
              <w:jc w:val="center"/>
              <w:rPr>
                <w:rFonts w:asciiTheme="majorBidi" w:hAnsiTheme="majorBidi" w:cstheme="majorBidi"/>
                <w:sz w:val="20"/>
              </w:rPr>
            </w:pPr>
          </w:p>
        </w:tc>
        <w:tc>
          <w:tcPr>
            <w:tcW w:w="3909" w:type="dxa"/>
            <w:tcBorders>
              <w:bottom w:val="single" w:sz="12" w:space="0" w:color="auto"/>
            </w:tcBorders>
          </w:tcPr>
          <w:p w:rsidR="00D45A66" w:rsidRPr="008B6318" w:rsidRDefault="00D45A66" w:rsidP="00C35DD8">
            <w:pPr>
              <w:tabs>
                <w:tab w:val="left" w:pos="720"/>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23</w:t>
            </w:r>
          </w:p>
        </w:tc>
        <w:tc>
          <w:tcPr>
            <w:tcW w:w="2388" w:type="dxa"/>
            <w:tcBorders>
              <w:top w:val="single" w:sz="12" w:space="0" w:color="auto"/>
            </w:tcBorders>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Reports of TSAG Rapporteur Groups</w:t>
            </w:r>
          </w:p>
        </w:tc>
        <w:tc>
          <w:tcPr>
            <w:tcW w:w="850"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23</w:t>
            </w:r>
            <w:r w:rsidR="00C66A3D" w:rsidRPr="004F26D5">
              <w:rPr>
                <w:rFonts w:asciiTheme="majorBidi" w:eastAsia="SimSun" w:hAnsiTheme="majorBidi" w:cstheme="majorBidi"/>
                <w:b/>
                <w:sz w:val="20"/>
              </w:rPr>
              <w:t>.1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highlight w:val="yellow"/>
              </w:rPr>
            </w:pPr>
            <w:r w:rsidRPr="004F26D5">
              <w:rPr>
                <w:rFonts w:asciiTheme="majorBidi" w:hAnsiTheme="majorBidi" w:cstheme="majorBidi"/>
                <w:b/>
                <w:bCs/>
                <w:sz w:val="20"/>
              </w:rPr>
              <w:t>TSAG Rapporteur Group on Standardization Strategy (RG-</w:t>
            </w:r>
            <w:proofErr w:type="spellStart"/>
            <w:r w:rsidRPr="004F26D5">
              <w:rPr>
                <w:rFonts w:asciiTheme="majorBidi" w:hAnsiTheme="majorBidi" w:cstheme="majorBidi"/>
                <w:b/>
                <w:bCs/>
                <w:sz w:val="20"/>
              </w:rPr>
              <w:t>StdsStrat</w:t>
            </w:r>
            <w:proofErr w:type="spellEnd"/>
            <w:r w:rsidRPr="004F26D5">
              <w:rPr>
                <w:rFonts w:asciiTheme="majorBidi" w:hAnsiTheme="majorBidi" w:cstheme="majorBidi"/>
                <w:b/>
                <w:bCs/>
                <w:sz w:val="20"/>
              </w:rPr>
              <w:t>)</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right"/>
              <w:rPr>
                <w:rFonts w:asciiTheme="majorBidi" w:eastAsia="SimSun" w:hAnsiTheme="majorBidi" w:cstheme="majorBidi"/>
                <w:b/>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.1.1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Standardization Strategy: Report of TSAG Rapporteur Group on Standardization Strategy</w:t>
            </w:r>
          </w:p>
        </w:tc>
        <w:tc>
          <w:tcPr>
            <w:tcW w:w="850" w:type="dxa"/>
          </w:tcPr>
          <w:p w:rsidR="00C66A3D" w:rsidRPr="008B6318" w:rsidRDefault="00391D67" w:rsidP="00C66A3D">
            <w:pPr>
              <w:spacing w:before="60" w:after="60"/>
              <w:jc w:val="center"/>
              <w:rPr>
                <w:rFonts w:asciiTheme="majorBidi" w:hAnsiTheme="majorBidi" w:cstheme="majorBidi"/>
                <w:bCs/>
                <w:sz w:val="20"/>
              </w:rPr>
            </w:pPr>
            <w:hyperlink r:id="rId21" w:history="1">
              <w:r w:rsidR="00E70A78">
                <w:rPr>
                  <w:rStyle w:val="Hyperlink"/>
                  <w:sz w:val="20"/>
                </w:rPr>
                <w:t>TD133R1</w:t>
              </w:r>
            </w:hyperlink>
          </w:p>
        </w:tc>
        <w:tc>
          <w:tcPr>
            <w:tcW w:w="3909" w:type="dxa"/>
          </w:tcPr>
          <w:p w:rsidR="00F460FE" w:rsidRPr="00F460FE" w:rsidRDefault="00F460FE" w:rsidP="00F460FE">
            <w:pPr>
              <w:numPr>
                <w:ilvl w:val="0"/>
                <w:numId w:val="26"/>
              </w:numPr>
              <w:tabs>
                <w:tab w:val="clear" w:pos="794"/>
                <w:tab w:val="clear" w:pos="1191"/>
                <w:tab w:val="clear" w:pos="1588"/>
                <w:tab w:val="clear" w:pos="1985"/>
                <w:tab w:val="left" w:pos="0"/>
              </w:tabs>
              <w:rPr>
                <w:sz w:val="20"/>
              </w:rPr>
            </w:pPr>
            <w:r w:rsidRPr="00F460FE">
              <w:rPr>
                <w:b/>
                <w:sz w:val="20"/>
              </w:rPr>
              <w:t>Action for TSAG to approve</w:t>
            </w:r>
            <w:r w:rsidRPr="00F460FE">
              <w:rPr>
                <w:sz w:val="20"/>
              </w:rPr>
              <w:t xml:space="preserve"> revised terms of reference for RG-</w:t>
            </w:r>
            <w:proofErr w:type="spellStart"/>
            <w:r w:rsidRPr="00F460FE">
              <w:rPr>
                <w:sz w:val="20"/>
              </w:rPr>
              <w:t>StdsStrat</w:t>
            </w:r>
            <w:proofErr w:type="spellEnd"/>
            <w:r w:rsidRPr="00F460FE">
              <w:rPr>
                <w:sz w:val="20"/>
              </w:rPr>
              <w:t xml:space="preserve"> (in </w:t>
            </w:r>
            <w:hyperlink r:id="rId22" w:history="1">
              <w:r w:rsidRPr="00F460FE">
                <w:rPr>
                  <w:rStyle w:val="Hyperlink"/>
                  <w:sz w:val="20"/>
                </w:rPr>
                <w:t>TD266-R2</w:t>
              </w:r>
            </w:hyperlink>
            <w:r w:rsidRPr="00F460FE">
              <w:rPr>
                <w:sz w:val="20"/>
              </w:rPr>
              <w:t>).</w:t>
            </w:r>
          </w:p>
          <w:p w:rsidR="00F460FE" w:rsidRPr="00F460FE" w:rsidRDefault="00F460FE" w:rsidP="00F460FE">
            <w:pPr>
              <w:numPr>
                <w:ilvl w:val="0"/>
                <w:numId w:val="26"/>
              </w:numPr>
              <w:tabs>
                <w:tab w:val="clear" w:pos="794"/>
                <w:tab w:val="clear" w:pos="1191"/>
                <w:tab w:val="clear" w:pos="1588"/>
                <w:tab w:val="clear" w:pos="1985"/>
                <w:tab w:val="left" w:pos="0"/>
              </w:tabs>
              <w:rPr>
                <w:sz w:val="20"/>
              </w:rPr>
            </w:pPr>
            <w:r w:rsidRPr="00F460FE">
              <w:rPr>
                <w:b/>
                <w:bCs/>
                <w:sz w:val="20"/>
              </w:rPr>
              <w:t>Action for TSAG to send</w:t>
            </w:r>
            <w:r w:rsidRPr="00F460FE">
              <w:rPr>
                <w:sz w:val="20"/>
              </w:rPr>
              <w:t xml:space="preserve"> one outgoing liaison statement:</w:t>
            </w:r>
          </w:p>
          <w:p w:rsidR="00F460FE" w:rsidRPr="00F460FE" w:rsidRDefault="00F460FE" w:rsidP="00F460FE">
            <w:pPr>
              <w:pStyle w:val="ListParagraph"/>
              <w:tabs>
                <w:tab w:val="left" w:pos="720"/>
              </w:tabs>
              <w:spacing w:after="120"/>
              <w:ind w:left="360"/>
              <w:rPr>
                <w:rFonts w:asciiTheme="majorBidi" w:eastAsia="Malgun Gothic" w:hAnsiTheme="majorBidi" w:cstheme="majorBidi"/>
                <w:sz w:val="20"/>
              </w:rPr>
            </w:pPr>
            <w:r w:rsidRPr="00F460FE">
              <w:rPr>
                <w:rFonts w:asciiTheme="majorBidi" w:eastAsia="Malgun Gothic" w:hAnsiTheme="majorBidi" w:cstheme="majorBidi"/>
                <w:sz w:val="20"/>
              </w:rPr>
              <w:t xml:space="preserve">Draft LS/o on hot topics to all ITU-T SGs (in </w:t>
            </w:r>
            <w:hyperlink r:id="rId23" w:history="1">
              <w:r w:rsidRPr="00F460FE">
                <w:rPr>
                  <w:rStyle w:val="Hyperlink"/>
                  <w:rFonts w:asciiTheme="majorBidi" w:eastAsia="Malgun Gothic" w:hAnsiTheme="majorBidi" w:cstheme="majorBidi"/>
                  <w:sz w:val="20"/>
                </w:rPr>
                <w:t>TD268</w:t>
              </w:r>
            </w:hyperlink>
            <w:r w:rsidRPr="00F460FE">
              <w:rPr>
                <w:rFonts w:asciiTheme="majorBidi" w:eastAsia="Malgun Gothic" w:hAnsiTheme="majorBidi" w:cstheme="majorBidi"/>
                <w:sz w:val="20"/>
              </w:rPr>
              <w:t>).</w:t>
            </w:r>
          </w:p>
          <w:p w:rsidR="00F460FE" w:rsidRPr="00F460FE" w:rsidRDefault="00F460FE" w:rsidP="00F460FE">
            <w:pPr>
              <w:tabs>
                <w:tab w:val="left" w:pos="570"/>
              </w:tabs>
              <w:spacing w:before="240"/>
              <w:ind w:left="357" w:hanging="357"/>
              <w:rPr>
                <w:sz w:val="20"/>
              </w:rPr>
            </w:pPr>
            <w:r w:rsidRPr="00F460FE">
              <w:rPr>
                <w:sz w:val="20"/>
              </w:rPr>
              <w:t>3)</w:t>
            </w:r>
            <w:r w:rsidRPr="00F460FE">
              <w:rPr>
                <w:sz w:val="20"/>
              </w:rPr>
              <w:tab/>
            </w:r>
            <w:r w:rsidRPr="00F460FE">
              <w:rPr>
                <w:b/>
                <w:sz w:val="20"/>
              </w:rPr>
              <w:t xml:space="preserve">TSAG to authorize </w:t>
            </w:r>
            <w:r w:rsidRPr="00F460FE">
              <w:rPr>
                <w:sz w:val="20"/>
              </w:rPr>
              <w:t>RG-</w:t>
            </w:r>
            <w:proofErr w:type="spellStart"/>
            <w:r w:rsidRPr="00F460FE">
              <w:rPr>
                <w:sz w:val="20"/>
              </w:rPr>
              <w:t>StdsStrat’s</w:t>
            </w:r>
            <w:proofErr w:type="spellEnd"/>
            <w:r w:rsidRPr="00F460FE">
              <w:rPr>
                <w:sz w:val="20"/>
              </w:rPr>
              <w:t xml:space="preserve"> interim activities to hold up to five interim e-meetings:</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27 April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29 June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31 August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28 September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30 November 2018: 13:00-15:00 CET.</w:t>
            </w:r>
          </w:p>
          <w:p w:rsidR="00F460FE" w:rsidRPr="00F460FE" w:rsidRDefault="00F460FE" w:rsidP="00F460FE">
            <w:pPr>
              <w:ind w:left="360"/>
              <w:rPr>
                <w:sz w:val="20"/>
              </w:rPr>
            </w:pPr>
            <w:r w:rsidRPr="00F460FE">
              <w:rPr>
                <w:sz w:val="20"/>
              </w:rPr>
              <w:t>The interim e-meetings are open to all ITU-T members and will accept contributions of a strategic nature. In particular, contributions are sought which focus on areas which do not clearly fall within the remit of already existing study groups.</w:t>
            </w:r>
          </w:p>
          <w:p w:rsidR="00F460FE" w:rsidRPr="00F460FE" w:rsidRDefault="00F460FE" w:rsidP="00F460FE">
            <w:pPr>
              <w:ind w:left="360"/>
              <w:rPr>
                <w:sz w:val="20"/>
              </w:rPr>
            </w:pPr>
            <w:r w:rsidRPr="00F460FE">
              <w:rPr>
                <w:sz w:val="20"/>
              </w:rPr>
              <w:t>RG-</w:t>
            </w:r>
            <w:proofErr w:type="spellStart"/>
            <w:r w:rsidRPr="00F460FE">
              <w:rPr>
                <w:sz w:val="20"/>
              </w:rPr>
              <w:t>StdsStrat</w:t>
            </w:r>
            <w:proofErr w:type="spellEnd"/>
            <w:r w:rsidRPr="00F460FE">
              <w:rPr>
                <w:sz w:val="20"/>
              </w:rPr>
              <w:t xml:space="preserve"> will meet at the 3</w:t>
            </w:r>
            <w:r w:rsidRPr="00F460FE">
              <w:rPr>
                <w:sz w:val="20"/>
                <w:vertAlign w:val="superscript"/>
              </w:rPr>
              <w:t>rd</w:t>
            </w:r>
            <w:r w:rsidRPr="00F460FE">
              <w:rPr>
                <w:sz w:val="20"/>
              </w:rPr>
              <w:t xml:space="preserve"> TSAG meeting.</w:t>
            </w:r>
          </w:p>
          <w:p w:rsidR="00C66A3D" w:rsidRPr="008B6318" w:rsidRDefault="00F460FE" w:rsidP="00F460FE">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r w:rsidRPr="00F460FE">
              <w:rPr>
                <w:sz w:val="20"/>
              </w:rPr>
              <w:t>4)</w:t>
            </w:r>
            <w:r w:rsidRPr="00F460FE">
              <w:rPr>
                <w:sz w:val="20"/>
              </w:rPr>
              <w:tab/>
            </w:r>
            <w:r w:rsidRPr="00F460FE">
              <w:rPr>
                <w:b/>
                <w:bCs/>
                <w:sz w:val="20"/>
              </w:rPr>
              <w:t xml:space="preserve">TSAG to note </w:t>
            </w:r>
            <w:r w:rsidRPr="00F460FE">
              <w:rPr>
                <w:bCs/>
                <w:sz w:val="20"/>
              </w:rPr>
              <w:t>the draft meeting report of RG-</w:t>
            </w:r>
            <w:proofErr w:type="spellStart"/>
            <w:r w:rsidRPr="00F460FE">
              <w:rPr>
                <w:bCs/>
                <w:sz w:val="20"/>
              </w:rPr>
              <w:t>StdsStrat</w:t>
            </w:r>
            <w:proofErr w:type="spellEnd"/>
            <w:r w:rsidRPr="00F460FE">
              <w:rPr>
                <w:bCs/>
                <w:sz w:val="20"/>
              </w:rPr>
              <w:t xml:space="preserve"> in </w:t>
            </w:r>
            <w:hyperlink r:id="rId24" w:history="1">
              <w:r w:rsidRPr="00F460FE">
                <w:rPr>
                  <w:rStyle w:val="Hyperlink"/>
                  <w:bCs/>
                  <w:sz w:val="20"/>
                </w:rPr>
                <w:t>TD133</w:t>
              </w:r>
            </w:hyperlink>
            <w:r w:rsidRPr="00F460FE">
              <w:rPr>
                <w:bCs/>
                <w:sz w:val="20"/>
              </w:rPr>
              <w:t>.</w:t>
            </w: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center"/>
              <w:rPr>
                <w:rFonts w:asciiTheme="majorBidi" w:eastAsia="SimSun" w:hAnsiTheme="majorBidi" w:cstheme="majorBidi"/>
                <w:b/>
                <w:sz w:val="20"/>
                <w:highlight w:val="yellow"/>
              </w:rPr>
            </w:pPr>
            <w:r>
              <w:rPr>
                <w:rFonts w:asciiTheme="majorBidi" w:hAnsiTheme="majorBidi" w:cstheme="majorBidi"/>
                <w:b/>
                <w:bCs/>
                <w:sz w:val="20"/>
              </w:rPr>
              <w:t>23</w:t>
            </w:r>
            <w:r w:rsidR="00C66A3D" w:rsidRPr="004F26D5">
              <w:rPr>
                <w:rFonts w:asciiTheme="majorBidi" w:hAnsiTheme="majorBidi" w:cstheme="majorBidi"/>
                <w:b/>
                <w:bCs/>
                <w:sz w:val="20"/>
              </w:rPr>
              <w:t>.2</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highlight w:val="yellow"/>
              </w:rPr>
            </w:pPr>
            <w:r w:rsidRPr="004F26D5">
              <w:rPr>
                <w:rFonts w:asciiTheme="majorBidi" w:hAnsiTheme="majorBidi" w:cstheme="majorBidi"/>
                <w:b/>
                <w:bCs/>
                <w:sz w:val="20"/>
              </w:rPr>
              <w:t>TSAG Rapporteur Group on Work Programme (RG-WP)</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right"/>
              <w:rPr>
                <w:rFonts w:asciiTheme="majorBidi" w:hAnsiTheme="majorBidi" w:cstheme="majorBidi"/>
                <w:b/>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.2.1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 Programme: Draft report of TSAG Rapporteur Group on Work Programme and structure (Geneva, 1-4 May 2017)</w:t>
            </w:r>
          </w:p>
        </w:tc>
        <w:tc>
          <w:tcPr>
            <w:tcW w:w="850" w:type="dxa"/>
          </w:tcPr>
          <w:p w:rsidR="00C66A3D" w:rsidRPr="008B6318" w:rsidRDefault="00391D67" w:rsidP="00C66A3D">
            <w:pPr>
              <w:spacing w:before="60" w:after="60"/>
              <w:jc w:val="center"/>
              <w:rPr>
                <w:rFonts w:asciiTheme="majorBidi" w:hAnsiTheme="majorBidi" w:cstheme="majorBidi"/>
                <w:bCs/>
                <w:sz w:val="20"/>
              </w:rPr>
            </w:pPr>
            <w:hyperlink r:id="rId25" w:history="1">
              <w:r w:rsidR="00C66A3D" w:rsidRPr="00D96175">
                <w:rPr>
                  <w:rStyle w:val="Hyperlink"/>
                  <w:sz w:val="20"/>
                </w:rPr>
                <w:t>TD137</w:t>
              </w:r>
            </w:hyperlink>
          </w:p>
        </w:tc>
        <w:tc>
          <w:tcPr>
            <w:tcW w:w="3909" w:type="dxa"/>
          </w:tcPr>
          <w:p w:rsidR="00C66A3D" w:rsidRPr="008B6318" w:rsidRDefault="007B48AE" w:rsidP="00C66A3D">
            <w:pPr>
              <w:spacing w:before="60" w:after="60"/>
              <w:rPr>
                <w:rFonts w:asciiTheme="majorBidi" w:hAnsiTheme="majorBidi" w:cstheme="majorBidi"/>
                <w:sz w:val="20"/>
              </w:rPr>
            </w:pPr>
            <w:r>
              <w:rPr>
                <w:rFonts w:asciiTheme="majorBidi" w:hAnsiTheme="majorBidi" w:cstheme="majorBidi"/>
                <w:sz w:val="20"/>
              </w:rPr>
              <w:t>TSAG to note.</w:t>
            </w:r>
          </w:p>
        </w:tc>
      </w:tr>
      <w:tr w:rsidR="00C66A3D" w:rsidRPr="004F26D5" w:rsidTr="00A82ACD">
        <w:trPr>
          <w:cantSplit/>
          <w:trHeight w:val="20"/>
        </w:trPr>
        <w:tc>
          <w:tcPr>
            <w:tcW w:w="1385" w:type="dxa"/>
          </w:tcPr>
          <w:p w:rsidR="00C66A3D" w:rsidRPr="004F26D5" w:rsidRDefault="00C66A3D" w:rsidP="00AC3EB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AA6DAA">
            <w:pPr>
              <w:keepNext/>
              <w:keepLines/>
              <w:spacing w:before="60" w:after="60"/>
              <w:jc w:val="center"/>
              <w:rPr>
                <w:rFonts w:asciiTheme="majorBidi" w:hAnsiTheme="majorBidi" w:cstheme="majorBidi"/>
                <w:b/>
                <w:bCs/>
                <w:sz w:val="20"/>
              </w:rPr>
            </w:pPr>
            <w:r>
              <w:rPr>
                <w:rFonts w:asciiTheme="majorBidi" w:eastAsia="SimSun" w:hAnsiTheme="majorBidi" w:cstheme="majorBidi"/>
                <w:b/>
                <w:sz w:val="20"/>
              </w:rPr>
              <w:t>23</w:t>
            </w:r>
            <w:r w:rsidR="00C66A3D" w:rsidRPr="004F26D5">
              <w:rPr>
                <w:rFonts w:asciiTheme="majorBidi" w:eastAsia="SimSun" w:hAnsiTheme="majorBidi" w:cstheme="majorBidi"/>
                <w:b/>
                <w:sz w:val="20"/>
              </w:rPr>
              <w:t>.3</w:t>
            </w:r>
          </w:p>
        </w:tc>
        <w:tc>
          <w:tcPr>
            <w:tcW w:w="2388" w:type="dxa"/>
          </w:tcPr>
          <w:p w:rsidR="00C66A3D" w:rsidRPr="004F26D5" w:rsidRDefault="00C66A3D" w:rsidP="00AA6DAA">
            <w:pPr>
              <w:keepNext/>
              <w:keepLines/>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Working Methods (RG-WM)</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AA6DAA">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.3.1</w:t>
            </w:r>
          </w:p>
        </w:tc>
        <w:tc>
          <w:tcPr>
            <w:tcW w:w="2388" w:type="dxa"/>
          </w:tcPr>
          <w:p w:rsidR="00C66A3D" w:rsidRPr="004F26D5" w:rsidRDefault="00C66A3D" w:rsidP="00AA6DAA">
            <w:pPr>
              <w:keepNext/>
              <w:keepLines/>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working methods: Report of TSAG Rapporteur Group on working methods</w:t>
            </w:r>
          </w:p>
        </w:tc>
        <w:tc>
          <w:tcPr>
            <w:tcW w:w="850" w:type="dxa"/>
          </w:tcPr>
          <w:p w:rsidR="00C66A3D" w:rsidRPr="008B6318" w:rsidRDefault="00391D67" w:rsidP="00C66A3D">
            <w:pPr>
              <w:spacing w:before="60" w:after="60"/>
              <w:jc w:val="center"/>
              <w:rPr>
                <w:rFonts w:asciiTheme="majorBidi" w:hAnsiTheme="majorBidi" w:cstheme="majorBidi"/>
                <w:bCs/>
                <w:sz w:val="20"/>
              </w:rPr>
            </w:pPr>
            <w:hyperlink r:id="rId26" w:history="1">
              <w:r w:rsidR="00C66A3D" w:rsidRPr="00D96175">
                <w:rPr>
                  <w:rStyle w:val="Hyperlink"/>
                  <w:sz w:val="20"/>
                </w:rPr>
                <w:t>TD135</w:t>
              </w:r>
            </w:hyperlink>
          </w:p>
        </w:tc>
        <w:tc>
          <w:tcPr>
            <w:tcW w:w="3909" w:type="dxa"/>
          </w:tcPr>
          <w:p w:rsidR="00811862" w:rsidRDefault="00811862" w:rsidP="00F03D25">
            <w:pPr>
              <w:rPr>
                <w:sz w:val="20"/>
              </w:rPr>
            </w:pPr>
            <w:r w:rsidRPr="00811862">
              <w:rPr>
                <w:b/>
                <w:sz w:val="20"/>
              </w:rPr>
              <w:t>TSAG to authorize</w:t>
            </w:r>
            <w:r>
              <w:rPr>
                <w:sz w:val="20"/>
              </w:rPr>
              <w:t xml:space="preserve"> three interim e-meetings:</w:t>
            </w:r>
          </w:p>
          <w:p w:rsidR="00F03D25" w:rsidRPr="00F03D25" w:rsidRDefault="00F03D25" w:rsidP="00F03D25">
            <w:pPr>
              <w:rPr>
                <w:sz w:val="20"/>
              </w:rPr>
            </w:pPr>
            <w:r w:rsidRPr="00F03D25">
              <w:rPr>
                <w:sz w:val="20"/>
              </w:rPr>
              <w:t>The following interim e-meetings of RGWM and RGSC are planned on a date to be identified in the weeks of:</w:t>
            </w:r>
          </w:p>
          <w:p w:rsidR="00F03D25" w:rsidRPr="00F03D25" w:rsidRDefault="00F03D25" w:rsidP="00F03D25">
            <w:pPr>
              <w:rPr>
                <w:sz w:val="20"/>
              </w:rPr>
            </w:pPr>
            <w:r w:rsidRPr="00F03D25">
              <w:rPr>
                <w:sz w:val="20"/>
              </w:rPr>
              <w:t xml:space="preserve">– Joint RGSC &amp; RGWM: 14 May 2018 (1500-1700 Geneva time): </w:t>
            </w:r>
            <w:r w:rsidRPr="00F03D25">
              <w:rPr>
                <w:sz w:val="20"/>
              </w:rPr>
              <w:br/>
            </w:r>
            <w:proofErr w:type="spellStart"/>
            <w:r w:rsidRPr="00F03D25">
              <w:rPr>
                <w:sz w:val="20"/>
              </w:rPr>
              <w:t>ToR</w:t>
            </w:r>
            <w:proofErr w:type="spellEnd"/>
            <w:r w:rsidRPr="00F03D25">
              <w:rPr>
                <w:sz w:val="20"/>
              </w:rPr>
              <w:t xml:space="preserve"> Harmonization of A.1 and A.25, and any related aspects of A.4 and A.6.</w:t>
            </w:r>
          </w:p>
          <w:p w:rsidR="00F03D25" w:rsidRPr="00F03D25" w:rsidRDefault="00F03D25" w:rsidP="00F03D25">
            <w:pPr>
              <w:rPr>
                <w:sz w:val="20"/>
              </w:rPr>
            </w:pPr>
            <w:r w:rsidRPr="00F03D25">
              <w:rPr>
                <w:sz w:val="20"/>
              </w:rPr>
              <w:t xml:space="preserve">– RGWM 18 June 2018 (1500-1700 Geneva time) </w:t>
            </w:r>
            <w:proofErr w:type="spellStart"/>
            <w:r w:rsidRPr="00F03D25">
              <w:rPr>
                <w:sz w:val="20"/>
              </w:rPr>
              <w:t>ToR</w:t>
            </w:r>
            <w:proofErr w:type="spellEnd"/>
            <w:r w:rsidRPr="00F03D25">
              <w:rPr>
                <w:sz w:val="20"/>
              </w:rPr>
              <w:t>: progressing of A.1 and A.13 as well as review of the editor and Rapporteur manual, if time allows.</w:t>
            </w:r>
          </w:p>
          <w:p w:rsidR="00F03D25" w:rsidRPr="00F03D25" w:rsidRDefault="00F03D25" w:rsidP="00F03D25">
            <w:pPr>
              <w:rPr>
                <w:sz w:val="20"/>
              </w:rPr>
            </w:pPr>
            <w:r w:rsidRPr="00F03D25">
              <w:rPr>
                <w:sz w:val="20"/>
              </w:rPr>
              <w:t xml:space="preserve">– RGSC 24 September (1500-1700 Geneva time) </w:t>
            </w:r>
            <w:proofErr w:type="spellStart"/>
            <w:r w:rsidRPr="00F03D25">
              <w:rPr>
                <w:sz w:val="20"/>
              </w:rPr>
              <w:t>ToR</w:t>
            </w:r>
            <w:proofErr w:type="spellEnd"/>
            <w:r w:rsidRPr="00F03D25">
              <w:rPr>
                <w:sz w:val="20"/>
              </w:rPr>
              <w:t xml:space="preserve">: </w:t>
            </w:r>
          </w:p>
          <w:p w:rsidR="00F03D25" w:rsidRPr="00F03D25" w:rsidRDefault="00F03D25" w:rsidP="00F03D25">
            <w:pPr>
              <w:pStyle w:val="ListParagraph"/>
              <w:numPr>
                <w:ilvl w:val="0"/>
                <w:numId w:val="41"/>
              </w:numPr>
              <w:tabs>
                <w:tab w:val="clear" w:pos="794"/>
                <w:tab w:val="clear" w:pos="1191"/>
                <w:tab w:val="clear" w:pos="1588"/>
                <w:tab w:val="clear" w:pos="1985"/>
              </w:tabs>
              <w:overflowPunct/>
              <w:autoSpaceDE/>
              <w:autoSpaceDN/>
              <w:adjustRightInd/>
              <w:contextualSpacing w:val="0"/>
              <w:textAlignment w:val="auto"/>
              <w:rPr>
                <w:sz w:val="20"/>
              </w:rPr>
            </w:pPr>
            <w:r w:rsidRPr="00F03D25">
              <w:rPr>
                <w:sz w:val="20"/>
              </w:rPr>
              <w:t xml:space="preserve">Review of A.25, A4 and A6 in view of the results from the previous joint rapporteur meeting with RGWM. </w:t>
            </w:r>
          </w:p>
          <w:p w:rsidR="00C66A3D" w:rsidRPr="00F03D25" w:rsidRDefault="00F03D25" w:rsidP="00F03D25">
            <w:pPr>
              <w:pStyle w:val="ListParagraph"/>
              <w:numPr>
                <w:ilvl w:val="0"/>
                <w:numId w:val="41"/>
              </w:numPr>
              <w:tabs>
                <w:tab w:val="clear" w:pos="794"/>
                <w:tab w:val="clear" w:pos="1191"/>
                <w:tab w:val="clear" w:pos="1588"/>
                <w:tab w:val="clear" w:pos="1985"/>
              </w:tabs>
              <w:overflowPunct/>
              <w:autoSpaceDE/>
              <w:autoSpaceDN/>
              <w:adjustRightInd/>
              <w:contextualSpacing w:val="0"/>
              <w:textAlignment w:val="auto"/>
            </w:pPr>
            <w:r w:rsidRPr="00F03D25">
              <w:rPr>
                <w:sz w:val="20"/>
              </w:rPr>
              <w:t>Consider processes for collaboration and engagement with Open Source activities.</w:t>
            </w: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center"/>
              <w:rPr>
                <w:rFonts w:asciiTheme="majorBidi" w:eastAsia="SimSun" w:hAnsiTheme="majorBidi" w:cstheme="majorBidi"/>
                <w:b/>
                <w:sz w:val="20"/>
              </w:rPr>
            </w:pPr>
            <w:r>
              <w:rPr>
                <w:rFonts w:asciiTheme="majorBidi" w:eastAsia="SimSun" w:hAnsiTheme="majorBidi" w:cstheme="majorBidi"/>
                <w:b/>
                <w:sz w:val="20"/>
              </w:rPr>
              <w:t>23</w:t>
            </w:r>
            <w:r w:rsidR="00C66A3D" w:rsidRPr="004F26D5">
              <w:rPr>
                <w:rFonts w:asciiTheme="majorBidi" w:eastAsia="SimSun" w:hAnsiTheme="majorBidi" w:cstheme="majorBidi"/>
                <w:b/>
                <w:sz w:val="20"/>
              </w:rPr>
              <w:t>.4</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Strengthening Cooperation (RG-SC)</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right"/>
              <w:rPr>
                <w:rFonts w:asciiTheme="majorBidi" w:eastAsia="SimSun" w:hAnsiTheme="majorBidi" w:cstheme="majorBidi"/>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.4.1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Chairman, TSAG Rapporteur Group “Strengthening Collaboration”: Report of TSAG Rapporteur Group “Strengthening Collaboration” meeting</w:t>
            </w:r>
          </w:p>
        </w:tc>
        <w:tc>
          <w:tcPr>
            <w:tcW w:w="850" w:type="dxa"/>
          </w:tcPr>
          <w:p w:rsidR="00C66A3D" w:rsidRPr="008B6318" w:rsidRDefault="00391D67" w:rsidP="00C66A3D">
            <w:pPr>
              <w:spacing w:before="60" w:after="60"/>
              <w:jc w:val="center"/>
              <w:rPr>
                <w:rFonts w:asciiTheme="majorBidi" w:hAnsiTheme="majorBidi" w:cstheme="majorBidi"/>
                <w:bCs/>
                <w:sz w:val="20"/>
              </w:rPr>
            </w:pPr>
            <w:hyperlink r:id="rId27" w:history="1">
              <w:r w:rsidR="00C66A3D" w:rsidRPr="00837C16">
                <w:rPr>
                  <w:rStyle w:val="Hyperlink"/>
                  <w:sz w:val="20"/>
                </w:rPr>
                <w:t>TD129</w:t>
              </w:r>
            </w:hyperlink>
          </w:p>
        </w:tc>
        <w:tc>
          <w:tcPr>
            <w:tcW w:w="3909" w:type="dxa"/>
          </w:tcPr>
          <w:p w:rsidR="007E4966" w:rsidRPr="00980BA9" w:rsidRDefault="007E4966" w:rsidP="007E4966">
            <w:pPr>
              <w:numPr>
                <w:ilvl w:val="0"/>
                <w:numId w:val="46"/>
              </w:numPr>
              <w:tabs>
                <w:tab w:val="clear" w:pos="794"/>
                <w:tab w:val="clear" w:pos="1191"/>
                <w:tab w:val="clear" w:pos="1588"/>
                <w:tab w:val="clear" w:pos="1985"/>
                <w:tab w:val="left" w:pos="0"/>
              </w:tabs>
              <w:rPr>
                <w:sz w:val="20"/>
              </w:rPr>
            </w:pPr>
            <w:r w:rsidRPr="00980BA9">
              <w:rPr>
                <w:b/>
                <w:bCs/>
                <w:sz w:val="20"/>
              </w:rPr>
              <w:t>Action for TSAG to send</w:t>
            </w:r>
            <w:r w:rsidRPr="00980BA9">
              <w:rPr>
                <w:sz w:val="20"/>
              </w:rPr>
              <w:t xml:space="preserve"> one outgoing liaison statement:</w:t>
            </w:r>
          </w:p>
          <w:p w:rsidR="007E4966" w:rsidRPr="00980BA9" w:rsidRDefault="007E4966" w:rsidP="007E4966">
            <w:pPr>
              <w:tabs>
                <w:tab w:val="clear" w:pos="794"/>
                <w:tab w:val="clear" w:pos="1191"/>
                <w:tab w:val="clear" w:pos="1588"/>
                <w:tab w:val="clear" w:pos="1985"/>
                <w:tab w:val="left" w:pos="570"/>
              </w:tabs>
              <w:overflowPunct/>
              <w:autoSpaceDE/>
              <w:autoSpaceDN/>
              <w:adjustRightInd/>
              <w:ind w:left="360"/>
              <w:textAlignment w:val="auto"/>
              <w:rPr>
                <w:rStyle w:val="Hyperlink"/>
                <w:sz w:val="20"/>
              </w:rPr>
            </w:pPr>
            <w:r w:rsidRPr="00980BA9">
              <w:rPr>
                <w:sz w:val="20"/>
              </w:rPr>
              <w:t xml:space="preserve">Draft LS/o on ITU inter-Sector coordination [to ISCT, TDAG, ITU-D SGs, RAG, ITU-R SGs, </w:t>
            </w:r>
            <w:proofErr w:type="gramStart"/>
            <w:r w:rsidRPr="00980BA9">
              <w:rPr>
                <w:sz w:val="20"/>
              </w:rPr>
              <w:t>ITU</w:t>
            </w:r>
            <w:proofErr w:type="gramEnd"/>
            <w:r w:rsidRPr="00980BA9">
              <w:rPr>
                <w:sz w:val="20"/>
              </w:rPr>
              <w:t xml:space="preserve">-T SGs] in </w:t>
            </w:r>
            <w:hyperlink r:id="rId28" w:history="1">
              <w:r w:rsidRPr="00980BA9">
                <w:rPr>
                  <w:rStyle w:val="Hyperlink"/>
                  <w:rFonts w:asciiTheme="majorBidi" w:hAnsiTheme="majorBidi" w:cstheme="majorBidi"/>
                  <w:sz w:val="20"/>
                </w:rPr>
                <w:t>TD211</w:t>
              </w:r>
            </w:hyperlink>
            <w:r w:rsidRPr="00980BA9">
              <w:rPr>
                <w:rStyle w:val="Hyperlink"/>
                <w:sz w:val="20"/>
              </w:rPr>
              <w:t>.</w:t>
            </w:r>
          </w:p>
          <w:p w:rsidR="007E4966" w:rsidRPr="00980BA9" w:rsidRDefault="007E4966" w:rsidP="007E4966">
            <w:pPr>
              <w:numPr>
                <w:ilvl w:val="0"/>
                <w:numId w:val="46"/>
              </w:numPr>
              <w:tabs>
                <w:tab w:val="clear" w:pos="794"/>
                <w:tab w:val="clear" w:pos="1191"/>
                <w:tab w:val="clear" w:pos="1588"/>
                <w:tab w:val="clear" w:pos="1985"/>
                <w:tab w:val="left" w:pos="0"/>
              </w:tabs>
              <w:rPr>
                <w:sz w:val="20"/>
              </w:rPr>
            </w:pPr>
            <w:r w:rsidRPr="00980BA9">
              <w:rPr>
                <w:b/>
                <w:bCs/>
                <w:sz w:val="20"/>
              </w:rPr>
              <w:t>Action for TSAG to appoint additional representatives</w:t>
            </w:r>
            <w:r w:rsidRPr="00980BA9">
              <w:rPr>
                <w:sz w:val="20"/>
              </w:rPr>
              <w:t xml:space="preserve"> to JTFEC:</w:t>
            </w:r>
          </w:p>
          <w:p w:rsidR="007E4966" w:rsidRPr="00980BA9" w:rsidRDefault="007E4966" w:rsidP="007E4966">
            <w:pPr>
              <w:numPr>
                <w:ilvl w:val="1"/>
                <w:numId w:val="46"/>
              </w:numPr>
              <w:tabs>
                <w:tab w:val="clear" w:pos="794"/>
                <w:tab w:val="clear" w:pos="1191"/>
                <w:tab w:val="clear" w:pos="1588"/>
                <w:tab w:val="clear" w:pos="1985"/>
                <w:tab w:val="left" w:pos="570"/>
              </w:tabs>
              <w:overflowPunct/>
              <w:autoSpaceDE/>
              <w:autoSpaceDN/>
              <w:adjustRightInd/>
              <w:textAlignment w:val="auto"/>
              <w:rPr>
                <w:sz w:val="20"/>
              </w:rPr>
            </w:pPr>
            <w:r>
              <w:rPr>
                <w:sz w:val="20"/>
              </w:rPr>
              <w:t xml:space="preserve">Mr </w:t>
            </w:r>
            <w:proofErr w:type="spellStart"/>
            <w:r w:rsidRPr="00980BA9">
              <w:rPr>
                <w:sz w:val="20"/>
              </w:rPr>
              <w:t>Ajit</w:t>
            </w:r>
            <w:proofErr w:type="spellEnd"/>
            <w:r w:rsidRPr="00980BA9">
              <w:rPr>
                <w:sz w:val="20"/>
              </w:rPr>
              <w:t xml:space="preserve"> </w:t>
            </w:r>
            <w:proofErr w:type="spellStart"/>
            <w:r w:rsidRPr="00980BA9">
              <w:rPr>
                <w:sz w:val="20"/>
              </w:rPr>
              <w:t>Jillavenkatesa</w:t>
            </w:r>
            <w:proofErr w:type="spellEnd"/>
            <w:r w:rsidRPr="00980BA9">
              <w:rPr>
                <w:sz w:val="20"/>
              </w:rPr>
              <w:t>, United States</w:t>
            </w:r>
          </w:p>
          <w:p w:rsidR="007E4966" w:rsidRPr="00357C29" w:rsidRDefault="007E4966" w:rsidP="007E4966">
            <w:pPr>
              <w:numPr>
                <w:ilvl w:val="1"/>
                <w:numId w:val="46"/>
              </w:numPr>
              <w:tabs>
                <w:tab w:val="clear" w:pos="794"/>
                <w:tab w:val="clear" w:pos="1191"/>
                <w:tab w:val="clear" w:pos="1588"/>
                <w:tab w:val="clear" w:pos="1985"/>
                <w:tab w:val="left" w:pos="570"/>
              </w:tabs>
              <w:overflowPunct/>
              <w:autoSpaceDE/>
              <w:autoSpaceDN/>
              <w:adjustRightInd/>
              <w:textAlignment w:val="auto"/>
              <w:rPr>
                <w:sz w:val="20"/>
              </w:rPr>
            </w:pPr>
            <w:r>
              <w:rPr>
                <w:sz w:val="20"/>
              </w:rPr>
              <w:t xml:space="preserve">Ms </w:t>
            </w:r>
            <w:proofErr w:type="spellStart"/>
            <w:r w:rsidRPr="00357C29">
              <w:rPr>
                <w:sz w:val="20"/>
              </w:rPr>
              <w:t>Gaelle</w:t>
            </w:r>
            <w:proofErr w:type="spellEnd"/>
            <w:r w:rsidRPr="00357C29">
              <w:rPr>
                <w:sz w:val="20"/>
              </w:rPr>
              <w:t xml:space="preserve"> Martin-</w:t>
            </w:r>
            <w:proofErr w:type="spellStart"/>
            <w:r w:rsidRPr="00357C29">
              <w:rPr>
                <w:sz w:val="20"/>
              </w:rPr>
              <w:t>Cocher</w:t>
            </w:r>
            <w:proofErr w:type="spellEnd"/>
            <w:r w:rsidRPr="00357C29">
              <w:rPr>
                <w:sz w:val="20"/>
              </w:rPr>
              <w:t>, Blackberry</w:t>
            </w:r>
          </w:p>
          <w:p w:rsidR="007E4966" w:rsidRPr="00980BA9" w:rsidRDefault="007E4966" w:rsidP="007E4966">
            <w:pPr>
              <w:pStyle w:val="ListParagraph"/>
              <w:numPr>
                <w:ilvl w:val="0"/>
                <w:numId w:val="46"/>
              </w:numPr>
              <w:tabs>
                <w:tab w:val="left" w:pos="570"/>
              </w:tabs>
              <w:ind w:left="357" w:hanging="357"/>
              <w:contextualSpacing w:val="0"/>
              <w:textAlignment w:val="auto"/>
              <w:rPr>
                <w:sz w:val="20"/>
              </w:rPr>
            </w:pPr>
            <w:r w:rsidRPr="00980BA9">
              <w:rPr>
                <w:b/>
                <w:sz w:val="20"/>
              </w:rPr>
              <w:t>TSAG to authorize</w:t>
            </w:r>
            <w:r w:rsidRPr="00980BA9">
              <w:rPr>
                <w:sz w:val="20"/>
              </w:rPr>
              <w:t xml:space="preserve"> RG-SC to meet electronically as indicated in RG-WM report.</w:t>
            </w:r>
          </w:p>
          <w:p w:rsidR="007E4966" w:rsidRPr="00980BA9" w:rsidRDefault="007E4966" w:rsidP="007E4966">
            <w:pPr>
              <w:pStyle w:val="ListParagraph"/>
              <w:numPr>
                <w:ilvl w:val="0"/>
                <w:numId w:val="46"/>
              </w:numPr>
              <w:tabs>
                <w:tab w:val="left" w:pos="570"/>
              </w:tabs>
              <w:spacing w:before="240"/>
              <w:ind w:left="357" w:hanging="357"/>
              <w:contextualSpacing w:val="0"/>
              <w:textAlignment w:val="auto"/>
              <w:rPr>
                <w:sz w:val="20"/>
              </w:rPr>
            </w:pPr>
            <w:r w:rsidRPr="00980BA9">
              <w:rPr>
                <w:b/>
                <w:bCs/>
                <w:sz w:val="20"/>
              </w:rPr>
              <w:t>TSAG to note:</w:t>
            </w:r>
          </w:p>
          <w:p w:rsidR="00C66A3D" w:rsidRPr="000B5B80" w:rsidRDefault="007E4966" w:rsidP="007E4966">
            <w:pPr>
              <w:tabs>
                <w:tab w:val="left" w:pos="570"/>
              </w:tabs>
              <w:ind w:left="357"/>
            </w:pPr>
            <w:r w:rsidRPr="00980BA9">
              <w:rPr>
                <w:sz w:val="20"/>
              </w:rPr>
              <w:t>RG-SC will meet at during the third TSAG meeting.</w:t>
            </w:r>
          </w:p>
        </w:tc>
      </w:tr>
      <w:tr w:rsidR="00C66A3D" w:rsidRPr="004F26D5" w:rsidTr="00A82ACD">
        <w:trPr>
          <w:cantSplit/>
          <w:trHeight w:val="20"/>
        </w:trPr>
        <w:tc>
          <w:tcPr>
            <w:tcW w:w="1385" w:type="dxa"/>
          </w:tcPr>
          <w:p w:rsidR="00C66A3D" w:rsidRPr="004F26D5" w:rsidRDefault="00C66A3D" w:rsidP="00572179">
            <w:pPr>
              <w:keepNext/>
              <w:keepLines/>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572179">
            <w:pPr>
              <w:keepNext/>
              <w:keepLines/>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23</w:t>
            </w:r>
            <w:r w:rsidR="00C66A3D" w:rsidRPr="004F26D5">
              <w:rPr>
                <w:rFonts w:asciiTheme="majorBidi" w:eastAsia="SimSun" w:hAnsiTheme="majorBidi" w:cstheme="majorBidi"/>
                <w:b/>
                <w:sz w:val="20"/>
              </w:rPr>
              <w:t>.5</w:t>
            </w:r>
          </w:p>
        </w:tc>
        <w:tc>
          <w:tcPr>
            <w:tcW w:w="2388" w:type="dxa"/>
          </w:tcPr>
          <w:p w:rsidR="00C66A3D" w:rsidRPr="004F26D5" w:rsidRDefault="00C66A3D" w:rsidP="00572179">
            <w:pPr>
              <w:keepNext/>
              <w:keepLines/>
              <w:spacing w:before="60" w:after="60"/>
              <w:rPr>
                <w:rFonts w:asciiTheme="majorBidi" w:hAnsiTheme="majorBidi" w:cstheme="majorBidi"/>
                <w:sz w:val="20"/>
                <w:highlight w:val="yellow"/>
              </w:rPr>
            </w:pPr>
            <w:r w:rsidRPr="004F26D5">
              <w:rPr>
                <w:rFonts w:asciiTheme="majorBidi" w:hAnsiTheme="majorBidi" w:cstheme="majorBidi"/>
                <w:b/>
                <w:bCs/>
                <w:sz w:val="20"/>
              </w:rPr>
              <w:t>TSAG Rapporteur Group on Strategic and Operational Plan (RG-SOP)</w:t>
            </w:r>
          </w:p>
        </w:tc>
        <w:tc>
          <w:tcPr>
            <w:tcW w:w="850" w:type="dxa"/>
          </w:tcPr>
          <w:p w:rsidR="00C66A3D" w:rsidRPr="008B6318" w:rsidRDefault="00C66A3D" w:rsidP="00572179">
            <w:pPr>
              <w:keepNext/>
              <w:keepLines/>
              <w:spacing w:before="60" w:after="60"/>
              <w:jc w:val="center"/>
              <w:rPr>
                <w:rFonts w:asciiTheme="majorBidi" w:hAnsiTheme="majorBidi" w:cstheme="majorBidi"/>
                <w:bCs/>
                <w:sz w:val="20"/>
              </w:rPr>
            </w:pPr>
          </w:p>
        </w:tc>
        <w:tc>
          <w:tcPr>
            <w:tcW w:w="3909" w:type="dxa"/>
          </w:tcPr>
          <w:p w:rsidR="00C66A3D" w:rsidRPr="008B6318" w:rsidRDefault="00C66A3D" w:rsidP="00572179">
            <w:pPr>
              <w:keepNext/>
              <w:keepLines/>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A6DAA">
        <w:trPr>
          <w:cantSplit/>
          <w:trHeight w:val="20"/>
        </w:trPr>
        <w:tc>
          <w:tcPr>
            <w:tcW w:w="1385" w:type="dxa"/>
            <w:tcBorders>
              <w:bottom w:val="single" w:sz="12" w:space="0" w:color="auto"/>
            </w:tcBorders>
          </w:tcPr>
          <w:p w:rsidR="00C66A3D" w:rsidRPr="004F26D5" w:rsidRDefault="00C66A3D" w:rsidP="00572179">
            <w:pPr>
              <w:keepNext/>
              <w:keepLines/>
              <w:spacing w:before="60" w:after="60"/>
              <w:jc w:val="center"/>
              <w:rPr>
                <w:rFonts w:asciiTheme="majorBidi" w:eastAsia="SimSun" w:hAnsiTheme="majorBidi" w:cstheme="majorBidi"/>
                <w:b/>
                <w:sz w:val="20"/>
                <w:highlight w:val="yellow"/>
              </w:rPr>
            </w:pPr>
          </w:p>
        </w:tc>
        <w:tc>
          <w:tcPr>
            <w:tcW w:w="1099" w:type="dxa"/>
            <w:tcBorders>
              <w:bottom w:val="single" w:sz="12" w:space="0" w:color="auto"/>
            </w:tcBorders>
          </w:tcPr>
          <w:p w:rsidR="00C66A3D" w:rsidRPr="004F26D5" w:rsidRDefault="00837C16" w:rsidP="00572179">
            <w:pPr>
              <w:keepNext/>
              <w:keepLines/>
              <w:spacing w:before="60" w:after="60"/>
              <w:jc w:val="right"/>
              <w:rPr>
                <w:rFonts w:asciiTheme="majorBidi" w:eastAsia="SimSun" w:hAnsiTheme="majorBidi" w:cstheme="majorBidi"/>
                <w:b/>
                <w:sz w:val="20"/>
                <w:highlight w:val="yellow"/>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.5.1</w:t>
            </w:r>
          </w:p>
        </w:tc>
        <w:tc>
          <w:tcPr>
            <w:tcW w:w="2388" w:type="dxa"/>
            <w:tcBorders>
              <w:bottom w:val="single" w:sz="12" w:space="0" w:color="auto"/>
            </w:tcBorders>
          </w:tcPr>
          <w:p w:rsidR="00C66A3D" w:rsidRPr="004F26D5" w:rsidRDefault="00C66A3D" w:rsidP="00572179">
            <w:pPr>
              <w:keepNext/>
              <w:keepLines/>
              <w:spacing w:before="60" w:after="60"/>
              <w:rPr>
                <w:rFonts w:asciiTheme="majorBidi" w:hAnsiTheme="majorBidi" w:cstheme="majorBidi"/>
                <w:b/>
                <w:sz w:val="20"/>
                <w:highlight w:val="yellow"/>
              </w:rPr>
            </w:pPr>
            <w:r w:rsidRPr="004F26D5">
              <w:rPr>
                <w:rFonts w:asciiTheme="majorBidi" w:eastAsia="SimSun" w:hAnsiTheme="majorBidi" w:cstheme="majorBidi"/>
                <w:bCs/>
                <w:sz w:val="20"/>
              </w:rPr>
              <w:t>Chairman, TSAG Rapporteur Group “Strategic and Operational Plan”: Report of TSAG Rapporteur Group “Strategic and Operational Plan” meeting</w:t>
            </w:r>
          </w:p>
        </w:tc>
        <w:tc>
          <w:tcPr>
            <w:tcW w:w="850" w:type="dxa"/>
            <w:tcBorders>
              <w:bottom w:val="single" w:sz="12" w:space="0" w:color="auto"/>
            </w:tcBorders>
          </w:tcPr>
          <w:p w:rsidR="00C66A3D" w:rsidRPr="008B6318" w:rsidRDefault="00391D67" w:rsidP="00572179">
            <w:pPr>
              <w:keepNext/>
              <w:keepLines/>
              <w:spacing w:before="60" w:after="60"/>
              <w:jc w:val="center"/>
              <w:rPr>
                <w:rFonts w:asciiTheme="majorBidi" w:hAnsiTheme="majorBidi" w:cstheme="majorBidi"/>
                <w:bCs/>
                <w:sz w:val="20"/>
              </w:rPr>
            </w:pPr>
            <w:hyperlink r:id="rId29" w:history="1">
              <w:r w:rsidR="00C66A3D" w:rsidRPr="00D96175">
                <w:rPr>
                  <w:rStyle w:val="Hyperlink"/>
                  <w:sz w:val="20"/>
                </w:rPr>
                <w:t>TD131</w:t>
              </w:r>
            </w:hyperlink>
          </w:p>
        </w:tc>
        <w:tc>
          <w:tcPr>
            <w:tcW w:w="3909" w:type="dxa"/>
            <w:tcBorders>
              <w:bottom w:val="single" w:sz="12" w:space="0" w:color="auto"/>
            </w:tcBorders>
          </w:tcPr>
          <w:p w:rsidR="00C66A3D" w:rsidRPr="008B6318" w:rsidRDefault="007B48AE" w:rsidP="00572179">
            <w:pPr>
              <w:keepNext/>
              <w:keepLines/>
              <w:tabs>
                <w:tab w:val="clear" w:pos="794"/>
                <w:tab w:val="clear" w:pos="1191"/>
                <w:tab w:val="clear" w:pos="1588"/>
                <w:tab w:val="clear" w:pos="1985"/>
              </w:tabs>
              <w:spacing w:before="60" w:after="60"/>
              <w:rPr>
                <w:rFonts w:asciiTheme="majorBidi" w:eastAsia="SimSun" w:hAnsiTheme="majorBidi" w:cstheme="majorBidi"/>
                <w:bCs/>
                <w:sz w:val="20"/>
              </w:rPr>
            </w:pPr>
            <w:r>
              <w:rPr>
                <w:rFonts w:asciiTheme="majorBidi" w:eastAsia="SimSun" w:hAnsiTheme="majorBidi" w:cstheme="majorBidi"/>
                <w:bCs/>
                <w:sz w:val="20"/>
              </w:rPr>
              <w:t>TSAG to note.</w:t>
            </w:r>
          </w:p>
        </w:tc>
      </w:tr>
      <w:tr w:rsidR="00C66A3D" w:rsidRPr="004F26D5" w:rsidTr="00AA6DAA">
        <w:trPr>
          <w:cantSplit/>
          <w:trHeight w:val="20"/>
        </w:trPr>
        <w:tc>
          <w:tcPr>
            <w:tcW w:w="1385" w:type="dxa"/>
            <w:tcBorders>
              <w:top w:val="single" w:sz="12" w:space="0" w:color="auto"/>
              <w:bottom w:val="single" w:sz="2"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Borders>
              <w:top w:val="single" w:sz="12" w:space="0" w:color="auto"/>
              <w:bottom w:val="single" w:sz="2" w:space="0" w:color="auto"/>
            </w:tcBorders>
          </w:tcPr>
          <w:p w:rsidR="00C66A3D" w:rsidRPr="004F26D5" w:rsidRDefault="00837C16" w:rsidP="00C66A3D">
            <w:pPr>
              <w:spacing w:before="60" w:after="60"/>
              <w:jc w:val="center"/>
              <w:rPr>
                <w:rFonts w:asciiTheme="majorBidi" w:eastAsia="SimSun" w:hAnsiTheme="majorBidi" w:cstheme="majorBidi"/>
                <w:b/>
                <w:sz w:val="20"/>
              </w:rPr>
            </w:pPr>
            <w:r>
              <w:rPr>
                <w:rFonts w:asciiTheme="majorBidi" w:eastAsia="SimSun" w:hAnsiTheme="majorBidi" w:cstheme="majorBidi"/>
                <w:b/>
                <w:sz w:val="20"/>
              </w:rPr>
              <w:t>23</w:t>
            </w:r>
            <w:r w:rsidR="00C66A3D" w:rsidRPr="004F26D5">
              <w:rPr>
                <w:rFonts w:asciiTheme="majorBidi" w:eastAsia="SimSun" w:hAnsiTheme="majorBidi" w:cstheme="majorBidi"/>
                <w:b/>
                <w:sz w:val="20"/>
              </w:rPr>
              <w:t>.6</w:t>
            </w:r>
          </w:p>
        </w:tc>
        <w:tc>
          <w:tcPr>
            <w:tcW w:w="2388" w:type="dxa"/>
            <w:tcBorders>
              <w:top w:val="single" w:sz="12" w:space="0" w:color="auto"/>
              <w:bottom w:val="single" w:sz="2" w:space="0" w:color="auto"/>
            </w:tcBorders>
          </w:tcPr>
          <w:p w:rsidR="00C66A3D" w:rsidRPr="004F26D5" w:rsidRDefault="00C66A3D" w:rsidP="00C66A3D">
            <w:pPr>
              <w:spacing w:before="60" w:after="60"/>
              <w:rPr>
                <w:rFonts w:asciiTheme="majorBidi" w:eastAsia="SimSun" w:hAnsiTheme="majorBidi" w:cstheme="majorBidi"/>
                <w:bCs/>
                <w:sz w:val="20"/>
              </w:rPr>
            </w:pPr>
            <w:r w:rsidRPr="004F26D5">
              <w:rPr>
                <w:rFonts w:asciiTheme="majorBidi" w:hAnsiTheme="majorBidi" w:cstheme="majorBidi"/>
                <w:b/>
                <w:bCs/>
                <w:sz w:val="20"/>
              </w:rPr>
              <w:t>TSAG Rapporteur Group on the review of WTSA Resolutions (RG-</w:t>
            </w:r>
            <w:proofErr w:type="spellStart"/>
            <w:r w:rsidRPr="004F26D5">
              <w:rPr>
                <w:rFonts w:asciiTheme="majorBidi" w:hAnsiTheme="majorBidi" w:cstheme="majorBidi"/>
                <w:b/>
                <w:bCs/>
                <w:sz w:val="20"/>
              </w:rPr>
              <w:t>ResReview</w:t>
            </w:r>
            <w:proofErr w:type="spellEnd"/>
            <w:r w:rsidRPr="004F26D5">
              <w:rPr>
                <w:rFonts w:asciiTheme="majorBidi" w:hAnsiTheme="majorBidi" w:cstheme="majorBidi"/>
                <w:b/>
                <w:bCs/>
                <w:sz w:val="20"/>
              </w:rPr>
              <w:t>)</w:t>
            </w:r>
          </w:p>
        </w:tc>
        <w:tc>
          <w:tcPr>
            <w:tcW w:w="850" w:type="dxa"/>
            <w:tcBorders>
              <w:top w:val="single" w:sz="12" w:space="0" w:color="auto"/>
              <w:bottom w:val="single" w:sz="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bottom w:val="single" w:sz="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A6DAA">
        <w:trPr>
          <w:cantSplit/>
          <w:trHeight w:val="20"/>
        </w:trPr>
        <w:tc>
          <w:tcPr>
            <w:tcW w:w="1385" w:type="dxa"/>
            <w:tcBorders>
              <w:top w:val="single" w:sz="2" w:space="0" w:color="auto"/>
              <w:bottom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Borders>
              <w:top w:val="single" w:sz="2" w:space="0" w:color="auto"/>
              <w:bottom w:val="single" w:sz="4" w:space="0" w:color="auto"/>
            </w:tcBorders>
          </w:tcPr>
          <w:p w:rsidR="00C66A3D" w:rsidRPr="004F26D5" w:rsidRDefault="00837C16" w:rsidP="00C66A3D">
            <w:pPr>
              <w:spacing w:before="60" w:after="60"/>
              <w:jc w:val="right"/>
              <w:rPr>
                <w:rFonts w:asciiTheme="majorBidi" w:eastAsia="SimSun" w:hAnsiTheme="majorBidi" w:cstheme="majorBidi"/>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.6.1</w:t>
            </w:r>
          </w:p>
        </w:tc>
        <w:tc>
          <w:tcPr>
            <w:tcW w:w="2388" w:type="dxa"/>
            <w:tcBorders>
              <w:top w:val="single" w:sz="2" w:space="0" w:color="auto"/>
              <w:bottom w:val="single" w:sz="4" w:space="0" w:color="auto"/>
            </w:tcBorders>
          </w:tcPr>
          <w:p w:rsidR="00C66A3D" w:rsidRPr="004F26D5" w:rsidRDefault="00C66A3D" w:rsidP="00C66A3D">
            <w:pPr>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“review of WTSA Resolutions”: Report of TSAG Rapporteur Group “Review of WTSA Resolutions” meeting</w:t>
            </w:r>
          </w:p>
        </w:tc>
        <w:tc>
          <w:tcPr>
            <w:tcW w:w="850" w:type="dxa"/>
            <w:tcBorders>
              <w:top w:val="single" w:sz="2" w:space="0" w:color="auto"/>
              <w:bottom w:val="single" w:sz="4" w:space="0" w:color="auto"/>
            </w:tcBorders>
          </w:tcPr>
          <w:p w:rsidR="00C66A3D" w:rsidRPr="008B6318" w:rsidRDefault="00391D67" w:rsidP="00C66A3D">
            <w:pPr>
              <w:spacing w:before="60" w:after="60"/>
              <w:jc w:val="center"/>
              <w:rPr>
                <w:rFonts w:asciiTheme="majorBidi" w:hAnsiTheme="majorBidi" w:cstheme="majorBidi"/>
                <w:bCs/>
                <w:sz w:val="20"/>
              </w:rPr>
            </w:pPr>
            <w:hyperlink r:id="rId30" w:history="1">
              <w:r w:rsidR="00C66A3D" w:rsidRPr="00837C16">
                <w:rPr>
                  <w:rStyle w:val="Hyperlink"/>
                  <w:sz w:val="20"/>
                </w:rPr>
                <w:t>TD</w:t>
              </w:r>
              <w:r w:rsidR="00C66A3D" w:rsidRPr="00837C16">
                <w:rPr>
                  <w:rStyle w:val="Hyperlink"/>
                  <w:rFonts w:asciiTheme="majorBidi" w:hAnsiTheme="majorBidi" w:cstheme="majorBidi"/>
                  <w:sz w:val="20"/>
                </w:rPr>
                <w:t>245</w:t>
              </w:r>
            </w:hyperlink>
          </w:p>
        </w:tc>
        <w:tc>
          <w:tcPr>
            <w:tcW w:w="3909" w:type="dxa"/>
            <w:tcBorders>
              <w:top w:val="single" w:sz="2" w:space="0" w:color="auto"/>
              <w:bottom w:val="single" w:sz="4" w:space="0" w:color="auto"/>
            </w:tcBorders>
          </w:tcPr>
          <w:p w:rsidR="000B5B80" w:rsidRPr="002C1DF2" w:rsidRDefault="000B5B80" w:rsidP="000B5B80">
            <w:pPr>
              <w:tabs>
                <w:tab w:val="clear" w:pos="794"/>
                <w:tab w:val="clear" w:pos="1191"/>
                <w:tab w:val="clear" w:pos="1588"/>
                <w:tab w:val="clear" w:pos="1985"/>
                <w:tab w:val="left" w:pos="0"/>
              </w:tabs>
              <w:rPr>
                <w:sz w:val="20"/>
              </w:rPr>
            </w:pPr>
            <w:r w:rsidRPr="002C1DF2">
              <w:rPr>
                <w:b/>
                <w:bCs/>
                <w:sz w:val="20"/>
              </w:rPr>
              <w:t>Action for TSAG to approve</w:t>
            </w:r>
            <w:r w:rsidRPr="002C1DF2">
              <w:rPr>
                <w:sz w:val="20"/>
              </w:rPr>
              <w:t>:</w:t>
            </w:r>
          </w:p>
          <w:p w:rsidR="000B5B80" w:rsidRPr="002C1DF2" w:rsidRDefault="000B5B80" w:rsidP="000B5B80">
            <w:pPr>
              <w:ind w:left="360"/>
              <w:textAlignment w:val="auto"/>
              <w:rPr>
                <w:sz w:val="20"/>
              </w:rPr>
            </w:pPr>
            <w:r w:rsidRPr="002C1DF2">
              <w:rPr>
                <w:sz w:val="20"/>
              </w:rPr>
              <w:t>Revised terms of reference of RG-</w:t>
            </w:r>
            <w:proofErr w:type="spellStart"/>
            <w:r w:rsidRPr="002C1DF2">
              <w:rPr>
                <w:sz w:val="20"/>
              </w:rPr>
              <w:t>ResReview</w:t>
            </w:r>
            <w:proofErr w:type="spellEnd"/>
            <w:r w:rsidRPr="002C1DF2">
              <w:rPr>
                <w:sz w:val="20"/>
              </w:rPr>
              <w:t xml:space="preserve"> (see Annex of this report).</w:t>
            </w:r>
          </w:p>
          <w:p w:rsidR="000B5B80" w:rsidRPr="002C1DF2" w:rsidRDefault="000B5B80" w:rsidP="000B5B80">
            <w:pPr>
              <w:tabs>
                <w:tab w:val="left" w:pos="570"/>
              </w:tabs>
              <w:spacing w:before="240"/>
              <w:ind w:left="360" w:hanging="360"/>
              <w:rPr>
                <w:b/>
                <w:bCs/>
                <w:sz w:val="20"/>
              </w:rPr>
            </w:pPr>
            <w:r w:rsidRPr="002C1DF2">
              <w:rPr>
                <w:b/>
                <w:bCs/>
                <w:sz w:val="20"/>
              </w:rPr>
              <w:t>TSAG to authorize</w:t>
            </w:r>
          </w:p>
          <w:p w:rsidR="000B5B80" w:rsidRPr="002C1DF2" w:rsidRDefault="000B5B80" w:rsidP="000B5B80">
            <w:pPr>
              <w:ind w:left="360"/>
              <w:rPr>
                <w:sz w:val="20"/>
              </w:rPr>
            </w:pPr>
            <w:r w:rsidRPr="002C1DF2">
              <w:rPr>
                <w:sz w:val="20"/>
              </w:rPr>
              <w:t>One interim e-meeting if contributions are submitted by the deadline by 1 June 2018 on the scope of this Rapporteur Group.</w:t>
            </w:r>
          </w:p>
          <w:p w:rsidR="00C66A3D" w:rsidRPr="000B5B80" w:rsidRDefault="000B5B80" w:rsidP="000B5B80">
            <w:pPr>
              <w:tabs>
                <w:tab w:val="left" w:pos="570"/>
              </w:tabs>
              <w:ind w:left="357"/>
            </w:pPr>
            <w:r w:rsidRPr="002C1DF2">
              <w:rPr>
                <w:sz w:val="20"/>
              </w:rPr>
              <w:t>RG-</w:t>
            </w:r>
            <w:proofErr w:type="spellStart"/>
            <w:r w:rsidRPr="002C1DF2">
              <w:rPr>
                <w:sz w:val="20"/>
              </w:rPr>
              <w:t>ResReview</w:t>
            </w:r>
            <w:proofErr w:type="spellEnd"/>
            <w:r w:rsidRPr="002C1DF2">
              <w:rPr>
                <w:sz w:val="20"/>
              </w:rPr>
              <w:t xml:space="preserve"> will meet at the third TSAG meeting.</w:t>
            </w: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keepNext/>
              <w:keepLines/>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24</w:t>
            </w:r>
          </w:p>
        </w:tc>
        <w:tc>
          <w:tcPr>
            <w:tcW w:w="2388"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Additional actions to be undertaken by TSAG</w:t>
            </w:r>
          </w:p>
        </w:tc>
        <w:tc>
          <w:tcPr>
            <w:tcW w:w="850"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bottom w:val="single" w:sz="12" w:space="0" w:color="auto"/>
            </w:tcBorders>
          </w:tcPr>
          <w:p w:rsidR="00C66A3D" w:rsidRPr="004F26D5" w:rsidRDefault="00837C16" w:rsidP="00C66A3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24</w:t>
            </w:r>
            <w:r w:rsidR="00C66A3D" w:rsidRPr="004F26D5">
              <w:rPr>
                <w:rFonts w:asciiTheme="majorBidi" w:eastAsia="SimSun" w:hAnsiTheme="majorBidi" w:cstheme="majorBidi"/>
                <w:bCs/>
                <w:sz w:val="20"/>
              </w:rPr>
              <w:t>.1</w:t>
            </w:r>
          </w:p>
        </w:tc>
        <w:tc>
          <w:tcPr>
            <w:tcW w:w="2388" w:type="dxa"/>
            <w:tcBorders>
              <w:bottom w:val="single" w:sz="12" w:space="0" w:color="auto"/>
            </w:tcBorders>
          </w:tcPr>
          <w:p w:rsidR="00C66A3D" w:rsidRPr="004F26D5" w:rsidRDefault="00C66A3D" w:rsidP="00C66A3D">
            <w:pPr>
              <w:pStyle w:val="Default"/>
              <w:spacing w:before="60" w:after="60"/>
              <w:rPr>
                <w:rFonts w:asciiTheme="majorBidi" w:eastAsia="SimSun" w:hAnsiTheme="majorBidi" w:cstheme="majorBidi"/>
                <w:bCs/>
                <w:color w:val="auto"/>
                <w:sz w:val="20"/>
                <w:szCs w:val="20"/>
                <w:lang w:eastAsia="en-US"/>
              </w:rPr>
            </w:pPr>
          </w:p>
        </w:tc>
        <w:tc>
          <w:tcPr>
            <w:tcW w:w="850" w:type="dxa"/>
            <w:tcBorders>
              <w:bottom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i/>
                <w:iCs/>
                <w:sz w:val="20"/>
              </w:rPr>
            </w:pP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25</w:t>
            </w:r>
          </w:p>
        </w:tc>
        <w:tc>
          <w:tcPr>
            <w:tcW w:w="2388"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ITU-T meeting schedule including date of next TSAG meeting(s)</w:t>
            </w:r>
          </w:p>
        </w:tc>
        <w:tc>
          <w:tcPr>
            <w:tcW w:w="850"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bottom w:val="single" w:sz="12" w:space="0" w:color="auto"/>
            </w:tcBorders>
          </w:tcPr>
          <w:p w:rsidR="00C66A3D" w:rsidRPr="004F26D5" w:rsidRDefault="00837C16" w:rsidP="00C66A3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25</w:t>
            </w:r>
            <w:r w:rsidR="00C66A3D" w:rsidRPr="004F26D5">
              <w:rPr>
                <w:rFonts w:asciiTheme="majorBidi" w:eastAsia="SimSun" w:hAnsiTheme="majorBidi" w:cstheme="majorBidi"/>
                <w:bCs/>
                <w:sz w:val="20"/>
              </w:rPr>
              <w:t>.1</w:t>
            </w:r>
          </w:p>
        </w:tc>
        <w:tc>
          <w:tcPr>
            <w:tcW w:w="2388" w:type="dxa"/>
            <w:tcBorders>
              <w:bottom w:val="single" w:sz="12" w:space="0" w:color="auto"/>
            </w:tcBorders>
          </w:tcPr>
          <w:p w:rsidR="00C66A3D" w:rsidRPr="004F26D5" w:rsidRDefault="00C66A3D" w:rsidP="00C66A3D">
            <w:pPr>
              <w:spacing w:before="60" w:after="60"/>
              <w:rPr>
                <w:rFonts w:asciiTheme="majorBidi" w:eastAsia="SimSun" w:hAnsiTheme="majorBidi" w:cstheme="majorBidi"/>
                <w:bCs/>
                <w:sz w:val="20"/>
                <w:highlight w:val="red"/>
              </w:rPr>
            </w:pPr>
            <w:r w:rsidRPr="008B6318">
              <w:rPr>
                <w:rFonts w:asciiTheme="majorBidi" w:eastAsia="SimSun" w:hAnsiTheme="majorBidi" w:cstheme="majorBidi"/>
                <w:bCs/>
                <w:sz w:val="20"/>
              </w:rPr>
              <w:t>Dir</w:t>
            </w:r>
            <w:r w:rsidR="007E4966">
              <w:rPr>
                <w:rFonts w:asciiTheme="majorBidi" w:eastAsia="SimSun" w:hAnsiTheme="majorBidi" w:cstheme="majorBidi"/>
                <w:bCs/>
                <w:sz w:val="20"/>
              </w:rPr>
              <w:t>ector, TSB</w:t>
            </w:r>
            <w:r w:rsidRPr="008B6318">
              <w:rPr>
                <w:rFonts w:asciiTheme="majorBidi" w:eastAsia="SimSun" w:hAnsiTheme="majorBidi" w:cstheme="majorBidi"/>
                <w:bCs/>
                <w:sz w:val="20"/>
              </w:rPr>
              <w:t>: Sch</w:t>
            </w:r>
            <w:r w:rsidR="00A35300">
              <w:rPr>
                <w:rFonts w:asciiTheme="majorBidi" w:eastAsia="SimSun" w:hAnsiTheme="majorBidi" w:cstheme="majorBidi"/>
                <w:bCs/>
                <w:sz w:val="20"/>
              </w:rPr>
              <w:t>edule of ITU-T meetings March</w:t>
            </w:r>
            <w:r w:rsidRPr="008B6318">
              <w:rPr>
                <w:rFonts w:asciiTheme="majorBidi" w:eastAsia="SimSun" w:hAnsiTheme="majorBidi" w:cstheme="majorBidi"/>
                <w:bCs/>
                <w:sz w:val="20"/>
              </w:rPr>
              <w:t xml:space="preserve"> – December 2018</w:t>
            </w:r>
          </w:p>
        </w:tc>
        <w:tc>
          <w:tcPr>
            <w:tcW w:w="850" w:type="dxa"/>
            <w:tcBorders>
              <w:bottom w:val="single" w:sz="12" w:space="0" w:color="auto"/>
            </w:tcBorders>
          </w:tcPr>
          <w:p w:rsidR="00C66A3D" w:rsidRPr="008B6318" w:rsidRDefault="00391D67" w:rsidP="00C66A3D">
            <w:pPr>
              <w:spacing w:before="60" w:after="60"/>
              <w:jc w:val="center"/>
              <w:rPr>
                <w:rFonts w:asciiTheme="majorBidi" w:hAnsiTheme="majorBidi" w:cstheme="majorBidi"/>
                <w:bCs/>
                <w:sz w:val="20"/>
              </w:rPr>
            </w:pPr>
            <w:hyperlink r:id="rId31" w:history="1">
              <w:r w:rsidR="00817784" w:rsidRPr="00837C16">
                <w:rPr>
                  <w:rStyle w:val="Hyperlink"/>
                  <w:rFonts w:asciiTheme="majorBidi" w:hAnsiTheme="majorBidi" w:cstheme="majorBidi"/>
                  <w:sz w:val="20"/>
                </w:rPr>
                <w:t>TD144</w:t>
              </w:r>
            </w:hyperlink>
          </w:p>
        </w:tc>
        <w:tc>
          <w:tcPr>
            <w:tcW w:w="3909" w:type="dxa"/>
            <w:tcBorders>
              <w:bottom w:val="single" w:sz="12" w:space="0" w:color="auto"/>
            </w:tcBorders>
          </w:tcPr>
          <w:p w:rsidR="00C66A3D" w:rsidRPr="00D869D5"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D869D5">
              <w:rPr>
                <w:rFonts w:asciiTheme="majorBidi" w:eastAsia="SimSun" w:hAnsiTheme="majorBidi" w:cstheme="majorBidi"/>
                <w:bCs/>
                <w:sz w:val="20"/>
              </w:rPr>
              <w:t xml:space="preserve">This document presents the meeting schedule for ITU-T from </w:t>
            </w:r>
            <w:r w:rsidR="00D869D5" w:rsidRPr="00D869D5">
              <w:rPr>
                <w:rFonts w:asciiTheme="majorBidi" w:eastAsia="SimSun" w:hAnsiTheme="majorBidi" w:cstheme="majorBidi"/>
                <w:bCs/>
                <w:sz w:val="20"/>
              </w:rPr>
              <w:t>March</w:t>
            </w:r>
            <w:r w:rsidR="00CB218A">
              <w:rPr>
                <w:rFonts w:asciiTheme="majorBidi" w:eastAsia="SimSun" w:hAnsiTheme="majorBidi" w:cstheme="majorBidi"/>
                <w:bCs/>
                <w:sz w:val="20"/>
              </w:rPr>
              <w:t xml:space="preserve"> un</w:t>
            </w:r>
            <w:r w:rsidR="00D869D5" w:rsidRPr="00D869D5">
              <w:rPr>
                <w:rFonts w:asciiTheme="majorBidi" w:eastAsia="SimSun" w:hAnsiTheme="majorBidi" w:cstheme="majorBidi"/>
                <w:bCs/>
                <w:sz w:val="20"/>
              </w:rPr>
              <w:t>til December 2018.</w:t>
            </w:r>
          </w:p>
          <w:p w:rsidR="00C66A3D" w:rsidRPr="008B6318" w:rsidRDefault="00C66A3D" w:rsidP="00D869D5">
            <w:pPr>
              <w:tabs>
                <w:tab w:val="clear" w:pos="794"/>
                <w:tab w:val="clear" w:pos="1191"/>
                <w:tab w:val="clear" w:pos="1588"/>
                <w:tab w:val="clear" w:pos="1985"/>
              </w:tabs>
              <w:spacing w:before="60" w:after="60"/>
              <w:rPr>
                <w:rFonts w:asciiTheme="majorBidi" w:eastAsia="SimSun" w:hAnsiTheme="majorBidi" w:cstheme="majorBidi"/>
                <w:bCs/>
                <w:sz w:val="20"/>
              </w:rPr>
            </w:pPr>
            <w:r w:rsidRPr="00D869D5">
              <w:rPr>
                <w:rFonts w:asciiTheme="majorBidi" w:eastAsia="SimSun" w:hAnsiTheme="majorBidi" w:cstheme="majorBidi"/>
                <w:bCs/>
                <w:sz w:val="20"/>
              </w:rPr>
              <w:t>TSAG is invited to note the 2018 meeting schedule.</w:t>
            </w: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26</w:t>
            </w:r>
          </w:p>
        </w:tc>
        <w:tc>
          <w:tcPr>
            <w:tcW w:w="2388"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Any other business</w:t>
            </w:r>
          </w:p>
        </w:tc>
        <w:tc>
          <w:tcPr>
            <w:tcW w:w="850"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Cs/>
                <w:sz w:val="20"/>
              </w:rPr>
            </w:pPr>
          </w:p>
        </w:tc>
        <w:tc>
          <w:tcPr>
            <w:tcW w:w="2388" w:type="dxa"/>
            <w:tcBorders>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c>
          <w:tcPr>
            <w:tcW w:w="850"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bottom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27</w:t>
            </w:r>
          </w:p>
        </w:tc>
        <w:tc>
          <w:tcPr>
            <w:tcW w:w="2388"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Consideration of draft meeting Report</w:t>
            </w:r>
          </w:p>
        </w:tc>
        <w:tc>
          <w:tcPr>
            <w:tcW w:w="850"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8B6318">
              <w:rPr>
                <w:rFonts w:asciiTheme="majorBidi" w:eastAsia="SimSun" w:hAnsiTheme="majorBidi" w:cstheme="majorBidi"/>
                <w:bCs/>
                <w:sz w:val="20"/>
              </w:rPr>
              <w:t>TSAG delegates are invited to comment (14 day comment period)</w:t>
            </w:r>
          </w:p>
        </w:tc>
      </w:tr>
      <w:tr w:rsidR="00C66A3D" w:rsidRPr="004F26D5" w:rsidTr="00A82ACD">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bottom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28</w:t>
            </w:r>
          </w:p>
        </w:tc>
        <w:tc>
          <w:tcPr>
            <w:tcW w:w="2388"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Closing remarks by the Director, TSB</w:t>
            </w:r>
          </w:p>
        </w:tc>
        <w:tc>
          <w:tcPr>
            <w:tcW w:w="850"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29</w:t>
            </w:r>
          </w:p>
        </w:tc>
        <w:tc>
          <w:tcPr>
            <w:tcW w:w="2388"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Closure of meeting</w:t>
            </w:r>
          </w:p>
        </w:tc>
        <w:tc>
          <w:tcPr>
            <w:tcW w:w="850"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rPr>
                <w:rFonts w:asciiTheme="majorBidi" w:eastAsia="SimSun" w:hAnsiTheme="majorBidi" w:cstheme="majorBidi"/>
                <w:b/>
                <w:sz w:val="20"/>
              </w:rPr>
            </w:pPr>
            <w:r w:rsidRPr="004F26D5">
              <w:rPr>
                <w:rFonts w:asciiTheme="majorBidi" w:eastAsia="SimSun" w:hAnsiTheme="majorBidi" w:cstheme="majorBidi"/>
                <w:b/>
                <w:sz w:val="20"/>
              </w:rPr>
              <w:t>End</w:t>
            </w:r>
          </w:p>
        </w:tc>
        <w:tc>
          <w:tcPr>
            <w:tcW w:w="1099" w:type="dxa"/>
          </w:tcPr>
          <w:p w:rsidR="00C66A3D" w:rsidRPr="004F26D5" w:rsidRDefault="00C66A3D" w:rsidP="00C66A3D">
            <w:pPr>
              <w:spacing w:before="60" w:after="60"/>
              <w:rPr>
                <w:rFonts w:asciiTheme="majorBidi" w:eastAsia="SimSun" w:hAnsiTheme="majorBidi" w:cstheme="majorBidi"/>
                <w:b/>
                <w:sz w:val="20"/>
              </w:rPr>
            </w:pPr>
          </w:p>
        </w:tc>
        <w:tc>
          <w:tcPr>
            <w:tcW w:w="2388" w:type="dxa"/>
          </w:tcPr>
          <w:p w:rsidR="00C66A3D" w:rsidRPr="004F26D5" w:rsidRDefault="00C66A3D" w:rsidP="00C66A3D">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TSAG finishes at …</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spacing w:before="60" w:after="60"/>
              <w:rPr>
                <w:rFonts w:asciiTheme="majorBidi" w:hAnsiTheme="majorBidi" w:cstheme="majorBidi"/>
                <w:bCs/>
                <w:sz w:val="20"/>
              </w:rPr>
            </w:pPr>
          </w:p>
        </w:tc>
      </w:tr>
    </w:tbl>
    <w:p w:rsidR="00D55AF9" w:rsidRPr="004F26D5" w:rsidRDefault="00D55AF9" w:rsidP="00D55AF9">
      <w:pPr>
        <w:spacing w:before="0"/>
        <w:jc w:val="center"/>
        <w:rPr>
          <w:rFonts w:asciiTheme="majorBidi" w:hAnsiTheme="majorBidi" w:cstheme="majorBidi"/>
          <w:sz w:val="20"/>
        </w:rPr>
      </w:pPr>
      <w:r w:rsidRPr="004F26D5">
        <w:rPr>
          <w:rFonts w:asciiTheme="majorBidi" w:hAnsiTheme="majorBidi" w:cstheme="majorBidi"/>
          <w:sz w:val="20"/>
        </w:rPr>
        <w:t>_____________________</w:t>
      </w:r>
    </w:p>
    <w:sectPr w:rsidR="00D55AF9" w:rsidRPr="004F26D5" w:rsidSect="00DB4631">
      <w:headerReference w:type="default" r:id="rId32"/>
      <w:footerReference w:type="first" r:id="rId3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21" w:rsidRDefault="00330A21">
      <w:pPr>
        <w:spacing w:before="0"/>
      </w:pPr>
      <w:r>
        <w:separator/>
      </w:r>
    </w:p>
  </w:endnote>
  <w:endnote w:type="continuationSeparator" w:id="0">
    <w:p w:rsidR="00330A21" w:rsidRDefault="00330A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3" w:usb2="00000000" w:usb3="00000000" w:csb0="0000009F" w:csb1="00000000"/>
  </w:font>
  <w:font w:name="F1">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FF" w:rsidRPr="00511959" w:rsidRDefault="00033CFF"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21" w:rsidRDefault="00330A21">
      <w:pPr>
        <w:spacing w:before="0"/>
      </w:pPr>
      <w:r>
        <w:separator/>
      </w:r>
    </w:p>
  </w:footnote>
  <w:footnote w:type="continuationSeparator" w:id="0">
    <w:p w:rsidR="00330A21" w:rsidRDefault="00330A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FF" w:rsidRDefault="00033CFF"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391D67">
      <w:rPr>
        <w:noProof/>
      </w:rPr>
      <w:t>7</w:t>
    </w:r>
    <w:r w:rsidRPr="00511959">
      <w:fldChar w:fldCharType="end"/>
    </w:r>
    <w:r w:rsidRPr="00511959">
      <w:t xml:space="preserve"> -</w:t>
    </w:r>
    <w:r>
      <w:br/>
      <w:t>T</w:t>
    </w:r>
    <w:r w:rsidR="00FB4E97">
      <w:t>SAG-T</w:t>
    </w:r>
    <w:r w:rsidR="007E4966">
      <w:t>D125-R3</w:t>
    </w:r>
  </w:p>
  <w:p w:rsidR="007E4966" w:rsidRPr="00511959" w:rsidRDefault="007E4966" w:rsidP="00F53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C65A2"/>
    <w:multiLevelType w:val="hybridMultilevel"/>
    <w:tmpl w:val="8C3C78B2"/>
    <w:lvl w:ilvl="0" w:tplc="08090011">
      <w:start w:val="1"/>
      <w:numFmt w:val="decimal"/>
      <w:lvlText w:val="%1)"/>
      <w:lvlJc w:val="left"/>
      <w:pPr>
        <w:ind w:left="360" w:hanging="360"/>
      </w:pPr>
      <w:rPr>
        <w:rFonts w:eastAsia="Times New Roman" w:hint="default"/>
      </w:rPr>
    </w:lvl>
    <w:lvl w:ilvl="1" w:tplc="E14847C4">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14434D"/>
    <w:multiLevelType w:val="hybridMultilevel"/>
    <w:tmpl w:val="8C3C78B2"/>
    <w:lvl w:ilvl="0" w:tplc="08090011">
      <w:start w:val="1"/>
      <w:numFmt w:val="decimal"/>
      <w:lvlText w:val="%1)"/>
      <w:lvlJc w:val="left"/>
      <w:pPr>
        <w:ind w:left="360" w:hanging="360"/>
      </w:pPr>
      <w:rPr>
        <w:rFonts w:eastAsia="Times New Roman" w:hint="default"/>
      </w:rPr>
    </w:lvl>
    <w:lvl w:ilvl="1" w:tplc="E14847C4">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2"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665E"/>
    <w:multiLevelType w:val="hybridMultilevel"/>
    <w:tmpl w:val="8C3C78B2"/>
    <w:lvl w:ilvl="0" w:tplc="08090011">
      <w:start w:val="1"/>
      <w:numFmt w:val="decimal"/>
      <w:lvlText w:val="%1)"/>
      <w:lvlJc w:val="left"/>
      <w:pPr>
        <w:ind w:left="360" w:hanging="360"/>
      </w:pPr>
      <w:rPr>
        <w:rFonts w:eastAsia="Times New Roman" w:hint="default"/>
      </w:rPr>
    </w:lvl>
    <w:lvl w:ilvl="1" w:tplc="E14847C4">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8"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2"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20"/>
  </w:num>
  <w:num w:numId="3">
    <w:abstractNumId w:val="23"/>
  </w:num>
  <w:num w:numId="4">
    <w:abstractNumId w:val="33"/>
  </w:num>
  <w:num w:numId="5">
    <w:abstractNumId w:val="3"/>
  </w:num>
  <w:num w:numId="6">
    <w:abstractNumId w:val="45"/>
  </w:num>
  <w:num w:numId="7">
    <w:abstractNumId w:val="1"/>
  </w:num>
  <w:num w:numId="8">
    <w:abstractNumId w:val="42"/>
  </w:num>
  <w:num w:numId="9">
    <w:abstractNumId w:val="36"/>
  </w:num>
  <w:num w:numId="10">
    <w:abstractNumId w:val="28"/>
  </w:num>
  <w:num w:numId="11">
    <w:abstractNumId w:val="21"/>
  </w:num>
  <w:num w:numId="12">
    <w:abstractNumId w:val="8"/>
  </w:num>
  <w:num w:numId="13">
    <w:abstractNumId w:val="2"/>
  </w:num>
  <w:num w:numId="14">
    <w:abstractNumId w:val="38"/>
  </w:num>
  <w:num w:numId="15">
    <w:abstractNumId w:val="41"/>
  </w:num>
  <w:num w:numId="16">
    <w:abstractNumId w:val="7"/>
  </w:num>
  <w:num w:numId="17">
    <w:abstractNumId w:val="30"/>
  </w:num>
  <w:num w:numId="18">
    <w:abstractNumId w:val="44"/>
  </w:num>
  <w:num w:numId="19">
    <w:abstractNumId w:val="29"/>
  </w:num>
  <w:num w:numId="20">
    <w:abstractNumId w:val="39"/>
  </w:num>
  <w:num w:numId="21">
    <w:abstractNumId w:val="5"/>
  </w:num>
  <w:num w:numId="22">
    <w:abstractNumId w:val="40"/>
  </w:num>
  <w:num w:numId="23">
    <w:abstractNumId w:val="17"/>
  </w:num>
  <w:num w:numId="24">
    <w:abstractNumId w:val="19"/>
  </w:num>
  <w:num w:numId="25">
    <w:abstractNumId w:val="13"/>
  </w:num>
  <w:num w:numId="26">
    <w:abstractNumId w:val="15"/>
  </w:num>
  <w:num w:numId="27">
    <w:abstractNumId w:val="37"/>
  </w:num>
  <w:num w:numId="28">
    <w:abstractNumId w:val="12"/>
  </w:num>
  <w:num w:numId="29">
    <w:abstractNumId w:val="31"/>
  </w:num>
  <w:num w:numId="30">
    <w:abstractNumId w:val="32"/>
  </w:num>
  <w:num w:numId="31">
    <w:abstractNumId w:val="11"/>
  </w:num>
  <w:num w:numId="32">
    <w:abstractNumId w:val="24"/>
  </w:num>
  <w:num w:numId="33">
    <w:abstractNumId w:val="27"/>
  </w:num>
  <w:num w:numId="34">
    <w:abstractNumId w:val="25"/>
  </w:num>
  <w:num w:numId="35">
    <w:abstractNumId w:val="9"/>
  </w:num>
  <w:num w:numId="36">
    <w:abstractNumId w:val="26"/>
  </w:num>
  <w:num w:numId="37">
    <w:abstractNumId w:val="14"/>
  </w:num>
  <w:num w:numId="38">
    <w:abstractNumId w:val="4"/>
  </w:num>
  <w:num w:numId="39">
    <w:abstractNumId w:val="0"/>
  </w:num>
  <w:num w:numId="40">
    <w:abstractNumId w:val="10"/>
  </w:num>
  <w:num w:numId="41">
    <w:abstractNumId w:val="6"/>
  </w:num>
  <w:num w:numId="42">
    <w:abstractNumId w:val="43"/>
  </w:num>
  <w:num w:numId="43">
    <w:abstractNumId w:val="22"/>
  </w:num>
  <w:num w:numId="44">
    <w:abstractNumId w:val="18"/>
  </w:num>
  <w:num w:numId="45">
    <w:abstractNumId w:val="3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5234"/>
    <w:rsid w:val="00005AC5"/>
    <w:rsid w:val="00006E7B"/>
    <w:rsid w:val="00007AC0"/>
    <w:rsid w:val="0001080A"/>
    <w:rsid w:val="00013F70"/>
    <w:rsid w:val="00014377"/>
    <w:rsid w:val="000167D5"/>
    <w:rsid w:val="00017356"/>
    <w:rsid w:val="0002096D"/>
    <w:rsid w:val="000209AD"/>
    <w:rsid w:val="000243DA"/>
    <w:rsid w:val="00024AF9"/>
    <w:rsid w:val="000258DC"/>
    <w:rsid w:val="0002604F"/>
    <w:rsid w:val="00026051"/>
    <w:rsid w:val="000266B2"/>
    <w:rsid w:val="00030245"/>
    <w:rsid w:val="00030E9D"/>
    <w:rsid w:val="00031F17"/>
    <w:rsid w:val="00033B86"/>
    <w:rsid w:val="00033CFF"/>
    <w:rsid w:val="00035B2B"/>
    <w:rsid w:val="0003611B"/>
    <w:rsid w:val="000370D9"/>
    <w:rsid w:val="000372B0"/>
    <w:rsid w:val="000377E3"/>
    <w:rsid w:val="00040F76"/>
    <w:rsid w:val="00041866"/>
    <w:rsid w:val="00044CE7"/>
    <w:rsid w:val="00046767"/>
    <w:rsid w:val="00051404"/>
    <w:rsid w:val="000514F0"/>
    <w:rsid w:val="00051DC6"/>
    <w:rsid w:val="000525F1"/>
    <w:rsid w:val="0005313F"/>
    <w:rsid w:val="0005544E"/>
    <w:rsid w:val="00061511"/>
    <w:rsid w:val="000617D4"/>
    <w:rsid w:val="00061E00"/>
    <w:rsid w:val="00062322"/>
    <w:rsid w:val="00062395"/>
    <w:rsid w:val="00062DA2"/>
    <w:rsid w:val="00066D93"/>
    <w:rsid w:val="00066F43"/>
    <w:rsid w:val="00067877"/>
    <w:rsid w:val="00071707"/>
    <w:rsid w:val="00072F67"/>
    <w:rsid w:val="000753EA"/>
    <w:rsid w:val="00077054"/>
    <w:rsid w:val="000800E6"/>
    <w:rsid w:val="0008400B"/>
    <w:rsid w:val="000842C5"/>
    <w:rsid w:val="00085C37"/>
    <w:rsid w:val="00087C37"/>
    <w:rsid w:val="000A033A"/>
    <w:rsid w:val="000A2756"/>
    <w:rsid w:val="000A5EB9"/>
    <w:rsid w:val="000B2A01"/>
    <w:rsid w:val="000B5B80"/>
    <w:rsid w:val="000C0724"/>
    <w:rsid w:val="000C16BD"/>
    <w:rsid w:val="000C2757"/>
    <w:rsid w:val="000C5504"/>
    <w:rsid w:val="000D14B1"/>
    <w:rsid w:val="000D29A1"/>
    <w:rsid w:val="000D3CBA"/>
    <w:rsid w:val="000D4857"/>
    <w:rsid w:val="000D4F95"/>
    <w:rsid w:val="000D5A5A"/>
    <w:rsid w:val="000D7225"/>
    <w:rsid w:val="000E0C80"/>
    <w:rsid w:val="000E4612"/>
    <w:rsid w:val="000E4A7A"/>
    <w:rsid w:val="000E5598"/>
    <w:rsid w:val="000E586D"/>
    <w:rsid w:val="000E6991"/>
    <w:rsid w:val="000E7ACF"/>
    <w:rsid w:val="000F177C"/>
    <w:rsid w:val="000F1842"/>
    <w:rsid w:val="000F2CB7"/>
    <w:rsid w:val="000F3BBE"/>
    <w:rsid w:val="000F50F1"/>
    <w:rsid w:val="000F519D"/>
    <w:rsid w:val="000F6AD4"/>
    <w:rsid w:val="000F6AEC"/>
    <w:rsid w:val="001010DE"/>
    <w:rsid w:val="00102992"/>
    <w:rsid w:val="00103408"/>
    <w:rsid w:val="00103A59"/>
    <w:rsid w:val="00104A39"/>
    <w:rsid w:val="00105CA2"/>
    <w:rsid w:val="00107B0E"/>
    <w:rsid w:val="00107C92"/>
    <w:rsid w:val="00111F78"/>
    <w:rsid w:val="00113BCC"/>
    <w:rsid w:val="001152C2"/>
    <w:rsid w:val="001174FB"/>
    <w:rsid w:val="00122624"/>
    <w:rsid w:val="001226F8"/>
    <w:rsid w:val="00122818"/>
    <w:rsid w:val="00125D29"/>
    <w:rsid w:val="00125EB9"/>
    <w:rsid w:val="00127E51"/>
    <w:rsid w:val="00127FA8"/>
    <w:rsid w:val="001302D5"/>
    <w:rsid w:val="0013449A"/>
    <w:rsid w:val="00134F85"/>
    <w:rsid w:val="00135731"/>
    <w:rsid w:val="00140166"/>
    <w:rsid w:val="00140510"/>
    <w:rsid w:val="00141F30"/>
    <w:rsid w:val="001441F5"/>
    <w:rsid w:val="00145553"/>
    <w:rsid w:val="00145E2F"/>
    <w:rsid w:val="00153286"/>
    <w:rsid w:val="00153A1C"/>
    <w:rsid w:val="00154618"/>
    <w:rsid w:val="00156D2B"/>
    <w:rsid w:val="00157F48"/>
    <w:rsid w:val="00160759"/>
    <w:rsid w:val="00160BDB"/>
    <w:rsid w:val="00162865"/>
    <w:rsid w:val="001644B2"/>
    <w:rsid w:val="00165D69"/>
    <w:rsid w:val="001676FB"/>
    <w:rsid w:val="00167FAF"/>
    <w:rsid w:val="00170D8A"/>
    <w:rsid w:val="00171A1E"/>
    <w:rsid w:val="00171E3A"/>
    <w:rsid w:val="0017234E"/>
    <w:rsid w:val="001740C2"/>
    <w:rsid w:val="00174287"/>
    <w:rsid w:val="00177300"/>
    <w:rsid w:val="0017786B"/>
    <w:rsid w:val="001817A9"/>
    <w:rsid w:val="00182B16"/>
    <w:rsid w:val="001842F0"/>
    <w:rsid w:val="0019035F"/>
    <w:rsid w:val="00195503"/>
    <w:rsid w:val="001955E2"/>
    <w:rsid w:val="00196A61"/>
    <w:rsid w:val="001A1D55"/>
    <w:rsid w:val="001A29B8"/>
    <w:rsid w:val="001A2F32"/>
    <w:rsid w:val="001A312B"/>
    <w:rsid w:val="001A3387"/>
    <w:rsid w:val="001A3464"/>
    <w:rsid w:val="001A3C1C"/>
    <w:rsid w:val="001A3D06"/>
    <w:rsid w:val="001A4537"/>
    <w:rsid w:val="001A4B1F"/>
    <w:rsid w:val="001A541C"/>
    <w:rsid w:val="001A7EE6"/>
    <w:rsid w:val="001B262D"/>
    <w:rsid w:val="001B6016"/>
    <w:rsid w:val="001C1FBE"/>
    <w:rsid w:val="001C2F23"/>
    <w:rsid w:val="001D0066"/>
    <w:rsid w:val="001D12E5"/>
    <w:rsid w:val="001D40B1"/>
    <w:rsid w:val="001E0E2E"/>
    <w:rsid w:val="001E3C9E"/>
    <w:rsid w:val="001E3D28"/>
    <w:rsid w:val="001E3E5E"/>
    <w:rsid w:val="001E5795"/>
    <w:rsid w:val="001F0962"/>
    <w:rsid w:val="001F2796"/>
    <w:rsid w:val="001F3083"/>
    <w:rsid w:val="001F44E4"/>
    <w:rsid w:val="001F450D"/>
    <w:rsid w:val="001F4EC8"/>
    <w:rsid w:val="001F5B38"/>
    <w:rsid w:val="001F75A7"/>
    <w:rsid w:val="002048A2"/>
    <w:rsid w:val="00204CE3"/>
    <w:rsid w:val="002050FF"/>
    <w:rsid w:val="002062A1"/>
    <w:rsid w:val="002062F2"/>
    <w:rsid w:val="00206BC6"/>
    <w:rsid w:val="00207D72"/>
    <w:rsid w:val="002101AC"/>
    <w:rsid w:val="002101F5"/>
    <w:rsid w:val="002127EE"/>
    <w:rsid w:val="002150F0"/>
    <w:rsid w:val="002167B1"/>
    <w:rsid w:val="0022184F"/>
    <w:rsid w:val="00221C39"/>
    <w:rsid w:val="002269E1"/>
    <w:rsid w:val="002279CA"/>
    <w:rsid w:val="00230701"/>
    <w:rsid w:val="002307E8"/>
    <w:rsid w:val="00232F6B"/>
    <w:rsid w:val="00234FA2"/>
    <w:rsid w:val="0023560A"/>
    <w:rsid w:val="002361A6"/>
    <w:rsid w:val="0023626E"/>
    <w:rsid w:val="00240977"/>
    <w:rsid w:val="00240F37"/>
    <w:rsid w:val="0024244A"/>
    <w:rsid w:val="002435F3"/>
    <w:rsid w:val="0024456E"/>
    <w:rsid w:val="00244C39"/>
    <w:rsid w:val="00246316"/>
    <w:rsid w:val="0024657A"/>
    <w:rsid w:val="00247BC6"/>
    <w:rsid w:val="00257122"/>
    <w:rsid w:val="0025783E"/>
    <w:rsid w:val="00257BEB"/>
    <w:rsid w:val="00261C2C"/>
    <w:rsid w:val="0026545C"/>
    <w:rsid w:val="0026716E"/>
    <w:rsid w:val="00270EF3"/>
    <w:rsid w:val="0027184F"/>
    <w:rsid w:val="00271BF1"/>
    <w:rsid w:val="0027467C"/>
    <w:rsid w:val="00281CBC"/>
    <w:rsid w:val="0028225B"/>
    <w:rsid w:val="00282E5A"/>
    <w:rsid w:val="00284C75"/>
    <w:rsid w:val="00286C2F"/>
    <w:rsid w:val="002870B8"/>
    <w:rsid w:val="002871E9"/>
    <w:rsid w:val="00287D22"/>
    <w:rsid w:val="00290A75"/>
    <w:rsid w:val="00291842"/>
    <w:rsid w:val="00293BD6"/>
    <w:rsid w:val="00296685"/>
    <w:rsid w:val="002A174A"/>
    <w:rsid w:val="002A35FB"/>
    <w:rsid w:val="002A3BC4"/>
    <w:rsid w:val="002A4555"/>
    <w:rsid w:val="002A5448"/>
    <w:rsid w:val="002A5FD5"/>
    <w:rsid w:val="002A6937"/>
    <w:rsid w:val="002A69F5"/>
    <w:rsid w:val="002B2FC2"/>
    <w:rsid w:val="002B3A89"/>
    <w:rsid w:val="002B45B1"/>
    <w:rsid w:val="002B4C5F"/>
    <w:rsid w:val="002B6C36"/>
    <w:rsid w:val="002B7198"/>
    <w:rsid w:val="002C17DC"/>
    <w:rsid w:val="002C1DF2"/>
    <w:rsid w:val="002C1EAD"/>
    <w:rsid w:val="002C1EB0"/>
    <w:rsid w:val="002C2D46"/>
    <w:rsid w:val="002C46AC"/>
    <w:rsid w:val="002C5B4D"/>
    <w:rsid w:val="002C7367"/>
    <w:rsid w:val="002C7380"/>
    <w:rsid w:val="002D1C9F"/>
    <w:rsid w:val="002D58A3"/>
    <w:rsid w:val="002E1FF6"/>
    <w:rsid w:val="002E2F0A"/>
    <w:rsid w:val="002E3208"/>
    <w:rsid w:val="002E4300"/>
    <w:rsid w:val="002E44BA"/>
    <w:rsid w:val="002E4DC7"/>
    <w:rsid w:val="002E69AE"/>
    <w:rsid w:val="002E736B"/>
    <w:rsid w:val="002F0579"/>
    <w:rsid w:val="002F1D44"/>
    <w:rsid w:val="002F4EF6"/>
    <w:rsid w:val="002F63F7"/>
    <w:rsid w:val="00300B48"/>
    <w:rsid w:val="003015A5"/>
    <w:rsid w:val="00302DCA"/>
    <w:rsid w:val="003045AE"/>
    <w:rsid w:val="00304C4E"/>
    <w:rsid w:val="003059B2"/>
    <w:rsid w:val="00305F62"/>
    <w:rsid w:val="00306662"/>
    <w:rsid w:val="00307A17"/>
    <w:rsid w:val="00310D94"/>
    <w:rsid w:val="00312F81"/>
    <w:rsid w:val="00313D2F"/>
    <w:rsid w:val="00315746"/>
    <w:rsid w:val="00315AAE"/>
    <w:rsid w:val="00317603"/>
    <w:rsid w:val="00320746"/>
    <w:rsid w:val="00320D92"/>
    <w:rsid w:val="00321001"/>
    <w:rsid w:val="00322AC1"/>
    <w:rsid w:val="003239CC"/>
    <w:rsid w:val="00325655"/>
    <w:rsid w:val="00330A21"/>
    <w:rsid w:val="00332306"/>
    <w:rsid w:val="0033237A"/>
    <w:rsid w:val="00332720"/>
    <w:rsid w:val="00332A99"/>
    <w:rsid w:val="003332C6"/>
    <w:rsid w:val="0033570A"/>
    <w:rsid w:val="003408EC"/>
    <w:rsid w:val="003418AF"/>
    <w:rsid w:val="0034252F"/>
    <w:rsid w:val="003441E8"/>
    <w:rsid w:val="00344F9D"/>
    <w:rsid w:val="00345A1C"/>
    <w:rsid w:val="003535A9"/>
    <w:rsid w:val="00356EB6"/>
    <w:rsid w:val="00357E50"/>
    <w:rsid w:val="003606BB"/>
    <w:rsid w:val="0036107B"/>
    <w:rsid w:val="00363A70"/>
    <w:rsid w:val="00364483"/>
    <w:rsid w:val="00365109"/>
    <w:rsid w:val="0036556C"/>
    <w:rsid w:val="00365885"/>
    <w:rsid w:val="003658F6"/>
    <w:rsid w:val="00370AE7"/>
    <w:rsid w:val="0037133A"/>
    <w:rsid w:val="00371BDC"/>
    <w:rsid w:val="0037487F"/>
    <w:rsid w:val="00375BE3"/>
    <w:rsid w:val="0038101C"/>
    <w:rsid w:val="00381577"/>
    <w:rsid w:val="00386330"/>
    <w:rsid w:val="003863B0"/>
    <w:rsid w:val="00387E43"/>
    <w:rsid w:val="00391D67"/>
    <w:rsid w:val="0039207E"/>
    <w:rsid w:val="003929D8"/>
    <w:rsid w:val="00392AD5"/>
    <w:rsid w:val="00395E6F"/>
    <w:rsid w:val="00397286"/>
    <w:rsid w:val="00397A20"/>
    <w:rsid w:val="003A316C"/>
    <w:rsid w:val="003A4559"/>
    <w:rsid w:val="003A60D7"/>
    <w:rsid w:val="003A6321"/>
    <w:rsid w:val="003A6395"/>
    <w:rsid w:val="003A6696"/>
    <w:rsid w:val="003A7E91"/>
    <w:rsid w:val="003B05E8"/>
    <w:rsid w:val="003B116E"/>
    <w:rsid w:val="003B3725"/>
    <w:rsid w:val="003B40E2"/>
    <w:rsid w:val="003B546C"/>
    <w:rsid w:val="003B59A6"/>
    <w:rsid w:val="003B5A28"/>
    <w:rsid w:val="003C11D1"/>
    <w:rsid w:val="003C1668"/>
    <w:rsid w:val="003C22D7"/>
    <w:rsid w:val="003C2F04"/>
    <w:rsid w:val="003C3245"/>
    <w:rsid w:val="003C4EBA"/>
    <w:rsid w:val="003C51E6"/>
    <w:rsid w:val="003C6DA6"/>
    <w:rsid w:val="003D07F3"/>
    <w:rsid w:val="003D14D8"/>
    <w:rsid w:val="003D184D"/>
    <w:rsid w:val="003D4783"/>
    <w:rsid w:val="003D5A89"/>
    <w:rsid w:val="003D5B42"/>
    <w:rsid w:val="003E2024"/>
    <w:rsid w:val="003E21A8"/>
    <w:rsid w:val="003E23C4"/>
    <w:rsid w:val="003E273A"/>
    <w:rsid w:val="003E3194"/>
    <w:rsid w:val="003E3EC3"/>
    <w:rsid w:val="003E5E49"/>
    <w:rsid w:val="003F1A05"/>
    <w:rsid w:val="003F55C4"/>
    <w:rsid w:val="003F64A9"/>
    <w:rsid w:val="0040114D"/>
    <w:rsid w:val="004011BE"/>
    <w:rsid w:val="004013A6"/>
    <w:rsid w:val="00401A01"/>
    <w:rsid w:val="00406658"/>
    <w:rsid w:val="00411AEC"/>
    <w:rsid w:val="00411BF1"/>
    <w:rsid w:val="00412086"/>
    <w:rsid w:val="00415CFA"/>
    <w:rsid w:val="0041652A"/>
    <w:rsid w:val="004172C1"/>
    <w:rsid w:val="00417D58"/>
    <w:rsid w:val="00417F26"/>
    <w:rsid w:val="004200F4"/>
    <w:rsid w:val="00420486"/>
    <w:rsid w:val="0042104A"/>
    <w:rsid w:val="00421E6E"/>
    <w:rsid w:val="0042210D"/>
    <w:rsid w:val="00422AC8"/>
    <w:rsid w:val="00423784"/>
    <w:rsid w:val="00423807"/>
    <w:rsid w:val="00423A07"/>
    <w:rsid w:val="00424F71"/>
    <w:rsid w:val="004258EE"/>
    <w:rsid w:val="00426170"/>
    <w:rsid w:val="00426FBE"/>
    <w:rsid w:val="00430591"/>
    <w:rsid w:val="004305E6"/>
    <w:rsid w:val="00436907"/>
    <w:rsid w:val="00441E5D"/>
    <w:rsid w:val="00443DAB"/>
    <w:rsid w:val="00444A7B"/>
    <w:rsid w:val="00445A11"/>
    <w:rsid w:val="0044633A"/>
    <w:rsid w:val="004476FB"/>
    <w:rsid w:val="00451DCA"/>
    <w:rsid w:val="00452E5A"/>
    <w:rsid w:val="00453600"/>
    <w:rsid w:val="00455D94"/>
    <w:rsid w:val="00457352"/>
    <w:rsid w:val="00461DD7"/>
    <w:rsid w:val="00464470"/>
    <w:rsid w:val="00464F1C"/>
    <w:rsid w:val="00465149"/>
    <w:rsid w:val="004662CD"/>
    <w:rsid w:val="00466CE6"/>
    <w:rsid w:val="00467D50"/>
    <w:rsid w:val="004723F1"/>
    <w:rsid w:val="004728D3"/>
    <w:rsid w:val="00472B66"/>
    <w:rsid w:val="00472EA0"/>
    <w:rsid w:val="00473B18"/>
    <w:rsid w:val="0047554D"/>
    <w:rsid w:val="00475D23"/>
    <w:rsid w:val="00476E22"/>
    <w:rsid w:val="00477760"/>
    <w:rsid w:val="0048015B"/>
    <w:rsid w:val="00480A87"/>
    <w:rsid w:val="00483852"/>
    <w:rsid w:val="00483C7A"/>
    <w:rsid w:val="004873C2"/>
    <w:rsid w:val="00487D30"/>
    <w:rsid w:val="00491F52"/>
    <w:rsid w:val="00492833"/>
    <w:rsid w:val="00494A82"/>
    <w:rsid w:val="004958ED"/>
    <w:rsid w:val="00495A42"/>
    <w:rsid w:val="00495F05"/>
    <w:rsid w:val="00497B0B"/>
    <w:rsid w:val="004A344F"/>
    <w:rsid w:val="004A46D4"/>
    <w:rsid w:val="004A4CBC"/>
    <w:rsid w:val="004A638D"/>
    <w:rsid w:val="004B2581"/>
    <w:rsid w:val="004B5C3B"/>
    <w:rsid w:val="004B6861"/>
    <w:rsid w:val="004B729F"/>
    <w:rsid w:val="004C1A26"/>
    <w:rsid w:val="004C2EB3"/>
    <w:rsid w:val="004C33EF"/>
    <w:rsid w:val="004C3BD5"/>
    <w:rsid w:val="004C3C6E"/>
    <w:rsid w:val="004C5E12"/>
    <w:rsid w:val="004D0083"/>
    <w:rsid w:val="004E3E29"/>
    <w:rsid w:val="004E43D7"/>
    <w:rsid w:val="004E59CE"/>
    <w:rsid w:val="004E5A22"/>
    <w:rsid w:val="004F036B"/>
    <w:rsid w:val="004F1FD3"/>
    <w:rsid w:val="004F200B"/>
    <w:rsid w:val="004F26D5"/>
    <w:rsid w:val="004F3447"/>
    <w:rsid w:val="004F40BB"/>
    <w:rsid w:val="004F652D"/>
    <w:rsid w:val="004F6599"/>
    <w:rsid w:val="005006D9"/>
    <w:rsid w:val="00500BE7"/>
    <w:rsid w:val="00503860"/>
    <w:rsid w:val="005038B4"/>
    <w:rsid w:val="0050590C"/>
    <w:rsid w:val="00505BA0"/>
    <w:rsid w:val="00507843"/>
    <w:rsid w:val="00510846"/>
    <w:rsid w:val="00513134"/>
    <w:rsid w:val="0051457D"/>
    <w:rsid w:val="005157B7"/>
    <w:rsid w:val="005158CF"/>
    <w:rsid w:val="00516091"/>
    <w:rsid w:val="005209BF"/>
    <w:rsid w:val="00521901"/>
    <w:rsid w:val="00521ACF"/>
    <w:rsid w:val="00521FCB"/>
    <w:rsid w:val="00523FCD"/>
    <w:rsid w:val="0052676B"/>
    <w:rsid w:val="00526D8E"/>
    <w:rsid w:val="00531002"/>
    <w:rsid w:val="005317B8"/>
    <w:rsid w:val="00531D1A"/>
    <w:rsid w:val="00532843"/>
    <w:rsid w:val="00537F48"/>
    <w:rsid w:val="00540E86"/>
    <w:rsid w:val="00541F5E"/>
    <w:rsid w:val="00542933"/>
    <w:rsid w:val="00543FC8"/>
    <w:rsid w:val="005454C7"/>
    <w:rsid w:val="00545C71"/>
    <w:rsid w:val="00546DBC"/>
    <w:rsid w:val="0054708A"/>
    <w:rsid w:val="005475C5"/>
    <w:rsid w:val="00550173"/>
    <w:rsid w:val="0055077E"/>
    <w:rsid w:val="00550D22"/>
    <w:rsid w:val="00552AB5"/>
    <w:rsid w:val="00553A7F"/>
    <w:rsid w:val="00556002"/>
    <w:rsid w:val="00557AE7"/>
    <w:rsid w:val="005606B4"/>
    <w:rsid w:val="00560A22"/>
    <w:rsid w:val="005616FD"/>
    <w:rsid w:val="005642CA"/>
    <w:rsid w:val="00565EFC"/>
    <w:rsid w:val="005669B8"/>
    <w:rsid w:val="00566EF9"/>
    <w:rsid w:val="005676AE"/>
    <w:rsid w:val="00571AD4"/>
    <w:rsid w:val="00571C45"/>
    <w:rsid w:val="00572179"/>
    <w:rsid w:val="00572596"/>
    <w:rsid w:val="00576D62"/>
    <w:rsid w:val="00580109"/>
    <w:rsid w:val="00580513"/>
    <w:rsid w:val="00581585"/>
    <w:rsid w:val="00582914"/>
    <w:rsid w:val="005833F1"/>
    <w:rsid w:val="005845B4"/>
    <w:rsid w:val="00585227"/>
    <w:rsid w:val="00585E26"/>
    <w:rsid w:val="00587415"/>
    <w:rsid w:val="005901BF"/>
    <w:rsid w:val="00591EF8"/>
    <w:rsid w:val="005934A0"/>
    <w:rsid w:val="00594829"/>
    <w:rsid w:val="00597499"/>
    <w:rsid w:val="005A0BD5"/>
    <w:rsid w:val="005A151E"/>
    <w:rsid w:val="005A18F2"/>
    <w:rsid w:val="005A3181"/>
    <w:rsid w:val="005A37D0"/>
    <w:rsid w:val="005A3E6E"/>
    <w:rsid w:val="005B11F7"/>
    <w:rsid w:val="005B30B4"/>
    <w:rsid w:val="005B5DA7"/>
    <w:rsid w:val="005B5E84"/>
    <w:rsid w:val="005B61AD"/>
    <w:rsid w:val="005B61F2"/>
    <w:rsid w:val="005B72E5"/>
    <w:rsid w:val="005B7663"/>
    <w:rsid w:val="005C009F"/>
    <w:rsid w:val="005C0D17"/>
    <w:rsid w:val="005C15EB"/>
    <w:rsid w:val="005C1C72"/>
    <w:rsid w:val="005C5343"/>
    <w:rsid w:val="005C54EF"/>
    <w:rsid w:val="005D5C70"/>
    <w:rsid w:val="005D672B"/>
    <w:rsid w:val="005E26D7"/>
    <w:rsid w:val="005E3995"/>
    <w:rsid w:val="005E5978"/>
    <w:rsid w:val="005E7BC9"/>
    <w:rsid w:val="005E7E1C"/>
    <w:rsid w:val="005E7FDC"/>
    <w:rsid w:val="005F57BE"/>
    <w:rsid w:val="005F69AF"/>
    <w:rsid w:val="005F7AA3"/>
    <w:rsid w:val="006026CC"/>
    <w:rsid w:val="0060299F"/>
    <w:rsid w:val="0060315D"/>
    <w:rsid w:val="00603AFF"/>
    <w:rsid w:val="006040D1"/>
    <w:rsid w:val="0060542B"/>
    <w:rsid w:val="006070EC"/>
    <w:rsid w:val="00607DD2"/>
    <w:rsid w:val="0061032C"/>
    <w:rsid w:val="006110BE"/>
    <w:rsid w:val="00611340"/>
    <w:rsid w:val="0061266E"/>
    <w:rsid w:val="00612A1A"/>
    <w:rsid w:val="006131BE"/>
    <w:rsid w:val="00613CE3"/>
    <w:rsid w:val="006158F7"/>
    <w:rsid w:val="00617DC6"/>
    <w:rsid w:val="00620AD9"/>
    <w:rsid w:val="0062125C"/>
    <w:rsid w:val="006217B9"/>
    <w:rsid w:val="006218B5"/>
    <w:rsid w:val="00621CA2"/>
    <w:rsid w:val="00621F79"/>
    <w:rsid w:val="00622A91"/>
    <w:rsid w:val="00624D96"/>
    <w:rsid w:val="0062578A"/>
    <w:rsid w:val="00626031"/>
    <w:rsid w:val="006264B9"/>
    <w:rsid w:val="00627467"/>
    <w:rsid w:val="0063130E"/>
    <w:rsid w:val="00632DD4"/>
    <w:rsid w:val="006343EA"/>
    <w:rsid w:val="00635948"/>
    <w:rsid w:val="00637A3F"/>
    <w:rsid w:val="00642567"/>
    <w:rsid w:val="0064612D"/>
    <w:rsid w:val="00646254"/>
    <w:rsid w:val="00646A24"/>
    <w:rsid w:val="00646FEC"/>
    <w:rsid w:val="006470A4"/>
    <w:rsid w:val="00647636"/>
    <w:rsid w:val="0065004A"/>
    <w:rsid w:val="0065082E"/>
    <w:rsid w:val="00651C68"/>
    <w:rsid w:val="0065401F"/>
    <w:rsid w:val="006541A8"/>
    <w:rsid w:val="00654ACD"/>
    <w:rsid w:val="00655E8E"/>
    <w:rsid w:val="00657A20"/>
    <w:rsid w:val="00664B8F"/>
    <w:rsid w:val="00664CAB"/>
    <w:rsid w:val="00666528"/>
    <w:rsid w:val="006671DF"/>
    <w:rsid w:val="00667595"/>
    <w:rsid w:val="00667627"/>
    <w:rsid w:val="00667BB6"/>
    <w:rsid w:val="006709B9"/>
    <w:rsid w:val="00672DD9"/>
    <w:rsid w:val="00674142"/>
    <w:rsid w:val="00676E8C"/>
    <w:rsid w:val="006836C4"/>
    <w:rsid w:val="00686638"/>
    <w:rsid w:val="00686E93"/>
    <w:rsid w:val="0068797A"/>
    <w:rsid w:val="00690162"/>
    <w:rsid w:val="006904F9"/>
    <w:rsid w:val="00690FD7"/>
    <w:rsid w:val="00692874"/>
    <w:rsid w:val="0069353E"/>
    <w:rsid w:val="00693936"/>
    <w:rsid w:val="00694552"/>
    <w:rsid w:val="00696633"/>
    <w:rsid w:val="00697420"/>
    <w:rsid w:val="006976DD"/>
    <w:rsid w:val="006977F3"/>
    <w:rsid w:val="00697B96"/>
    <w:rsid w:val="00697F78"/>
    <w:rsid w:val="006A0ED0"/>
    <w:rsid w:val="006A1B15"/>
    <w:rsid w:val="006A1E46"/>
    <w:rsid w:val="006A3BFB"/>
    <w:rsid w:val="006A6C9B"/>
    <w:rsid w:val="006A753E"/>
    <w:rsid w:val="006A7B3A"/>
    <w:rsid w:val="006B2FB9"/>
    <w:rsid w:val="006B32CE"/>
    <w:rsid w:val="006B3711"/>
    <w:rsid w:val="006B487C"/>
    <w:rsid w:val="006B6D0F"/>
    <w:rsid w:val="006B7CF9"/>
    <w:rsid w:val="006C08A4"/>
    <w:rsid w:val="006C20BB"/>
    <w:rsid w:val="006C37A6"/>
    <w:rsid w:val="006C55B9"/>
    <w:rsid w:val="006C7A71"/>
    <w:rsid w:val="006D2BDE"/>
    <w:rsid w:val="006D481F"/>
    <w:rsid w:val="006E0733"/>
    <w:rsid w:val="006E0AE6"/>
    <w:rsid w:val="006E14BF"/>
    <w:rsid w:val="006E2A7C"/>
    <w:rsid w:val="006E4FE8"/>
    <w:rsid w:val="006E567B"/>
    <w:rsid w:val="006E67EC"/>
    <w:rsid w:val="006E6D5F"/>
    <w:rsid w:val="006E7DF4"/>
    <w:rsid w:val="006F0798"/>
    <w:rsid w:val="006F121F"/>
    <w:rsid w:val="006F40C8"/>
    <w:rsid w:val="006F501F"/>
    <w:rsid w:val="00700449"/>
    <w:rsid w:val="0070487B"/>
    <w:rsid w:val="00704F0F"/>
    <w:rsid w:val="007063F9"/>
    <w:rsid w:val="007136EE"/>
    <w:rsid w:val="00713FC0"/>
    <w:rsid w:val="00717CA5"/>
    <w:rsid w:val="0072020E"/>
    <w:rsid w:val="007221D8"/>
    <w:rsid w:val="00722633"/>
    <w:rsid w:val="00723111"/>
    <w:rsid w:val="00727737"/>
    <w:rsid w:val="00727AFC"/>
    <w:rsid w:val="00727F44"/>
    <w:rsid w:val="00731B8F"/>
    <w:rsid w:val="007468B0"/>
    <w:rsid w:val="007473C7"/>
    <w:rsid w:val="0075034F"/>
    <w:rsid w:val="00751E77"/>
    <w:rsid w:val="00754F46"/>
    <w:rsid w:val="0075552C"/>
    <w:rsid w:val="00757B6A"/>
    <w:rsid w:val="0076002D"/>
    <w:rsid w:val="00763477"/>
    <w:rsid w:val="00766CC7"/>
    <w:rsid w:val="00771500"/>
    <w:rsid w:val="00773881"/>
    <w:rsid w:val="00773D0A"/>
    <w:rsid w:val="0077458A"/>
    <w:rsid w:val="007773E8"/>
    <w:rsid w:val="0077784F"/>
    <w:rsid w:val="00780A49"/>
    <w:rsid w:val="007814DE"/>
    <w:rsid w:val="00783766"/>
    <w:rsid w:val="007871DC"/>
    <w:rsid w:val="0078730C"/>
    <w:rsid w:val="0079210B"/>
    <w:rsid w:val="00793577"/>
    <w:rsid w:val="00794093"/>
    <w:rsid w:val="0079532B"/>
    <w:rsid w:val="007A078D"/>
    <w:rsid w:val="007A5BA4"/>
    <w:rsid w:val="007B02FA"/>
    <w:rsid w:val="007B3806"/>
    <w:rsid w:val="007B3EFB"/>
    <w:rsid w:val="007B48AE"/>
    <w:rsid w:val="007B6378"/>
    <w:rsid w:val="007B656C"/>
    <w:rsid w:val="007B7467"/>
    <w:rsid w:val="007C2B75"/>
    <w:rsid w:val="007C601B"/>
    <w:rsid w:val="007C7385"/>
    <w:rsid w:val="007C75D1"/>
    <w:rsid w:val="007C7C93"/>
    <w:rsid w:val="007D4D91"/>
    <w:rsid w:val="007D53BB"/>
    <w:rsid w:val="007D6EAC"/>
    <w:rsid w:val="007D772E"/>
    <w:rsid w:val="007D7AD2"/>
    <w:rsid w:val="007E0441"/>
    <w:rsid w:val="007E04B4"/>
    <w:rsid w:val="007E17F9"/>
    <w:rsid w:val="007E1AEA"/>
    <w:rsid w:val="007E27E1"/>
    <w:rsid w:val="007E4151"/>
    <w:rsid w:val="007E4966"/>
    <w:rsid w:val="007E4BB6"/>
    <w:rsid w:val="007E4C03"/>
    <w:rsid w:val="007E4CDF"/>
    <w:rsid w:val="007E7450"/>
    <w:rsid w:val="007F3BC2"/>
    <w:rsid w:val="007F4581"/>
    <w:rsid w:val="007F54B3"/>
    <w:rsid w:val="00800237"/>
    <w:rsid w:val="00804E83"/>
    <w:rsid w:val="008111E3"/>
    <w:rsid w:val="00811862"/>
    <w:rsid w:val="0081393D"/>
    <w:rsid w:val="00814D92"/>
    <w:rsid w:val="00815899"/>
    <w:rsid w:val="0081742D"/>
    <w:rsid w:val="00817784"/>
    <w:rsid w:val="0082090C"/>
    <w:rsid w:val="00821785"/>
    <w:rsid w:val="00821D8D"/>
    <w:rsid w:val="00822663"/>
    <w:rsid w:val="008236AC"/>
    <w:rsid w:val="008242BD"/>
    <w:rsid w:val="00825230"/>
    <w:rsid w:val="0082543B"/>
    <w:rsid w:val="00825B8B"/>
    <w:rsid w:val="00826652"/>
    <w:rsid w:val="00826661"/>
    <w:rsid w:val="008272B9"/>
    <w:rsid w:val="0083061E"/>
    <w:rsid w:val="00831163"/>
    <w:rsid w:val="008318DD"/>
    <w:rsid w:val="008321CC"/>
    <w:rsid w:val="00834497"/>
    <w:rsid w:val="00834D90"/>
    <w:rsid w:val="0083556D"/>
    <w:rsid w:val="00835A7E"/>
    <w:rsid w:val="00837A78"/>
    <w:rsid w:val="00837C16"/>
    <w:rsid w:val="008432FE"/>
    <w:rsid w:val="008444C2"/>
    <w:rsid w:val="0084574A"/>
    <w:rsid w:val="00847CD5"/>
    <w:rsid w:val="00847DB6"/>
    <w:rsid w:val="0085069B"/>
    <w:rsid w:val="00851E6D"/>
    <w:rsid w:val="008604D6"/>
    <w:rsid w:val="00861458"/>
    <w:rsid w:val="00862745"/>
    <w:rsid w:val="008636D5"/>
    <w:rsid w:val="008659A5"/>
    <w:rsid w:val="00872481"/>
    <w:rsid w:val="00874B99"/>
    <w:rsid w:val="00874F5F"/>
    <w:rsid w:val="00875E5C"/>
    <w:rsid w:val="00882351"/>
    <w:rsid w:val="0088279E"/>
    <w:rsid w:val="00882CA0"/>
    <w:rsid w:val="00883CDE"/>
    <w:rsid w:val="008852C0"/>
    <w:rsid w:val="0088612E"/>
    <w:rsid w:val="008868B2"/>
    <w:rsid w:val="00893E62"/>
    <w:rsid w:val="008951E2"/>
    <w:rsid w:val="0089524F"/>
    <w:rsid w:val="00897950"/>
    <w:rsid w:val="008A1FAB"/>
    <w:rsid w:val="008A249E"/>
    <w:rsid w:val="008A411B"/>
    <w:rsid w:val="008A527E"/>
    <w:rsid w:val="008A568F"/>
    <w:rsid w:val="008A7625"/>
    <w:rsid w:val="008B1945"/>
    <w:rsid w:val="008B1E19"/>
    <w:rsid w:val="008B3B03"/>
    <w:rsid w:val="008B5F76"/>
    <w:rsid w:val="008B6318"/>
    <w:rsid w:val="008C06F9"/>
    <w:rsid w:val="008C1B80"/>
    <w:rsid w:val="008C23B6"/>
    <w:rsid w:val="008C4531"/>
    <w:rsid w:val="008C4FC1"/>
    <w:rsid w:val="008C519B"/>
    <w:rsid w:val="008C5B9F"/>
    <w:rsid w:val="008C7A9C"/>
    <w:rsid w:val="008C7D5C"/>
    <w:rsid w:val="008D765F"/>
    <w:rsid w:val="008D7825"/>
    <w:rsid w:val="008D7D07"/>
    <w:rsid w:val="008E2FC2"/>
    <w:rsid w:val="008E3459"/>
    <w:rsid w:val="008E67DC"/>
    <w:rsid w:val="008F55D3"/>
    <w:rsid w:val="008F6318"/>
    <w:rsid w:val="008F75C1"/>
    <w:rsid w:val="0090031F"/>
    <w:rsid w:val="0090033B"/>
    <w:rsid w:val="00903D64"/>
    <w:rsid w:val="00904D2A"/>
    <w:rsid w:val="00905271"/>
    <w:rsid w:val="00915BF2"/>
    <w:rsid w:val="00921058"/>
    <w:rsid w:val="009247EC"/>
    <w:rsid w:val="00925C5E"/>
    <w:rsid w:val="00925D30"/>
    <w:rsid w:val="00926D98"/>
    <w:rsid w:val="00927400"/>
    <w:rsid w:val="00931D7D"/>
    <w:rsid w:val="00935660"/>
    <w:rsid w:val="009357A9"/>
    <w:rsid w:val="00936D87"/>
    <w:rsid w:val="00937A36"/>
    <w:rsid w:val="00937B87"/>
    <w:rsid w:val="00940AF5"/>
    <w:rsid w:val="00943313"/>
    <w:rsid w:val="00944816"/>
    <w:rsid w:val="009449DC"/>
    <w:rsid w:val="009458A4"/>
    <w:rsid w:val="00945DE7"/>
    <w:rsid w:val="009462C0"/>
    <w:rsid w:val="00947FC2"/>
    <w:rsid w:val="00950087"/>
    <w:rsid w:val="0095115D"/>
    <w:rsid w:val="009514E4"/>
    <w:rsid w:val="009516BA"/>
    <w:rsid w:val="00953552"/>
    <w:rsid w:val="00961EDB"/>
    <w:rsid w:val="00963DD9"/>
    <w:rsid w:val="009640AB"/>
    <w:rsid w:val="00965F36"/>
    <w:rsid w:val="00972293"/>
    <w:rsid w:val="009722AF"/>
    <w:rsid w:val="00972887"/>
    <w:rsid w:val="00973D98"/>
    <w:rsid w:val="009751D3"/>
    <w:rsid w:val="00975C95"/>
    <w:rsid w:val="00977168"/>
    <w:rsid w:val="009773A0"/>
    <w:rsid w:val="009778AA"/>
    <w:rsid w:val="00977940"/>
    <w:rsid w:val="00983AE0"/>
    <w:rsid w:val="00984E5C"/>
    <w:rsid w:val="0098764B"/>
    <w:rsid w:val="00991CA8"/>
    <w:rsid w:val="00991D35"/>
    <w:rsid w:val="00992F7B"/>
    <w:rsid w:val="009943F5"/>
    <w:rsid w:val="00996D36"/>
    <w:rsid w:val="00997335"/>
    <w:rsid w:val="009A0566"/>
    <w:rsid w:val="009A0D4A"/>
    <w:rsid w:val="009A556C"/>
    <w:rsid w:val="009B0A35"/>
    <w:rsid w:val="009B2D61"/>
    <w:rsid w:val="009B31FE"/>
    <w:rsid w:val="009B4F9F"/>
    <w:rsid w:val="009B5610"/>
    <w:rsid w:val="009B5A9C"/>
    <w:rsid w:val="009B6442"/>
    <w:rsid w:val="009B677A"/>
    <w:rsid w:val="009B6CAA"/>
    <w:rsid w:val="009B6FBE"/>
    <w:rsid w:val="009B765C"/>
    <w:rsid w:val="009C4E89"/>
    <w:rsid w:val="009D06B6"/>
    <w:rsid w:val="009D15BE"/>
    <w:rsid w:val="009D3479"/>
    <w:rsid w:val="009D5B3A"/>
    <w:rsid w:val="009D6DF9"/>
    <w:rsid w:val="009E5687"/>
    <w:rsid w:val="009F1C54"/>
    <w:rsid w:val="009F2C61"/>
    <w:rsid w:val="00A00173"/>
    <w:rsid w:val="00A00E12"/>
    <w:rsid w:val="00A00EB8"/>
    <w:rsid w:val="00A0194B"/>
    <w:rsid w:val="00A02B78"/>
    <w:rsid w:val="00A03973"/>
    <w:rsid w:val="00A03D67"/>
    <w:rsid w:val="00A05479"/>
    <w:rsid w:val="00A12F5E"/>
    <w:rsid w:val="00A1315C"/>
    <w:rsid w:val="00A13EC9"/>
    <w:rsid w:val="00A15608"/>
    <w:rsid w:val="00A15F4C"/>
    <w:rsid w:val="00A15FBC"/>
    <w:rsid w:val="00A20102"/>
    <w:rsid w:val="00A20B0C"/>
    <w:rsid w:val="00A21E45"/>
    <w:rsid w:val="00A22509"/>
    <w:rsid w:val="00A27C6A"/>
    <w:rsid w:val="00A30FEF"/>
    <w:rsid w:val="00A31606"/>
    <w:rsid w:val="00A31EB6"/>
    <w:rsid w:val="00A322E2"/>
    <w:rsid w:val="00A32425"/>
    <w:rsid w:val="00A338B7"/>
    <w:rsid w:val="00A33B69"/>
    <w:rsid w:val="00A34E87"/>
    <w:rsid w:val="00A35300"/>
    <w:rsid w:val="00A35B06"/>
    <w:rsid w:val="00A40357"/>
    <w:rsid w:val="00A404E9"/>
    <w:rsid w:val="00A40998"/>
    <w:rsid w:val="00A40F3F"/>
    <w:rsid w:val="00A43396"/>
    <w:rsid w:val="00A45FAE"/>
    <w:rsid w:val="00A5274D"/>
    <w:rsid w:val="00A52A1D"/>
    <w:rsid w:val="00A54D9F"/>
    <w:rsid w:val="00A6124A"/>
    <w:rsid w:val="00A61580"/>
    <w:rsid w:val="00A63E59"/>
    <w:rsid w:val="00A64403"/>
    <w:rsid w:val="00A65E65"/>
    <w:rsid w:val="00A66B65"/>
    <w:rsid w:val="00A66D52"/>
    <w:rsid w:val="00A6700B"/>
    <w:rsid w:val="00A6792F"/>
    <w:rsid w:val="00A67B86"/>
    <w:rsid w:val="00A70F7C"/>
    <w:rsid w:val="00A72015"/>
    <w:rsid w:val="00A73835"/>
    <w:rsid w:val="00A74C17"/>
    <w:rsid w:val="00A752B7"/>
    <w:rsid w:val="00A76484"/>
    <w:rsid w:val="00A764DD"/>
    <w:rsid w:val="00A7659E"/>
    <w:rsid w:val="00A817D5"/>
    <w:rsid w:val="00A822D6"/>
    <w:rsid w:val="00A82378"/>
    <w:rsid w:val="00A82ACD"/>
    <w:rsid w:val="00A8411C"/>
    <w:rsid w:val="00A8488A"/>
    <w:rsid w:val="00A849D0"/>
    <w:rsid w:val="00A8576A"/>
    <w:rsid w:val="00A87018"/>
    <w:rsid w:val="00A87187"/>
    <w:rsid w:val="00A878FA"/>
    <w:rsid w:val="00A90679"/>
    <w:rsid w:val="00A910E0"/>
    <w:rsid w:val="00A94054"/>
    <w:rsid w:val="00A9408B"/>
    <w:rsid w:val="00A95DE6"/>
    <w:rsid w:val="00A965AF"/>
    <w:rsid w:val="00A97E39"/>
    <w:rsid w:val="00AA2DB0"/>
    <w:rsid w:val="00AA2EB0"/>
    <w:rsid w:val="00AA31CE"/>
    <w:rsid w:val="00AA4283"/>
    <w:rsid w:val="00AA6DAA"/>
    <w:rsid w:val="00AB0567"/>
    <w:rsid w:val="00AB0D87"/>
    <w:rsid w:val="00AB3878"/>
    <w:rsid w:val="00AB58A0"/>
    <w:rsid w:val="00AC1C69"/>
    <w:rsid w:val="00AC2831"/>
    <w:rsid w:val="00AC3EBD"/>
    <w:rsid w:val="00AC43D8"/>
    <w:rsid w:val="00AC5516"/>
    <w:rsid w:val="00AC77D7"/>
    <w:rsid w:val="00AD0243"/>
    <w:rsid w:val="00AD03AF"/>
    <w:rsid w:val="00AD2C94"/>
    <w:rsid w:val="00AD30CB"/>
    <w:rsid w:val="00AD7084"/>
    <w:rsid w:val="00AE1812"/>
    <w:rsid w:val="00AE3240"/>
    <w:rsid w:val="00AE4C08"/>
    <w:rsid w:val="00AE63AB"/>
    <w:rsid w:val="00AE64E8"/>
    <w:rsid w:val="00AE6F56"/>
    <w:rsid w:val="00AF1748"/>
    <w:rsid w:val="00AF46ED"/>
    <w:rsid w:val="00AF5C70"/>
    <w:rsid w:val="00AF617C"/>
    <w:rsid w:val="00B01EE9"/>
    <w:rsid w:val="00B06033"/>
    <w:rsid w:val="00B06551"/>
    <w:rsid w:val="00B13ECA"/>
    <w:rsid w:val="00B1475D"/>
    <w:rsid w:val="00B1719F"/>
    <w:rsid w:val="00B204CB"/>
    <w:rsid w:val="00B217D2"/>
    <w:rsid w:val="00B224DE"/>
    <w:rsid w:val="00B244A5"/>
    <w:rsid w:val="00B30615"/>
    <w:rsid w:val="00B31227"/>
    <w:rsid w:val="00B33AB0"/>
    <w:rsid w:val="00B34277"/>
    <w:rsid w:val="00B35461"/>
    <w:rsid w:val="00B36BC2"/>
    <w:rsid w:val="00B36C1B"/>
    <w:rsid w:val="00B37161"/>
    <w:rsid w:val="00B40559"/>
    <w:rsid w:val="00B42583"/>
    <w:rsid w:val="00B4544F"/>
    <w:rsid w:val="00B472B8"/>
    <w:rsid w:val="00B5014D"/>
    <w:rsid w:val="00B5072C"/>
    <w:rsid w:val="00B51990"/>
    <w:rsid w:val="00B53801"/>
    <w:rsid w:val="00B53EC1"/>
    <w:rsid w:val="00B5669A"/>
    <w:rsid w:val="00B57577"/>
    <w:rsid w:val="00B57A1C"/>
    <w:rsid w:val="00B606F8"/>
    <w:rsid w:val="00B628B2"/>
    <w:rsid w:val="00B64742"/>
    <w:rsid w:val="00B64B26"/>
    <w:rsid w:val="00B672DD"/>
    <w:rsid w:val="00B6758F"/>
    <w:rsid w:val="00B67640"/>
    <w:rsid w:val="00B678FA"/>
    <w:rsid w:val="00B74480"/>
    <w:rsid w:val="00B751BD"/>
    <w:rsid w:val="00B752FD"/>
    <w:rsid w:val="00B77450"/>
    <w:rsid w:val="00B80D16"/>
    <w:rsid w:val="00B81D96"/>
    <w:rsid w:val="00B8203B"/>
    <w:rsid w:val="00B83310"/>
    <w:rsid w:val="00B8500B"/>
    <w:rsid w:val="00B85CDB"/>
    <w:rsid w:val="00B86766"/>
    <w:rsid w:val="00B87828"/>
    <w:rsid w:val="00B90334"/>
    <w:rsid w:val="00B91083"/>
    <w:rsid w:val="00B91377"/>
    <w:rsid w:val="00B9377F"/>
    <w:rsid w:val="00B941BE"/>
    <w:rsid w:val="00B94E19"/>
    <w:rsid w:val="00B95FC9"/>
    <w:rsid w:val="00B96033"/>
    <w:rsid w:val="00BA28C5"/>
    <w:rsid w:val="00BA3744"/>
    <w:rsid w:val="00BB0FF1"/>
    <w:rsid w:val="00BB3118"/>
    <w:rsid w:val="00BB6829"/>
    <w:rsid w:val="00BB714D"/>
    <w:rsid w:val="00BC02A5"/>
    <w:rsid w:val="00BC18F5"/>
    <w:rsid w:val="00BC787E"/>
    <w:rsid w:val="00BD6992"/>
    <w:rsid w:val="00BD729A"/>
    <w:rsid w:val="00BE271C"/>
    <w:rsid w:val="00BE49D6"/>
    <w:rsid w:val="00BE4A94"/>
    <w:rsid w:val="00BE7CC0"/>
    <w:rsid w:val="00BF0482"/>
    <w:rsid w:val="00BF40AB"/>
    <w:rsid w:val="00BF5104"/>
    <w:rsid w:val="00C00D17"/>
    <w:rsid w:val="00C034E1"/>
    <w:rsid w:val="00C03A64"/>
    <w:rsid w:val="00C03BAD"/>
    <w:rsid w:val="00C03E99"/>
    <w:rsid w:val="00C0427B"/>
    <w:rsid w:val="00C052A8"/>
    <w:rsid w:val="00C06D47"/>
    <w:rsid w:val="00C112AF"/>
    <w:rsid w:val="00C11B1C"/>
    <w:rsid w:val="00C1299D"/>
    <w:rsid w:val="00C15459"/>
    <w:rsid w:val="00C16CC6"/>
    <w:rsid w:val="00C255BD"/>
    <w:rsid w:val="00C27576"/>
    <w:rsid w:val="00C30A39"/>
    <w:rsid w:val="00C30E5E"/>
    <w:rsid w:val="00C35DD8"/>
    <w:rsid w:val="00C37C58"/>
    <w:rsid w:val="00C404FD"/>
    <w:rsid w:val="00C41ED3"/>
    <w:rsid w:val="00C433E9"/>
    <w:rsid w:val="00C439B0"/>
    <w:rsid w:val="00C44E78"/>
    <w:rsid w:val="00C4799F"/>
    <w:rsid w:val="00C47D82"/>
    <w:rsid w:val="00C548AA"/>
    <w:rsid w:val="00C56E56"/>
    <w:rsid w:val="00C612B2"/>
    <w:rsid w:val="00C6190F"/>
    <w:rsid w:val="00C63F6D"/>
    <w:rsid w:val="00C646DF"/>
    <w:rsid w:val="00C6531C"/>
    <w:rsid w:val="00C658B7"/>
    <w:rsid w:val="00C65E18"/>
    <w:rsid w:val="00C66A3D"/>
    <w:rsid w:val="00C674A0"/>
    <w:rsid w:val="00C67653"/>
    <w:rsid w:val="00C72964"/>
    <w:rsid w:val="00C72B13"/>
    <w:rsid w:val="00C80097"/>
    <w:rsid w:val="00C805E2"/>
    <w:rsid w:val="00C819BE"/>
    <w:rsid w:val="00C85527"/>
    <w:rsid w:val="00C85C5A"/>
    <w:rsid w:val="00C906FF"/>
    <w:rsid w:val="00C95777"/>
    <w:rsid w:val="00C97DC3"/>
    <w:rsid w:val="00CA2219"/>
    <w:rsid w:val="00CA4090"/>
    <w:rsid w:val="00CA4C93"/>
    <w:rsid w:val="00CA532D"/>
    <w:rsid w:val="00CA55CE"/>
    <w:rsid w:val="00CA59B5"/>
    <w:rsid w:val="00CA7486"/>
    <w:rsid w:val="00CA78A1"/>
    <w:rsid w:val="00CB0C43"/>
    <w:rsid w:val="00CB0DB2"/>
    <w:rsid w:val="00CB1D29"/>
    <w:rsid w:val="00CB218A"/>
    <w:rsid w:val="00CB4124"/>
    <w:rsid w:val="00CB5FB0"/>
    <w:rsid w:val="00CB65B1"/>
    <w:rsid w:val="00CC0491"/>
    <w:rsid w:val="00CC083F"/>
    <w:rsid w:val="00CC25DD"/>
    <w:rsid w:val="00CC35FD"/>
    <w:rsid w:val="00CC3C68"/>
    <w:rsid w:val="00CC4FF3"/>
    <w:rsid w:val="00CC50ED"/>
    <w:rsid w:val="00CD3237"/>
    <w:rsid w:val="00CD3638"/>
    <w:rsid w:val="00CD5CDF"/>
    <w:rsid w:val="00CE0D91"/>
    <w:rsid w:val="00CE1068"/>
    <w:rsid w:val="00CE2910"/>
    <w:rsid w:val="00CE33D1"/>
    <w:rsid w:val="00CE61FF"/>
    <w:rsid w:val="00CE7530"/>
    <w:rsid w:val="00CE7A50"/>
    <w:rsid w:val="00CF05DB"/>
    <w:rsid w:val="00CF3BF5"/>
    <w:rsid w:val="00D00793"/>
    <w:rsid w:val="00D0107A"/>
    <w:rsid w:val="00D019AA"/>
    <w:rsid w:val="00D05ADC"/>
    <w:rsid w:val="00D074C7"/>
    <w:rsid w:val="00D07F92"/>
    <w:rsid w:val="00D1050D"/>
    <w:rsid w:val="00D1125C"/>
    <w:rsid w:val="00D117CF"/>
    <w:rsid w:val="00D1326B"/>
    <w:rsid w:val="00D137D8"/>
    <w:rsid w:val="00D13DE5"/>
    <w:rsid w:val="00D17A1E"/>
    <w:rsid w:val="00D20796"/>
    <w:rsid w:val="00D21114"/>
    <w:rsid w:val="00D221F3"/>
    <w:rsid w:val="00D23951"/>
    <w:rsid w:val="00D24F25"/>
    <w:rsid w:val="00D25A99"/>
    <w:rsid w:val="00D26248"/>
    <w:rsid w:val="00D3080A"/>
    <w:rsid w:val="00D32EEB"/>
    <w:rsid w:val="00D331A6"/>
    <w:rsid w:val="00D33DD4"/>
    <w:rsid w:val="00D343B5"/>
    <w:rsid w:val="00D3483C"/>
    <w:rsid w:val="00D36B8B"/>
    <w:rsid w:val="00D36C8D"/>
    <w:rsid w:val="00D40246"/>
    <w:rsid w:val="00D44EB1"/>
    <w:rsid w:val="00D45A66"/>
    <w:rsid w:val="00D478E7"/>
    <w:rsid w:val="00D51095"/>
    <w:rsid w:val="00D5139B"/>
    <w:rsid w:val="00D52FC0"/>
    <w:rsid w:val="00D53C28"/>
    <w:rsid w:val="00D54078"/>
    <w:rsid w:val="00D55AF9"/>
    <w:rsid w:val="00D55D94"/>
    <w:rsid w:val="00D56BD5"/>
    <w:rsid w:val="00D5778E"/>
    <w:rsid w:val="00D6083B"/>
    <w:rsid w:val="00D60E37"/>
    <w:rsid w:val="00D6261E"/>
    <w:rsid w:val="00D62A24"/>
    <w:rsid w:val="00D64FE2"/>
    <w:rsid w:val="00D66691"/>
    <w:rsid w:val="00D6694B"/>
    <w:rsid w:val="00D670EA"/>
    <w:rsid w:val="00D67625"/>
    <w:rsid w:val="00D67FDE"/>
    <w:rsid w:val="00D732EC"/>
    <w:rsid w:val="00D743FA"/>
    <w:rsid w:val="00D74D50"/>
    <w:rsid w:val="00D75946"/>
    <w:rsid w:val="00D75BDB"/>
    <w:rsid w:val="00D76726"/>
    <w:rsid w:val="00D76CEB"/>
    <w:rsid w:val="00D77609"/>
    <w:rsid w:val="00D819D9"/>
    <w:rsid w:val="00D81AF2"/>
    <w:rsid w:val="00D82092"/>
    <w:rsid w:val="00D821C8"/>
    <w:rsid w:val="00D869D5"/>
    <w:rsid w:val="00D92634"/>
    <w:rsid w:val="00D9297F"/>
    <w:rsid w:val="00D93331"/>
    <w:rsid w:val="00D943CC"/>
    <w:rsid w:val="00D9467B"/>
    <w:rsid w:val="00D96175"/>
    <w:rsid w:val="00D96CB1"/>
    <w:rsid w:val="00DA10FF"/>
    <w:rsid w:val="00DA1294"/>
    <w:rsid w:val="00DA33F9"/>
    <w:rsid w:val="00DA6BE9"/>
    <w:rsid w:val="00DA74D6"/>
    <w:rsid w:val="00DB3233"/>
    <w:rsid w:val="00DB4631"/>
    <w:rsid w:val="00DC0614"/>
    <w:rsid w:val="00DC2437"/>
    <w:rsid w:val="00DC2BD7"/>
    <w:rsid w:val="00DC6859"/>
    <w:rsid w:val="00DC7984"/>
    <w:rsid w:val="00DD0A3B"/>
    <w:rsid w:val="00DD1BD0"/>
    <w:rsid w:val="00DD3271"/>
    <w:rsid w:val="00DD35BC"/>
    <w:rsid w:val="00DD5090"/>
    <w:rsid w:val="00DD5320"/>
    <w:rsid w:val="00DD54EF"/>
    <w:rsid w:val="00DD5D6C"/>
    <w:rsid w:val="00DE2A82"/>
    <w:rsid w:val="00DE2B96"/>
    <w:rsid w:val="00DE2C32"/>
    <w:rsid w:val="00DE2DC7"/>
    <w:rsid w:val="00DE4714"/>
    <w:rsid w:val="00DE5095"/>
    <w:rsid w:val="00DE76EE"/>
    <w:rsid w:val="00DF2001"/>
    <w:rsid w:val="00DF5FCD"/>
    <w:rsid w:val="00DF7B1E"/>
    <w:rsid w:val="00E021CB"/>
    <w:rsid w:val="00E04D95"/>
    <w:rsid w:val="00E07EA6"/>
    <w:rsid w:val="00E10917"/>
    <w:rsid w:val="00E13024"/>
    <w:rsid w:val="00E144EA"/>
    <w:rsid w:val="00E1482B"/>
    <w:rsid w:val="00E14A6A"/>
    <w:rsid w:val="00E15D39"/>
    <w:rsid w:val="00E1699E"/>
    <w:rsid w:val="00E1778C"/>
    <w:rsid w:val="00E208DA"/>
    <w:rsid w:val="00E220F0"/>
    <w:rsid w:val="00E22D3A"/>
    <w:rsid w:val="00E2380B"/>
    <w:rsid w:val="00E2552D"/>
    <w:rsid w:val="00E33D58"/>
    <w:rsid w:val="00E40237"/>
    <w:rsid w:val="00E4365D"/>
    <w:rsid w:val="00E445DD"/>
    <w:rsid w:val="00E44E9D"/>
    <w:rsid w:val="00E44FFD"/>
    <w:rsid w:val="00E51470"/>
    <w:rsid w:val="00E52A9F"/>
    <w:rsid w:val="00E53BBE"/>
    <w:rsid w:val="00E62D36"/>
    <w:rsid w:val="00E6565C"/>
    <w:rsid w:val="00E673D1"/>
    <w:rsid w:val="00E70A78"/>
    <w:rsid w:val="00E70E91"/>
    <w:rsid w:val="00E7206D"/>
    <w:rsid w:val="00E742E0"/>
    <w:rsid w:val="00E750D4"/>
    <w:rsid w:val="00E75752"/>
    <w:rsid w:val="00E77D33"/>
    <w:rsid w:val="00E8023A"/>
    <w:rsid w:val="00E80A8B"/>
    <w:rsid w:val="00E842C3"/>
    <w:rsid w:val="00E84D71"/>
    <w:rsid w:val="00E84E1E"/>
    <w:rsid w:val="00E85DAC"/>
    <w:rsid w:val="00E8657E"/>
    <w:rsid w:val="00E90079"/>
    <w:rsid w:val="00E901F5"/>
    <w:rsid w:val="00E90403"/>
    <w:rsid w:val="00E90A2E"/>
    <w:rsid w:val="00E92863"/>
    <w:rsid w:val="00EA2AAD"/>
    <w:rsid w:val="00EA3AEF"/>
    <w:rsid w:val="00EA4211"/>
    <w:rsid w:val="00EA47E0"/>
    <w:rsid w:val="00EA7239"/>
    <w:rsid w:val="00EB1DE1"/>
    <w:rsid w:val="00EB1F7A"/>
    <w:rsid w:val="00EB2569"/>
    <w:rsid w:val="00EB3D4B"/>
    <w:rsid w:val="00EB5F1F"/>
    <w:rsid w:val="00EC2908"/>
    <w:rsid w:val="00EC4071"/>
    <w:rsid w:val="00EC5743"/>
    <w:rsid w:val="00EC646C"/>
    <w:rsid w:val="00EC7178"/>
    <w:rsid w:val="00EC75E4"/>
    <w:rsid w:val="00ED0789"/>
    <w:rsid w:val="00ED1D1D"/>
    <w:rsid w:val="00ED2D5B"/>
    <w:rsid w:val="00ED43B4"/>
    <w:rsid w:val="00ED4726"/>
    <w:rsid w:val="00ED4FA3"/>
    <w:rsid w:val="00ED52F3"/>
    <w:rsid w:val="00ED6161"/>
    <w:rsid w:val="00ED6480"/>
    <w:rsid w:val="00ED7053"/>
    <w:rsid w:val="00EE0E63"/>
    <w:rsid w:val="00EE1AA1"/>
    <w:rsid w:val="00EE23A1"/>
    <w:rsid w:val="00EE3A30"/>
    <w:rsid w:val="00EE6336"/>
    <w:rsid w:val="00EE6C92"/>
    <w:rsid w:val="00EF11C0"/>
    <w:rsid w:val="00EF25BA"/>
    <w:rsid w:val="00EF2626"/>
    <w:rsid w:val="00EF79F8"/>
    <w:rsid w:val="00F007B2"/>
    <w:rsid w:val="00F016D8"/>
    <w:rsid w:val="00F02474"/>
    <w:rsid w:val="00F02709"/>
    <w:rsid w:val="00F03D25"/>
    <w:rsid w:val="00F04EDC"/>
    <w:rsid w:val="00F0646E"/>
    <w:rsid w:val="00F102E7"/>
    <w:rsid w:val="00F10B78"/>
    <w:rsid w:val="00F11B0F"/>
    <w:rsid w:val="00F12DFC"/>
    <w:rsid w:val="00F15178"/>
    <w:rsid w:val="00F1772D"/>
    <w:rsid w:val="00F22DD0"/>
    <w:rsid w:val="00F243A1"/>
    <w:rsid w:val="00F24D09"/>
    <w:rsid w:val="00F31F53"/>
    <w:rsid w:val="00F32757"/>
    <w:rsid w:val="00F32C47"/>
    <w:rsid w:val="00F32CB5"/>
    <w:rsid w:val="00F339E4"/>
    <w:rsid w:val="00F34FB0"/>
    <w:rsid w:val="00F35672"/>
    <w:rsid w:val="00F37D9F"/>
    <w:rsid w:val="00F400DC"/>
    <w:rsid w:val="00F41359"/>
    <w:rsid w:val="00F41BCD"/>
    <w:rsid w:val="00F43061"/>
    <w:rsid w:val="00F44225"/>
    <w:rsid w:val="00F448E7"/>
    <w:rsid w:val="00F460FE"/>
    <w:rsid w:val="00F46B5B"/>
    <w:rsid w:val="00F50258"/>
    <w:rsid w:val="00F51831"/>
    <w:rsid w:val="00F53716"/>
    <w:rsid w:val="00F55B02"/>
    <w:rsid w:val="00F575E5"/>
    <w:rsid w:val="00F6013D"/>
    <w:rsid w:val="00F60873"/>
    <w:rsid w:val="00F6185C"/>
    <w:rsid w:val="00F61CDC"/>
    <w:rsid w:val="00F627AC"/>
    <w:rsid w:val="00F62FE7"/>
    <w:rsid w:val="00F65C78"/>
    <w:rsid w:val="00F70695"/>
    <w:rsid w:val="00F73127"/>
    <w:rsid w:val="00F73BE8"/>
    <w:rsid w:val="00F753EC"/>
    <w:rsid w:val="00F76508"/>
    <w:rsid w:val="00F769AE"/>
    <w:rsid w:val="00F76A37"/>
    <w:rsid w:val="00F77FD3"/>
    <w:rsid w:val="00F80E4A"/>
    <w:rsid w:val="00F8236C"/>
    <w:rsid w:val="00F829DD"/>
    <w:rsid w:val="00F82BDC"/>
    <w:rsid w:val="00F838DE"/>
    <w:rsid w:val="00F85509"/>
    <w:rsid w:val="00F85636"/>
    <w:rsid w:val="00F868D4"/>
    <w:rsid w:val="00F90C34"/>
    <w:rsid w:val="00F90CBA"/>
    <w:rsid w:val="00F922B8"/>
    <w:rsid w:val="00F93EB4"/>
    <w:rsid w:val="00F95392"/>
    <w:rsid w:val="00F96030"/>
    <w:rsid w:val="00F96643"/>
    <w:rsid w:val="00FA058F"/>
    <w:rsid w:val="00FA2A37"/>
    <w:rsid w:val="00FA5EEB"/>
    <w:rsid w:val="00FA6CBA"/>
    <w:rsid w:val="00FA7AFD"/>
    <w:rsid w:val="00FB02BB"/>
    <w:rsid w:val="00FB0945"/>
    <w:rsid w:val="00FB0A40"/>
    <w:rsid w:val="00FB0B09"/>
    <w:rsid w:val="00FB10E1"/>
    <w:rsid w:val="00FB3168"/>
    <w:rsid w:val="00FB437E"/>
    <w:rsid w:val="00FB4E97"/>
    <w:rsid w:val="00FB6BA8"/>
    <w:rsid w:val="00FB6F28"/>
    <w:rsid w:val="00FC0DE4"/>
    <w:rsid w:val="00FC0E43"/>
    <w:rsid w:val="00FC14CC"/>
    <w:rsid w:val="00FC2E2E"/>
    <w:rsid w:val="00FC4223"/>
    <w:rsid w:val="00FC5A1B"/>
    <w:rsid w:val="00FC5C74"/>
    <w:rsid w:val="00FD2669"/>
    <w:rsid w:val="00FD311D"/>
    <w:rsid w:val="00FD3E6D"/>
    <w:rsid w:val="00FD4155"/>
    <w:rsid w:val="00FD7997"/>
    <w:rsid w:val="00FE1949"/>
    <w:rsid w:val="00FE244F"/>
    <w:rsid w:val="00FE2C43"/>
    <w:rsid w:val="00FE3788"/>
    <w:rsid w:val="00FF0291"/>
    <w:rsid w:val="00FF0553"/>
    <w:rsid w:val="00FF4BB5"/>
    <w:rsid w:val="00FF57E7"/>
    <w:rsid w:val="00FF5B7A"/>
    <w:rsid w:val="00FF5EFB"/>
    <w:rsid w:val="00FF60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9918">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meetingdoc.asp?lang=en&amp;parent=T17-TSAG-180226-TD-GEN-0240" TargetMode="External"/><Relationship Id="rId18" Type="http://schemas.openxmlformats.org/officeDocument/2006/relationships/hyperlink" Target="https://www.itu.int/md/T17-TSAG-C-0025/en" TargetMode="External"/><Relationship Id="rId26" Type="http://schemas.openxmlformats.org/officeDocument/2006/relationships/hyperlink" Target="http://www.itu.int/md/T17-TSAG-180226-TD-GEN-0135" TargetMode="External"/><Relationship Id="rId3" Type="http://schemas.openxmlformats.org/officeDocument/2006/relationships/styles" Target="styles.xml"/><Relationship Id="rId21" Type="http://schemas.openxmlformats.org/officeDocument/2006/relationships/hyperlink" Target="http://www.itu.int/md/T17-TSAG-180226-TD-GEN-013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meetingdoc.asp?lang=en&amp;parent=T17-TSAG-180226-TD-GEN-0241" TargetMode="External"/><Relationship Id="rId17" Type="http://schemas.openxmlformats.org/officeDocument/2006/relationships/hyperlink" Target="https://www.itu.int/md/meetingdoc.asp?lang=en&amp;parent=T17-TSAG-C-0030" TargetMode="External"/><Relationship Id="rId25" Type="http://schemas.openxmlformats.org/officeDocument/2006/relationships/hyperlink" Target="http://www.itu.int/md/T17-TSAG-180226-TD-GEN-013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meetingdoc.asp?lang=en&amp;parent=T17-TSAG-180226-TD-GEN-0138" TargetMode="External"/><Relationship Id="rId20" Type="http://schemas.openxmlformats.org/officeDocument/2006/relationships/hyperlink" Target="https://www.itu.int/md/meetingdoc.asp?lang=en&amp;parent=T17-TSAG-C-0025" TargetMode="External"/><Relationship Id="rId29" Type="http://schemas.openxmlformats.org/officeDocument/2006/relationships/hyperlink" Target="http://www.itu.int/md/T17-TSAG-180226-TD-GEN-0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TSAG-180226-TD-GEN-0138" TargetMode="External"/><Relationship Id="rId24" Type="http://schemas.openxmlformats.org/officeDocument/2006/relationships/hyperlink" Target="https://www.itu.int/md/meetingdoc.asp?lang=en&amp;parent=T17-TSAG-180226-TD-GEN-013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meetingdoc.asp?lang=en&amp;parent=T17-TSAG-180226-TD-GEN-0267" TargetMode="External"/><Relationship Id="rId23" Type="http://schemas.openxmlformats.org/officeDocument/2006/relationships/hyperlink" Target="https://www.itu.int/md/meetingdoc.asp?lang=en&amp;parent=T17-TSAG-180226-TD-GEN-0268" TargetMode="External"/><Relationship Id="rId28" Type="http://schemas.openxmlformats.org/officeDocument/2006/relationships/hyperlink" Target="https://www.itu.int/md/meetingdoc.asp?lang=en&amp;parent=T17-TSAG-180226-TD-GEN-0211" TargetMode="External"/><Relationship Id="rId10" Type="http://schemas.openxmlformats.org/officeDocument/2006/relationships/hyperlink" Target="https://www.itu.int/md/T17-TSAG-180226-TD" TargetMode="External"/><Relationship Id="rId19" Type="http://schemas.openxmlformats.org/officeDocument/2006/relationships/hyperlink" Target="https://www.itu.int/md/meetingdoc.asp?lang=en&amp;parent=T17-TSAG-C-0033" TargetMode="External"/><Relationship Id="rId31" Type="http://schemas.openxmlformats.org/officeDocument/2006/relationships/hyperlink" Target="https://www.itu.int/md/meetingdoc.asp?lang=en&amp;parent=T17-TSAG-180226-TD-GEN-0144" TargetMode="External"/><Relationship Id="rId4" Type="http://schemas.openxmlformats.org/officeDocument/2006/relationships/settings" Target="settings.xml"/><Relationship Id="rId9" Type="http://schemas.openxmlformats.org/officeDocument/2006/relationships/hyperlink" Target="https://www.itu.int/md/T17-TSAG-180226-C" TargetMode="External"/><Relationship Id="rId14" Type="http://schemas.openxmlformats.org/officeDocument/2006/relationships/hyperlink" Target="https://www.itu.int/md/meetingdoc.asp?lang=en&amp;parent=T17-TSAG-180226-TD-GEN-0273" TargetMode="External"/><Relationship Id="rId22" Type="http://schemas.openxmlformats.org/officeDocument/2006/relationships/hyperlink" Target="https://www.itu.int/md/meetingdoc.asp?lang=en&amp;parent=T17-TSAG-180226-TD-GEN-0266" TargetMode="External"/><Relationship Id="rId27" Type="http://schemas.openxmlformats.org/officeDocument/2006/relationships/hyperlink" Target="http://www.itu.int/md/T17-TSAG-180226-TD-GEN-0129" TargetMode="External"/><Relationship Id="rId30" Type="http://schemas.openxmlformats.org/officeDocument/2006/relationships/hyperlink" Target="https://www.itu.int/md/meetingdoc.asp?lang=en&amp;parent=T17-TSAG-180226-TD-GEN-0245"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1C58-DB84-4E61-8639-3E4CD461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2190</Words>
  <Characters>12487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2018-03-01T16:59:00Z</cp:lastPrinted>
  <dcterms:created xsi:type="dcterms:W3CDTF">2018-03-02T07:48:00Z</dcterms:created>
  <dcterms:modified xsi:type="dcterms:W3CDTF">2018-03-02T07:48:00Z</dcterms:modified>
</cp:coreProperties>
</file>