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C725A7" w:rsidRPr="00C725A7" w:rsidTr="003066D9">
        <w:trPr>
          <w:cantSplit/>
          <w:jc w:val="center"/>
        </w:trPr>
        <w:tc>
          <w:tcPr>
            <w:tcW w:w="1190" w:type="dxa"/>
            <w:vMerge w:val="restart"/>
          </w:tcPr>
          <w:p w:rsidR="00C725A7" w:rsidRPr="00C725A7" w:rsidRDefault="00C725A7" w:rsidP="008A5A66">
            <w:pPr>
              <w:spacing w:before="120" w:after="100" w:afterAutospacing="1" w:line="240" w:lineRule="auto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ja-JP"/>
              </w:rPr>
            </w:pPr>
            <w:bookmarkStart w:id="0" w:name="dtableau"/>
            <w:r w:rsidRPr="00C725A7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val="en-GB" w:eastAsia="zh-CN"/>
              </w:rPr>
              <w:drawing>
                <wp:inline distT="0" distB="0" distL="0" distR="0" wp14:anchorId="457794B8" wp14:editId="17913448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:rsidR="00C725A7" w:rsidRPr="00C725A7" w:rsidRDefault="00C725A7" w:rsidP="008A5A66">
            <w:pPr>
              <w:spacing w:before="120" w:after="100" w:afterAutospacing="1" w:line="240" w:lineRule="auto"/>
              <w:jc w:val="left"/>
              <w:rPr>
                <w:rFonts w:ascii="Times New Roman" w:eastAsiaTheme="minorEastAsia" w:hAnsi="Times New Roman" w:cs="Times New Roman"/>
                <w:sz w:val="16"/>
                <w:szCs w:val="16"/>
                <w:lang w:val="en-GB" w:eastAsia="ja-JP"/>
              </w:rPr>
            </w:pPr>
            <w:r w:rsidRPr="00C725A7">
              <w:rPr>
                <w:rFonts w:ascii="Times New Roman" w:eastAsiaTheme="minorEastAsia" w:hAnsi="Times New Roman" w:cs="Times New Roman"/>
                <w:sz w:val="16"/>
                <w:szCs w:val="16"/>
                <w:lang w:val="en-GB" w:eastAsia="ja-JP"/>
              </w:rPr>
              <w:t>INTERNATIONAL TELECOMMUNICATION UNION</w:t>
            </w:r>
          </w:p>
          <w:p w:rsidR="00C725A7" w:rsidRPr="00C725A7" w:rsidRDefault="00C725A7" w:rsidP="008A5A66">
            <w:pPr>
              <w:spacing w:before="120" w:after="100" w:afterAutospacing="1" w:line="240" w:lineRule="auto"/>
              <w:jc w:val="lef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en-GB" w:eastAsia="ja-JP"/>
              </w:rPr>
            </w:pPr>
            <w:r w:rsidRPr="00C725A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en-GB" w:eastAsia="ja-JP"/>
              </w:rPr>
              <w:t>TELECOMMUNICATION</w:t>
            </w:r>
            <w:r w:rsidRPr="00C725A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en-GB" w:eastAsia="ja-JP"/>
              </w:rPr>
              <w:br/>
              <w:t>STANDARDIZATION SECTOR</w:t>
            </w:r>
          </w:p>
          <w:p w:rsidR="00C725A7" w:rsidRPr="00C725A7" w:rsidRDefault="00C725A7" w:rsidP="008A5A66">
            <w:pPr>
              <w:spacing w:before="120" w:after="100" w:afterAutospacing="1" w:line="240" w:lineRule="auto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ja-JP"/>
              </w:rPr>
            </w:pPr>
            <w:r w:rsidRPr="00C725A7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ja-JP"/>
              </w:rPr>
              <w:t xml:space="preserve">STUDY PERIOD </w:t>
            </w:r>
            <w:bookmarkStart w:id="1" w:name="dstudyperiod"/>
            <w:r w:rsidRPr="00C725A7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ja-JP"/>
              </w:rPr>
              <w:t>2017-2020</w:t>
            </w:r>
            <w:bookmarkEnd w:id="1"/>
          </w:p>
        </w:tc>
        <w:tc>
          <w:tcPr>
            <w:tcW w:w="4680" w:type="dxa"/>
            <w:vAlign w:val="center"/>
          </w:tcPr>
          <w:p w:rsidR="00C725A7" w:rsidRPr="00C725A7" w:rsidRDefault="00C725A7" w:rsidP="008A5A6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40"/>
                <w:szCs w:val="20"/>
                <w:lang w:val="en-GB"/>
              </w:rPr>
            </w:pPr>
            <w:r w:rsidRPr="00C725A7">
              <w:rPr>
                <w:rFonts w:ascii="Times New Roman" w:eastAsia="SimSun" w:hAnsi="Times New Roman" w:cs="Times New Roman"/>
                <w:b/>
                <w:sz w:val="40"/>
                <w:szCs w:val="20"/>
                <w:lang w:val="en-GB"/>
              </w:rPr>
              <w:t>TD 0</w:t>
            </w:r>
            <w:r w:rsidR="008A5A66">
              <w:rPr>
                <w:rFonts w:ascii="Times New Roman" w:eastAsia="SimSun" w:hAnsi="Times New Roman" w:cs="Times New Roman"/>
                <w:b/>
                <w:sz w:val="40"/>
                <w:szCs w:val="20"/>
                <w:lang w:val="en-GB"/>
              </w:rPr>
              <w:t>72</w:t>
            </w:r>
            <w:r w:rsidRPr="00C725A7">
              <w:rPr>
                <w:rFonts w:ascii="Times New Roman" w:eastAsia="SimSun" w:hAnsi="Times New Roman" w:cs="Times New Roman"/>
                <w:b/>
                <w:sz w:val="40"/>
                <w:szCs w:val="20"/>
                <w:lang w:val="en-GB"/>
              </w:rPr>
              <w:t xml:space="preserve"> </w:t>
            </w:r>
          </w:p>
        </w:tc>
      </w:tr>
      <w:tr w:rsidR="00C725A7" w:rsidRPr="00C725A7" w:rsidTr="003066D9">
        <w:trPr>
          <w:cantSplit/>
          <w:jc w:val="center"/>
        </w:trPr>
        <w:tc>
          <w:tcPr>
            <w:tcW w:w="1190" w:type="dxa"/>
            <w:vMerge/>
          </w:tcPr>
          <w:p w:rsidR="00C725A7" w:rsidRPr="00C725A7" w:rsidRDefault="00C725A7" w:rsidP="008A5A66">
            <w:pPr>
              <w:spacing w:before="120" w:after="100" w:afterAutospacing="1" w:line="240" w:lineRule="auto"/>
              <w:jc w:val="left"/>
              <w:rPr>
                <w:rFonts w:ascii="Times New Roman" w:eastAsiaTheme="minorEastAsia" w:hAnsi="Times New Roman" w:cs="Times New Roman"/>
                <w:smallCaps/>
                <w:sz w:val="20"/>
                <w:szCs w:val="24"/>
                <w:lang w:val="en-GB" w:eastAsia="ja-JP"/>
              </w:rPr>
            </w:pPr>
            <w:bookmarkStart w:id="2" w:name="dsg" w:colFirst="2" w:colLast="2"/>
          </w:p>
        </w:tc>
        <w:tc>
          <w:tcPr>
            <w:tcW w:w="4053" w:type="dxa"/>
            <w:gridSpan w:val="3"/>
            <w:vMerge/>
          </w:tcPr>
          <w:p w:rsidR="00C725A7" w:rsidRPr="00C725A7" w:rsidRDefault="00C725A7" w:rsidP="008A5A66">
            <w:pPr>
              <w:spacing w:before="120" w:after="100" w:afterAutospacing="1" w:line="240" w:lineRule="auto"/>
              <w:jc w:val="left"/>
              <w:rPr>
                <w:rFonts w:ascii="Times New Roman" w:eastAsiaTheme="minorEastAsia" w:hAnsi="Times New Roman" w:cs="Times New Roman"/>
                <w:smallCaps/>
                <w:sz w:val="20"/>
                <w:szCs w:val="24"/>
                <w:lang w:val="en-GB" w:eastAsia="ja-JP"/>
              </w:rPr>
            </w:pPr>
          </w:p>
        </w:tc>
        <w:tc>
          <w:tcPr>
            <w:tcW w:w="4680" w:type="dxa"/>
          </w:tcPr>
          <w:p w:rsidR="00C725A7" w:rsidRPr="00C725A7" w:rsidRDefault="00C725A7" w:rsidP="008A5A66">
            <w:pPr>
              <w:spacing w:before="120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mallCaps/>
                <w:sz w:val="28"/>
                <w:szCs w:val="28"/>
                <w:lang w:val="en-GB" w:eastAsia="ja-JP"/>
              </w:rPr>
            </w:pPr>
            <w:r w:rsidRPr="00C725A7">
              <w:rPr>
                <w:rFonts w:ascii="Times New Roman" w:eastAsiaTheme="minorEastAsia" w:hAnsi="Times New Roman" w:cs="Times New Roman"/>
                <w:b/>
                <w:bCs/>
                <w:smallCaps/>
                <w:sz w:val="28"/>
                <w:szCs w:val="28"/>
                <w:lang w:val="en-GB" w:eastAsia="ja-JP"/>
              </w:rPr>
              <w:t>TSAG</w:t>
            </w:r>
          </w:p>
        </w:tc>
      </w:tr>
      <w:bookmarkEnd w:id="2"/>
      <w:tr w:rsidR="00C725A7" w:rsidRPr="00C725A7" w:rsidTr="003066D9">
        <w:trPr>
          <w:cantSplit/>
          <w:jc w:val="center"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C725A7" w:rsidRPr="00C725A7" w:rsidRDefault="00C725A7" w:rsidP="008A5A66">
            <w:pPr>
              <w:spacing w:before="120" w:after="100" w:afterAutospacing="1" w:line="240" w:lineRule="auto"/>
              <w:jc w:val="left"/>
              <w:rPr>
                <w:rFonts w:ascii="Times New Roman" w:eastAsiaTheme="minorEastAsia" w:hAnsi="Times New Roman" w:cs="Times New Roman"/>
                <w:b/>
                <w:bCs/>
                <w:sz w:val="26"/>
                <w:szCs w:val="24"/>
                <w:lang w:val="en-GB"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:rsidR="00C725A7" w:rsidRPr="00C725A7" w:rsidRDefault="00C725A7" w:rsidP="008A5A66">
            <w:pPr>
              <w:spacing w:before="120" w:after="100" w:afterAutospacing="1" w:line="240" w:lineRule="auto"/>
              <w:jc w:val="left"/>
              <w:rPr>
                <w:rFonts w:ascii="Times New Roman" w:eastAsiaTheme="minorEastAsia" w:hAnsi="Times New Roman" w:cs="Times New Roman"/>
                <w:b/>
                <w:bCs/>
                <w:sz w:val="26"/>
                <w:szCs w:val="24"/>
                <w:lang w:val="en-GB"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C725A7" w:rsidRPr="00C725A7" w:rsidRDefault="00C725A7" w:rsidP="008A5A66">
            <w:pPr>
              <w:spacing w:before="120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GB" w:eastAsia="ja-JP"/>
              </w:rPr>
            </w:pPr>
            <w:r w:rsidRPr="00C725A7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GB" w:eastAsia="ja-JP"/>
              </w:rPr>
              <w:t>Original: English</w:t>
            </w:r>
          </w:p>
        </w:tc>
      </w:tr>
      <w:tr w:rsidR="00C725A7" w:rsidRPr="008A5A66" w:rsidTr="003066D9">
        <w:trPr>
          <w:cantSplit/>
          <w:jc w:val="center"/>
        </w:trPr>
        <w:tc>
          <w:tcPr>
            <w:tcW w:w="1616" w:type="dxa"/>
            <w:gridSpan w:val="3"/>
          </w:tcPr>
          <w:p w:rsidR="00C725A7" w:rsidRPr="008A5A66" w:rsidRDefault="00C725A7" w:rsidP="008A5A66">
            <w:pPr>
              <w:spacing w:before="120" w:after="100" w:afterAutospacing="1" w:line="240" w:lineRule="auto"/>
              <w:jc w:val="left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bookmarkStart w:id="3" w:name="dbluepink" w:colFirst="1" w:colLast="1"/>
            <w:r w:rsidRPr="008A5A66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GB" w:eastAsia="ja-JP"/>
              </w:rPr>
              <w:t>Question(s):</w:t>
            </w:r>
          </w:p>
        </w:tc>
        <w:tc>
          <w:tcPr>
            <w:tcW w:w="3627" w:type="dxa"/>
          </w:tcPr>
          <w:p w:rsidR="00C725A7" w:rsidRPr="008A5A66" w:rsidRDefault="00C725A7" w:rsidP="008A5A66">
            <w:pPr>
              <w:spacing w:before="120" w:after="100" w:afterAutospacing="1" w:line="240" w:lineRule="auto"/>
              <w:jc w:val="left"/>
              <w:rPr>
                <w:rFonts w:asciiTheme="majorBidi" w:eastAsiaTheme="minorEastAsia" w:hAnsiTheme="majorBidi" w:cstheme="majorBidi"/>
                <w:sz w:val="24"/>
                <w:szCs w:val="24"/>
                <w:lang w:val="en-GB" w:eastAsia="ja-JP"/>
              </w:rPr>
            </w:pPr>
            <w:r w:rsidRPr="008A5A66">
              <w:rPr>
                <w:rFonts w:asciiTheme="majorBidi" w:eastAsiaTheme="minorEastAsia" w:hAnsiTheme="majorBidi" w:cstheme="majorBidi"/>
                <w:sz w:val="24"/>
                <w:szCs w:val="24"/>
                <w:lang w:val="en-GB" w:eastAsia="ja-JP"/>
              </w:rPr>
              <w:t>N/A</w:t>
            </w:r>
          </w:p>
        </w:tc>
        <w:tc>
          <w:tcPr>
            <w:tcW w:w="4680" w:type="dxa"/>
          </w:tcPr>
          <w:p w:rsidR="00C725A7" w:rsidRPr="008A5A66" w:rsidRDefault="00C725A7" w:rsidP="008A5A66">
            <w:pPr>
              <w:spacing w:before="120" w:after="100" w:afterAutospacing="1" w:line="240" w:lineRule="auto"/>
              <w:jc w:val="right"/>
              <w:rPr>
                <w:rFonts w:asciiTheme="majorBidi" w:eastAsiaTheme="minorEastAsia" w:hAnsiTheme="majorBidi" w:cstheme="majorBidi"/>
                <w:sz w:val="24"/>
                <w:szCs w:val="24"/>
                <w:lang w:val="en-GB" w:eastAsia="ja-JP"/>
              </w:rPr>
            </w:pPr>
            <w:r w:rsidRPr="008A5A66">
              <w:rPr>
                <w:rFonts w:asciiTheme="majorBidi" w:eastAsiaTheme="minorEastAsia" w:hAnsiTheme="majorBidi" w:cstheme="majorBidi"/>
                <w:sz w:val="24"/>
                <w:szCs w:val="24"/>
                <w:lang w:val="en-GB" w:eastAsia="ja-JP"/>
              </w:rPr>
              <w:t>Geneva, 1-4 May 2017</w:t>
            </w:r>
          </w:p>
        </w:tc>
      </w:tr>
      <w:tr w:rsidR="00C725A7" w:rsidRPr="008A5A66" w:rsidTr="003066D9">
        <w:trPr>
          <w:cantSplit/>
          <w:jc w:val="center"/>
        </w:trPr>
        <w:tc>
          <w:tcPr>
            <w:tcW w:w="9923" w:type="dxa"/>
            <w:gridSpan w:val="5"/>
          </w:tcPr>
          <w:p w:rsidR="00C725A7" w:rsidRPr="008A5A66" w:rsidRDefault="00C725A7" w:rsidP="008A5A66">
            <w:pPr>
              <w:spacing w:before="120" w:after="100" w:afterAutospacing="1" w:line="240" w:lineRule="auto"/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bookmarkStart w:id="4" w:name="ddoctype" w:colFirst="0" w:colLast="0"/>
            <w:bookmarkEnd w:id="3"/>
            <w:r w:rsidRPr="008A5A66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GB" w:eastAsia="ja-JP"/>
              </w:rPr>
              <w:t>TD</w:t>
            </w:r>
          </w:p>
        </w:tc>
      </w:tr>
      <w:bookmarkEnd w:id="4"/>
      <w:tr w:rsidR="008A5A66" w:rsidRPr="008A5A66" w:rsidTr="003066D9">
        <w:trPr>
          <w:cantSplit/>
          <w:jc w:val="center"/>
        </w:trPr>
        <w:tc>
          <w:tcPr>
            <w:tcW w:w="1616" w:type="dxa"/>
            <w:gridSpan w:val="3"/>
          </w:tcPr>
          <w:p w:rsidR="008A5A66" w:rsidRPr="008A5A66" w:rsidRDefault="008A5A66" w:rsidP="008A5A66">
            <w:pPr>
              <w:spacing w:before="120" w:after="100" w:afterAutospacing="1" w:line="240" w:lineRule="auto"/>
              <w:jc w:val="left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8A5A66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GB"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:rsidR="008A5A66" w:rsidRPr="008A5A66" w:rsidRDefault="008A5A66" w:rsidP="008A5A6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 w:rsidRPr="008A5A6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Deputy Secretary-General</w:t>
            </w:r>
            <w:r w:rsidRPr="008A5A66">
              <w:rPr>
                <w:rFonts w:asciiTheme="majorBidi" w:hAnsiTheme="majorBidi" w:cstheme="majorBidi"/>
                <w:sz w:val="24"/>
                <w:szCs w:val="24"/>
              </w:rPr>
              <w:t>, ITU</w:t>
            </w:r>
          </w:p>
        </w:tc>
      </w:tr>
      <w:tr w:rsidR="008A5A66" w:rsidRPr="008A5A66" w:rsidTr="003066D9">
        <w:trPr>
          <w:cantSplit/>
          <w:jc w:val="center"/>
        </w:trPr>
        <w:tc>
          <w:tcPr>
            <w:tcW w:w="1616" w:type="dxa"/>
            <w:gridSpan w:val="3"/>
          </w:tcPr>
          <w:p w:rsidR="008A5A66" w:rsidRPr="008A5A66" w:rsidRDefault="008A5A66" w:rsidP="008A5A66">
            <w:pPr>
              <w:spacing w:before="120" w:after="100" w:afterAutospacing="1" w:line="240" w:lineRule="auto"/>
              <w:jc w:val="left"/>
              <w:rPr>
                <w:rFonts w:asciiTheme="majorBidi" w:eastAsiaTheme="minorEastAsia" w:hAnsiTheme="majorBidi" w:cstheme="majorBidi"/>
                <w:sz w:val="24"/>
                <w:szCs w:val="24"/>
                <w:lang w:val="en-GB" w:eastAsia="ja-JP"/>
              </w:rPr>
            </w:pPr>
            <w:r w:rsidRPr="008A5A66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GB"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:rsidR="008A5A66" w:rsidRPr="008A5A66" w:rsidRDefault="008A5A66" w:rsidP="008A5A6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 w:rsidRPr="008A5A66">
              <w:rPr>
                <w:rFonts w:asciiTheme="majorBidi" w:hAnsiTheme="majorBidi" w:cstheme="majorBidi"/>
                <w:sz w:val="24"/>
                <w:szCs w:val="24"/>
              </w:rPr>
              <w:t>Opening address at TSAG Meeting, 1 Ma</w:t>
            </w:r>
            <w:r w:rsidRPr="008A5A66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y 2017</w:t>
            </w:r>
          </w:p>
        </w:tc>
      </w:tr>
      <w:tr w:rsidR="00C725A7" w:rsidRPr="008A5A66" w:rsidTr="003066D9">
        <w:trPr>
          <w:cantSplit/>
          <w:jc w:val="center"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C725A7" w:rsidRPr="008A5A66" w:rsidRDefault="00C725A7" w:rsidP="008A5A66">
            <w:pPr>
              <w:spacing w:before="120" w:after="100" w:afterAutospacing="1" w:line="240" w:lineRule="auto"/>
              <w:jc w:val="left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bookmarkStart w:id="5" w:name="dpurpose" w:colFirst="1" w:colLast="1"/>
            <w:r w:rsidRPr="008A5A66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GB"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:rsidR="00C725A7" w:rsidRPr="008A5A66" w:rsidRDefault="008A5A66" w:rsidP="008A5A66">
            <w:pPr>
              <w:spacing w:before="120" w:after="100" w:afterAutospacing="1" w:line="240" w:lineRule="auto"/>
              <w:jc w:val="left"/>
              <w:rPr>
                <w:rFonts w:asciiTheme="majorBidi" w:eastAsiaTheme="minorEastAsia" w:hAnsiTheme="majorBidi" w:cstheme="majorBidi"/>
                <w:sz w:val="24"/>
                <w:szCs w:val="24"/>
                <w:lang w:val="en-GB" w:eastAsia="ja-JP"/>
              </w:rPr>
            </w:pPr>
            <w:r w:rsidRPr="008A5A66">
              <w:rPr>
                <w:rFonts w:asciiTheme="majorBidi" w:eastAsiaTheme="minorEastAsia" w:hAnsiTheme="majorBidi" w:cstheme="majorBidi"/>
                <w:sz w:val="24"/>
                <w:szCs w:val="24"/>
                <w:lang w:val="en-GB" w:eastAsia="ja-JP"/>
              </w:rPr>
              <w:t>Information</w:t>
            </w:r>
          </w:p>
        </w:tc>
      </w:tr>
      <w:bookmarkEnd w:id="0"/>
      <w:bookmarkEnd w:id="5"/>
      <w:tr w:rsidR="008A5A66" w:rsidRPr="008A5A66" w:rsidTr="003066D9">
        <w:trPr>
          <w:cantSplit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A5A66" w:rsidRPr="008A5A66" w:rsidRDefault="008A5A66" w:rsidP="008A5A66">
            <w:pPr>
              <w:spacing w:before="120" w:after="100" w:afterAutospacing="1" w:line="240" w:lineRule="auto"/>
              <w:jc w:val="left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8A5A66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GB"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A5A66" w:rsidRPr="008A5A66" w:rsidRDefault="008A5A66" w:rsidP="008A5A6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 w:rsidRPr="008A5A66">
              <w:rPr>
                <w:rFonts w:asciiTheme="majorBidi" w:hAnsiTheme="majorBidi" w:cstheme="majorBidi"/>
                <w:sz w:val="24"/>
                <w:szCs w:val="24"/>
              </w:rPr>
              <w:t>Reinhard Scholl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8A5A66" w:rsidRPr="008A5A66" w:rsidRDefault="008A5A66" w:rsidP="008A5A66">
            <w:pPr>
              <w:spacing w:before="120" w:after="100" w:afterAutospacing="1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 w:rsidRPr="008A5A66">
              <w:rPr>
                <w:rFonts w:asciiTheme="majorBidi" w:hAnsiTheme="majorBidi" w:cstheme="majorBidi"/>
                <w:sz w:val="24"/>
                <w:szCs w:val="24"/>
              </w:rPr>
              <w:t>Tel:</w:t>
            </w:r>
            <w:r w:rsidRPr="008A5A66">
              <w:rPr>
                <w:rFonts w:asciiTheme="majorBidi" w:hAnsiTheme="majorBidi" w:cstheme="majorBidi"/>
                <w:sz w:val="24"/>
                <w:szCs w:val="24"/>
              </w:rPr>
              <w:tab/>
              <w:t>+41 22 730 5860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8A5A66">
              <w:rPr>
                <w:rFonts w:asciiTheme="majorBidi" w:hAnsiTheme="majorBidi" w:cstheme="majorBidi"/>
                <w:sz w:val="24"/>
                <w:szCs w:val="24"/>
              </w:rPr>
              <w:t xml:space="preserve">Email: </w:t>
            </w:r>
            <w:hyperlink r:id="rId9" w:history="1">
              <w:r w:rsidRPr="008A5A66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</w:rPr>
                <w:t>tsbtsag@itu.int</w:t>
              </w:r>
            </w:hyperlink>
            <w:r w:rsidRPr="008A5A66"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EF2834" w:rsidRPr="008A5A66" w:rsidRDefault="00EF2834" w:rsidP="00EF283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jc w:val="left"/>
        <w:textAlignment w:val="baseline"/>
        <w:rPr>
          <w:rFonts w:asciiTheme="majorBidi" w:eastAsia="SimSun" w:hAnsiTheme="majorBidi" w:cstheme="majorBidi"/>
          <w:sz w:val="24"/>
          <w:szCs w:val="24"/>
          <w:lang w:val="en-GB"/>
        </w:rPr>
      </w:pPr>
    </w:p>
    <w:p w:rsidR="001E624B" w:rsidRPr="00BD4895" w:rsidRDefault="001E624B" w:rsidP="001E624B">
      <w:pPr>
        <w:pStyle w:val="Telecomhead"/>
        <w:spacing w:after="240"/>
        <w:ind w:left="567" w:right="453"/>
        <w:rPr>
          <w:szCs w:val="28"/>
        </w:rPr>
      </w:pPr>
      <w:bookmarkStart w:id="6" w:name="_GoBack"/>
      <w:bookmarkEnd w:id="6"/>
      <w:r>
        <w:rPr>
          <w:szCs w:val="28"/>
        </w:rPr>
        <w:t xml:space="preserve">Telecommunication Standardization Advisory Group  </w:t>
      </w:r>
    </w:p>
    <w:p w:rsidR="001E624B" w:rsidRDefault="001E624B" w:rsidP="001E624B">
      <w:pPr>
        <w:pStyle w:val="Telecomhead"/>
        <w:spacing w:before="0" w:after="240"/>
        <w:ind w:left="567" w:right="453"/>
        <w:rPr>
          <w:szCs w:val="28"/>
        </w:rPr>
      </w:pPr>
      <w:r>
        <w:rPr>
          <w:szCs w:val="28"/>
        </w:rPr>
        <w:t>1 May 2017</w:t>
      </w:r>
    </w:p>
    <w:p w:rsidR="001E624B" w:rsidRPr="00B84600" w:rsidRDefault="001E624B" w:rsidP="001E624B">
      <w:pPr>
        <w:pStyle w:val="Telecomhead"/>
        <w:spacing w:before="0" w:after="240"/>
        <w:ind w:left="567" w:right="453"/>
        <w:rPr>
          <w:szCs w:val="28"/>
        </w:rPr>
      </w:pPr>
      <w:r>
        <w:rPr>
          <w:szCs w:val="28"/>
        </w:rPr>
        <w:t>ITU Headquarters, Geneva</w:t>
      </w:r>
    </w:p>
    <w:p w:rsidR="001E624B" w:rsidRPr="00B84600" w:rsidRDefault="001E624B" w:rsidP="001E624B">
      <w:pPr>
        <w:pStyle w:val="Telecomhead"/>
        <w:spacing w:after="240"/>
        <w:ind w:left="567" w:right="453"/>
        <w:rPr>
          <w:i/>
          <w:szCs w:val="28"/>
        </w:rPr>
      </w:pPr>
      <w:r>
        <w:rPr>
          <w:i/>
          <w:szCs w:val="28"/>
        </w:rPr>
        <w:t xml:space="preserve">Welcome Remarks </w:t>
      </w:r>
    </w:p>
    <w:p w:rsidR="001E624B" w:rsidRDefault="001E624B" w:rsidP="001E624B">
      <w:pPr>
        <w:pStyle w:val="Telecomhead"/>
        <w:spacing w:line="240" w:lineRule="atLeast"/>
        <w:ind w:left="567" w:right="453"/>
        <w:rPr>
          <w:szCs w:val="28"/>
          <w:u w:val="single"/>
        </w:rPr>
      </w:pPr>
      <w:r>
        <w:rPr>
          <w:szCs w:val="28"/>
          <w:u w:val="single"/>
        </w:rPr>
        <w:t>Houlin Zhao</w:t>
      </w:r>
    </w:p>
    <w:p w:rsidR="001E624B" w:rsidRDefault="001E624B" w:rsidP="001E624B">
      <w:pPr>
        <w:pStyle w:val="Telecomhead"/>
        <w:snapToGrid w:val="0"/>
        <w:spacing w:before="0" w:line="240" w:lineRule="atLeast"/>
        <w:ind w:left="567" w:right="453"/>
        <w:rPr>
          <w:rFonts w:ascii="Verdana" w:hAnsi="Verdana"/>
          <w:szCs w:val="28"/>
        </w:rPr>
      </w:pPr>
      <w:r>
        <w:rPr>
          <w:szCs w:val="28"/>
        </w:rPr>
        <w:t xml:space="preserve">Secretary-General </w:t>
      </w:r>
      <w:r w:rsidRPr="00B84600">
        <w:rPr>
          <w:szCs w:val="28"/>
        </w:rPr>
        <w:br/>
        <w:t>International Telecommunication Union</w:t>
      </w:r>
      <w:r w:rsidRPr="00B84600">
        <w:rPr>
          <w:rFonts w:ascii="Verdana" w:hAnsi="Verdana"/>
          <w:szCs w:val="28"/>
        </w:rPr>
        <w:t xml:space="preserve"> 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Director of TSB, Chaesub Lee,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Chairman Bruce Gracie, vice-chairmen,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 w:rsidRPr="0003790A">
        <w:rPr>
          <w:rFonts w:asciiTheme="minorBidi" w:hAnsiTheme="minorBidi"/>
          <w:sz w:val="24"/>
          <w:szCs w:val="24"/>
        </w:rPr>
        <w:t>Distinguished colleagues</w:t>
      </w:r>
      <w:r>
        <w:rPr>
          <w:rFonts w:asciiTheme="minorBidi" w:hAnsiTheme="minorBidi"/>
          <w:sz w:val="24"/>
          <w:szCs w:val="24"/>
        </w:rPr>
        <w:t xml:space="preserve"> and friends</w:t>
      </w:r>
      <w:r w:rsidRPr="0003790A">
        <w:rPr>
          <w:rFonts w:asciiTheme="minorBidi" w:hAnsiTheme="minorBidi"/>
          <w:sz w:val="24"/>
          <w:szCs w:val="24"/>
        </w:rPr>
        <w:t xml:space="preserve">, 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 w:rsidRPr="00235621">
        <w:rPr>
          <w:rFonts w:asciiTheme="minorBidi" w:hAnsiTheme="minorBidi"/>
          <w:sz w:val="24"/>
          <w:szCs w:val="24"/>
        </w:rPr>
        <w:t xml:space="preserve">Good morning and welcome to </w:t>
      </w:r>
      <w:r>
        <w:rPr>
          <w:rFonts w:asciiTheme="minorBidi" w:hAnsiTheme="minorBidi"/>
          <w:sz w:val="24"/>
          <w:szCs w:val="24"/>
        </w:rPr>
        <w:t>this first TSAG meeting of the 2017 to 2020 study period.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 w:rsidRPr="00235621">
        <w:rPr>
          <w:rFonts w:asciiTheme="minorBidi" w:hAnsiTheme="minorBidi"/>
          <w:sz w:val="24"/>
          <w:szCs w:val="24"/>
        </w:rPr>
        <w:t xml:space="preserve">Let me start by congratulating </w:t>
      </w:r>
      <w:r>
        <w:rPr>
          <w:rFonts w:asciiTheme="minorBidi" w:hAnsiTheme="minorBidi"/>
          <w:sz w:val="24"/>
          <w:szCs w:val="24"/>
        </w:rPr>
        <w:t xml:space="preserve">Bruce Gracie </w:t>
      </w:r>
      <w:r w:rsidRPr="00235621">
        <w:rPr>
          <w:rFonts w:asciiTheme="minorBidi" w:hAnsiTheme="minorBidi"/>
          <w:sz w:val="24"/>
          <w:szCs w:val="24"/>
        </w:rPr>
        <w:t>on his appoint</w:t>
      </w:r>
      <w:r>
        <w:rPr>
          <w:rFonts w:asciiTheme="minorBidi" w:hAnsiTheme="minorBidi"/>
          <w:sz w:val="24"/>
          <w:szCs w:val="24"/>
        </w:rPr>
        <w:t xml:space="preserve">ment for a second term as TSAG Chairman. I also thank TSAG’s eight </w:t>
      </w:r>
      <w:r w:rsidRPr="00235621">
        <w:rPr>
          <w:rFonts w:asciiTheme="minorBidi" w:hAnsiTheme="minorBidi"/>
          <w:sz w:val="24"/>
          <w:szCs w:val="24"/>
        </w:rPr>
        <w:t>Vice-Chairmen</w:t>
      </w:r>
      <w:r>
        <w:rPr>
          <w:rFonts w:asciiTheme="minorBidi" w:hAnsiTheme="minorBidi"/>
          <w:sz w:val="24"/>
          <w:szCs w:val="24"/>
        </w:rPr>
        <w:t xml:space="preserve"> for their commitment to steer TSAG’s work.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Default="001E624B" w:rsidP="001E624B">
      <w:pPr>
        <w:snapToGrid w:val="0"/>
        <w:spacing w:line="240" w:lineRule="atLeast"/>
        <w:ind w:left="567" w:right="45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 thank you all for your leadership and I look forward to working with you in this new study period. </w:t>
      </w:r>
    </w:p>
    <w:p w:rsidR="001E624B" w:rsidRDefault="001E624B" w:rsidP="001E624B">
      <w:pPr>
        <w:snapToGrid w:val="0"/>
        <w:spacing w:line="240" w:lineRule="atLeast"/>
        <w:ind w:left="567" w:right="45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Distinguished colleagues, 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 w:rsidRPr="008A57B3">
        <w:rPr>
          <w:rFonts w:asciiTheme="minorBidi" w:hAnsiTheme="minorBidi"/>
          <w:b/>
          <w:bCs/>
          <w:sz w:val="24"/>
          <w:szCs w:val="24"/>
        </w:rPr>
        <w:t>WTSA-16 put ITU-T in a strong position</w:t>
      </w:r>
      <w:r w:rsidRPr="00235621">
        <w:rPr>
          <w:rFonts w:asciiTheme="minorBidi" w:hAnsiTheme="minorBidi"/>
          <w:sz w:val="24"/>
          <w:szCs w:val="24"/>
        </w:rPr>
        <w:t xml:space="preserve"> </w:t>
      </w:r>
      <w:r w:rsidRPr="008A57B3">
        <w:rPr>
          <w:rFonts w:asciiTheme="minorBidi" w:hAnsiTheme="minorBidi"/>
          <w:b/>
          <w:bCs/>
          <w:sz w:val="24"/>
          <w:szCs w:val="24"/>
        </w:rPr>
        <w:t>to support the next phase of ICT innovation.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Default="001E624B" w:rsidP="001E624B">
      <w:pPr>
        <w:snapToGrid w:val="0"/>
        <w:spacing w:line="240" w:lineRule="atLeast"/>
        <w:ind w:left="567" w:right="453"/>
        <w:rPr>
          <w:rFonts w:asciiTheme="minorBidi" w:hAnsiTheme="minorBidi"/>
          <w:sz w:val="24"/>
          <w:szCs w:val="24"/>
        </w:rPr>
      </w:pPr>
      <w:r w:rsidRPr="003B290A">
        <w:rPr>
          <w:rFonts w:asciiTheme="minorBidi" w:hAnsiTheme="minorBidi"/>
          <w:sz w:val="24"/>
          <w:szCs w:val="24"/>
        </w:rPr>
        <w:t>WTSA reviewed our work programme, working methods and structure, establishing a clear framework to guide our standards work to 2020.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TSAG will offer valuable guidance to our Study Groups on how best to respond to the directives of WTSA-16.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 have been briefed about the documents to be considered by this TSAG meeting.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 see that this meeting intends to bring greater clarity to our response to WTSA Resolution 44 on bridging the standardization gap between developed and developing countries. 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 wish you all the best in this </w:t>
      </w:r>
      <w:proofErr w:type="spellStart"/>
      <w:r>
        <w:rPr>
          <w:rFonts w:asciiTheme="minorBidi" w:hAnsiTheme="minorBidi"/>
          <w:sz w:val="24"/>
          <w:szCs w:val="24"/>
        </w:rPr>
        <w:t>endeavour</w:t>
      </w:r>
      <w:proofErr w:type="spellEnd"/>
      <w:r>
        <w:rPr>
          <w:rFonts w:asciiTheme="minorBidi" w:hAnsiTheme="minorBidi"/>
          <w:sz w:val="24"/>
          <w:szCs w:val="24"/>
        </w:rPr>
        <w:t xml:space="preserve">. This is fundamental to our mission as an organization. It is crucial that we empower developing countries to draw maximum possible value from ITU standardization. Here WTSA Resolution 44 is a vehicle of great strategic importance. 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 also note that ITU’s engagement with open-source projects has made a return to the TSAG agenda. 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ITU seeks to be a valuable partner to all interests driving ICT innovation. The open-source movement has begun to influence the business of ITU members quite considerably. I commend TSAG for its efforts to address the changing dynamics of ICT sector. 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Pr="008A57B3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b/>
          <w:bCs/>
          <w:sz w:val="24"/>
          <w:szCs w:val="24"/>
        </w:rPr>
      </w:pPr>
      <w:r w:rsidRPr="008A57B3">
        <w:rPr>
          <w:rFonts w:asciiTheme="minorBidi" w:hAnsiTheme="minorBidi"/>
          <w:b/>
          <w:bCs/>
          <w:sz w:val="24"/>
          <w:szCs w:val="24"/>
        </w:rPr>
        <w:t xml:space="preserve">On this note, I would like to thank the ITU Standardization Sector for the proactive approach that it has taken to subjects such as </w:t>
      </w:r>
      <w:r>
        <w:rPr>
          <w:rFonts w:asciiTheme="minorBidi" w:hAnsiTheme="minorBidi"/>
          <w:b/>
          <w:bCs/>
          <w:sz w:val="24"/>
          <w:szCs w:val="24"/>
          <w:u w:val="single"/>
        </w:rPr>
        <w:t xml:space="preserve">5G, </w:t>
      </w:r>
      <w:r w:rsidRPr="008A57B3">
        <w:rPr>
          <w:rFonts w:asciiTheme="minorBidi" w:hAnsiTheme="minorBidi"/>
          <w:b/>
          <w:bCs/>
          <w:sz w:val="24"/>
          <w:szCs w:val="24"/>
          <w:u w:val="single"/>
        </w:rPr>
        <w:t>Digital Financial Services</w:t>
      </w:r>
      <w:r>
        <w:rPr>
          <w:rFonts w:asciiTheme="minorBidi" w:hAnsiTheme="minorBidi"/>
          <w:b/>
          <w:bCs/>
          <w:sz w:val="24"/>
          <w:szCs w:val="24"/>
          <w:u w:val="single"/>
        </w:rPr>
        <w:t xml:space="preserve"> and Artificial Intelligence</w:t>
      </w:r>
      <w:r w:rsidRPr="008A57B3">
        <w:rPr>
          <w:rFonts w:asciiTheme="minorBidi" w:hAnsiTheme="minorBidi"/>
          <w:b/>
          <w:bCs/>
          <w:sz w:val="24"/>
          <w:szCs w:val="24"/>
        </w:rPr>
        <w:t xml:space="preserve">.  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Pr="008A57B3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  <w:u w:val="single"/>
        </w:rPr>
      </w:pPr>
      <w:r w:rsidRPr="008A57B3">
        <w:rPr>
          <w:rFonts w:asciiTheme="minorBidi" w:hAnsiTheme="minorBidi"/>
          <w:sz w:val="24"/>
          <w:szCs w:val="24"/>
          <w:u w:val="single"/>
        </w:rPr>
        <w:t>ITU-T’s 5G networking studies are an essential complement to the 5G radio work of ITU-R</w:t>
      </w:r>
      <w:r w:rsidRPr="008A57B3">
        <w:rPr>
          <w:rFonts w:asciiTheme="minorBidi" w:hAnsiTheme="minorBidi"/>
          <w:sz w:val="24"/>
          <w:szCs w:val="24"/>
        </w:rPr>
        <w:t>.</w:t>
      </w:r>
      <w:r w:rsidRPr="008A57B3">
        <w:rPr>
          <w:rFonts w:asciiTheme="minorBidi" w:hAnsiTheme="minorBidi"/>
          <w:sz w:val="24"/>
          <w:szCs w:val="24"/>
          <w:u w:val="single"/>
        </w:rPr>
        <w:t xml:space="preserve"> 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Our Focus Group on network aspects of IMT-2020 provided valuable stimulus to ITU-T work on 5G, and I would like to thank Huawei for its strong leadership of this group. 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Our work on </w:t>
      </w:r>
      <w:proofErr w:type="spellStart"/>
      <w:r>
        <w:rPr>
          <w:rFonts w:asciiTheme="minorBidi" w:hAnsiTheme="minorBidi"/>
          <w:sz w:val="24"/>
          <w:szCs w:val="24"/>
        </w:rPr>
        <w:t>softwarization</w:t>
      </w:r>
      <w:proofErr w:type="spellEnd"/>
      <w:r>
        <w:rPr>
          <w:rFonts w:asciiTheme="minorBidi" w:hAnsiTheme="minorBidi"/>
          <w:sz w:val="24"/>
          <w:szCs w:val="24"/>
        </w:rPr>
        <w:t xml:space="preserve"> and slicing, fixed-mobile convergence and information-centric networking is attracting significant attention. I understand that we will see new ITU standards emerging in these fields midway through this year.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This work is not only of great value to network operators looking for smarter ways to orchestrate network operations – this work has also raised awareness of the importance of cohesive 5G innovation; it is contributing to improved collaboration among industry players and standards bodies. 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We are very pleased with the direction that this work has taken. 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 w:rsidRPr="008A57B3">
        <w:rPr>
          <w:rFonts w:asciiTheme="minorBidi" w:hAnsiTheme="minorBidi"/>
          <w:sz w:val="24"/>
          <w:szCs w:val="24"/>
          <w:u w:val="single"/>
        </w:rPr>
        <w:t>I w</w:t>
      </w:r>
      <w:r>
        <w:rPr>
          <w:rFonts w:asciiTheme="minorBidi" w:hAnsiTheme="minorBidi"/>
          <w:sz w:val="24"/>
          <w:szCs w:val="24"/>
          <w:u w:val="single"/>
        </w:rPr>
        <w:t xml:space="preserve">ould say the same of our work on </w:t>
      </w:r>
      <w:r w:rsidRPr="008A57B3">
        <w:rPr>
          <w:rFonts w:asciiTheme="minorBidi" w:hAnsiTheme="minorBidi"/>
          <w:sz w:val="24"/>
          <w:szCs w:val="24"/>
          <w:u w:val="single"/>
        </w:rPr>
        <w:t>Digital Financial Services</w:t>
      </w:r>
      <w:r>
        <w:rPr>
          <w:rFonts w:asciiTheme="minorBidi" w:hAnsiTheme="minorBidi"/>
          <w:sz w:val="24"/>
          <w:szCs w:val="24"/>
        </w:rPr>
        <w:t xml:space="preserve">. Our Focus Group on the topic was the first initiative to bring together all the actors working to expand digital financial inclusion. 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Here I would like to thank the Bill &amp; Melinda Gates Foundation for its leadership in establishing this Focus Group and guiding it towards meaningful results. 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85 policy recommendations and 28 supporting reports delivered by the Focus Group have been extremely well received by financial-inclusion advocates. 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collaboration initiated by the Focus Group will continue, supported in equal measure by ITU, the World Bank and the Bill &amp; Melinda Gates Foundation. 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Pr="006E0E65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  <w:u w:val="single"/>
        </w:rPr>
      </w:pPr>
      <w:r w:rsidRPr="006E0E65">
        <w:rPr>
          <w:rFonts w:asciiTheme="minorBidi" w:hAnsiTheme="minorBidi"/>
          <w:sz w:val="24"/>
          <w:szCs w:val="24"/>
          <w:u w:val="single"/>
        </w:rPr>
        <w:t xml:space="preserve">I would also like to highlight the significance of the upcoming AI for Good Global Summit in Geneva, 7-9 June. </w:t>
      </w:r>
    </w:p>
    <w:p w:rsidR="001E624B" w:rsidRPr="00B4605E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Pr="00B4605E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 w:rsidRPr="00B4605E">
        <w:rPr>
          <w:rFonts w:asciiTheme="minorBidi" w:hAnsiTheme="minorBidi"/>
          <w:sz w:val="24"/>
          <w:szCs w:val="24"/>
        </w:rPr>
        <w:t xml:space="preserve">The </w:t>
      </w:r>
      <w:r>
        <w:rPr>
          <w:rFonts w:asciiTheme="minorBidi" w:hAnsiTheme="minorBidi"/>
          <w:sz w:val="24"/>
          <w:szCs w:val="24"/>
        </w:rPr>
        <w:t xml:space="preserve">summit will </w:t>
      </w:r>
      <w:r w:rsidRPr="00B4605E">
        <w:rPr>
          <w:rFonts w:asciiTheme="minorBidi" w:hAnsiTheme="minorBidi"/>
          <w:sz w:val="24"/>
          <w:szCs w:val="24"/>
        </w:rPr>
        <w:t xml:space="preserve">convene government, industry, civil society and academia to determine our respective roles in ensuring that AI follows a development course able to benefit all of humanity. </w:t>
      </w:r>
    </w:p>
    <w:p w:rsidR="001E624B" w:rsidRPr="00B4605E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Pr="00B4605E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 w:rsidRPr="00B4605E">
        <w:rPr>
          <w:rFonts w:asciiTheme="minorBidi" w:hAnsiTheme="minorBidi"/>
          <w:sz w:val="24"/>
          <w:szCs w:val="24"/>
        </w:rPr>
        <w:t xml:space="preserve">ITU has called for an inclusive global dialogue on AI, recognizing that the scope of this debate extends far beyond the scope of any single organization. </w:t>
      </w:r>
    </w:p>
    <w:p w:rsidR="001E624B" w:rsidRPr="00B4605E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Pr="00B4605E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 w:rsidRPr="00B4605E">
        <w:rPr>
          <w:rFonts w:asciiTheme="minorBidi" w:hAnsiTheme="minorBidi"/>
          <w:sz w:val="24"/>
          <w:szCs w:val="24"/>
        </w:rPr>
        <w:t xml:space="preserve">UN Secretary-General Antonio </w:t>
      </w:r>
      <w:proofErr w:type="spellStart"/>
      <w:r w:rsidRPr="00B4605E">
        <w:rPr>
          <w:rFonts w:asciiTheme="minorBidi" w:hAnsiTheme="minorBidi"/>
          <w:sz w:val="24"/>
          <w:szCs w:val="24"/>
        </w:rPr>
        <w:t>Guterres</w:t>
      </w:r>
      <w:proofErr w:type="spellEnd"/>
      <w:r w:rsidRPr="00B4605E">
        <w:rPr>
          <w:rFonts w:asciiTheme="minorBidi" w:hAnsiTheme="minorBidi"/>
          <w:sz w:val="24"/>
          <w:szCs w:val="24"/>
        </w:rPr>
        <w:t xml:space="preserve"> has been especially supportive. </w:t>
      </w:r>
    </w:p>
    <w:p w:rsidR="001E624B" w:rsidRPr="00B4605E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 w:rsidRPr="00B4605E">
        <w:rPr>
          <w:rFonts w:asciiTheme="minorBidi" w:hAnsiTheme="minorBidi"/>
          <w:sz w:val="24"/>
          <w:szCs w:val="24"/>
        </w:rPr>
        <w:t xml:space="preserve">We will move closer to understanding how AI </w:t>
      </w:r>
      <w:r>
        <w:rPr>
          <w:rFonts w:asciiTheme="minorBidi" w:hAnsiTheme="minorBidi"/>
          <w:sz w:val="24"/>
          <w:szCs w:val="24"/>
        </w:rPr>
        <w:t>will help us to achieve</w:t>
      </w:r>
      <w:r w:rsidRPr="00B4605E">
        <w:rPr>
          <w:rFonts w:asciiTheme="minorBidi" w:hAnsiTheme="minorBidi"/>
          <w:sz w:val="24"/>
          <w:szCs w:val="24"/>
        </w:rPr>
        <w:t xml:space="preserve"> the UN Sustainable Development Goals.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Distinguished colleagues, 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 w:rsidRPr="008A57B3">
        <w:rPr>
          <w:rFonts w:asciiTheme="minorBidi" w:hAnsiTheme="minorBidi"/>
          <w:b/>
          <w:bCs/>
          <w:sz w:val="24"/>
          <w:szCs w:val="24"/>
        </w:rPr>
        <w:t>Common to all of these successes is ITU’s commitment to collaboration</w:t>
      </w:r>
      <w:r>
        <w:rPr>
          <w:rFonts w:asciiTheme="minorBidi" w:hAnsiTheme="minorBidi"/>
          <w:sz w:val="24"/>
          <w:szCs w:val="24"/>
        </w:rPr>
        <w:t xml:space="preserve">. 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br/>
        <w:t xml:space="preserve">We collaborate with our members to give all countries equal opportunity to benefit from international standards. 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We are exploring how we might accommodate the collaboration emerging between telecoms and open-source communities. 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We are encouraging industry to take a holistic view of the innovation required to achieve its 5G ambitions. 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And we are providing a platform for the collaboration of the ICT sector with verticals such as financial services. 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 would like to thank ITU-T for its vision. We are taking the steps necessary to ensure that ITU remains a central point of reference within the ICT ecosystem. 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 wish you all the best for this TSAG meeting and every success on the road to 2020.</w:t>
      </w: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1E624B" w:rsidRDefault="001E624B" w:rsidP="001E624B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Thank you. </w:t>
      </w:r>
    </w:p>
    <w:p w:rsidR="001E624B" w:rsidRDefault="001E624B" w:rsidP="001E624B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:rsidR="003066D9" w:rsidRDefault="003066D9" w:rsidP="003066D9">
      <w:pPr>
        <w:snapToGrid w:val="0"/>
        <w:spacing w:after="0" w:line="240" w:lineRule="atLeast"/>
        <w:ind w:left="567" w:right="453"/>
        <w:rPr>
          <w:rFonts w:asciiTheme="minorBidi" w:hAnsiTheme="minorBidi"/>
          <w:sz w:val="24"/>
          <w:szCs w:val="24"/>
        </w:rPr>
      </w:pPr>
    </w:p>
    <w:p w:rsidR="008F5FA2" w:rsidRPr="003066D9" w:rsidRDefault="003066D9" w:rsidP="003066D9">
      <w:pPr>
        <w:snapToGrid w:val="0"/>
        <w:spacing w:after="0" w:line="240" w:lineRule="atLeast"/>
        <w:ind w:left="567" w:right="453"/>
        <w:jc w:val="center"/>
        <w:rPr>
          <w:rFonts w:asciiTheme="minorBidi" w:hAnsiTheme="minorBidi"/>
          <w:sz w:val="24"/>
          <w:szCs w:val="24"/>
        </w:rPr>
      </w:pPr>
      <w:r>
        <w:rPr>
          <w:u w:val="single"/>
        </w:rPr>
        <w:t>_________</w:t>
      </w:r>
      <w:r w:rsidR="000E0BC2">
        <w:rPr>
          <w:u w:val="single"/>
        </w:rPr>
        <w:t>___________</w:t>
      </w:r>
    </w:p>
    <w:sectPr w:rsidR="008F5FA2" w:rsidRPr="003066D9" w:rsidSect="003066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077" w:right="426" w:bottom="1077" w:left="68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7B8" w:rsidRDefault="007267B8" w:rsidP="00BC5230">
      <w:pPr>
        <w:spacing w:after="0" w:line="240" w:lineRule="auto"/>
      </w:pPr>
      <w:r>
        <w:separator/>
      </w:r>
    </w:p>
  </w:endnote>
  <w:endnote w:type="continuationSeparator" w:id="0">
    <w:p w:rsidR="007267B8" w:rsidRDefault="007267B8" w:rsidP="00BC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6D9" w:rsidRDefault="003066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7B8" w:rsidRDefault="007267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6D9" w:rsidRDefault="003066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7B8" w:rsidRDefault="007267B8" w:rsidP="00BC5230">
      <w:pPr>
        <w:spacing w:after="0" w:line="240" w:lineRule="auto"/>
      </w:pPr>
      <w:r>
        <w:separator/>
      </w:r>
    </w:p>
  </w:footnote>
  <w:footnote w:type="continuationSeparator" w:id="0">
    <w:p w:rsidR="007267B8" w:rsidRDefault="007267B8" w:rsidP="00BC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6D9" w:rsidRDefault="003066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495918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:rsidR="003066D9" w:rsidRPr="003E0181" w:rsidRDefault="003066D9" w:rsidP="003066D9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3E0181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3E0181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3E0181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1E624B">
          <w:rPr>
            <w:rFonts w:asciiTheme="majorBidi" w:hAnsiTheme="majorBidi" w:cstheme="majorBidi"/>
            <w:noProof/>
            <w:sz w:val="18"/>
            <w:szCs w:val="18"/>
          </w:rPr>
          <w:t>- 2 -</w:t>
        </w:r>
        <w:r w:rsidRPr="003E0181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>
          <w:rPr>
            <w:rFonts w:asciiTheme="majorBidi" w:hAnsiTheme="majorBidi" w:cstheme="majorBidi"/>
            <w:noProof/>
            <w:sz w:val="18"/>
            <w:szCs w:val="18"/>
          </w:rPr>
          <w:br/>
          <w:t>TD 072</w:t>
        </w:r>
      </w:p>
    </w:sdtContent>
  </w:sdt>
  <w:p w:rsidR="003066D9" w:rsidRPr="003066D9" w:rsidRDefault="003066D9" w:rsidP="003066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487576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:rsidR="007267B8" w:rsidRPr="003E0181" w:rsidRDefault="001E624B" w:rsidP="003066D9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</w:p>
    </w:sdtContent>
  </w:sdt>
  <w:p w:rsidR="007267B8" w:rsidRDefault="007267B8" w:rsidP="003E018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B86"/>
    <w:multiLevelType w:val="hybridMultilevel"/>
    <w:tmpl w:val="5EF2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90F77"/>
    <w:multiLevelType w:val="hybridMultilevel"/>
    <w:tmpl w:val="8B9AFD9A"/>
    <w:lvl w:ilvl="0" w:tplc="AD10C86E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8207E"/>
    <w:multiLevelType w:val="hybridMultilevel"/>
    <w:tmpl w:val="69BE0CF8"/>
    <w:lvl w:ilvl="0" w:tplc="A7A864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278E"/>
    <w:multiLevelType w:val="hybridMultilevel"/>
    <w:tmpl w:val="892CC4F2"/>
    <w:lvl w:ilvl="0" w:tplc="1D56E3E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DB13B9"/>
    <w:multiLevelType w:val="hybridMultilevel"/>
    <w:tmpl w:val="4AB2F2F0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97CCF"/>
    <w:multiLevelType w:val="hybridMultilevel"/>
    <w:tmpl w:val="EF121236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76FAB"/>
    <w:multiLevelType w:val="hybridMultilevel"/>
    <w:tmpl w:val="42669536"/>
    <w:lvl w:ilvl="0" w:tplc="4A7E38FA">
      <w:start w:val="1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A333F8"/>
    <w:multiLevelType w:val="hybridMultilevel"/>
    <w:tmpl w:val="1EB6B7B2"/>
    <w:lvl w:ilvl="0" w:tplc="B770F734">
      <w:start w:val="5"/>
      <w:numFmt w:val="bullet"/>
      <w:lvlText w:val="–"/>
      <w:lvlJc w:val="left"/>
      <w:pPr>
        <w:ind w:left="36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8" w15:restartNumberingAfterBreak="0">
    <w:nsid w:val="159823D6"/>
    <w:multiLevelType w:val="hybridMultilevel"/>
    <w:tmpl w:val="5FD004F4"/>
    <w:lvl w:ilvl="0" w:tplc="84702B1C">
      <w:start w:val="18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FE14BE"/>
    <w:multiLevelType w:val="hybridMultilevel"/>
    <w:tmpl w:val="84BA7136"/>
    <w:lvl w:ilvl="0" w:tplc="F36E608E">
      <w:start w:val="18"/>
      <w:numFmt w:val="bullet"/>
      <w:lvlText w:val="-"/>
      <w:lvlJc w:val="left"/>
      <w:pPr>
        <w:ind w:left="303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0" w15:restartNumberingAfterBreak="0">
    <w:nsid w:val="23F94D25"/>
    <w:multiLevelType w:val="hybridMultilevel"/>
    <w:tmpl w:val="5A6AF37A"/>
    <w:lvl w:ilvl="0" w:tplc="AE6E5FD2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480193"/>
    <w:multiLevelType w:val="hybridMultilevel"/>
    <w:tmpl w:val="2734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01D20"/>
    <w:multiLevelType w:val="hybridMultilevel"/>
    <w:tmpl w:val="4C2C9BEA"/>
    <w:lvl w:ilvl="0" w:tplc="0568DD1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75EAB"/>
    <w:multiLevelType w:val="hybridMultilevel"/>
    <w:tmpl w:val="3F3AE5B8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B6DBE"/>
    <w:multiLevelType w:val="hybridMultilevel"/>
    <w:tmpl w:val="B308A9D4"/>
    <w:lvl w:ilvl="0" w:tplc="45AAD9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44900"/>
    <w:multiLevelType w:val="hybridMultilevel"/>
    <w:tmpl w:val="69A8AF2E"/>
    <w:lvl w:ilvl="0" w:tplc="B0924452">
      <w:start w:val="5"/>
      <w:numFmt w:val="bullet"/>
      <w:lvlText w:val="–"/>
      <w:lvlJc w:val="left"/>
      <w:pPr>
        <w:ind w:left="45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6" w15:restartNumberingAfterBreak="0">
    <w:nsid w:val="444830FB"/>
    <w:multiLevelType w:val="hybridMultilevel"/>
    <w:tmpl w:val="77EA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A288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3554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8D301A3"/>
    <w:multiLevelType w:val="hybridMultilevel"/>
    <w:tmpl w:val="DFAC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F6BB3"/>
    <w:multiLevelType w:val="hybridMultilevel"/>
    <w:tmpl w:val="EB549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84404"/>
    <w:multiLevelType w:val="hybridMultilevel"/>
    <w:tmpl w:val="35CADADC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F1209"/>
    <w:multiLevelType w:val="hybridMultilevel"/>
    <w:tmpl w:val="0D50F612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034B47"/>
    <w:multiLevelType w:val="hybridMultilevel"/>
    <w:tmpl w:val="25EE7BA2"/>
    <w:lvl w:ilvl="0" w:tplc="3ED6FF5C">
      <w:start w:val="5"/>
      <w:numFmt w:val="bullet"/>
      <w:lvlText w:val="﷒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92B14"/>
    <w:multiLevelType w:val="hybridMultilevel"/>
    <w:tmpl w:val="8B9AFD9A"/>
    <w:lvl w:ilvl="0" w:tplc="AD10C86E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DE65F6"/>
    <w:multiLevelType w:val="hybridMultilevel"/>
    <w:tmpl w:val="54C46B1E"/>
    <w:lvl w:ilvl="0" w:tplc="2768468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612C23"/>
    <w:multiLevelType w:val="hybridMultilevel"/>
    <w:tmpl w:val="0542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C773E"/>
    <w:multiLevelType w:val="hybridMultilevel"/>
    <w:tmpl w:val="E16A5542"/>
    <w:lvl w:ilvl="0" w:tplc="F92A4906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3855E0"/>
    <w:multiLevelType w:val="hybridMultilevel"/>
    <w:tmpl w:val="826A8AAA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9"/>
  </w:num>
  <w:num w:numId="5">
    <w:abstractNumId w:val="17"/>
  </w:num>
  <w:num w:numId="6">
    <w:abstractNumId w:val="17"/>
  </w:num>
  <w:num w:numId="7">
    <w:abstractNumId w:val="24"/>
  </w:num>
  <w:num w:numId="8">
    <w:abstractNumId w:val="8"/>
  </w:num>
  <w:num w:numId="9">
    <w:abstractNumId w:val="9"/>
  </w:num>
  <w:num w:numId="10">
    <w:abstractNumId w:val="6"/>
  </w:num>
  <w:num w:numId="11">
    <w:abstractNumId w:val="25"/>
  </w:num>
  <w:num w:numId="12">
    <w:abstractNumId w:val="4"/>
  </w:num>
  <w:num w:numId="13">
    <w:abstractNumId w:val="5"/>
  </w:num>
  <w:num w:numId="14">
    <w:abstractNumId w:val="13"/>
  </w:num>
  <w:num w:numId="15">
    <w:abstractNumId w:val="7"/>
  </w:num>
  <w:num w:numId="16">
    <w:abstractNumId w:val="22"/>
  </w:num>
  <w:num w:numId="17">
    <w:abstractNumId w:val="15"/>
  </w:num>
  <w:num w:numId="18">
    <w:abstractNumId w:val="3"/>
  </w:num>
  <w:num w:numId="19">
    <w:abstractNumId w:val="10"/>
  </w:num>
  <w:num w:numId="20">
    <w:abstractNumId w:val="26"/>
  </w:num>
  <w:num w:numId="21">
    <w:abstractNumId w:val="1"/>
  </w:num>
  <w:num w:numId="22">
    <w:abstractNumId w:val="17"/>
  </w:num>
  <w:num w:numId="23">
    <w:abstractNumId w:val="17"/>
  </w:num>
  <w:num w:numId="24">
    <w:abstractNumId w:val="20"/>
  </w:num>
  <w:num w:numId="25">
    <w:abstractNumId w:val="21"/>
  </w:num>
  <w:num w:numId="26">
    <w:abstractNumId w:val="27"/>
  </w:num>
  <w:num w:numId="27">
    <w:abstractNumId w:val="16"/>
  </w:num>
  <w:num w:numId="28">
    <w:abstractNumId w:val="11"/>
  </w:num>
  <w:num w:numId="29">
    <w:abstractNumId w:val="0"/>
  </w:num>
  <w:num w:numId="30">
    <w:abstractNumId w:val="1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30"/>
    <w:rsid w:val="00000079"/>
    <w:rsid w:val="00001778"/>
    <w:rsid w:val="00003299"/>
    <w:rsid w:val="00003F10"/>
    <w:rsid w:val="00004A84"/>
    <w:rsid w:val="0000779F"/>
    <w:rsid w:val="00010247"/>
    <w:rsid w:val="00010C45"/>
    <w:rsid w:val="00011512"/>
    <w:rsid w:val="0001237C"/>
    <w:rsid w:val="00013666"/>
    <w:rsid w:val="0001495A"/>
    <w:rsid w:val="00015790"/>
    <w:rsid w:val="00016912"/>
    <w:rsid w:val="00026326"/>
    <w:rsid w:val="00027822"/>
    <w:rsid w:val="00027ECF"/>
    <w:rsid w:val="00030FB8"/>
    <w:rsid w:val="00032B3F"/>
    <w:rsid w:val="000336AF"/>
    <w:rsid w:val="000338B7"/>
    <w:rsid w:val="00034810"/>
    <w:rsid w:val="000355F7"/>
    <w:rsid w:val="000365F2"/>
    <w:rsid w:val="00040DE7"/>
    <w:rsid w:val="00042783"/>
    <w:rsid w:val="00043A3A"/>
    <w:rsid w:val="00044C7E"/>
    <w:rsid w:val="00045455"/>
    <w:rsid w:val="000456DE"/>
    <w:rsid w:val="000467B0"/>
    <w:rsid w:val="00046C8F"/>
    <w:rsid w:val="00052FE3"/>
    <w:rsid w:val="0005346F"/>
    <w:rsid w:val="00055E22"/>
    <w:rsid w:val="00057DA6"/>
    <w:rsid w:val="00060E8F"/>
    <w:rsid w:val="000665C3"/>
    <w:rsid w:val="00067069"/>
    <w:rsid w:val="000707B3"/>
    <w:rsid w:val="00070D14"/>
    <w:rsid w:val="000712FA"/>
    <w:rsid w:val="0007320D"/>
    <w:rsid w:val="0007613F"/>
    <w:rsid w:val="00076434"/>
    <w:rsid w:val="00076581"/>
    <w:rsid w:val="00080221"/>
    <w:rsid w:val="0008232E"/>
    <w:rsid w:val="00083B3E"/>
    <w:rsid w:val="00085163"/>
    <w:rsid w:val="0008655C"/>
    <w:rsid w:val="00090FFE"/>
    <w:rsid w:val="000928D5"/>
    <w:rsid w:val="00096741"/>
    <w:rsid w:val="00096E52"/>
    <w:rsid w:val="000A1E71"/>
    <w:rsid w:val="000A423D"/>
    <w:rsid w:val="000A63EC"/>
    <w:rsid w:val="000B2174"/>
    <w:rsid w:val="000B64A9"/>
    <w:rsid w:val="000B6CF1"/>
    <w:rsid w:val="000C14F5"/>
    <w:rsid w:val="000C212F"/>
    <w:rsid w:val="000C2824"/>
    <w:rsid w:val="000C3E78"/>
    <w:rsid w:val="000C3F39"/>
    <w:rsid w:val="000C46C0"/>
    <w:rsid w:val="000C4F66"/>
    <w:rsid w:val="000C58AC"/>
    <w:rsid w:val="000C7970"/>
    <w:rsid w:val="000D0B08"/>
    <w:rsid w:val="000D341E"/>
    <w:rsid w:val="000E0BC2"/>
    <w:rsid w:val="000E25BF"/>
    <w:rsid w:val="000E30E8"/>
    <w:rsid w:val="000E3748"/>
    <w:rsid w:val="000E4692"/>
    <w:rsid w:val="000E6536"/>
    <w:rsid w:val="000F417B"/>
    <w:rsid w:val="000F76CA"/>
    <w:rsid w:val="000F780E"/>
    <w:rsid w:val="001001CC"/>
    <w:rsid w:val="00104100"/>
    <w:rsid w:val="0010410C"/>
    <w:rsid w:val="00106656"/>
    <w:rsid w:val="0011211C"/>
    <w:rsid w:val="001125C2"/>
    <w:rsid w:val="00113D3D"/>
    <w:rsid w:val="0011408B"/>
    <w:rsid w:val="001140EB"/>
    <w:rsid w:val="001228BF"/>
    <w:rsid w:val="00126F4E"/>
    <w:rsid w:val="0012730F"/>
    <w:rsid w:val="00131917"/>
    <w:rsid w:val="00137347"/>
    <w:rsid w:val="0013747F"/>
    <w:rsid w:val="00144A28"/>
    <w:rsid w:val="001458F0"/>
    <w:rsid w:val="001472E3"/>
    <w:rsid w:val="001477EB"/>
    <w:rsid w:val="00147908"/>
    <w:rsid w:val="0015082D"/>
    <w:rsid w:val="001518E2"/>
    <w:rsid w:val="00154DDF"/>
    <w:rsid w:val="00155FFE"/>
    <w:rsid w:val="001563A3"/>
    <w:rsid w:val="001567AD"/>
    <w:rsid w:val="00163141"/>
    <w:rsid w:val="00166279"/>
    <w:rsid w:val="0016768F"/>
    <w:rsid w:val="0017012C"/>
    <w:rsid w:val="0017155F"/>
    <w:rsid w:val="001716F3"/>
    <w:rsid w:val="0017682B"/>
    <w:rsid w:val="00176A2B"/>
    <w:rsid w:val="00190952"/>
    <w:rsid w:val="00191033"/>
    <w:rsid w:val="00195B4C"/>
    <w:rsid w:val="00196411"/>
    <w:rsid w:val="001973AE"/>
    <w:rsid w:val="001A0EB7"/>
    <w:rsid w:val="001A1741"/>
    <w:rsid w:val="001A24D1"/>
    <w:rsid w:val="001A584B"/>
    <w:rsid w:val="001A5892"/>
    <w:rsid w:val="001A70ED"/>
    <w:rsid w:val="001A7A92"/>
    <w:rsid w:val="001B0705"/>
    <w:rsid w:val="001B3C2D"/>
    <w:rsid w:val="001B4207"/>
    <w:rsid w:val="001B608D"/>
    <w:rsid w:val="001C07D7"/>
    <w:rsid w:val="001C42E2"/>
    <w:rsid w:val="001C5909"/>
    <w:rsid w:val="001C6903"/>
    <w:rsid w:val="001D01A6"/>
    <w:rsid w:val="001D1137"/>
    <w:rsid w:val="001D1773"/>
    <w:rsid w:val="001D24E3"/>
    <w:rsid w:val="001D33A7"/>
    <w:rsid w:val="001D70A3"/>
    <w:rsid w:val="001E191F"/>
    <w:rsid w:val="001E1E2C"/>
    <w:rsid w:val="001E6097"/>
    <w:rsid w:val="001E624B"/>
    <w:rsid w:val="001E6918"/>
    <w:rsid w:val="001E7917"/>
    <w:rsid w:val="001E7E02"/>
    <w:rsid w:val="001F043C"/>
    <w:rsid w:val="001F0923"/>
    <w:rsid w:val="001F0C2A"/>
    <w:rsid w:val="001F10FE"/>
    <w:rsid w:val="001F417C"/>
    <w:rsid w:val="001F52DF"/>
    <w:rsid w:val="00200635"/>
    <w:rsid w:val="00203BE4"/>
    <w:rsid w:val="0020777A"/>
    <w:rsid w:val="00210AB9"/>
    <w:rsid w:val="002124CE"/>
    <w:rsid w:val="00212FEC"/>
    <w:rsid w:val="002132EF"/>
    <w:rsid w:val="00213833"/>
    <w:rsid w:val="0022073B"/>
    <w:rsid w:val="0022334B"/>
    <w:rsid w:val="00226A89"/>
    <w:rsid w:val="00230C20"/>
    <w:rsid w:val="002313EE"/>
    <w:rsid w:val="002330BA"/>
    <w:rsid w:val="00235AB3"/>
    <w:rsid w:val="00236E92"/>
    <w:rsid w:val="00241123"/>
    <w:rsid w:val="00241AB1"/>
    <w:rsid w:val="00243FE2"/>
    <w:rsid w:val="00244338"/>
    <w:rsid w:val="0024755A"/>
    <w:rsid w:val="00247FA8"/>
    <w:rsid w:val="0025200C"/>
    <w:rsid w:val="00256DCF"/>
    <w:rsid w:val="0026090A"/>
    <w:rsid w:val="00260DF4"/>
    <w:rsid w:val="002659D2"/>
    <w:rsid w:val="002668E1"/>
    <w:rsid w:val="00270602"/>
    <w:rsid w:val="00271E0C"/>
    <w:rsid w:val="00272C66"/>
    <w:rsid w:val="00273200"/>
    <w:rsid w:val="0027332A"/>
    <w:rsid w:val="00273966"/>
    <w:rsid w:val="002759CE"/>
    <w:rsid w:val="00275EF3"/>
    <w:rsid w:val="002766B4"/>
    <w:rsid w:val="00277CDA"/>
    <w:rsid w:val="00281CF6"/>
    <w:rsid w:val="0028369E"/>
    <w:rsid w:val="00286F6A"/>
    <w:rsid w:val="002922B1"/>
    <w:rsid w:val="00292EC0"/>
    <w:rsid w:val="00293A55"/>
    <w:rsid w:val="00294564"/>
    <w:rsid w:val="00296566"/>
    <w:rsid w:val="002A1103"/>
    <w:rsid w:val="002A1CB2"/>
    <w:rsid w:val="002A34EA"/>
    <w:rsid w:val="002A42E9"/>
    <w:rsid w:val="002A5586"/>
    <w:rsid w:val="002A5D3C"/>
    <w:rsid w:val="002A5D8C"/>
    <w:rsid w:val="002A5E14"/>
    <w:rsid w:val="002B029B"/>
    <w:rsid w:val="002B2757"/>
    <w:rsid w:val="002B563C"/>
    <w:rsid w:val="002C1C0C"/>
    <w:rsid w:val="002C2405"/>
    <w:rsid w:val="002C38F0"/>
    <w:rsid w:val="002C3FB8"/>
    <w:rsid w:val="002C43E1"/>
    <w:rsid w:val="002C4D10"/>
    <w:rsid w:val="002C5E26"/>
    <w:rsid w:val="002C5F74"/>
    <w:rsid w:val="002C6BC8"/>
    <w:rsid w:val="002D059D"/>
    <w:rsid w:val="002D1CF7"/>
    <w:rsid w:val="002D3D65"/>
    <w:rsid w:val="002D3E12"/>
    <w:rsid w:val="002E1C84"/>
    <w:rsid w:val="002F6327"/>
    <w:rsid w:val="002F7C66"/>
    <w:rsid w:val="0030031B"/>
    <w:rsid w:val="00302523"/>
    <w:rsid w:val="00302928"/>
    <w:rsid w:val="0030355C"/>
    <w:rsid w:val="003066D9"/>
    <w:rsid w:val="003067ED"/>
    <w:rsid w:val="003068C6"/>
    <w:rsid w:val="00313188"/>
    <w:rsid w:val="00313909"/>
    <w:rsid w:val="003167A5"/>
    <w:rsid w:val="003169C8"/>
    <w:rsid w:val="00316DD2"/>
    <w:rsid w:val="00317005"/>
    <w:rsid w:val="003200C0"/>
    <w:rsid w:val="003204BF"/>
    <w:rsid w:val="00321756"/>
    <w:rsid w:val="0032293E"/>
    <w:rsid w:val="00322ADF"/>
    <w:rsid w:val="00331BBF"/>
    <w:rsid w:val="00334875"/>
    <w:rsid w:val="00337684"/>
    <w:rsid w:val="00345349"/>
    <w:rsid w:val="00346930"/>
    <w:rsid w:val="00347DCF"/>
    <w:rsid w:val="00352595"/>
    <w:rsid w:val="00352D85"/>
    <w:rsid w:val="00361573"/>
    <w:rsid w:val="00371ED2"/>
    <w:rsid w:val="00372B5B"/>
    <w:rsid w:val="00373BA5"/>
    <w:rsid w:val="0037630F"/>
    <w:rsid w:val="00377072"/>
    <w:rsid w:val="0037742C"/>
    <w:rsid w:val="0037782D"/>
    <w:rsid w:val="0038128C"/>
    <w:rsid w:val="00382CA3"/>
    <w:rsid w:val="003833C8"/>
    <w:rsid w:val="00383E7C"/>
    <w:rsid w:val="0038454C"/>
    <w:rsid w:val="00397A09"/>
    <w:rsid w:val="003A02D7"/>
    <w:rsid w:val="003A0832"/>
    <w:rsid w:val="003A1660"/>
    <w:rsid w:val="003A19CD"/>
    <w:rsid w:val="003A1D5B"/>
    <w:rsid w:val="003A4292"/>
    <w:rsid w:val="003A4791"/>
    <w:rsid w:val="003B02BA"/>
    <w:rsid w:val="003B1F0F"/>
    <w:rsid w:val="003B3A55"/>
    <w:rsid w:val="003B4EE1"/>
    <w:rsid w:val="003B5A7E"/>
    <w:rsid w:val="003B632A"/>
    <w:rsid w:val="003C1D3F"/>
    <w:rsid w:val="003C22AF"/>
    <w:rsid w:val="003C3421"/>
    <w:rsid w:val="003C494E"/>
    <w:rsid w:val="003C4AD7"/>
    <w:rsid w:val="003D1B3F"/>
    <w:rsid w:val="003D43E9"/>
    <w:rsid w:val="003D456D"/>
    <w:rsid w:val="003E0181"/>
    <w:rsid w:val="003E437B"/>
    <w:rsid w:val="003E5DC6"/>
    <w:rsid w:val="003F1A3E"/>
    <w:rsid w:val="003F666E"/>
    <w:rsid w:val="003F6D3B"/>
    <w:rsid w:val="003F7911"/>
    <w:rsid w:val="00410D9C"/>
    <w:rsid w:val="004113DE"/>
    <w:rsid w:val="00415258"/>
    <w:rsid w:val="004164D5"/>
    <w:rsid w:val="00417AAA"/>
    <w:rsid w:val="004217F4"/>
    <w:rsid w:val="00424FBA"/>
    <w:rsid w:val="00425179"/>
    <w:rsid w:val="004253F3"/>
    <w:rsid w:val="00425D57"/>
    <w:rsid w:val="00430305"/>
    <w:rsid w:val="00430CBA"/>
    <w:rsid w:val="00433ED1"/>
    <w:rsid w:val="00437DF4"/>
    <w:rsid w:val="0044092A"/>
    <w:rsid w:val="00442179"/>
    <w:rsid w:val="00442D03"/>
    <w:rsid w:val="004436B3"/>
    <w:rsid w:val="004452DB"/>
    <w:rsid w:val="00447712"/>
    <w:rsid w:val="00447AF9"/>
    <w:rsid w:val="00450770"/>
    <w:rsid w:val="00452632"/>
    <w:rsid w:val="0045404F"/>
    <w:rsid w:val="0045438C"/>
    <w:rsid w:val="004546DA"/>
    <w:rsid w:val="00454FE2"/>
    <w:rsid w:val="00456D20"/>
    <w:rsid w:val="0046152B"/>
    <w:rsid w:val="00461B6A"/>
    <w:rsid w:val="00462A21"/>
    <w:rsid w:val="00464162"/>
    <w:rsid w:val="00464690"/>
    <w:rsid w:val="00465AB5"/>
    <w:rsid w:val="0046633F"/>
    <w:rsid w:val="0047136D"/>
    <w:rsid w:val="00474442"/>
    <w:rsid w:val="00474C26"/>
    <w:rsid w:val="00477AAE"/>
    <w:rsid w:val="00480448"/>
    <w:rsid w:val="0048092A"/>
    <w:rsid w:val="004819FF"/>
    <w:rsid w:val="00490465"/>
    <w:rsid w:val="00490641"/>
    <w:rsid w:val="00491749"/>
    <w:rsid w:val="0049285E"/>
    <w:rsid w:val="00493055"/>
    <w:rsid w:val="00493409"/>
    <w:rsid w:val="0049402F"/>
    <w:rsid w:val="004A1EE0"/>
    <w:rsid w:val="004A20C6"/>
    <w:rsid w:val="004A35FA"/>
    <w:rsid w:val="004A4AD2"/>
    <w:rsid w:val="004A4B6D"/>
    <w:rsid w:val="004A4D46"/>
    <w:rsid w:val="004A531C"/>
    <w:rsid w:val="004A6581"/>
    <w:rsid w:val="004B716B"/>
    <w:rsid w:val="004C0610"/>
    <w:rsid w:val="004C0B09"/>
    <w:rsid w:val="004C306F"/>
    <w:rsid w:val="004C6288"/>
    <w:rsid w:val="004C6350"/>
    <w:rsid w:val="004C6432"/>
    <w:rsid w:val="004C64E0"/>
    <w:rsid w:val="004C7275"/>
    <w:rsid w:val="004D0059"/>
    <w:rsid w:val="004D0841"/>
    <w:rsid w:val="004D151B"/>
    <w:rsid w:val="004D1FFE"/>
    <w:rsid w:val="004D3946"/>
    <w:rsid w:val="004D4656"/>
    <w:rsid w:val="004D56F4"/>
    <w:rsid w:val="004D7811"/>
    <w:rsid w:val="004E101D"/>
    <w:rsid w:val="004E70E5"/>
    <w:rsid w:val="004E7133"/>
    <w:rsid w:val="004F2FD0"/>
    <w:rsid w:val="004F3BD7"/>
    <w:rsid w:val="004F47B3"/>
    <w:rsid w:val="004F4C27"/>
    <w:rsid w:val="004F6D61"/>
    <w:rsid w:val="005009DD"/>
    <w:rsid w:val="00500A95"/>
    <w:rsid w:val="0050278E"/>
    <w:rsid w:val="00504E5A"/>
    <w:rsid w:val="00505B11"/>
    <w:rsid w:val="0050624D"/>
    <w:rsid w:val="00510C52"/>
    <w:rsid w:val="00510DBD"/>
    <w:rsid w:val="0051173C"/>
    <w:rsid w:val="00512058"/>
    <w:rsid w:val="0051267F"/>
    <w:rsid w:val="005160B7"/>
    <w:rsid w:val="0051620B"/>
    <w:rsid w:val="00517EBF"/>
    <w:rsid w:val="00523010"/>
    <w:rsid w:val="0053043B"/>
    <w:rsid w:val="00532F71"/>
    <w:rsid w:val="00535013"/>
    <w:rsid w:val="00541F90"/>
    <w:rsid w:val="00542066"/>
    <w:rsid w:val="00543225"/>
    <w:rsid w:val="00545486"/>
    <w:rsid w:val="00547BC4"/>
    <w:rsid w:val="00550438"/>
    <w:rsid w:val="00552EE1"/>
    <w:rsid w:val="00553B9A"/>
    <w:rsid w:val="0055455F"/>
    <w:rsid w:val="005548DA"/>
    <w:rsid w:val="00557E12"/>
    <w:rsid w:val="00560827"/>
    <w:rsid w:val="0056276B"/>
    <w:rsid w:val="00566615"/>
    <w:rsid w:val="005728EF"/>
    <w:rsid w:val="00573364"/>
    <w:rsid w:val="00573E34"/>
    <w:rsid w:val="005818D9"/>
    <w:rsid w:val="0058566F"/>
    <w:rsid w:val="00592598"/>
    <w:rsid w:val="005931BD"/>
    <w:rsid w:val="00593D94"/>
    <w:rsid w:val="005A00A7"/>
    <w:rsid w:val="005A0E09"/>
    <w:rsid w:val="005A24ED"/>
    <w:rsid w:val="005A30E4"/>
    <w:rsid w:val="005A5725"/>
    <w:rsid w:val="005A591F"/>
    <w:rsid w:val="005A5BCF"/>
    <w:rsid w:val="005A7841"/>
    <w:rsid w:val="005B30E2"/>
    <w:rsid w:val="005B671C"/>
    <w:rsid w:val="005B69AE"/>
    <w:rsid w:val="005B6B16"/>
    <w:rsid w:val="005C1CA2"/>
    <w:rsid w:val="005C53D2"/>
    <w:rsid w:val="005C65B1"/>
    <w:rsid w:val="005C6B7A"/>
    <w:rsid w:val="005C74E4"/>
    <w:rsid w:val="005D4305"/>
    <w:rsid w:val="005D6678"/>
    <w:rsid w:val="005E1AAD"/>
    <w:rsid w:val="005E1C5A"/>
    <w:rsid w:val="005E3C7D"/>
    <w:rsid w:val="005E594C"/>
    <w:rsid w:val="005E5EC7"/>
    <w:rsid w:val="005E6293"/>
    <w:rsid w:val="005F2E2D"/>
    <w:rsid w:val="005F2F9A"/>
    <w:rsid w:val="005F3F48"/>
    <w:rsid w:val="005F505E"/>
    <w:rsid w:val="005F5098"/>
    <w:rsid w:val="005F66C2"/>
    <w:rsid w:val="005F6996"/>
    <w:rsid w:val="00602238"/>
    <w:rsid w:val="00604606"/>
    <w:rsid w:val="006116C5"/>
    <w:rsid w:val="00611F2F"/>
    <w:rsid w:val="00615C95"/>
    <w:rsid w:val="00616FEF"/>
    <w:rsid w:val="006225CF"/>
    <w:rsid w:val="00624747"/>
    <w:rsid w:val="006251C3"/>
    <w:rsid w:val="0062558A"/>
    <w:rsid w:val="006266BD"/>
    <w:rsid w:val="00627A72"/>
    <w:rsid w:val="00632BF3"/>
    <w:rsid w:val="00633A89"/>
    <w:rsid w:val="00634056"/>
    <w:rsid w:val="00634B89"/>
    <w:rsid w:val="0063523E"/>
    <w:rsid w:val="00637349"/>
    <w:rsid w:val="00637C7B"/>
    <w:rsid w:val="006409E8"/>
    <w:rsid w:val="00641B4E"/>
    <w:rsid w:val="00642C19"/>
    <w:rsid w:val="00643849"/>
    <w:rsid w:val="00643B4B"/>
    <w:rsid w:val="00645E1D"/>
    <w:rsid w:val="006508BC"/>
    <w:rsid w:val="006509CA"/>
    <w:rsid w:val="006515CF"/>
    <w:rsid w:val="006544FD"/>
    <w:rsid w:val="00656FC4"/>
    <w:rsid w:val="0065775D"/>
    <w:rsid w:val="00661262"/>
    <w:rsid w:val="00672DBB"/>
    <w:rsid w:val="006741E5"/>
    <w:rsid w:val="00675E06"/>
    <w:rsid w:val="0068261B"/>
    <w:rsid w:val="00682E03"/>
    <w:rsid w:val="006834B7"/>
    <w:rsid w:val="00683A4D"/>
    <w:rsid w:val="006851C7"/>
    <w:rsid w:val="006871BB"/>
    <w:rsid w:val="00693A37"/>
    <w:rsid w:val="00695C1C"/>
    <w:rsid w:val="00697CA5"/>
    <w:rsid w:val="006A0710"/>
    <w:rsid w:val="006A0821"/>
    <w:rsid w:val="006A2A4C"/>
    <w:rsid w:val="006A43EF"/>
    <w:rsid w:val="006A4DDA"/>
    <w:rsid w:val="006A58E8"/>
    <w:rsid w:val="006A6FB7"/>
    <w:rsid w:val="006B51A8"/>
    <w:rsid w:val="006B71A1"/>
    <w:rsid w:val="006C0A79"/>
    <w:rsid w:val="006C0EBB"/>
    <w:rsid w:val="006C1B8C"/>
    <w:rsid w:val="006C1FBB"/>
    <w:rsid w:val="006C7F91"/>
    <w:rsid w:val="006D0748"/>
    <w:rsid w:val="006D1D52"/>
    <w:rsid w:val="006D1E8C"/>
    <w:rsid w:val="006D50CC"/>
    <w:rsid w:val="006D5A7D"/>
    <w:rsid w:val="006D6AD8"/>
    <w:rsid w:val="006E31FE"/>
    <w:rsid w:val="006E3A07"/>
    <w:rsid w:val="006F3C58"/>
    <w:rsid w:val="006F4009"/>
    <w:rsid w:val="006F4B95"/>
    <w:rsid w:val="006F6226"/>
    <w:rsid w:val="00700737"/>
    <w:rsid w:val="00700F37"/>
    <w:rsid w:val="0070133A"/>
    <w:rsid w:val="007031A9"/>
    <w:rsid w:val="0070347D"/>
    <w:rsid w:val="00703BAC"/>
    <w:rsid w:val="0070552B"/>
    <w:rsid w:val="00706D06"/>
    <w:rsid w:val="00707779"/>
    <w:rsid w:val="00707B0A"/>
    <w:rsid w:val="00716E34"/>
    <w:rsid w:val="007213D4"/>
    <w:rsid w:val="00721A18"/>
    <w:rsid w:val="00722C17"/>
    <w:rsid w:val="007234E4"/>
    <w:rsid w:val="0072593F"/>
    <w:rsid w:val="00725F34"/>
    <w:rsid w:val="007267B8"/>
    <w:rsid w:val="00727D04"/>
    <w:rsid w:val="007338BB"/>
    <w:rsid w:val="00735D84"/>
    <w:rsid w:val="007466A7"/>
    <w:rsid w:val="00746B32"/>
    <w:rsid w:val="0075186E"/>
    <w:rsid w:val="00751E85"/>
    <w:rsid w:val="00757678"/>
    <w:rsid w:val="00761C91"/>
    <w:rsid w:val="00762005"/>
    <w:rsid w:val="007631DC"/>
    <w:rsid w:val="007632DA"/>
    <w:rsid w:val="007650AE"/>
    <w:rsid w:val="0077003D"/>
    <w:rsid w:val="0077450C"/>
    <w:rsid w:val="0077507B"/>
    <w:rsid w:val="007807AE"/>
    <w:rsid w:val="00781042"/>
    <w:rsid w:val="00781DE3"/>
    <w:rsid w:val="007840C2"/>
    <w:rsid w:val="007843DC"/>
    <w:rsid w:val="00785032"/>
    <w:rsid w:val="007863E4"/>
    <w:rsid w:val="00786A02"/>
    <w:rsid w:val="00787628"/>
    <w:rsid w:val="007911C6"/>
    <w:rsid w:val="007929B7"/>
    <w:rsid w:val="007935D1"/>
    <w:rsid w:val="007939AA"/>
    <w:rsid w:val="00796BEE"/>
    <w:rsid w:val="007A06AB"/>
    <w:rsid w:val="007A2057"/>
    <w:rsid w:val="007A2EF9"/>
    <w:rsid w:val="007A55CA"/>
    <w:rsid w:val="007B0170"/>
    <w:rsid w:val="007B047C"/>
    <w:rsid w:val="007B0942"/>
    <w:rsid w:val="007B1BE8"/>
    <w:rsid w:val="007B2039"/>
    <w:rsid w:val="007B4A1C"/>
    <w:rsid w:val="007B4FD0"/>
    <w:rsid w:val="007B738E"/>
    <w:rsid w:val="007B744F"/>
    <w:rsid w:val="007C5AD0"/>
    <w:rsid w:val="007C63F9"/>
    <w:rsid w:val="007D3634"/>
    <w:rsid w:val="007D53A6"/>
    <w:rsid w:val="007E0240"/>
    <w:rsid w:val="007E061E"/>
    <w:rsid w:val="007E180C"/>
    <w:rsid w:val="007E255C"/>
    <w:rsid w:val="007E3477"/>
    <w:rsid w:val="007E7716"/>
    <w:rsid w:val="007F0C12"/>
    <w:rsid w:val="007F324A"/>
    <w:rsid w:val="007F41E4"/>
    <w:rsid w:val="007F5007"/>
    <w:rsid w:val="007F55F8"/>
    <w:rsid w:val="007F7EF8"/>
    <w:rsid w:val="00800EC2"/>
    <w:rsid w:val="00801F1C"/>
    <w:rsid w:val="00806DFC"/>
    <w:rsid w:val="0081027A"/>
    <w:rsid w:val="0081143C"/>
    <w:rsid w:val="008135A3"/>
    <w:rsid w:val="00813D90"/>
    <w:rsid w:val="0081530E"/>
    <w:rsid w:val="0081631B"/>
    <w:rsid w:val="008166AD"/>
    <w:rsid w:val="00820BA6"/>
    <w:rsid w:val="00821816"/>
    <w:rsid w:val="0082439D"/>
    <w:rsid w:val="008246FF"/>
    <w:rsid w:val="008264E8"/>
    <w:rsid w:val="00826693"/>
    <w:rsid w:val="00826E4D"/>
    <w:rsid w:val="00827E54"/>
    <w:rsid w:val="00831EA2"/>
    <w:rsid w:val="00833604"/>
    <w:rsid w:val="00835684"/>
    <w:rsid w:val="008378B4"/>
    <w:rsid w:val="00841F28"/>
    <w:rsid w:val="00842AED"/>
    <w:rsid w:val="00843483"/>
    <w:rsid w:val="00845930"/>
    <w:rsid w:val="00847998"/>
    <w:rsid w:val="00850124"/>
    <w:rsid w:val="00850E26"/>
    <w:rsid w:val="008513E2"/>
    <w:rsid w:val="0085367B"/>
    <w:rsid w:val="008570B9"/>
    <w:rsid w:val="0085799D"/>
    <w:rsid w:val="00862678"/>
    <w:rsid w:val="00863F57"/>
    <w:rsid w:val="00867742"/>
    <w:rsid w:val="00867D48"/>
    <w:rsid w:val="00870DC0"/>
    <w:rsid w:val="008727F7"/>
    <w:rsid w:val="00872864"/>
    <w:rsid w:val="00875850"/>
    <w:rsid w:val="00875D59"/>
    <w:rsid w:val="00876EB9"/>
    <w:rsid w:val="008772D2"/>
    <w:rsid w:val="008808A2"/>
    <w:rsid w:val="008827C4"/>
    <w:rsid w:val="00892C8F"/>
    <w:rsid w:val="008931BF"/>
    <w:rsid w:val="008945AE"/>
    <w:rsid w:val="008972EC"/>
    <w:rsid w:val="00897FE3"/>
    <w:rsid w:val="008A1DE7"/>
    <w:rsid w:val="008A3645"/>
    <w:rsid w:val="008A511E"/>
    <w:rsid w:val="008A5A66"/>
    <w:rsid w:val="008A6C56"/>
    <w:rsid w:val="008A7009"/>
    <w:rsid w:val="008B635F"/>
    <w:rsid w:val="008B7001"/>
    <w:rsid w:val="008C5959"/>
    <w:rsid w:val="008C6DC6"/>
    <w:rsid w:val="008D281F"/>
    <w:rsid w:val="008D2EFF"/>
    <w:rsid w:val="008E07C0"/>
    <w:rsid w:val="008E0E98"/>
    <w:rsid w:val="008E5FEA"/>
    <w:rsid w:val="008F1451"/>
    <w:rsid w:val="008F1DF5"/>
    <w:rsid w:val="008F34BC"/>
    <w:rsid w:val="008F50C4"/>
    <w:rsid w:val="008F5FA2"/>
    <w:rsid w:val="008F67F9"/>
    <w:rsid w:val="008F74F8"/>
    <w:rsid w:val="00900718"/>
    <w:rsid w:val="00900DF4"/>
    <w:rsid w:val="0090325E"/>
    <w:rsid w:val="00903A14"/>
    <w:rsid w:val="009046F3"/>
    <w:rsid w:val="00906BC2"/>
    <w:rsid w:val="0091022E"/>
    <w:rsid w:val="00912CF7"/>
    <w:rsid w:val="00913BD4"/>
    <w:rsid w:val="009152C8"/>
    <w:rsid w:val="00917960"/>
    <w:rsid w:val="00917A99"/>
    <w:rsid w:val="009245B0"/>
    <w:rsid w:val="00927166"/>
    <w:rsid w:val="00927C22"/>
    <w:rsid w:val="0093250F"/>
    <w:rsid w:val="009327C1"/>
    <w:rsid w:val="00932870"/>
    <w:rsid w:val="00934679"/>
    <w:rsid w:val="009355F2"/>
    <w:rsid w:val="00935C91"/>
    <w:rsid w:val="0093678E"/>
    <w:rsid w:val="009379BA"/>
    <w:rsid w:val="00937D12"/>
    <w:rsid w:val="00940C47"/>
    <w:rsid w:val="00941AD9"/>
    <w:rsid w:val="009462B1"/>
    <w:rsid w:val="009510F6"/>
    <w:rsid w:val="00951AB3"/>
    <w:rsid w:val="00951CAF"/>
    <w:rsid w:val="00953577"/>
    <w:rsid w:val="0095547F"/>
    <w:rsid w:val="00955560"/>
    <w:rsid w:val="0095596D"/>
    <w:rsid w:val="00956408"/>
    <w:rsid w:val="009609C1"/>
    <w:rsid w:val="009642BB"/>
    <w:rsid w:val="0096443C"/>
    <w:rsid w:val="009651CC"/>
    <w:rsid w:val="00966E51"/>
    <w:rsid w:val="009673C6"/>
    <w:rsid w:val="00967E14"/>
    <w:rsid w:val="00972B82"/>
    <w:rsid w:val="0097383D"/>
    <w:rsid w:val="00975C89"/>
    <w:rsid w:val="00976305"/>
    <w:rsid w:val="009778D6"/>
    <w:rsid w:val="00981401"/>
    <w:rsid w:val="00983C1B"/>
    <w:rsid w:val="00987588"/>
    <w:rsid w:val="00987713"/>
    <w:rsid w:val="00987943"/>
    <w:rsid w:val="00990318"/>
    <w:rsid w:val="00991658"/>
    <w:rsid w:val="009929BF"/>
    <w:rsid w:val="00993590"/>
    <w:rsid w:val="00993FA6"/>
    <w:rsid w:val="00994CCA"/>
    <w:rsid w:val="00994E24"/>
    <w:rsid w:val="009A0A4C"/>
    <w:rsid w:val="009A291E"/>
    <w:rsid w:val="009A2973"/>
    <w:rsid w:val="009A3335"/>
    <w:rsid w:val="009A3F92"/>
    <w:rsid w:val="009A550B"/>
    <w:rsid w:val="009A59D1"/>
    <w:rsid w:val="009B128A"/>
    <w:rsid w:val="009B3504"/>
    <w:rsid w:val="009B3547"/>
    <w:rsid w:val="009B3CEF"/>
    <w:rsid w:val="009B3D41"/>
    <w:rsid w:val="009B489A"/>
    <w:rsid w:val="009B57DA"/>
    <w:rsid w:val="009B612C"/>
    <w:rsid w:val="009C0284"/>
    <w:rsid w:val="009C0B0A"/>
    <w:rsid w:val="009C1BDB"/>
    <w:rsid w:val="009C35CA"/>
    <w:rsid w:val="009C3E2A"/>
    <w:rsid w:val="009C7035"/>
    <w:rsid w:val="009C7451"/>
    <w:rsid w:val="009C7F55"/>
    <w:rsid w:val="009D159E"/>
    <w:rsid w:val="009D2649"/>
    <w:rsid w:val="009D28FB"/>
    <w:rsid w:val="009D2F6E"/>
    <w:rsid w:val="009D34F5"/>
    <w:rsid w:val="009D4451"/>
    <w:rsid w:val="009D47E8"/>
    <w:rsid w:val="009D628E"/>
    <w:rsid w:val="009E7E31"/>
    <w:rsid w:val="009F05AE"/>
    <w:rsid w:val="009F3087"/>
    <w:rsid w:val="009F3E26"/>
    <w:rsid w:val="009F4069"/>
    <w:rsid w:val="009F72EE"/>
    <w:rsid w:val="009F7DA6"/>
    <w:rsid w:val="00A01DE1"/>
    <w:rsid w:val="00A02112"/>
    <w:rsid w:val="00A02B80"/>
    <w:rsid w:val="00A036BC"/>
    <w:rsid w:val="00A06D62"/>
    <w:rsid w:val="00A10EC4"/>
    <w:rsid w:val="00A11D63"/>
    <w:rsid w:val="00A12B3C"/>
    <w:rsid w:val="00A13F30"/>
    <w:rsid w:val="00A16681"/>
    <w:rsid w:val="00A20960"/>
    <w:rsid w:val="00A216AE"/>
    <w:rsid w:val="00A221F9"/>
    <w:rsid w:val="00A224AA"/>
    <w:rsid w:val="00A242C0"/>
    <w:rsid w:val="00A2687F"/>
    <w:rsid w:val="00A30A5C"/>
    <w:rsid w:val="00A31C6B"/>
    <w:rsid w:val="00A3267C"/>
    <w:rsid w:val="00A33EDF"/>
    <w:rsid w:val="00A35207"/>
    <w:rsid w:val="00A367A7"/>
    <w:rsid w:val="00A41ACF"/>
    <w:rsid w:val="00A421DD"/>
    <w:rsid w:val="00A42CB9"/>
    <w:rsid w:val="00A42E1A"/>
    <w:rsid w:val="00A44752"/>
    <w:rsid w:val="00A45556"/>
    <w:rsid w:val="00A459A6"/>
    <w:rsid w:val="00A45A3F"/>
    <w:rsid w:val="00A45AEF"/>
    <w:rsid w:val="00A47001"/>
    <w:rsid w:val="00A4706E"/>
    <w:rsid w:val="00A50807"/>
    <w:rsid w:val="00A51F4C"/>
    <w:rsid w:val="00A52356"/>
    <w:rsid w:val="00A53327"/>
    <w:rsid w:val="00A551AA"/>
    <w:rsid w:val="00A611D5"/>
    <w:rsid w:val="00A62BBE"/>
    <w:rsid w:val="00A631A5"/>
    <w:rsid w:val="00A714E5"/>
    <w:rsid w:val="00A722B7"/>
    <w:rsid w:val="00A72BC1"/>
    <w:rsid w:val="00A72E66"/>
    <w:rsid w:val="00A7412E"/>
    <w:rsid w:val="00A7647E"/>
    <w:rsid w:val="00A76EA6"/>
    <w:rsid w:val="00A77FAE"/>
    <w:rsid w:val="00A8089A"/>
    <w:rsid w:val="00A81ADD"/>
    <w:rsid w:val="00A82ADF"/>
    <w:rsid w:val="00A84F84"/>
    <w:rsid w:val="00A851F3"/>
    <w:rsid w:val="00A91AC0"/>
    <w:rsid w:val="00A92466"/>
    <w:rsid w:val="00A926EE"/>
    <w:rsid w:val="00A92C56"/>
    <w:rsid w:val="00A95F2F"/>
    <w:rsid w:val="00AA17E8"/>
    <w:rsid w:val="00AA6338"/>
    <w:rsid w:val="00AA6D2A"/>
    <w:rsid w:val="00AB14A6"/>
    <w:rsid w:val="00AB2E8B"/>
    <w:rsid w:val="00AB4ED8"/>
    <w:rsid w:val="00AB6F2C"/>
    <w:rsid w:val="00AB76EE"/>
    <w:rsid w:val="00AC0922"/>
    <w:rsid w:val="00AD12A6"/>
    <w:rsid w:val="00AD158D"/>
    <w:rsid w:val="00AD21DF"/>
    <w:rsid w:val="00AD239B"/>
    <w:rsid w:val="00AD2809"/>
    <w:rsid w:val="00AD333F"/>
    <w:rsid w:val="00AD3C1E"/>
    <w:rsid w:val="00AD3DE3"/>
    <w:rsid w:val="00AD6614"/>
    <w:rsid w:val="00AE0FD4"/>
    <w:rsid w:val="00AE3431"/>
    <w:rsid w:val="00AF066C"/>
    <w:rsid w:val="00AF22FE"/>
    <w:rsid w:val="00AF7C39"/>
    <w:rsid w:val="00B02B56"/>
    <w:rsid w:val="00B03BE6"/>
    <w:rsid w:val="00B04A97"/>
    <w:rsid w:val="00B115A9"/>
    <w:rsid w:val="00B13424"/>
    <w:rsid w:val="00B1511C"/>
    <w:rsid w:val="00B160BF"/>
    <w:rsid w:val="00B169E7"/>
    <w:rsid w:val="00B22A3E"/>
    <w:rsid w:val="00B26800"/>
    <w:rsid w:val="00B301BA"/>
    <w:rsid w:val="00B320B9"/>
    <w:rsid w:val="00B32140"/>
    <w:rsid w:val="00B34066"/>
    <w:rsid w:val="00B40492"/>
    <w:rsid w:val="00B4057A"/>
    <w:rsid w:val="00B4348D"/>
    <w:rsid w:val="00B440ED"/>
    <w:rsid w:val="00B44E13"/>
    <w:rsid w:val="00B450D6"/>
    <w:rsid w:val="00B45A71"/>
    <w:rsid w:val="00B52708"/>
    <w:rsid w:val="00B5372F"/>
    <w:rsid w:val="00B54C45"/>
    <w:rsid w:val="00B54EBC"/>
    <w:rsid w:val="00B56511"/>
    <w:rsid w:val="00B5654E"/>
    <w:rsid w:val="00B61065"/>
    <w:rsid w:val="00B64758"/>
    <w:rsid w:val="00B64B48"/>
    <w:rsid w:val="00B6589E"/>
    <w:rsid w:val="00B66723"/>
    <w:rsid w:val="00B66A91"/>
    <w:rsid w:val="00B67B04"/>
    <w:rsid w:val="00B74EAE"/>
    <w:rsid w:val="00B750ED"/>
    <w:rsid w:val="00B75AF6"/>
    <w:rsid w:val="00B778FB"/>
    <w:rsid w:val="00B7792E"/>
    <w:rsid w:val="00B80C9F"/>
    <w:rsid w:val="00B8101E"/>
    <w:rsid w:val="00B81A8A"/>
    <w:rsid w:val="00B85B75"/>
    <w:rsid w:val="00B9255E"/>
    <w:rsid w:val="00B92B54"/>
    <w:rsid w:val="00B93565"/>
    <w:rsid w:val="00B93B5D"/>
    <w:rsid w:val="00B947BF"/>
    <w:rsid w:val="00B962CA"/>
    <w:rsid w:val="00BA16D0"/>
    <w:rsid w:val="00BA3BD5"/>
    <w:rsid w:val="00BA4715"/>
    <w:rsid w:val="00BB11BC"/>
    <w:rsid w:val="00BB20BC"/>
    <w:rsid w:val="00BB2311"/>
    <w:rsid w:val="00BB3FD2"/>
    <w:rsid w:val="00BB432B"/>
    <w:rsid w:val="00BB4CB8"/>
    <w:rsid w:val="00BB5A14"/>
    <w:rsid w:val="00BB6DF9"/>
    <w:rsid w:val="00BC15F1"/>
    <w:rsid w:val="00BC22E3"/>
    <w:rsid w:val="00BC5230"/>
    <w:rsid w:val="00BC75D3"/>
    <w:rsid w:val="00BD54B8"/>
    <w:rsid w:val="00BD658C"/>
    <w:rsid w:val="00BE0135"/>
    <w:rsid w:val="00BE254B"/>
    <w:rsid w:val="00BE4695"/>
    <w:rsid w:val="00BE49FF"/>
    <w:rsid w:val="00BE7A82"/>
    <w:rsid w:val="00BF1D40"/>
    <w:rsid w:val="00BF2F5D"/>
    <w:rsid w:val="00BF553A"/>
    <w:rsid w:val="00C00E0C"/>
    <w:rsid w:val="00C03CC0"/>
    <w:rsid w:val="00C07069"/>
    <w:rsid w:val="00C07343"/>
    <w:rsid w:val="00C12791"/>
    <w:rsid w:val="00C2022F"/>
    <w:rsid w:val="00C2231B"/>
    <w:rsid w:val="00C25738"/>
    <w:rsid w:val="00C31D78"/>
    <w:rsid w:val="00C33F6E"/>
    <w:rsid w:val="00C34733"/>
    <w:rsid w:val="00C43CB3"/>
    <w:rsid w:val="00C464AE"/>
    <w:rsid w:val="00C50FBF"/>
    <w:rsid w:val="00C52AE2"/>
    <w:rsid w:val="00C5399D"/>
    <w:rsid w:val="00C55555"/>
    <w:rsid w:val="00C559AA"/>
    <w:rsid w:val="00C60C84"/>
    <w:rsid w:val="00C6456C"/>
    <w:rsid w:val="00C646F7"/>
    <w:rsid w:val="00C64B00"/>
    <w:rsid w:val="00C658AB"/>
    <w:rsid w:val="00C65A84"/>
    <w:rsid w:val="00C66984"/>
    <w:rsid w:val="00C70534"/>
    <w:rsid w:val="00C70B5E"/>
    <w:rsid w:val="00C70C6F"/>
    <w:rsid w:val="00C70DBD"/>
    <w:rsid w:val="00C725A7"/>
    <w:rsid w:val="00C816D6"/>
    <w:rsid w:val="00C82D58"/>
    <w:rsid w:val="00C830DA"/>
    <w:rsid w:val="00C83F95"/>
    <w:rsid w:val="00C8688D"/>
    <w:rsid w:val="00C87777"/>
    <w:rsid w:val="00C87C3F"/>
    <w:rsid w:val="00C91F3C"/>
    <w:rsid w:val="00C92659"/>
    <w:rsid w:val="00CA349A"/>
    <w:rsid w:val="00CA6B17"/>
    <w:rsid w:val="00CA6CBB"/>
    <w:rsid w:val="00CB3780"/>
    <w:rsid w:val="00CB58AA"/>
    <w:rsid w:val="00CB5BE0"/>
    <w:rsid w:val="00CC2AF0"/>
    <w:rsid w:val="00CC4FA7"/>
    <w:rsid w:val="00CC5861"/>
    <w:rsid w:val="00CC5C98"/>
    <w:rsid w:val="00CC68D2"/>
    <w:rsid w:val="00CC72E4"/>
    <w:rsid w:val="00CD38C5"/>
    <w:rsid w:val="00CE1AD9"/>
    <w:rsid w:val="00CE6CEE"/>
    <w:rsid w:val="00CE6E29"/>
    <w:rsid w:val="00CE73F2"/>
    <w:rsid w:val="00CF2922"/>
    <w:rsid w:val="00CF2EC4"/>
    <w:rsid w:val="00CF4D41"/>
    <w:rsid w:val="00D005C7"/>
    <w:rsid w:val="00D03259"/>
    <w:rsid w:val="00D03566"/>
    <w:rsid w:val="00D04B30"/>
    <w:rsid w:val="00D04DBB"/>
    <w:rsid w:val="00D052D5"/>
    <w:rsid w:val="00D06144"/>
    <w:rsid w:val="00D061FF"/>
    <w:rsid w:val="00D0631F"/>
    <w:rsid w:val="00D116CA"/>
    <w:rsid w:val="00D11EFC"/>
    <w:rsid w:val="00D1222D"/>
    <w:rsid w:val="00D12357"/>
    <w:rsid w:val="00D13364"/>
    <w:rsid w:val="00D13528"/>
    <w:rsid w:val="00D14B6A"/>
    <w:rsid w:val="00D14D4E"/>
    <w:rsid w:val="00D24C7E"/>
    <w:rsid w:val="00D257E0"/>
    <w:rsid w:val="00D306B3"/>
    <w:rsid w:val="00D314F6"/>
    <w:rsid w:val="00D327CE"/>
    <w:rsid w:val="00D329E7"/>
    <w:rsid w:val="00D42581"/>
    <w:rsid w:val="00D42BD3"/>
    <w:rsid w:val="00D4365F"/>
    <w:rsid w:val="00D44440"/>
    <w:rsid w:val="00D44E38"/>
    <w:rsid w:val="00D51212"/>
    <w:rsid w:val="00D52450"/>
    <w:rsid w:val="00D556B9"/>
    <w:rsid w:val="00D57A52"/>
    <w:rsid w:val="00D6148C"/>
    <w:rsid w:val="00D71BE4"/>
    <w:rsid w:val="00D80589"/>
    <w:rsid w:val="00D80A0D"/>
    <w:rsid w:val="00D80F84"/>
    <w:rsid w:val="00D82209"/>
    <w:rsid w:val="00D84DED"/>
    <w:rsid w:val="00D85496"/>
    <w:rsid w:val="00D86801"/>
    <w:rsid w:val="00D90008"/>
    <w:rsid w:val="00D9275F"/>
    <w:rsid w:val="00DA065B"/>
    <w:rsid w:val="00DA5E0D"/>
    <w:rsid w:val="00DA6708"/>
    <w:rsid w:val="00DB182B"/>
    <w:rsid w:val="00DB2A80"/>
    <w:rsid w:val="00DB3320"/>
    <w:rsid w:val="00DB3FEB"/>
    <w:rsid w:val="00DB5156"/>
    <w:rsid w:val="00DB6135"/>
    <w:rsid w:val="00DC229A"/>
    <w:rsid w:val="00DC4073"/>
    <w:rsid w:val="00DD141D"/>
    <w:rsid w:val="00DD328B"/>
    <w:rsid w:val="00DD7067"/>
    <w:rsid w:val="00DD7572"/>
    <w:rsid w:val="00DE1063"/>
    <w:rsid w:val="00DE2E88"/>
    <w:rsid w:val="00DE4E65"/>
    <w:rsid w:val="00DF25EB"/>
    <w:rsid w:val="00DF31A3"/>
    <w:rsid w:val="00DF3F03"/>
    <w:rsid w:val="00E03C60"/>
    <w:rsid w:val="00E05CE3"/>
    <w:rsid w:val="00E07952"/>
    <w:rsid w:val="00E13320"/>
    <w:rsid w:val="00E14A50"/>
    <w:rsid w:val="00E151EB"/>
    <w:rsid w:val="00E17907"/>
    <w:rsid w:val="00E17B00"/>
    <w:rsid w:val="00E22CBB"/>
    <w:rsid w:val="00E22D53"/>
    <w:rsid w:val="00E257ED"/>
    <w:rsid w:val="00E306F7"/>
    <w:rsid w:val="00E3286E"/>
    <w:rsid w:val="00E3349A"/>
    <w:rsid w:val="00E352E8"/>
    <w:rsid w:val="00E357C3"/>
    <w:rsid w:val="00E36415"/>
    <w:rsid w:val="00E364E1"/>
    <w:rsid w:val="00E374E4"/>
    <w:rsid w:val="00E401B9"/>
    <w:rsid w:val="00E42BBF"/>
    <w:rsid w:val="00E43470"/>
    <w:rsid w:val="00E43966"/>
    <w:rsid w:val="00E448EE"/>
    <w:rsid w:val="00E44D07"/>
    <w:rsid w:val="00E44DD3"/>
    <w:rsid w:val="00E546A6"/>
    <w:rsid w:val="00E548C3"/>
    <w:rsid w:val="00E56916"/>
    <w:rsid w:val="00E57CD3"/>
    <w:rsid w:val="00E614F9"/>
    <w:rsid w:val="00E62629"/>
    <w:rsid w:val="00E67EE6"/>
    <w:rsid w:val="00E71130"/>
    <w:rsid w:val="00E74DC3"/>
    <w:rsid w:val="00E74EBD"/>
    <w:rsid w:val="00E76282"/>
    <w:rsid w:val="00E77363"/>
    <w:rsid w:val="00E77396"/>
    <w:rsid w:val="00E812C9"/>
    <w:rsid w:val="00E865AE"/>
    <w:rsid w:val="00E93527"/>
    <w:rsid w:val="00E94302"/>
    <w:rsid w:val="00E966A4"/>
    <w:rsid w:val="00E966E0"/>
    <w:rsid w:val="00EA2ADF"/>
    <w:rsid w:val="00EA5407"/>
    <w:rsid w:val="00EA7A26"/>
    <w:rsid w:val="00EB0758"/>
    <w:rsid w:val="00EB2C98"/>
    <w:rsid w:val="00EB3B83"/>
    <w:rsid w:val="00EB3BE6"/>
    <w:rsid w:val="00EB7118"/>
    <w:rsid w:val="00EC1A25"/>
    <w:rsid w:val="00EC23DB"/>
    <w:rsid w:val="00EC2A31"/>
    <w:rsid w:val="00EC2BA3"/>
    <w:rsid w:val="00EC52DB"/>
    <w:rsid w:val="00EC7161"/>
    <w:rsid w:val="00EC75D9"/>
    <w:rsid w:val="00EE29EE"/>
    <w:rsid w:val="00EE3456"/>
    <w:rsid w:val="00EE4639"/>
    <w:rsid w:val="00EE523B"/>
    <w:rsid w:val="00EE5E65"/>
    <w:rsid w:val="00EF2834"/>
    <w:rsid w:val="00EF2EE1"/>
    <w:rsid w:val="00EF5A93"/>
    <w:rsid w:val="00EF666D"/>
    <w:rsid w:val="00F00081"/>
    <w:rsid w:val="00F0036D"/>
    <w:rsid w:val="00F019F7"/>
    <w:rsid w:val="00F054D2"/>
    <w:rsid w:val="00F07562"/>
    <w:rsid w:val="00F10C51"/>
    <w:rsid w:val="00F10F95"/>
    <w:rsid w:val="00F168A2"/>
    <w:rsid w:val="00F16C96"/>
    <w:rsid w:val="00F17008"/>
    <w:rsid w:val="00F21168"/>
    <w:rsid w:val="00F229E8"/>
    <w:rsid w:val="00F261D5"/>
    <w:rsid w:val="00F301F2"/>
    <w:rsid w:val="00F32949"/>
    <w:rsid w:val="00F360F2"/>
    <w:rsid w:val="00F41EA3"/>
    <w:rsid w:val="00F43552"/>
    <w:rsid w:val="00F43657"/>
    <w:rsid w:val="00F46254"/>
    <w:rsid w:val="00F50564"/>
    <w:rsid w:val="00F51310"/>
    <w:rsid w:val="00F51527"/>
    <w:rsid w:val="00F56827"/>
    <w:rsid w:val="00F56C35"/>
    <w:rsid w:val="00F60678"/>
    <w:rsid w:val="00F60CCB"/>
    <w:rsid w:val="00F6154A"/>
    <w:rsid w:val="00F61C83"/>
    <w:rsid w:val="00F638A4"/>
    <w:rsid w:val="00F64D24"/>
    <w:rsid w:val="00F663E0"/>
    <w:rsid w:val="00F664EF"/>
    <w:rsid w:val="00F66B68"/>
    <w:rsid w:val="00F7118D"/>
    <w:rsid w:val="00F7183D"/>
    <w:rsid w:val="00F71A57"/>
    <w:rsid w:val="00F7388F"/>
    <w:rsid w:val="00F73898"/>
    <w:rsid w:val="00F75E31"/>
    <w:rsid w:val="00F828BE"/>
    <w:rsid w:val="00F8305F"/>
    <w:rsid w:val="00F8627A"/>
    <w:rsid w:val="00F95E86"/>
    <w:rsid w:val="00FA1211"/>
    <w:rsid w:val="00FA2CEE"/>
    <w:rsid w:val="00FA3510"/>
    <w:rsid w:val="00FA73BB"/>
    <w:rsid w:val="00FB0B67"/>
    <w:rsid w:val="00FB0D9A"/>
    <w:rsid w:val="00FB3978"/>
    <w:rsid w:val="00FB7DA7"/>
    <w:rsid w:val="00FC26F0"/>
    <w:rsid w:val="00FC5718"/>
    <w:rsid w:val="00FD02C8"/>
    <w:rsid w:val="00FD0E5F"/>
    <w:rsid w:val="00FD26CB"/>
    <w:rsid w:val="00FD2C6F"/>
    <w:rsid w:val="00FD35D5"/>
    <w:rsid w:val="00FD3BE9"/>
    <w:rsid w:val="00FD7154"/>
    <w:rsid w:val="00FE4378"/>
    <w:rsid w:val="00FE55DC"/>
    <w:rsid w:val="00FE7CC9"/>
    <w:rsid w:val="00FF0425"/>
    <w:rsid w:val="00FF4C0D"/>
    <w:rsid w:val="00FF51F0"/>
    <w:rsid w:val="00FF703F"/>
    <w:rsid w:val="00FF7171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C292A41A-40D2-4DFF-9299-3D6F0281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20B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D0E5F"/>
    <w:pPr>
      <w:keepNext/>
      <w:keepLines/>
      <w:numPr>
        <w:numId w:val="5"/>
      </w:numPr>
      <w:spacing w:before="6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3ED1"/>
    <w:pPr>
      <w:keepNext/>
      <w:keepLines/>
      <w:numPr>
        <w:ilvl w:val="1"/>
        <w:numId w:val="5"/>
      </w:numPr>
      <w:spacing w:before="240" w:after="0"/>
      <w:ind w:left="578" w:hanging="578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1BDB"/>
    <w:pPr>
      <w:keepNext/>
      <w:keepLines/>
      <w:numPr>
        <w:ilvl w:val="2"/>
        <w:numId w:val="5"/>
      </w:numPr>
      <w:spacing w:before="18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922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922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922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922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922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922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E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C52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230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paragraph" w:styleId="Header">
    <w:name w:val="header"/>
    <w:basedOn w:val="Normal"/>
    <w:link w:val="HeaderChar"/>
    <w:uiPriority w:val="99"/>
    <w:unhideWhenUsed/>
    <w:rsid w:val="00BC5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230"/>
  </w:style>
  <w:style w:type="paragraph" w:styleId="Footer">
    <w:name w:val="footer"/>
    <w:basedOn w:val="Normal"/>
    <w:link w:val="FooterChar"/>
    <w:unhideWhenUsed/>
    <w:rsid w:val="00BC5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C5230"/>
  </w:style>
  <w:style w:type="character" w:styleId="PlaceholderText">
    <w:name w:val="Placeholder Text"/>
    <w:basedOn w:val="DefaultParagraphFont"/>
    <w:uiPriority w:val="99"/>
    <w:semiHidden/>
    <w:rsid w:val="00BC523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433E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1B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B71A1"/>
    <w:rPr>
      <w:b/>
      <w:bCs/>
    </w:rPr>
  </w:style>
  <w:style w:type="paragraph" w:styleId="ListParagraph">
    <w:name w:val="List Paragraph"/>
    <w:basedOn w:val="Normal"/>
    <w:uiPriority w:val="34"/>
    <w:qFormat/>
    <w:rsid w:val="004F6D61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51B"/>
    <w:pPr>
      <w:pBdr>
        <w:top w:val="single" w:sz="4" w:space="10" w:color="5B9BD5" w:themeColor="accent1"/>
        <w:bottom w:val="single" w:sz="4" w:space="10" w:color="5B9BD5" w:themeColor="accent1"/>
      </w:pBdr>
      <w:spacing w:before="120" w:after="360"/>
      <w:ind w:left="862" w:right="862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51B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4F6D61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4F6D61"/>
    <w:rPr>
      <w:smallCaps/>
      <w:color w:val="5A5A5A" w:themeColor="text1" w:themeTint="A5"/>
    </w:rPr>
  </w:style>
  <w:style w:type="paragraph" w:customStyle="1" w:styleId="SimpleHeading">
    <w:name w:val="Simple Heading"/>
    <w:basedOn w:val="Normal"/>
    <w:link w:val="SimpleHeadingChar"/>
    <w:qFormat/>
    <w:rsid w:val="004F6D61"/>
    <w:pPr>
      <w:keepNext/>
    </w:pPr>
    <w:rPr>
      <w:b/>
    </w:rPr>
  </w:style>
  <w:style w:type="character" w:customStyle="1" w:styleId="SimpleHeadingChar">
    <w:name w:val="Simple Heading Char"/>
    <w:basedOn w:val="DefaultParagraphFont"/>
    <w:link w:val="SimpleHeading"/>
    <w:rsid w:val="004F6D61"/>
    <w:rPr>
      <w:b/>
    </w:rPr>
  </w:style>
  <w:style w:type="paragraph" w:customStyle="1" w:styleId="Ideas">
    <w:name w:val="Ideas"/>
    <w:basedOn w:val="Heading1"/>
    <w:link w:val="IdeasChar"/>
    <w:qFormat/>
    <w:rsid w:val="00322ADF"/>
    <w:rPr>
      <w:color w:val="70AD47" w:themeColor="accent6"/>
    </w:rPr>
  </w:style>
  <w:style w:type="character" w:customStyle="1" w:styleId="IdeasChar">
    <w:name w:val="Ideas Char"/>
    <w:basedOn w:val="Heading1Char"/>
    <w:link w:val="Ideas"/>
    <w:rsid w:val="00322ADF"/>
    <w:rPr>
      <w:rFonts w:asciiTheme="majorHAnsi" w:eastAsiaTheme="majorEastAsia" w:hAnsiTheme="majorHAnsi" w:cstheme="majorBidi"/>
      <w:color w:val="70AD47" w:themeColor="accent6"/>
      <w:sz w:val="32"/>
      <w:szCs w:val="32"/>
    </w:rPr>
  </w:style>
  <w:style w:type="character" w:styleId="Hyperlink">
    <w:name w:val="Hyperlink"/>
    <w:aliases w:val="CEO_Hyperlink"/>
    <w:basedOn w:val="DefaultParagraphFont"/>
    <w:uiPriority w:val="99"/>
    <w:unhideWhenUsed/>
    <w:rsid w:val="00322AD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2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322AD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81DE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5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1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1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1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1F0"/>
    <w:rPr>
      <w:rFonts w:ascii="Segoe UI" w:hAnsi="Segoe UI" w:cs="Segoe UI"/>
      <w:sz w:val="18"/>
      <w:szCs w:val="18"/>
    </w:rPr>
  </w:style>
  <w:style w:type="paragraph" w:customStyle="1" w:styleId="Otherideas">
    <w:name w:val="Other ideas"/>
    <w:basedOn w:val="Heading2"/>
    <w:link w:val="OtherideasChar"/>
    <w:qFormat/>
    <w:rsid w:val="00FA2CEE"/>
    <w:rPr>
      <w:color w:val="538135" w:themeColor="accent6" w:themeShade="BF"/>
    </w:rPr>
  </w:style>
  <w:style w:type="character" w:customStyle="1" w:styleId="OtherideasChar">
    <w:name w:val="Other ideas Char"/>
    <w:basedOn w:val="Heading2Char"/>
    <w:link w:val="Otherideas"/>
    <w:rsid w:val="00FA2CEE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92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92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92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92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9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9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PlainTable21">
    <w:name w:val="Plain Table 21"/>
    <w:basedOn w:val="TableNormal"/>
    <w:uiPriority w:val="42"/>
    <w:rsid w:val="007E347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F664EF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51620B"/>
    <w:pPr>
      <w:keepLines/>
      <w:tabs>
        <w:tab w:val="left" w:pos="256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" w:after="0" w:line="240" w:lineRule="auto"/>
      <w:ind w:left="255" w:hanging="255"/>
      <w:jc w:val="left"/>
      <w:textAlignment w:val="baseline"/>
    </w:pPr>
    <w:rPr>
      <w:rFonts w:ascii="Calibri" w:eastAsia="Times New Roman" w:hAnsi="Calibri" w:cs="Times New Roman"/>
      <w:sz w:val="18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1620B"/>
    <w:rPr>
      <w:rFonts w:ascii="Calibri" w:eastAsia="Times New Roman" w:hAnsi="Calibri" w:cs="Times New Roman"/>
      <w:sz w:val="18"/>
      <w:szCs w:val="20"/>
      <w:lang w:val="en-GB"/>
    </w:rPr>
  </w:style>
  <w:style w:type="table" w:customStyle="1" w:styleId="GridTable4-Accent11">
    <w:name w:val="Grid Table 4 - Accent 11"/>
    <w:basedOn w:val="TableNormal"/>
    <w:uiPriority w:val="49"/>
    <w:rsid w:val="0063523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Outputdescription">
    <w:name w:val="Output description"/>
    <w:basedOn w:val="Normal"/>
    <w:qFormat/>
    <w:rsid w:val="004A20C6"/>
    <w:pPr>
      <w:spacing w:after="60"/>
    </w:pPr>
    <w:rPr>
      <w:sz w:val="20"/>
    </w:rPr>
  </w:style>
  <w:style w:type="table" w:customStyle="1" w:styleId="GridTable4-Accent12">
    <w:name w:val="Grid Table 4 - Accent 12"/>
    <w:basedOn w:val="TableNormal"/>
    <w:uiPriority w:val="49"/>
    <w:rsid w:val="00BE013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PlainTable22">
    <w:name w:val="Plain Table 22"/>
    <w:basedOn w:val="TableNormal"/>
    <w:uiPriority w:val="42"/>
    <w:rsid w:val="00E5691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ghtList-Accent1">
    <w:name w:val="Light List Accent 1"/>
    <w:basedOn w:val="TableNormal"/>
    <w:uiPriority w:val="61"/>
    <w:rsid w:val="00E5691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05346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057DA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54C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ListTable3-Accent1">
    <w:name w:val="List Table 3 Accent 1"/>
    <w:basedOn w:val="TableNormal"/>
    <w:uiPriority w:val="48"/>
    <w:rsid w:val="007466A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Revision">
    <w:name w:val="Revision"/>
    <w:hidden/>
    <w:uiPriority w:val="99"/>
    <w:semiHidden/>
    <w:rsid w:val="00D04DBB"/>
    <w:pPr>
      <w:spacing w:after="0" w:line="240" w:lineRule="auto"/>
    </w:pPr>
  </w:style>
  <w:style w:type="paragraph" w:customStyle="1" w:styleId="Docnumber">
    <w:name w:val="Docnumber"/>
    <w:basedOn w:val="Normal"/>
    <w:link w:val="DocnumberChar"/>
    <w:rsid w:val="000355F7"/>
    <w:pPr>
      <w:spacing w:before="120"/>
      <w:jc w:val="right"/>
    </w:pPr>
    <w:rPr>
      <w:rFonts w:ascii="Times New Roman" w:hAnsi="Times New Roman" w:cs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0355F7"/>
    <w:rPr>
      <w:rFonts w:ascii="Times New Roman" w:hAnsi="Times New Roman" w:cs="Times New Roman"/>
      <w:b/>
      <w:bCs/>
      <w:sz w:val="40"/>
    </w:rPr>
  </w:style>
  <w:style w:type="paragraph" w:customStyle="1" w:styleId="Normalaftertitle">
    <w:name w:val="Normal after title"/>
    <w:basedOn w:val="Normal"/>
    <w:next w:val="Normal"/>
    <w:rsid w:val="002C38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after="0" w:line="240" w:lineRule="auto"/>
      <w:jc w:val="left"/>
      <w:textAlignment w:val="baseline"/>
    </w:pPr>
    <w:rPr>
      <w:rFonts w:eastAsia="Times New Roman" w:cs="Times New Roman"/>
      <w:sz w:val="24"/>
      <w:szCs w:val="20"/>
      <w:lang w:val="en-GB"/>
    </w:rPr>
  </w:style>
  <w:style w:type="paragraph" w:customStyle="1" w:styleId="Source">
    <w:name w:val="Source"/>
    <w:basedOn w:val="Normal"/>
    <w:next w:val="Normalaftertitle"/>
    <w:rsid w:val="002C38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/>
    </w:rPr>
  </w:style>
  <w:style w:type="paragraph" w:customStyle="1" w:styleId="Title1">
    <w:name w:val="Title 1"/>
    <w:basedOn w:val="Source"/>
    <w:next w:val="Normal"/>
    <w:rsid w:val="002C38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Committee">
    <w:name w:val="Committee"/>
    <w:basedOn w:val="Normal"/>
    <w:qFormat/>
    <w:rsid w:val="002C38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left"/>
      <w:textAlignment w:val="baseline"/>
    </w:pPr>
    <w:rPr>
      <w:rFonts w:eastAsia="Times New Roman" w:cs="Times New Roman Bold"/>
      <w:b/>
      <w:caps/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rsid w:val="00EF2834"/>
    <w:pPr>
      <w:numPr>
        <w:ilvl w:val="0"/>
        <w:numId w:val="0"/>
      </w:num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ascii="Calibri" w:eastAsia="Times New Roman" w:hAnsi="Calibri" w:cs="Times New Roman"/>
      <w:b/>
      <w:color w:val="auto"/>
      <w:szCs w:val="20"/>
      <w:lang w:val="en-GB"/>
    </w:rPr>
  </w:style>
  <w:style w:type="paragraph" w:customStyle="1" w:styleId="Table">
    <w:name w:val="Table_#"/>
    <w:basedOn w:val="Normal"/>
    <w:next w:val="Normal"/>
    <w:rsid w:val="00EF2834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Telecomhead">
    <w:name w:val="Telecom head"/>
    <w:basedOn w:val="Normal"/>
    <w:rsid w:val="00003F10"/>
    <w:pPr>
      <w:spacing w:before="120" w:after="120" w:line="240" w:lineRule="auto"/>
      <w:jc w:val="center"/>
    </w:pPr>
    <w:rPr>
      <w:rFonts w:ascii="Trebuchet MS" w:eastAsia="Times New Roman" w:hAnsi="Trebuchet MS" w:cs="Times New Roman"/>
      <w:b/>
      <w:smallCaps/>
      <w:sz w:val="28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37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23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63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80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92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88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54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19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664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811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253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0792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46AF-CC6A-4374-BD7E-429CCED6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 draft four-year rolling Operational Plan 2018-2021</vt:lpstr>
    </vt:vector>
  </TitlesOfParts>
  <Manager>ITU-T</Manager>
  <Company>International Telecommunication Union (ITU)</Company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 draft four-year rolling Operational Plan 2018-2021</dc:title>
  <dc:subject>Council 2017</dc:subject>
  <dc:creator>Report by the Secretary-General</dc:creator>
  <cp:keywords>C2017, C17</cp:keywords>
  <dc:description/>
  <cp:lastModifiedBy>Al-Mnini, Lara</cp:lastModifiedBy>
  <cp:revision>5</cp:revision>
  <cp:lastPrinted>2015-03-24T13:00:00Z</cp:lastPrinted>
  <dcterms:created xsi:type="dcterms:W3CDTF">2017-05-01T10:54:00Z</dcterms:created>
  <dcterms:modified xsi:type="dcterms:W3CDTF">2017-05-01T20:23:00Z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417</vt:lpwstr>
  </property>
  <property fmtid="{D5CDD505-2E9C-101B-9397-08002B2CF9AE}" pid="3" name="Docdate">
    <vt:lpwstr>28 January 2016</vt:lpwstr>
  </property>
  <property fmtid="{D5CDD505-2E9C-101B-9397-08002B2CF9AE}" pid="4" name="Docorlang">
    <vt:lpwstr>English only Original: English</vt:lpwstr>
  </property>
  <property fmtid="{D5CDD505-2E9C-101B-9397-08002B2CF9AE}" pid="5" name="Docbluepink">
    <vt:lpwstr/>
  </property>
  <property fmtid="{D5CDD505-2E9C-101B-9397-08002B2CF9AE}" pid="6" name="Docdest">
    <vt:lpwstr>Geneva, 1-5 February 2016</vt:lpwstr>
  </property>
  <property fmtid="{D5CDD505-2E9C-101B-9397-08002B2CF9AE}" pid="7" name="Docauthor">
    <vt:lpwstr>Report by the Secretary-General</vt:lpwstr>
  </property>
</Properties>
</file>