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240"/>
        <w:gridCol w:w="913"/>
        <w:gridCol w:w="4153"/>
      </w:tblGrid>
      <w:tr w:rsidR="001F4519">
        <w:trPr>
          <w:cantSplit/>
        </w:trPr>
        <w:tc>
          <w:tcPr>
            <w:tcW w:w="4857" w:type="dxa"/>
            <w:gridSpan w:val="2"/>
          </w:tcPr>
          <w:p w:rsidR="001F4519" w:rsidRDefault="001F4519" w:rsidP="00C4682D">
            <w:pPr>
              <w:tabs>
                <w:tab w:val="left" w:pos="794"/>
                <w:tab w:val="left" w:pos="1191"/>
                <w:tab w:val="left" w:pos="1588"/>
                <w:tab w:val="left" w:pos="1985"/>
              </w:tabs>
              <w:overflowPunct w:val="0"/>
              <w:autoSpaceDE w:val="0"/>
              <w:autoSpaceDN w:val="0"/>
              <w:adjustRightInd w:val="0"/>
              <w:textAlignment w:val="baseline"/>
              <w:rPr>
                <w:rFonts w:eastAsia="Times New Roman"/>
                <w:sz w:val="20"/>
                <w:szCs w:val="20"/>
                <w:lang w:eastAsia="zh-CN"/>
              </w:rPr>
            </w:pPr>
            <w:bookmarkStart w:id="0" w:name="dsg" w:colFirst="1" w:colLast="1"/>
            <w:bookmarkStart w:id="1" w:name="dtableau"/>
            <w:r>
              <w:rPr>
                <w:rFonts w:ascii="SimSun" w:hAnsi="SimSun" w:hint="eastAsia"/>
                <w:sz w:val="22"/>
                <w:szCs w:val="22"/>
                <w:lang w:eastAsia="zh-CN"/>
              </w:rPr>
              <w:t>国际电信联盟</w:t>
            </w:r>
          </w:p>
        </w:tc>
        <w:tc>
          <w:tcPr>
            <w:tcW w:w="5066" w:type="dxa"/>
            <w:gridSpan w:val="2"/>
          </w:tcPr>
          <w:p w:rsidR="001F4519" w:rsidRDefault="001F4519" w:rsidP="00C4682D">
            <w:pPr>
              <w:tabs>
                <w:tab w:val="left" w:pos="794"/>
                <w:tab w:val="left" w:pos="1191"/>
                <w:tab w:val="left" w:pos="1588"/>
                <w:tab w:val="left" w:pos="1985"/>
              </w:tabs>
              <w:overflowPunct w:val="0"/>
              <w:autoSpaceDE w:val="0"/>
              <w:autoSpaceDN w:val="0"/>
              <w:adjustRightInd w:val="0"/>
              <w:jc w:val="right"/>
              <w:textAlignment w:val="baseline"/>
              <w:rPr>
                <w:rFonts w:eastAsia="Times New Roman"/>
                <w:b/>
                <w:bCs/>
                <w:smallCaps/>
                <w:sz w:val="32"/>
                <w:szCs w:val="20"/>
                <w:lang w:eastAsia="zh-CN"/>
              </w:rPr>
            </w:pPr>
            <w:r>
              <w:rPr>
                <w:rFonts w:eastAsia="Times New Roman"/>
                <w:b/>
                <w:bCs/>
                <w:smallCaps/>
                <w:sz w:val="32"/>
                <w:szCs w:val="20"/>
                <w:lang w:eastAsia="zh-CN"/>
              </w:rPr>
              <w:t>TSAG</w:t>
            </w:r>
          </w:p>
        </w:tc>
      </w:tr>
      <w:tr w:rsidR="001F4519">
        <w:trPr>
          <w:cantSplit/>
          <w:trHeight w:val="461"/>
        </w:trPr>
        <w:tc>
          <w:tcPr>
            <w:tcW w:w="4857" w:type="dxa"/>
            <w:gridSpan w:val="2"/>
            <w:vMerge w:val="restart"/>
            <w:tcBorders>
              <w:bottom w:val="nil"/>
            </w:tcBorders>
          </w:tcPr>
          <w:p w:rsidR="001F4519" w:rsidRDefault="001F4519" w:rsidP="00C4682D">
            <w:pPr>
              <w:rPr>
                <w:b/>
                <w:bCs/>
                <w:sz w:val="26"/>
                <w:lang w:eastAsia="zh-CN"/>
              </w:rPr>
            </w:pPr>
            <w:bookmarkStart w:id="2" w:name="dnum" w:colFirst="1" w:colLast="1"/>
            <w:bookmarkEnd w:id="0"/>
            <w:r>
              <w:rPr>
                <w:rFonts w:ascii="SimSun" w:hAnsi="SimSun" w:hint="eastAsia"/>
                <w:b/>
                <w:bCs/>
                <w:sz w:val="26"/>
                <w:lang w:eastAsia="zh-CN"/>
              </w:rPr>
              <w:t>电信标准化部门</w:t>
            </w:r>
          </w:p>
          <w:p w:rsidR="001F4519" w:rsidRDefault="001F4519" w:rsidP="008F0C7E">
            <w:pPr>
              <w:tabs>
                <w:tab w:val="left" w:pos="794"/>
                <w:tab w:val="left" w:pos="1191"/>
                <w:tab w:val="left" w:pos="1588"/>
                <w:tab w:val="left" w:pos="1985"/>
              </w:tabs>
              <w:overflowPunct w:val="0"/>
              <w:autoSpaceDE w:val="0"/>
              <w:autoSpaceDN w:val="0"/>
              <w:adjustRightInd w:val="0"/>
              <w:textAlignment w:val="baseline"/>
              <w:rPr>
                <w:rFonts w:eastAsia="Times New Roman"/>
                <w:smallCaps/>
                <w:sz w:val="20"/>
                <w:szCs w:val="20"/>
                <w:lang w:eastAsia="zh-CN"/>
              </w:rPr>
            </w:pPr>
            <w:r>
              <w:rPr>
                <w:sz w:val="22"/>
                <w:szCs w:val="22"/>
                <w:lang w:eastAsia="zh-CN"/>
              </w:rPr>
              <w:t>20</w:t>
            </w:r>
            <w:r>
              <w:rPr>
                <w:rFonts w:hint="eastAsia"/>
                <w:sz w:val="22"/>
                <w:szCs w:val="22"/>
                <w:lang w:eastAsia="zh-CN"/>
              </w:rPr>
              <w:t>1</w:t>
            </w:r>
            <w:r w:rsidR="008F0C7E">
              <w:rPr>
                <w:sz w:val="22"/>
                <w:szCs w:val="22"/>
                <w:lang w:eastAsia="zh-CN"/>
              </w:rPr>
              <w:t>7</w:t>
            </w:r>
            <w:r>
              <w:rPr>
                <w:sz w:val="22"/>
                <w:szCs w:val="22"/>
                <w:lang w:eastAsia="zh-CN"/>
              </w:rPr>
              <w:t>-20</w:t>
            </w:r>
            <w:r w:rsidR="008F0C7E">
              <w:rPr>
                <w:sz w:val="22"/>
                <w:szCs w:val="22"/>
                <w:lang w:eastAsia="zh-CN"/>
              </w:rPr>
              <w:t>20</w:t>
            </w:r>
            <w:r>
              <w:rPr>
                <w:rFonts w:ascii="SimSun" w:hAnsi="SimSun" w:hint="eastAsia"/>
                <w:sz w:val="22"/>
                <w:szCs w:val="22"/>
                <w:lang w:eastAsia="zh-CN"/>
              </w:rPr>
              <w:t>年研究期</w:t>
            </w:r>
          </w:p>
        </w:tc>
        <w:tc>
          <w:tcPr>
            <w:tcW w:w="5066" w:type="dxa"/>
            <w:gridSpan w:val="2"/>
            <w:tcBorders>
              <w:bottom w:val="nil"/>
            </w:tcBorders>
          </w:tcPr>
          <w:p w:rsidR="001F4519" w:rsidRDefault="001B6153" w:rsidP="008F0C7E">
            <w:pPr>
              <w:tabs>
                <w:tab w:val="left" w:pos="794"/>
                <w:tab w:val="left" w:pos="1191"/>
                <w:tab w:val="left" w:pos="1588"/>
                <w:tab w:val="left" w:pos="1985"/>
              </w:tabs>
              <w:overflowPunct w:val="0"/>
              <w:autoSpaceDE w:val="0"/>
              <w:autoSpaceDN w:val="0"/>
              <w:adjustRightInd w:val="0"/>
              <w:jc w:val="right"/>
              <w:textAlignment w:val="baseline"/>
              <w:rPr>
                <w:rFonts w:eastAsia="Times New Roman"/>
                <w:b/>
                <w:bCs/>
                <w:sz w:val="40"/>
                <w:szCs w:val="20"/>
                <w:lang w:eastAsia="en-US"/>
              </w:rPr>
            </w:pPr>
            <w:r>
              <w:rPr>
                <w:rFonts w:eastAsia="Times New Roman"/>
                <w:b/>
                <w:bCs/>
                <w:sz w:val="40"/>
                <w:szCs w:val="20"/>
                <w:lang w:eastAsia="zh-CN"/>
              </w:rPr>
              <w:t xml:space="preserve">TD </w:t>
            </w:r>
            <w:r w:rsidR="008F0C7E">
              <w:rPr>
                <w:rFonts w:eastAsia="Times New Roman"/>
                <w:b/>
                <w:bCs/>
                <w:sz w:val="40"/>
                <w:szCs w:val="20"/>
                <w:lang w:eastAsia="zh-CN"/>
              </w:rPr>
              <w:t>024</w:t>
            </w:r>
          </w:p>
        </w:tc>
      </w:tr>
      <w:tr w:rsidR="001F4519">
        <w:trPr>
          <w:cantSplit/>
          <w:trHeight w:val="355"/>
        </w:trPr>
        <w:tc>
          <w:tcPr>
            <w:tcW w:w="4857" w:type="dxa"/>
            <w:gridSpan w:val="2"/>
            <w:vMerge/>
            <w:tcBorders>
              <w:bottom w:val="single" w:sz="12" w:space="0" w:color="auto"/>
            </w:tcBorders>
          </w:tcPr>
          <w:p w:rsidR="001F4519" w:rsidRDefault="001F4519" w:rsidP="00C4682D">
            <w:pPr>
              <w:tabs>
                <w:tab w:val="left" w:pos="794"/>
                <w:tab w:val="left" w:pos="1191"/>
                <w:tab w:val="left" w:pos="1588"/>
                <w:tab w:val="left" w:pos="1985"/>
              </w:tabs>
              <w:overflowPunct w:val="0"/>
              <w:autoSpaceDE w:val="0"/>
              <w:autoSpaceDN w:val="0"/>
              <w:adjustRightInd w:val="0"/>
              <w:textAlignment w:val="baseline"/>
              <w:rPr>
                <w:rFonts w:eastAsia="Times New Roman"/>
                <w:b/>
                <w:bCs/>
                <w:sz w:val="26"/>
                <w:szCs w:val="20"/>
                <w:lang w:eastAsia="en-US"/>
              </w:rPr>
            </w:pPr>
            <w:bookmarkStart w:id="3" w:name="dorlang" w:colFirst="1" w:colLast="1"/>
            <w:bookmarkEnd w:id="2"/>
          </w:p>
        </w:tc>
        <w:tc>
          <w:tcPr>
            <w:tcW w:w="5066" w:type="dxa"/>
            <w:gridSpan w:val="2"/>
            <w:tcBorders>
              <w:bottom w:val="single" w:sz="12" w:space="0" w:color="auto"/>
            </w:tcBorders>
          </w:tcPr>
          <w:p w:rsidR="001F4519" w:rsidRDefault="001F4519" w:rsidP="00C4682D">
            <w:pPr>
              <w:tabs>
                <w:tab w:val="left" w:pos="794"/>
                <w:tab w:val="left" w:pos="1191"/>
                <w:tab w:val="left" w:pos="1588"/>
                <w:tab w:val="left" w:pos="1985"/>
              </w:tabs>
              <w:overflowPunct w:val="0"/>
              <w:autoSpaceDE w:val="0"/>
              <w:autoSpaceDN w:val="0"/>
              <w:adjustRightInd w:val="0"/>
              <w:jc w:val="right"/>
              <w:textAlignment w:val="baseline"/>
              <w:rPr>
                <w:rFonts w:eastAsia="Times New Roman"/>
                <w:b/>
                <w:bCs/>
                <w:sz w:val="28"/>
                <w:szCs w:val="20"/>
                <w:lang w:eastAsia="en-US"/>
              </w:rPr>
            </w:pPr>
            <w:r>
              <w:rPr>
                <w:rFonts w:hint="eastAsia"/>
                <w:b/>
                <w:bCs/>
                <w:sz w:val="28"/>
                <w:szCs w:val="20"/>
                <w:lang w:val="en-US" w:eastAsia="zh-CN"/>
              </w:rPr>
              <w:t>原文</w:t>
            </w:r>
            <w:r>
              <w:rPr>
                <w:rFonts w:hint="eastAsia"/>
                <w:b/>
                <w:bCs/>
                <w:sz w:val="28"/>
                <w:szCs w:val="20"/>
                <w:lang w:eastAsia="zh-CN"/>
              </w:rPr>
              <w:t>：</w:t>
            </w:r>
            <w:r>
              <w:rPr>
                <w:rFonts w:hint="eastAsia"/>
                <w:b/>
                <w:bCs/>
                <w:sz w:val="28"/>
                <w:szCs w:val="20"/>
                <w:lang w:val="en-US" w:eastAsia="zh-CN"/>
              </w:rPr>
              <w:t>英文</w:t>
            </w:r>
          </w:p>
        </w:tc>
      </w:tr>
      <w:tr w:rsidR="001F4519">
        <w:trPr>
          <w:cantSplit/>
          <w:trHeight w:val="357"/>
        </w:trPr>
        <w:tc>
          <w:tcPr>
            <w:tcW w:w="1617" w:type="dxa"/>
          </w:tcPr>
          <w:p w:rsidR="001F4519" w:rsidRDefault="001F4519" w:rsidP="00C4682D">
            <w:pPr>
              <w:tabs>
                <w:tab w:val="left" w:pos="794"/>
                <w:tab w:val="left" w:pos="1191"/>
                <w:tab w:val="left" w:pos="1588"/>
                <w:tab w:val="left" w:pos="1985"/>
              </w:tabs>
              <w:overflowPunct w:val="0"/>
              <w:autoSpaceDE w:val="0"/>
              <w:autoSpaceDN w:val="0"/>
              <w:adjustRightInd w:val="0"/>
              <w:textAlignment w:val="baseline"/>
              <w:rPr>
                <w:rFonts w:eastAsia="Times New Roman"/>
                <w:b/>
                <w:bCs/>
                <w:szCs w:val="20"/>
                <w:lang w:eastAsia="zh-CN"/>
              </w:rPr>
            </w:pPr>
            <w:bookmarkStart w:id="4" w:name="dmeeting" w:colFirst="2" w:colLast="2"/>
            <w:bookmarkStart w:id="5" w:name="dbluepink" w:colFirst="1" w:colLast="1"/>
            <w:bookmarkEnd w:id="3"/>
            <w:r>
              <w:rPr>
                <w:rFonts w:hint="eastAsia"/>
                <w:b/>
                <w:bCs/>
                <w:szCs w:val="20"/>
                <w:lang w:eastAsia="zh-CN"/>
              </w:rPr>
              <w:t>课题：</w:t>
            </w:r>
          </w:p>
        </w:tc>
        <w:tc>
          <w:tcPr>
            <w:tcW w:w="3240" w:type="dxa"/>
          </w:tcPr>
          <w:p w:rsidR="001F4519" w:rsidRPr="00D918BE" w:rsidRDefault="008F0C7E" w:rsidP="00C4682D">
            <w:pPr>
              <w:tabs>
                <w:tab w:val="left" w:pos="794"/>
                <w:tab w:val="left" w:pos="1191"/>
                <w:tab w:val="left" w:pos="1588"/>
                <w:tab w:val="left" w:pos="1985"/>
              </w:tabs>
              <w:overflowPunct w:val="0"/>
              <w:autoSpaceDE w:val="0"/>
              <w:autoSpaceDN w:val="0"/>
              <w:adjustRightInd w:val="0"/>
              <w:textAlignment w:val="baseline"/>
              <w:rPr>
                <w:rFonts w:eastAsiaTheme="minorEastAsia"/>
                <w:szCs w:val="20"/>
                <w:lang w:eastAsia="zh-CN"/>
              </w:rPr>
            </w:pPr>
            <w:r w:rsidRPr="00D6148C">
              <w:rPr>
                <w:rFonts w:asciiTheme="majorBidi" w:eastAsiaTheme="minorEastAsia" w:hAnsiTheme="majorBidi" w:cstheme="majorBidi"/>
              </w:rPr>
              <w:t>N/A</w:t>
            </w:r>
          </w:p>
        </w:tc>
        <w:tc>
          <w:tcPr>
            <w:tcW w:w="5066" w:type="dxa"/>
            <w:gridSpan w:val="2"/>
          </w:tcPr>
          <w:p w:rsidR="001F4519" w:rsidRDefault="001F4519" w:rsidP="008F0C7E">
            <w:pPr>
              <w:tabs>
                <w:tab w:val="left" w:pos="794"/>
                <w:tab w:val="left" w:pos="1191"/>
                <w:tab w:val="left" w:pos="1588"/>
                <w:tab w:val="left" w:pos="1985"/>
              </w:tabs>
              <w:overflowPunct w:val="0"/>
              <w:autoSpaceDE w:val="0"/>
              <w:autoSpaceDN w:val="0"/>
              <w:adjustRightInd w:val="0"/>
              <w:jc w:val="right"/>
              <w:textAlignment w:val="baseline"/>
              <w:rPr>
                <w:szCs w:val="20"/>
                <w:lang w:eastAsia="zh-CN"/>
              </w:rPr>
            </w:pPr>
            <w:r>
              <w:rPr>
                <w:rFonts w:eastAsia="Times New Roman"/>
                <w:szCs w:val="20"/>
                <w:lang w:eastAsia="zh-CN"/>
              </w:rPr>
              <w:t>201</w:t>
            </w:r>
            <w:r w:rsidR="008F0C7E">
              <w:rPr>
                <w:rFonts w:eastAsia="Times New Roman"/>
                <w:szCs w:val="20"/>
                <w:lang w:eastAsia="zh-CN"/>
              </w:rPr>
              <w:t>7</w:t>
            </w:r>
            <w:r>
              <w:rPr>
                <w:rFonts w:hint="eastAsia"/>
                <w:szCs w:val="20"/>
                <w:lang w:eastAsia="zh-CN"/>
              </w:rPr>
              <w:t>年</w:t>
            </w:r>
            <w:r w:rsidR="008F0C7E">
              <w:rPr>
                <w:szCs w:val="20"/>
                <w:lang w:eastAsia="zh-CN"/>
              </w:rPr>
              <w:t>5</w:t>
            </w:r>
            <w:r>
              <w:rPr>
                <w:rFonts w:hint="eastAsia"/>
                <w:szCs w:val="20"/>
                <w:lang w:eastAsia="zh-CN"/>
              </w:rPr>
              <w:t>月</w:t>
            </w:r>
            <w:r w:rsidR="001B6153">
              <w:rPr>
                <w:szCs w:val="20"/>
                <w:lang w:eastAsia="zh-CN"/>
              </w:rPr>
              <w:t>1</w:t>
            </w:r>
            <w:r>
              <w:rPr>
                <w:rFonts w:hint="eastAsia"/>
                <w:szCs w:val="20"/>
                <w:lang w:eastAsia="zh-CN"/>
              </w:rPr>
              <w:t>-</w:t>
            </w:r>
            <w:r w:rsidR="008F0C7E">
              <w:rPr>
                <w:szCs w:val="20"/>
                <w:lang w:eastAsia="zh-CN"/>
              </w:rPr>
              <w:t>4</w:t>
            </w:r>
            <w:r>
              <w:rPr>
                <w:rFonts w:hint="eastAsia"/>
                <w:szCs w:val="20"/>
                <w:lang w:eastAsia="zh-CN"/>
              </w:rPr>
              <w:t>日，日内瓦</w:t>
            </w:r>
          </w:p>
        </w:tc>
      </w:tr>
      <w:tr w:rsidR="001F4519">
        <w:trPr>
          <w:cantSplit/>
          <w:trHeight w:val="357"/>
        </w:trPr>
        <w:tc>
          <w:tcPr>
            <w:tcW w:w="9923" w:type="dxa"/>
            <w:gridSpan w:val="4"/>
          </w:tcPr>
          <w:p w:rsidR="001F4519" w:rsidRDefault="001F4519" w:rsidP="00C4682D">
            <w:pPr>
              <w:tabs>
                <w:tab w:val="left" w:pos="794"/>
                <w:tab w:val="left" w:pos="1191"/>
                <w:tab w:val="left" w:pos="1588"/>
                <w:tab w:val="left" w:pos="1985"/>
              </w:tabs>
              <w:overflowPunct w:val="0"/>
              <w:autoSpaceDE w:val="0"/>
              <w:autoSpaceDN w:val="0"/>
              <w:adjustRightInd w:val="0"/>
              <w:jc w:val="center"/>
              <w:textAlignment w:val="baseline"/>
              <w:rPr>
                <w:rFonts w:eastAsia="Times New Roman"/>
                <w:b/>
                <w:bCs/>
                <w:szCs w:val="20"/>
                <w:lang w:eastAsia="zh-CN"/>
              </w:rPr>
            </w:pPr>
            <w:bookmarkStart w:id="6" w:name="dtitle" w:colFirst="0" w:colLast="0"/>
            <w:bookmarkEnd w:id="4"/>
            <w:bookmarkEnd w:id="5"/>
            <w:r>
              <w:rPr>
                <w:rFonts w:hint="eastAsia"/>
                <w:b/>
                <w:bCs/>
                <w:lang w:eastAsia="zh-CN"/>
              </w:rPr>
              <w:t>临时文件</w:t>
            </w:r>
          </w:p>
        </w:tc>
      </w:tr>
      <w:tr w:rsidR="001F4519" w:rsidTr="008F0C7E">
        <w:trPr>
          <w:cantSplit/>
          <w:trHeight w:val="357"/>
        </w:trPr>
        <w:tc>
          <w:tcPr>
            <w:tcW w:w="1617" w:type="dxa"/>
          </w:tcPr>
          <w:p w:rsidR="001F4519" w:rsidRDefault="001F4519" w:rsidP="00C4682D">
            <w:pPr>
              <w:tabs>
                <w:tab w:val="left" w:pos="794"/>
                <w:tab w:val="left" w:pos="1191"/>
                <w:tab w:val="left" w:pos="1588"/>
                <w:tab w:val="left" w:pos="1985"/>
              </w:tabs>
              <w:overflowPunct w:val="0"/>
              <w:autoSpaceDE w:val="0"/>
              <w:autoSpaceDN w:val="0"/>
              <w:adjustRightInd w:val="0"/>
              <w:textAlignment w:val="baseline"/>
              <w:rPr>
                <w:rFonts w:eastAsia="Times New Roman"/>
                <w:b/>
                <w:bCs/>
                <w:szCs w:val="20"/>
                <w:lang w:eastAsia="zh-CN"/>
              </w:rPr>
            </w:pPr>
            <w:bookmarkStart w:id="7" w:name="dsource" w:colFirst="1" w:colLast="1"/>
            <w:bookmarkEnd w:id="6"/>
            <w:r>
              <w:rPr>
                <w:rFonts w:hint="eastAsia"/>
                <w:b/>
                <w:bCs/>
                <w:szCs w:val="20"/>
                <w:lang w:val="fr-CH" w:eastAsia="zh-CN"/>
              </w:rPr>
              <w:t>来源：</w:t>
            </w:r>
          </w:p>
        </w:tc>
        <w:tc>
          <w:tcPr>
            <w:tcW w:w="8306" w:type="dxa"/>
            <w:gridSpan w:val="3"/>
          </w:tcPr>
          <w:p w:rsidR="001F4519" w:rsidRDefault="001F4519" w:rsidP="00C4682D">
            <w:pPr>
              <w:tabs>
                <w:tab w:val="left" w:pos="794"/>
                <w:tab w:val="left" w:pos="1191"/>
                <w:tab w:val="left" w:pos="1588"/>
                <w:tab w:val="left" w:pos="1985"/>
              </w:tabs>
              <w:overflowPunct w:val="0"/>
              <w:autoSpaceDE w:val="0"/>
              <w:autoSpaceDN w:val="0"/>
              <w:adjustRightInd w:val="0"/>
              <w:textAlignment w:val="baseline"/>
              <w:rPr>
                <w:rFonts w:eastAsia="Times New Roman"/>
                <w:szCs w:val="20"/>
                <w:lang w:eastAsia="zh-CN"/>
              </w:rPr>
            </w:pPr>
            <w:r>
              <w:rPr>
                <w:rFonts w:hint="eastAsia"/>
                <w:lang w:eastAsia="zh-CN"/>
              </w:rPr>
              <w:t>电信标准化局主任</w:t>
            </w:r>
          </w:p>
        </w:tc>
      </w:tr>
      <w:tr w:rsidR="001F4519" w:rsidTr="008F0C7E">
        <w:trPr>
          <w:cantSplit/>
          <w:trHeight w:val="357"/>
        </w:trPr>
        <w:tc>
          <w:tcPr>
            <w:tcW w:w="1617" w:type="dxa"/>
          </w:tcPr>
          <w:p w:rsidR="001F4519" w:rsidRDefault="001F4519" w:rsidP="00C4682D">
            <w:pPr>
              <w:tabs>
                <w:tab w:val="left" w:pos="794"/>
                <w:tab w:val="left" w:pos="1191"/>
                <w:tab w:val="left" w:pos="1588"/>
                <w:tab w:val="left" w:pos="1985"/>
              </w:tabs>
              <w:overflowPunct w:val="0"/>
              <w:autoSpaceDE w:val="0"/>
              <w:autoSpaceDN w:val="0"/>
              <w:adjustRightInd w:val="0"/>
              <w:spacing w:after="120"/>
              <w:textAlignment w:val="baseline"/>
              <w:rPr>
                <w:rFonts w:eastAsia="Times New Roman"/>
                <w:szCs w:val="20"/>
                <w:lang w:eastAsia="zh-CN"/>
              </w:rPr>
            </w:pPr>
            <w:bookmarkStart w:id="8" w:name="dtitle1" w:colFirst="1" w:colLast="1"/>
            <w:bookmarkEnd w:id="7"/>
            <w:r>
              <w:rPr>
                <w:rFonts w:hint="eastAsia"/>
                <w:b/>
                <w:bCs/>
                <w:szCs w:val="20"/>
                <w:lang w:eastAsia="zh-CN"/>
              </w:rPr>
              <w:t>标题：</w:t>
            </w:r>
          </w:p>
        </w:tc>
        <w:tc>
          <w:tcPr>
            <w:tcW w:w="8306" w:type="dxa"/>
            <w:gridSpan w:val="3"/>
          </w:tcPr>
          <w:p w:rsidR="001F4519" w:rsidRDefault="00D918BE" w:rsidP="00ED3F8C">
            <w:pPr>
              <w:tabs>
                <w:tab w:val="left" w:pos="794"/>
                <w:tab w:val="left" w:pos="1191"/>
                <w:tab w:val="left" w:pos="1588"/>
                <w:tab w:val="left" w:pos="1985"/>
              </w:tabs>
              <w:overflowPunct w:val="0"/>
              <w:autoSpaceDE w:val="0"/>
              <w:autoSpaceDN w:val="0"/>
              <w:adjustRightInd w:val="0"/>
              <w:spacing w:after="120"/>
              <w:textAlignment w:val="baseline"/>
              <w:rPr>
                <w:rFonts w:eastAsia="Times New Roman"/>
                <w:szCs w:val="20"/>
                <w:lang w:eastAsia="zh-CN"/>
              </w:rPr>
            </w:pPr>
            <w:r>
              <w:rPr>
                <w:rFonts w:hint="eastAsia"/>
                <w:lang w:eastAsia="zh-CN"/>
              </w:rPr>
              <w:t>国际</w:t>
            </w:r>
            <w:r>
              <w:rPr>
                <w:lang w:eastAsia="zh-CN"/>
              </w:rPr>
              <w:t>电联</w:t>
            </w:r>
            <w:r>
              <w:rPr>
                <w:rFonts w:hint="eastAsia"/>
                <w:lang w:eastAsia="zh-CN"/>
              </w:rPr>
              <w:t>电信</w:t>
            </w:r>
            <w:r>
              <w:rPr>
                <w:lang w:eastAsia="zh-CN"/>
              </w:rPr>
              <w:t>标准化部门（</w:t>
            </w:r>
            <w:r w:rsidR="001F4519">
              <w:rPr>
                <w:rFonts w:hint="eastAsia"/>
                <w:lang w:eastAsia="zh-CN"/>
              </w:rPr>
              <w:t>ITU-T</w:t>
            </w:r>
            <w:r>
              <w:rPr>
                <w:rFonts w:hint="eastAsia"/>
                <w:lang w:eastAsia="zh-CN"/>
              </w:rPr>
              <w:t>）</w:t>
            </w:r>
            <w:r>
              <w:rPr>
                <w:lang w:eastAsia="zh-CN"/>
              </w:rPr>
              <w:t>的</w:t>
            </w:r>
            <w:r>
              <w:rPr>
                <w:rFonts w:hint="eastAsia"/>
                <w:lang w:eastAsia="zh-CN"/>
              </w:rPr>
              <w:t>活动</w:t>
            </w:r>
            <w:r w:rsidR="001F4519">
              <w:rPr>
                <w:rFonts w:hint="eastAsia"/>
                <w:lang w:eastAsia="zh-CN"/>
              </w:rPr>
              <w:t>报告</w:t>
            </w:r>
            <w:r w:rsidR="00843103">
              <w:rPr>
                <w:lang w:eastAsia="zh-CN"/>
              </w:rPr>
              <w:br/>
            </w:r>
            <w:r w:rsidR="001F4519">
              <w:rPr>
                <w:rFonts w:hint="eastAsia"/>
                <w:lang w:eastAsia="zh-CN"/>
              </w:rPr>
              <w:t>（</w:t>
            </w:r>
            <w:r w:rsidR="00ED3F8C">
              <w:rPr>
                <w:rFonts w:hint="eastAsia"/>
                <w:lang w:eastAsia="zh-CN"/>
              </w:rPr>
              <w:t>从</w:t>
            </w:r>
            <w:r w:rsidR="008F0C7E" w:rsidRPr="00AC19C8">
              <w:t>2016</w:t>
            </w:r>
            <w:r w:rsidR="00ED3F8C">
              <w:rPr>
                <w:rFonts w:hint="eastAsia"/>
                <w:lang w:eastAsia="zh-CN"/>
              </w:rPr>
              <w:t>年</w:t>
            </w:r>
            <w:r w:rsidR="00ED3F8C">
              <w:rPr>
                <w:rFonts w:hint="eastAsia"/>
                <w:lang w:eastAsia="zh-CN"/>
              </w:rPr>
              <w:t>10</w:t>
            </w:r>
            <w:r w:rsidR="00ED3F8C">
              <w:rPr>
                <w:rFonts w:hint="eastAsia"/>
                <w:lang w:eastAsia="zh-CN"/>
              </w:rPr>
              <w:t>月中到</w:t>
            </w:r>
            <w:r w:rsidR="008F0C7E" w:rsidRPr="00AC19C8">
              <w:t>2017</w:t>
            </w:r>
            <w:r w:rsidR="00ED3F8C">
              <w:rPr>
                <w:rFonts w:hint="eastAsia"/>
                <w:lang w:eastAsia="zh-CN"/>
              </w:rPr>
              <w:t>年</w:t>
            </w:r>
            <w:r w:rsidR="00ED3F8C">
              <w:rPr>
                <w:rFonts w:hint="eastAsia"/>
                <w:lang w:eastAsia="zh-CN"/>
              </w:rPr>
              <w:t>3</w:t>
            </w:r>
            <w:r w:rsidR="00ED3F8C">
              <w:rPr>
                <w:rFonts w:hint="eastAsia"/>
                <w:lang w:eastAsia="zh-CN"/>
              </w:rPr>
              <w:t>月底</w:t>
            </w:r>
            <w:r w:rsidR="001F4519">
              <w:rPr>
                <w:rFonts w:hint="eastAsia"/>
                <w:lang w:eastAsia="zh-CN"/>
              </w:rPr>
              <w:t>）</w:t>
            </w:r>
          </w:p>
        </w:tc>
      </w:tr>
      <w:tr w:rsidR="008F0C7E" w:rsidTr="008F0C7E">
        <w:trPr>
          <w:cantSplit/>
          <w:trHeight w:val="357"/>
        </w:trPr>
        <w:tc>
          <w:tcPr>
            <w:tcW w:w="1617" w:type="dxa"/>
            <w:tcBorders>
              <w:bottom w:val="single" w:sz="4" w:space="0" w:color="auto"/>
            </w:tcBorders>
          </w:tcPr>
          <w:p w:rsidR="008F0C7E" w:rsidRPr="00D6148C" w:rsidRDefault="00ED3F8C" w:rsidP="00ED3F8C">
            <w:pPr>
              <w:rPr>
                <w:rFonts w:asciiTheme="majorBidi" w:eastAsiaTheme="minorEastAsia" w:hAnsiTheme="majorBidi" w:cstheme="majorBidi"/>
                <w:b/>
                <w:bCs/>
              </w:rPr>
            </w:pPr>
            <w:r>
              <w:rPr>
                <w:rFonts w:asciiTheme="majorBidi" w:eastAsiaTheme="minorEastAsia" w:hAnsiTheme="majorBidi" w:cstheme="majorBidi" w:hint="eastAsia"/>
                <w:b/>
                <w:bCs/>
                <w:lang w:eastAsia="zh-CN"/>
              </w:rPr>
              <w:t>目的：</w:t>
            </w:r>
          </w:p>
        </w:tc>
        <w:tc>
          <w:tcPr>
            <w:tcW w:w="8306" w:type="dxa"/>
            <w:gridSpan w:val="3"/>
            <w:tcBorders>
              <w:bottom w:val="single" w:sz="4" w:space="0" w:color="auto"/>
            </w:tcBorders>
          </w:tcPr>
          <w:p w:rsidR="008F0C7E" w:rsidRPr="00D6148C" w:rsidRDefault="008F0C7E" w:rsidP="008F0C7E">
            <w:pPr>
              <w:bidi/>
              <w:jc w:val="right"/>
              <w:rPr>
                <w:rFonts w:asciiTheme="majorBidi" w:eastAsiaTheme="minorEastAsia" w:hAnsiTheme="majorBidi" w:cstheme="majorBidi"/>
                <w:lang w:eastAsia="zh-CN"/>
              </w:rPr>
            </w:pPr>
            <w:r>
              <w:rPr>
                <w:rFonts w:asciiTheme="majorBidi" w:eastAsiaTheme="minorEastAsia" w:hAnsiTheme="majorBidi" w:cstheme="majorBidi"/>
              </w:rPr>
              <w:t>Information</w:t>
            </w:r>
          </w:p>
        </w:tc>
      </w:tr>
      <w:tr w:rsidR="008F0C7E" w:rsidTr="008F0C7E">
        <w:trPr>
          <w:cantSplit/>
          <w:trHeight w:val="357"/>
        </w:trPr>
        <w:tc>
          <w:tcPr>
            <w:tcW w:w="1617" w:type="dxa"/>
            <w:tcBorders>
              <w:top w:val="single" w:sz="4" w:space="0" w:color="auto"/>
              <w:bottom w:val="single" w:sz="12" w:space="0" w:color="auto"/>
            </w:tcBorders>
          </w:tcPr>
          <w:p w:rsidR="008F0C7E" w:rsidRPr="00D6148C" w:rsidRDefault="00ED3F8C" w:rsidP="00ED3F8C">
            <w:pPr>
              <w:spacing w:after="60"/>
              <w:rPr>
                <w:rFonts w:asciiTheme="majorBidi" w:eastAsiaTheme="minorEastAsia" w:hAnsiTheme="majorBidi" w:cstheme="majorBidi"/>
                <w:b/>
                <w:bCs/>
              </w:rPr>
            </w:pPr>
            <w:r>
              <w:rPr>
                <w:rFonts w:asciiTheme="majorBidi" w:eastAsiaTheme="minorEastAsia" w:hAnsiTheme="majorBidi" w:cstheme="majorBidi" w:hint="eastAsia"/>
                <w:b/>
                <w:bCs/>
                <w:lang w:eastAsia="zh-CN"/>
              </w:rPr>
              <w:t>联系人：</w:t>
            </w:r>
          </w:p>
        </w:tc>
        <w:tc>
          <w:tcPr>
            <w:tcW w:w="4153" w:type="dxa"/>
            <w:gridSpan w:val="2"/>
            <w:tcBorders>
              <w:top w:val="single" w:sz="4" w:space="0" w:color="auto"/>
              <w:bottom w:val="single" w:sz="12" w:space="0" w:color="auto"/>
            </w:tcBorders>
          </w:tcPr>
          <w:p w:rsidR="008F0C7E" w:rsidRPr="00D6148C" w:rsidRDefault="008F0C7E" w:rsidP="008F0C7E">
            <w:pPr>
              <w:spacing w:after="60"/>
              <w:rPr>
                <w:rFonts w:asciiTheme="majorBidi" w:eastAsiaTheme="minorEastAsia" w:hAnsiTheme="majorBidi" w:cstheme="majorBidi"/>
              </w:rPr>
            </w:pPr>
            <w:r>
              <w:rPr>
                <w:rFonts w:asciiTheme="majorBidi" w:eastAsiaTheme="minorEastAsia" w:hAnsiTheme="majorBidi" w:cstheme="majorBidi"/>
              </w:rPr>
              <w:t>TSB TSAG</w:t>
            </w:r>
            <w:r w:rsidRPr="00D6148C">
              <w:rPr>
                <w:rFonts w:asciiTheme="majorBidi" w:eastAsiaTheme="minorEastAsia" w:hAnsiTheme="majorBidi" w:cstheme="majorBidi"/>
              </w:rPr>
              <w:t xml:space="preserve"> </w:t>
            </w:r>
          </w:p>
        </w:tc>
        <w:tc>
          <w:tcPr>
            <w:tcW w:w="4153" w:type="dxa"/>
            <w:tcBorders>
              <w:top w:val="single" w:sz="4" w:space="0" w:color="auto"/>
              <w:bottom w:val="single" w:sz="12" w:space="0" w:color="auto"/>
            </w:tcBorders>
          </w:tcPr>
          <w:p w:rsidR="008F0C7E" w:rsidRPr="00D6148C" w:rsidRDefault="008F0C7E" w:rsidP="008F0C7E">
            <w:pPr>
              <w:spacing w:after="60"/>
              <w:rPr>
                <w:rFonts w:asciiTheme="majorBidi" w:eastAsiaTheme="minorEastAsia" w:hAnsiTheme="majorBidi" w:cstheme="majorBidi"/>
                <w:lang w:val="pt-BR"/>
              </w:rPr>
            </w:pPr>
            <w:r>
              <w:rPr>
                <w:rFonts w:asciiTheme="majorBidi" w:eastAsiaTheme="minorEastAsia" w:hAnsiTheme="majorBidi" w:cstheme="majorBidi" w:hint="eastAsia"/>
                <w:lang w:eastAsia="zh-CN"/>
              </w:rPr>
              <w:t>电子</w:t>
            </w:r>
            <w:r>
              <w:rPr>
                <w:rFonts w:asciiTheme="majorBidi" w:eastAsiaTheme="minorEastAsia" w:hAnsiTheme="majorBidi" w:cstheme="majorBidi"/>
                <w:lang w:eastAsia="zh-CN"/>
              </w:rPr>
              <w:t>邮件：</w:t>
            </w:r>
            <w:hyperlink r:id="rId8" w:history="1">
              <w:r w:rsidRPr="002F2B63">
                <w:rPr>
                  <w:rStyle w:val="Hyperlink"/>
                  <w:rFonts w:asciiTheme="majorBidi" w:eastAsiaTheme="minorEastAsia" w:hAnsiTheme="majorBidi" w:cstheme="majorBidi"/>
                </w:rPr>
                <w:t>tsbtsag@itu.int</w:t>
              </w:r>
            </w:hyperlink>
            <w:r w:rsidRPr="00D6148C">
              <w:rPr>
                <w:rFonts w:asciiTheme="majorBidi" w:eastAsiaTheme="minorEastAsia" w:hAnsiTheme="majorBidi" w:cstheme="majorBidi"/>
              </w:rPr>
              <w:t xml:space="preserve"> </w:t>
            </w:r>
          </w:p>
        </w:tc>
      </w:tr>
      <w:bookmarkEnd w:id="1"/>
      <w:bookmarkEnd w:id="8"/>
    </w:tbl>
    <w:p w:rsidR="001F4519" w:rsidRDefault="001F4519" w:rsidP="00C4682D">
      <w:pPr>
        <w:pStyle w:val="Normalaftertitle0"/>
        <w:rPr>
          <w:lang w:eastAsia="zh-CN"/>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F0C7E" w:rsidRPr="00D6148C" w:rsidTr="001C4E55">
        <w:trPr>
          <w:cantSplit/>
        </w:trPr>
        <w:tc>
          <w:tcPr>
            <w:tcW w:w="1616" w:type="dxa"/>
          </w:tcPr>
          <w:p w:rsidR="008F0C7E" w:rsidRPr="00D6148C" w:rsidRDefault="00ED3F8C" w:rsidP="001C4E55">
            <w:pPr>
              <w:rPr>
                <w:rFonts w:asciiTheme="majorBidi" w:eastAsiaTheme="minorEastAsia" w:hAnsiTheme="majorBidi" w:cstheme="majorBidi"/>
                <w:b/>
                <w:bCs/>
                <w:lang w:eastAsia="zh-CN"/>
              </w:rPr>
            </w:pPr>
            <w:r>
              <w:rPr>
                <w:rFonts w:asciiTheme="majorBidi" w:eastAsiaTheme="minorEastAsia" w:hAnsiTheme="majorBidi" w:cstheme="majorBidi" w:hint="eastAsia"/>
                <w:b/>
                <w:bCs/>
                <w:lang w:eastAsia="zh-CN"/>
              </w:rPr>
              <w:t>关键词：</w:t>
            </w:r>
          </w:p>
        </w:tc>
        <w:tc>
          <w:tcPr>
            <w:tcW w:w="8363" w:type="dxa"/>
          </w:tcPr>
          <w:p w:rsidR="008F0C7E" w:rsidRPr="00D6148C" w:rsidRDefault="00ED3F8C" w:rsidP="00ED3F8C">
            <w:pPr>
              <w:rPr>
                <w:rFonts w:asciiTheme="majorBidi" w:eastAsiaTheme="minorEastAsia" w:hAnsiTheme="majorBidi" w:cstheme="majorBidi"/>
              </w:rPr>
            </w:pPr>
            <w:r>
              <w:rPr>
                <w:rFonts w:asciiTheme="majorBidi" w:hAnsiTheme="majorBidi" w:cstheme="majorBidi" w:hint="eastAsia"/>
                <w:lang w:eastAsia="zh-CN"/>
              </w:rPr>
              <w:t>标准化；研究组；活动报告；主要成果</w:t>
            </w:r>
          </w:p>
        </w:tc>
      </w:tr>
      <w:tr w:rsidR="008F0C7E" w:rsidRPr="00D6148C" w:rsidTr="001C4E55">
        <w:trPr>
          <w:cantSplit/>
        </w:trPr>
        <w:tc>
          <w:tcPr>
            <w:tcW w:w="1616" w:type="dxa"/>
          </w:tcPr>
          <w:p w:rsidR="008F0C7E" w:rsidRPr="00D6148C" w:rsidRDefault="00ED3F8C" w:rsidP="001C4E55">
            <w:pPr>
              <w:rPr>
                <w:rFonts w:asciiTheme="majorBidi" w:eastAsiaTheme="minorEastAsia" w:hAnsiTheme="majorBidi" w:cstheme="majorBidi"/>
                <w:b/>
                <w:bCs/>
                <w:lang w:eastAsia="zh-CN"/>
              </w:rPr>
            </w:pPr>
            <w:r>
              <w:rPr>
                <w:rFonts w:asciiTheme="majorBidi" w:eastAsiaTheme="minorEastAsia" w:hAnsiTheme="majorBidi" w:cstheme="majorBidi" w:hint="eastAsia"/>
                <w:b/>
                <w:bCs/>
                <w:lang w:eastAsia="zh-CN"/>
              </w:rPr>
              <w:t>摘要：</w:t>
            </w:r>
          </w:p>
        </w:tc>
        <w:tc>
          <w:tcPr>
            <w:tcW w:w="8363" w:type="dxa"/>
          </w:tcPr>
          <w:p w:rsidR="008F0C7E" w:rsidRPr="00D6148C" w:rsidRDefault="00F27AED" w:rsidP="00ED3F8C">
            <w:pPr>
              <w:rPr>
                <w:rFonts w:asciiTheme="majorBidi" w:eastAsiaTheme="minorEastAsia" w:hAnsiTheme="majorBidi" w:cstheme="majorBidi"/>
              </w:rPr>
            </w:pPr>
            <w:sdt>
              <w:sdtPr>
                <w:rPr>
                  <w:lang w:eastAsia="zh-CN"/>
                </w:rPr>
                <w:alias w:val="Abstract"/>
                <w:tag w:val="Abstract"/>
                <w:id w:val="1199126545"/>
                <w:placeholder>
                  <w:docPart w:val="3FCEB65AAC224A569CFF7019908D5D4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r w:rsidR="00ED3F8C">
                  <w:rPr>
                    <w:rFonts w:hint="eastAsia"/>
                    <w:lang w:eastAsia="zh-CN"/>
                  </w:rPr>
                  <w:t>本报告重点论述从</w:t>
                </w:r>
                <w:r w:rsidR="00ED3F8C">
                  <w:rPr>
                    <w:rFonts w:hint="eastAsia"/>
                    <w:lang w:eastAsia="zh-CN"/>
                  </w:rPr>
                  <w:t>2016</w:t>
                </w:r>
                <w:r w:rsidR="00ED3F8C">
                  <w:rPr>
                    <w:rFonts w:hint="eastAsia"/>
                    <w:lang w:eastAsia="zh-CN"/>
                  </w:rPr>
                  <w:t>年</w:t>
                </w:r>
                <w:r w:rsidR="00ED3F8C">
                  <w:rPr>
                    <w:rFonts w:hint="eastAsia"/>
                    <w:lang w:eastAsia="zh-CN"/>
                  </w:rPr>
                  <w:t>10</w:t>
                </w:r>
                <w:r w:rsidR="00ED3F8C">
                  <w:rPr>
                    <w:rFonts w:hint="eastAsia"/>
                    <w:lang w:eastAsia="zh-CN"/>
                  </w:rPr>
                  <w:t>月中到</w:t>
                </w:r>
                <w:r w:rsidR="00ED3F8C">
                  <w:rPr>
                    <w:rFonts w:hint="eastAsia"/>
                    <w:lang w:eastAsia="zh-CN"/>
                  </w:rPr>
                  <w:t>2017</w:t>
                </w:r>
                <w:r w:rsidR="00ED3F8C">
                  <w:rPr>
                    <w:rFonts w:hint="eastAsia"/>
                    <w:lang w:eastAsia="zh-CN"/>
                  </w:rPr>
                  <w:t>年</w:t>
                </w:r>
                <w:r w:rsidR="00ED3F8C">
                  <w:rPr>
                    <w:rFonts w:hint="eastAsia"/>
                    <w:lang w:eastAsia="zh-CN"/>
                  </w:rPr>
                  <w:t>3</w:t>
                </w:r>
                <w:r w:rsidR="00ED3F8C">
                  <w:rPr>
                    <w:rFonts w:hint="eastAsia"/>
                    <w:lang w:eastAsia="zh-CN"/>
                  </w:rPr>
                  <w:t>月底</w:t>
                </w:r>
              </w:sdtContent>
            </w:sdt>
            <w:r w:rsidR="00ED3F8C">
              <w:rPr>
                <w:rFonts w:hint="eastAsia"/>
                <w:lang w:eastAsia="zh-CN"/>
              </w:rPr>
              <w:t>期间</w:t>
            </w:r>
            <w:r w:rsidR="00171180">
              <w:rPr>
                <w:lang w:eastAsia="zh-CN"/>
              </w:rPr>
              <w:br/>
            </w:r>
            <w:r w:rsidR="00ED3F8C">
              <w:rPr>
                <w:rFonts w:hint="eastAsia"/>
                <w:lang w:eastAsia="zh-CN"/>
              </w:rPr>
              <w:t>ITU-T</w:t>
            </w:r>
            <w:r w:rsidR="00ED3F8C">
              <w:rPr>
                <w:rFonts w:hint="eastAsia"/>
                <w:lang w:eastAsia="zh-CN"/>
              </w:rPr>
              <w:t>标准化工作取得的主要成果。</w:t>
            </w:r>
          </w:p>
        </w:tc>
      </w:tr>
    </w:tbl>
    <w:p w:rsidR="008F0C7E" w:rsidRDefault="008F0C7E" w:rsidP="008F0C7E">
      <w:pPr>
        <w:rPr>
          <w:lang w:eastAsia="zh-CN"/>
        </w:rPr>
      </w:pPr>
    </w:p>
    <w:p w:rsidR="00ED3F8C" w:rsidRDefault="00ED3F8C" w:rsidP="008F0C7E">
      <w:pPr>
        <w:rPr>
          <w:lang w:eastAsia="zh-CN"/>
        </w:rPr>
      </w:pPr>
      <w:r>
        <w:rPr>
          <w:rFonts w:hint="eastAsia"/>
          <w:lang w:eastAsia="zh-CN"/>
        </w:rPr>
        <w:t>状态：</w:t>
      </w:r>
      <w:r>
        <w:rPr>
          <w:rFonts w:hint="eastAsia"/>
          <w:lang w:eastAsia="zh-CN"/>
        </w:rPr>
        <w:t>2017</w:t>
      </w:r>
      <w:r>
        <w:rPr>
          <w:rFonts w:hint="eastAsia"/>
          <w:lang w:eastAsia="zh-CN"/>
        </w:rPr>
        <w:t>年</w:t>
      </w:r>
      <w:r>
        <w:rPr>
          <w:rFonts w:hint="eastAsia"/>
          <w:lang w:eastAsia="zh-CN"/>
        </w:rPr>
        <w:t>3</w:t>
      </w:r>
      <w:r>
        <w:rPr>
          <w:rFonts w:hint="eastAsia"/>
          <w:lang w:eastAsia="zh-CN"/>
        </w:rPr>
        <w:t>月</w:t>
      </w:r>
      <w:r>
        <w:rPr>
          <w:rFonts w:hint="eastAsia"/>
          <w:lang w:eastAsia="zh-CN"/>
        </w:rPr>
        <w:t>31</w:t>
      </w:r>
      <w:r>
        <w:rPr>
          <w:rFonts w:hint="eastAsia"/>
          <w:lang w:eastAsia="zh-CN"/>
        </w:rPr>
        <w:t>日</w:t>
      </w:r>
    </w:p>
    <w:p w:rsidR="001F4519" w:rsidRDefault="001F4519" w:rsidP="00C4682D">
      <w:pPr>
        <w:pStyle w:val="Normalaftertitle0"/>
        <w:rPr>
          <w:lang w:eastAsia="zh-CN"/>
        </w:rPr>
      </w:pPr>
      <w:r>
        <w:rPr>
          <w:lang w:eastAsia="zh-CN"/>
        </w:rPr>
        <w:br w:type="page"/>
      </w:r>
    </w:p>
    <w:p w:rsidR="008F0C7E" w:rsidRPr="008F0C7E" w:rsidRDefault="008F0C7E" w:rsidP="008F0C7E">
      <w:pPr>
        <w:pStyle w:val="Heading1"/>
        <w:jc w:val="center"/>
        <w:rPr>
          <w:rFonts w:ascii="SimSun" w:eastAsia="SimSun" w:hAnsi="SimSun"/>
          <w:sz w:val="28"/>
          <w:szCs w:val="28"/>
          <w:lang w:eastAsia="zh-CN"/>
        </w:rPr>
      </w:pPr>
      <w:bookmarkStart w:id="9" w:name="_Toc12327"/>
      <w:bookmarkStart w:id="10" w:name="_Toc465078364"/>
      <w:bookmarkStart w:id="11" w:name="_Toc465078799"/>
      <w:bookmarkStart w:id="12" w:name="_Toc465079741"/>
      <w:bookmarkStart w:id="13" w:name="_Toc465081763"/>
      <w:bookmarkStart w:id="14" w:name="_Toc465098843"/>
      <w:r w:rsidRPr="008F0C7E">
        <w:rPr>
          <w:rFonts w:ascii="SimSun" w:eastAsia="SimSun" w:hAnsi="SimSun" w:hint="eastAsia"/>
          <w:sz w:val="28"/>
          <w:szCs w:val="28"/>
          <w:lang w:val="en-US" w:eastAsia="zh-CN"/>
        </w:rPr>
        <w:lastRenderedPageBreak/>
        <w:t>摘要</w:t>
      </w:r>
      <w:bookmarkEnd w:id="9"/>
      <w:bookmarkEnd w:id="10"/>
      <w:bookmarkEnd w:id="11"/>
      <w:bookmarkEnd w:id="12"/>
      <w:bookmarkEnd w:id="13"/>
      <w:bookmarkEnd w:id="14"/>
    </w:p>
    <w:p w:rsidR="008F0C7E" w:rsidRPr="00AC19C8" w:rsidRDefault="00ED3F8C" w:rsidP="008F0C7E">
      <w:pPr>
        <w:pStyle w:val="Headingb"/>
        <w:rPr>
          <w:i/>
          <w:iCs/>
          <w:sz w:val="28"/>
          <w:szCs w:val="28"/>
        </w:rPr>
      </w:pPr>
      <w:r>
        <w:rPr>
          <w:rFonts w:eastAsia="STKaiti" w:hint="eastAsia"/>
          <w:lang w:eastAsia="zh-CN"/>
        </w:rPr>
        <w:t>国际电联</w:t>
      </w:r>
      <w:r w:rsidR="008F0C7E" w:rsidRPr="00C202EB">
        <w:rPr>
          <w:rFonts w:eastAsia="STKaiti"/>
          <w:lang w:eastAsia="zh-CN"/>
        </w:rPr>
        <w:t>标准化工作取得的成果</w:t>
      </w:r>
    </w:p>
    <w:p w:rsidR="00ED3F8C" w:rsidRPr="00AC19C8" w:rsidRDefault="00ED3F8C" w:rsidP="00ED3F8C">
      <w:pPr>
        <w:ind w:firstLineChars="200" w:firstLine="480"/>
        <w:rPr>
          <w:lang w:eastAsia="zh-CN"/>
        </w:rPr>
      </w:pPr>
      <w:r>
        <w:rPr>
          <w:rFonts w:hint="eastAsia"/>
          <w:lang w:eastAsia="zh-CN"/>
        </w:rPr>
        <w:t>在从</w:t>
      </w:r>
      <w:r w:rsidRPr="00ED3F8C">
        <w:rPr>
          <w:rFonts w:hint="eastAsia"/>
          <w:lang w:eastAsia="zh-CN"/>
        </w:rPr>
        <w:t>2016</w:t>
      </w:r>
      <w:r w:rsidRPr="00ED3F8C">
        <w:rPr>
          <w:rFonts w:hint="eastAsia"/>
          <w:lang w:eastAsia="zh-CN"/>
        </w:rPr>
        <w:t>年</w:t>
      </w:r>
      <w:r w:rsidRPr="00ED3F8C">
        <w:rPr>
          <w:rFonts w:hint="eastAsia"/>
          <w:lang w:eastAsia="zh-CN"/>
        </w:rPr>
        <w:t>10</w:t>
      </w:r>
      <w:r>
        <w:rPr>
          <w:rFonts w:hint="eastAsia"/>
          <w:lang w:eastAsia="zh-CN"/>
        </w:rPr>
        <w:t>月到</w:t>
      </w:r>
      <w:r w:rsidRPr="00ED3F8C">
        <w:rPr>
          <w:rFonts w:hint="eastAsia"/>
          <w:lang w:eastAsia="zh-CN"/>
        </w:rPr>
        <w:t>2017</w:t>
      </w:r>
      <w:r w:rsidRPr="00ED3F8C">
        <w:rPr>
          <w:rFonts w:hint="eastAsia"/>
          <w:lang w:eastAsia="zh-CN"/>
        </w:rPr>
        <w:t>年</w:t>
      </w:r>
      <w:r w:rsidRPr="00ED3F8C">
        <w:rPr>
          <w:rFonts w:hint="eastAsia"/>
          <w:lang w:eastAsia="zh-CN"/>
        </w:rPr>
        <w:t>3</w:t>
      </w:r>
      <w:r w:rsidRPr="00ED3F8C">
        <w:rPr>
          <w:rFonts w:hint="eastAsia"/>
          <w:lang w:eastAsia="zh-CN"/>
        </w:rPr>
        <w:t>月中</w:t>
      </w:r>
      <w:r>
        <w:rPr>
          <w:rFonts w:hint="eastAsia"/>
          <w:lang w:eastAsia="zh-CN"/>
        </w:rPr>
        <w:t>的这段时间</w:t>
      </w:r>
      <w:r w:rsidRPr="00ED3F8C">
        <w:rPr>
          <w:rFonts w:hint="eastAsia"/>
          <w:lang w:eastAsia="zh-CN"/>
        </w:rPr>
        <w:t>内，批准了</w:t>
      </w:r>
      <w:r w:rsidRPr="00ED3F8C">
        <w:rPr>
          <w:rFonts w:hint="eastAsia"/>
          <w:b/>
          <w:lang w:eastAsia="zh-CN"/>
        </w:rPr>
        <w:t>87</w:t>
      </w:r>
      <w:r w:rsidRPr="00ED3F8C">
        <w:rPr>
          <w:rFonts w:hint="eastAsia"/>
          <w:b/>
          <w:lang w:eastAsia="zh-CN"/>
        </w:rPr>
        <w:t>项新的和</w:t>
      </w:r>
      <w:r w:rsidRPr="00ED3F8C">
        <w:rPr>
          <w:rFonts w:hint="eastAsia"/>
          <w:b/>
          <w:lang w:eastAsia="zh-CN"/>
        </w:rPr>
        <w:t>49</w:t>
      </w:r>
      <w:r w:rsidRPr="00ED3F8C">
        <w:rPr>
          <w:rFonts w:hint="eastAsia"/>
          <w:b/>
          <w:lang w:eastAsia="zh-CN"/>
        </w:rPr>
        <w:t>份经修订的</w:t>
      </w:r>
      <w:r w:rsidRPr="00ED3F8C">
        <w:rPr>
          <w:rFonts w:hint="eastAsia"/>
          <w:b/>
          <w:lang w:eastAsia="zh-CN"/>
        </w:rPr>
        <w:t>ITU-T</w:t>
      </w:r>
      <w:r w:rsidRPr="00ED3F8C">
        <w:rPr>
          <w:rFonts w:hint="eastAsia"/>
          <w:b/>
          <w:lang w:eastAsia="zh-CN"/>
        </w:rPr>
        <w:t>建议书</w:t>
      </w:r>
      <w:r>
        <w:rPr>
          <w:rFonts w:hint="eastAsia"/>
          <w:lang w:eastAsia="zh-CN"/>
        </w:rPr>
        <w:t>，参见附录</w:t>
      </w:r>
      <w:r>
        <w:rPr>
          <w:rFonts w:hint="eastAsia"/>
          <w:lang w:eastAsia="zh-CN"/>
        </w:rPr>
        <w:t>1</w:t>
      </w:r>
      <w:r w:rsidR="00C70E03">
        <w:rPr>
          <w:rFonts w:hint="eastAsia"/>
          <w:lang w:eastAsia="zh-CN"/>
        </w:rPr>
        <w:t>中所述的批准的</w:t>
      </w:r>
      <w:r w:rsidRPr="00ED3F8C">
        <w:rPr>
          <w:rFonts w:hint="eastAsia"/>
          <w:lang w:eastAsia="zh-CN"/>
        </w:rPr>
        <w:t>建议书和其他批准</w:t>
      </w:r>
      <w:r w:rsidR="00C70E03">
        <w:rPr>
          <w:rFonts w:hint="eastAsia"/>
          <w:lang w:eastAsia="zh-CN"/>
        </w:rPr>
        <w:t>的</w:t>
      </w:r>
      <w:r w:rsidRPr="00ED3F8C">
        <w:rPr>
          <w:rFonts w:hint="eastAsia"/>
          <w:lang w:eastAsia="zh-CN"/>
        </w:rPr>
        <w:t>文本的清单和摘要。</w:t>
      </w:r>
    </w:p>
    <w:p w:rsidR="002323E3" w:rsidRDefault="00950F1F" w:rsidP="002323E3">
      <w:pPr>
        <w:ind w:firstLineChars="200" w:firstLine="480"/>
        <w:rPr>
          <w:lang w:val="en-US" w:eastAsia="zh-CN"/>
        </w:rPr>
      </w:pPr>
      <w:r w:rsidRPr="001A34C8">
        <w:rPr>
          <w:lang w:val="en-US" w:eastAsia="zh-CN"/>
        </w:rPr>
        <w:t>ITU-T</w:t>
      </w:r>
      <w:r w:rsidRPr="001A34C8">
        <w:rPr>
          <w:lang w:val="en-US" w:eastAsia="zh-CN"/>
        </w:rPr>
        <w:t>继续主导</w:t>
      </w:r>
      <w:r w:rsidRPr="001A34C8">
        <w:rPr>
          <w:b/>
          <w:bCs/>
          <w:lang w:val="en-US" w:eastAsia="zh-CN"/>
        </w:rPr>
        <w:t>宽带接入和家庭网络</w:t>
      </w:r>
      <w:r w:rsidRPr="001A34C8">
        <w:rPr>
          <w:lang w:val="en-US" w:eastAsia="zh-CN"/>
        </w:rPr>
        <w:t>的标准化工作，是</w:t>
      </w:r>
      <w:r w:rsidRPr="00ED3F8C">
        <w:rPr>
          <w:b/>
          <w:lang w:val="en-US" w:eastAsia="zh-CN"/>
        </w:rPr>
        <w:t>超</w:t>
      </w:r>
      <w:r w:rsidRPr="001A34C8">
        <w:rPr>
          <w:b/>
          <w:bCs/>
          <w:lang w:val="en-US" w:eastAsia="zh-CN"/>
        </w:rPr>
        <w:t>高速传输</w:t>
      </w:r>
      <w:r w:rsidRPr="001A34C8">
        <w:rPr>
          <w:lang w:val="en-US" w:eastAsia="zh-CN"/>
        </w:rPr>
        <w:t>基础设施建设的领军者，领导着包括</w:t>
      </w:r>
      <w:r w:rsidRPr="001A34C8">
        <w:rPr>
          <w:b/>
          <w:bCs/>
          <w:lang w:val="en-US" w:eastAsia="zh-CN"/>
        </w:rPr>
        <w:t>5G</w:t>
      </w:r>
      <w:r w:rsidRPr="00ED3F8C">
        <w:rPr>
          <w:b/>
          <w:bCs/>
          <w:lang w:val="en-US" w:eastAsia="zh-CN"/>
        </w:rPr>
        <w:t>、</w:t>
      </w:r>
      <w:r w:rsidR="00ED3F8C">
        <w:rPr>
          <w:rFonts w:hint="eastAsia"/>
          <w:b/>
          <w:bCs/>
          <w:lang w:val="en-US" w:eastAsia="zh-CN"/>
        </w:rPr>
        <w:t>网络切片、固定移动融合、</w:t>
      </w:r>
      <w:r w:rsidR="00ED3F8C" w:rsidRPr="00ED3F8C">
        <w:rPr>
          <w:rFonts w:hint="eastAsia"/>
          <w:b/>
          <w:bCs/>
          <w:lang w:val="en-US" w:eastAsia="zh-CN"/>
        </w:rPr>
        <w:t>以信息为中心的网络</w:t>
      </w:r>
      <w:r w:rsidR="00ED3F8C">
        <w:rPr>
          <w:rFonts w:hint="eastAsia"/>
          <w:b/>
          <w:bCs/>
          <w:lang w:val="en-US" w:eastAsia="zh-CN"/>
        </w:rPr>
        <w:t>、</w:t>
      </w:r>
      <w:r w:rsidRPr="001A34C8">
        <w:rPr>
          <w:b/>
          <w:bCs/>
          <w:lang w:val="en-US" w:eastAsia="zh-CN"/>
        </w:rPr>
        <w:t>软件定义网络</w:t>
      </w:r>
      <w:r w:rsidRPr="001A34C8">
        <w:rPr>
          <w:lang w:val="en-US" w:eastAsia="zh-CN"/>
        </w:rPr>
        <w:t>和</w:t>
      </w:r>
      <w:r w:rsidRPr="001A34C8">
        <w:rPr>
          <w:b/>
          <w:bCs/>
          <w:lang w:val="en-US" w:eastAsia="zh-CN"/>
        </w:rPr>
        <w:t>云计算</w:t>
      </w:r>
      <w:r w:rsidRPr="001A34C8">
        <w:rPr>
          <w:lang w:val="en-US" w:eastAsia="zh-CN"/>
        </w:rPr>
        <w:t>等创新领域在内的</w:t>
      </w:r>
      <w:r w:rsidRPr="001A34C8">
        <w:rPr>
          <w:b/>
          <w:bCs/>
          <w:lang w:val="en-US" w:eastAsia="zh-CN"/>
        </w:rPr>
        <w:t>未来网络技术</w:t>
      </w:r>
      <w:r w:rsidR="00ED3F8C">
        <w:rPr>
          <w:lang w:val="en-US" w:eastAsia="zh-CN"/>
        </w:rPr>
        <w:t>。</w:t>
      </w:r>
      <w:r w:rsidRPr="001A34C8">
        <w:rPr>
          <w:lang w:val="en-US" w:eastAsia="zh-CN"/>
        </w:rPr>
        <w:t>参见第</w:t>
      </w:r>
      <w:r w:rsidRPr="001A34C8">
        <w:rPr>
          <w:lang w:val="en-US" w:eastAsia="zh-CN"/>
        </w:rPr>
        <w:t>1</w:t>
      </w:r>
      <w:r w:rsidR="00ED3F8C">
        <w:rPr>
          <w:rFonts w:hint="eastAsia"/>
          <w:lang w:val="en-US" w:eastAsia="zh-CN"/>
        </w:rPr>
        <w:t>节</w:t>
      </w:r>
      <w:r w:rsidRPr="001A34C8">
        <w:rPr>
          <w:lang w:val="en-US" w:eastAsia="zh-CN"/>
        </w:rPr>
        <w:t>、</w:t>
      </w:r>
      <w:r w:rsidR="00ED3F8C">
        <w:rPr>
          <w:rFonts w:hint="eastAsia"/>
          <w:lang w:val="en-US" w:eastAsia="zh-CN"/>
        </w:rPr>
        <w:t>第</w:t>
      </w:r>
      <w:r w:rsidRPr="001A34C8">
        <w:rPr>
          <w:lang w:val="en-US" w:eastAsia="zh-CN"/>
        </w:rPr>
        <w:t>2</w:t>
      </w:r>
      <w:r w:rsidR="00ED3F8C">
        <w:rPr>
          <w:rFonts w:hint="eastAsia"/>
          <w:lang w:val="en-US" w:eastAsia="zh-CN"/>
        </w:rPr>
        <w:t>节</w:t>
      </w:r>
      <w:r w:rsidRPr="001A34C8">
        <w:rPr>
          <w:lang w:val="en-US" w:eastAsia="zh-CN"/>
        </w:rPr>
        <w:t>和</w:t>
      </w:r>
      <w:r w:rsidR="00ED3F8C">
        <w:rPr>
          <w:rFonts w:hint="eastAsia"/>
          <w:lang w:val="en-US" w:eastAsia="zh-CN"/>
        </w:rPr>
        <w:t>第</w:t>
      </w:r>
      <w:r w:rsidRPr="001A34C8">
        <w:rPr>
          <w:lang w:val="en-US" w:eastAsia="zh-CN"/>
        </w:rPr>
        <w:t>3</w:t>
      </w:r>
      <w:r w:rsidR="002323E3">
        <w:rPr>
          <w:lang w:val="en-US" w:eastAsia="zh-CN"/>
        </w:rPr>
        <w:t>节</w:t>
      </w:r>
      <w:r w:rsidR="002323E3">
        <w:rPr>
          <w:rFonts w:hint="eastAsia"/>
          <w:lang w:val="en-US" w:eastAsia="zh-CN"/>
        </w:rPr>
        <w:t>。</w:t>
      </w:r>
    </w:p>
    <w:p w:rsidR="002323E3" w:rsidRDefault="002323E3" w:rsidP="002323E3">
      <w:pPr>
        <w:ind w:firstLineChars="200" w:firstLine="480"/>
        <w:rPr>
          <w:lang w:eastAsia="zh-CN"/>
        </w:rPr>
      </w:pPr>
      <w:r w:rsidRPr="00AC19C8">
        <w:rPr>
          <w:lang w:eastAsia="zh-CN"/>
        </w:rPr>
        <w:t>ITU-T G.9701</w:t>
      </w:r>
      <w:r>
        <w:rPr>
          <w:rFonts w:hint="eastAsia"/>
          <w:lang w:eastAsia="zh-CN"/>
        </w:rPr>
        <w:t>建议书</w:t>
      </w:r>
      <w:r w:rsidRPr="00AC19C8">
        <w:rPr>
          <w:lang w:eastAsia="zh-CN"/>
        </w:rPr>
        <w:t>第三</w:t>
      </w:r>
      <w:r>
        <w:rPr>
          <w:rFonts w:hint="eastAsia"/>
          <w:lang w:eastAsia="zh-CN"/>
        </w:rPr>
        <w:t>次</w:t>
      </w:r>
      <w:r>
        <w:rPr>
          <w:lang w:eastAsia="zh-CN"/>
        </w:rPr>
        <w:t>修正</w:t>
      </w:r>
      <w:r>
        <w:rPr>
          <w:rFonts w:hint="eastAsia"/>
          <w:lang w:eastAsia="zh-CN"/>
        </w:rPr>
        <w:t>利用</w:t>
      </w:r>
      <w:proofErr w:type="spellStart"/>
      <w:r w:rsidRPr="009A3C1F">
        <w:rPr>
          <w:b/>
          <w:lang w:eastAsia="zh-CN"/>
        </w:rPr>
        <w:t>G.fast</w:t>
      </w:r>
      <w:proofErr w:type="spellEnd"/>
      <w:r>
        <w:rPr>
          <w:lang w:eastAsia="zh-CN"/>
        </w:rPr>
        <w:t>实现</w:t>
      </w:r>
      <w:r>
        <w:rPr>
          <w:rFonts w:hint="eastAsia"/>
          <w:lang w:eastAsia="zh-CN"/>
        </w:rPr>
        <w:t>了总</w:t>
      </w:r>
      <w:r w:rsidRPr="00AC19C8">
        <w:rPr>
          <w:lang w:eastAsia="zh-CN"/>
        </w:rPr>
        <w:t>净数据速率加倍，</w:t>
      </w:r>
      <w:r>
        <w:rPr>
          <w:rFonts w:hint="eastAsia"/>
          <w:lang w:eastAsia="zh-CN"/>
        </w:rPr>
        <w:t>在</w:t>
      </w:r>
      <w:r>
        <w:rPr>
          <w:lang w:eastAsia="zh-CN"/>
        </w:rPr>
        <w:t>传统电话线</w:t>
      </w:r>
      <w:r>
        <w:rPr>
          <w:rFonts w:hint="eastAsia"/>
          <w:lang w:eastAsia="zh-CN"/>
        </w:rPr>
        <w:t>上使用</w:t>
      </w:r>
      <w:r>
        <w:rPr>
          <w:lang w:eastAsia="zh-CN"/>
        </w:rPr>
        <w:t>高</w:t>
      </w:r>
      <w:r>
        <w:rPr>
          <w:rFonts w:hint="eastAsia"/>
          <w:lang w:eastAsia="zh-CN"/>
        </w:rPr>
        <w:t>至</w:t>
      </w:r>
      <w:r w:rsidRPr="00AC19C8">
        <w:rPr>
          <w:lang w:eastAsia="zh-CN"/>
        </w:rPr>
        <w:t>212 MHz</w:t>
      </w:r>
      <w:r>
        <w:rPr>
          <w:rFonts w:hint="eastAsia"/>
          <w:lang w:eastAsia="zh-CN"/>
        </w:rPr>
        <w:t>的频谱</w:t>
      </w:r>
      <w:r w:rsidRPr="00AC19C8">
        <w:rPr>
          <w:lang w:eastAsia="zh-CN"/>
        </w:rPr>
        <w:t>，将其容量提高到</w:t>
      </w:r>
      <w:r>
        <w:rPr>
          <w:rFonts w:hint="eastAsia"/>
          <w:lang w:eastAsia="zh-CN"/>
        </w:rPr>
        <w:t>了</w:t>
      </w:r>
      <w:r>
        <w:rPr>
          <w:lang w:eastAsia="zh-CN"/>
        </w:rPr>
        <w:t xml:space="preserve">2 </w:t>
      </w:r>
      <w:proofErr w:type="spellStart"/>
      <w:r>
        <w:rPr>
          <w:lang w:eastAsia="zh-CN"/>
        </w:rPr>
        <w:t>Gbit</w:t>
      </w:r>
      <w:proofErr w:type="spellEnd"/>
      <w:r>
        <w:rPr>
          <w:lang w:eastAsia="zh-CN"/>
        </w:rPr>
        <w:t>/</w:t>
      </w:r>
      <w:r w:rsidRPr="00AC19C8">
        <w:rPr>
          <w:lang w:eastAsia="zh-CN"/>
        </w:rPr>
        <w:t>s</w:t>
      </w:r>
      <w:r>
        <w:rPr>
          <w:lang w:eastAsia="zh-CN"/>
        </w:rPr>
        <w:t>，</w:t>
      </w:r>
      <w:r>
        <w:rPr>
          <w:rFonts w:hint="eastAsia"/>
          <w:lang w:eastAsia="zh-CN"/>
        </w:rPr>
        <w:t>在</w:t>
      </w:r>
      <w:proofErr w:type="spellStart"/>
      <w:r w:rsidRPr="00AC19C8">
        <w:rPr>
          <w:lang w:eastAsia="zh-CN"/>
        </w:rPr>
        <w:t>G.fast</w:t>
      </w:r>
      <w:proofErr w:type="spellEnd"/>
      <w:r>
        <w:rPr>
          <w:lang w:eastAsia="zh-CN"/>
        </w:rPr>
        <w:t>证明</w:t>
      </w:r>
      <w:r>
        <w:rPr>
          <w:rFonts w:hint="eastAsia"/>
          <w:lang w:eastAsia="zh-CN"/>
        </w:rPr>
        <w:t>为更具效费比的策略的各情形中，</w:t>
      </w:r>
      <w:r>
        <w:rPr>
          <w:lang w:eastAsia="zh-CN"/>
        </w:rPr>
        <w:t>为运营商</w:t>
      </w:r>
      <w:r>
        <w:rPr>
          <w:rFonts w:hint="eastAsia"/>
          <w:lang w:eastAsia="zh-CN"/>
        </w:rPr>
        <w:t>的</w:t>
      </w:r>
      <w:r w:rsidRPr="00AC19C8">
        <w:rPr>
          <w:lang w:eastAsia="zh-CN"/>
        </w:rPr>
        <w:t>光纤</w:t>
      </w:r>
      <w:r>
        <w:rPr>
          <w:rFonts w:hint="eastAsia"/>
          <w:lang w:eastAsia="zh-CN"/>
        </w:rPr>
        <w:t>入户（</w:t>
      </w:r>
      <w:r>
        <w:rPr>
          <w:rFonts w:hint="eastAsia"/>
          <w:lang w:eastAsia="zh-CN"/>
        </w:rPr>
        <w:t>FTTH</w:t>
      </w:r>
      <w:r>
        <w:rPr>
          <w:rFonts w:hint="eastAsia"/>
          <w:lang w:eastAsia="zh-CN"/>
        </w:rPr>
        <w:t>）技术提供了</w:t>
      </w:r>
      <w:r w:rsidRPr="00AC19C8">
        <w:rPr>
          <w:lang w:eastAsia="zh-CN"/>
        </w:rPr>
        <w:t>有价值的补充。</w:t>
      </w:r>
    </w:p>
    <w:p w:rsidR="002323E3" w:rsidRDefault="002323E3" w:rsidP="002323E3">
      <w:pPr>
        <w:ind w:firstLineChars="200" w:firstLine="480"/>
        <w:rPr>
          <w:lang w:eastAsia="zh-CN"/>
        </w:rPr>
      </w:pPr>
      <w:r w:rsidRPr="00AC19C8">
        <w:rPr>
          <w:lang w:eastAsia="zh-CN"/>
        </w:rPr>
        <w:t>对光纤标准的增强允许扩展和优化</w:t>
      </w:r>
      <w:r>
        <w:rPr>
          <w:rFonts w:hint="eastAsia"/>
          <w:lang w:eastAsia="zh-CN"/>
        </w:rPr>
        <w:t>对</w:t>
      </w:r>
      <w:r w:rsidRPr="00AC19C8">
        <w:rPr>
          <w:lang w:eastAsia="zh-CN"/>
        </w:rPr>
        <w:t>这些光纤超出其当前能力</w:t>
      </w:r>
      <w:r>
        <w:rPr>
          <w:rFonts w:hint="eastAsia"/>
          <w:lang w:eastAsia="zh-CN"/>
        </w:rPr>
        <w:t>范围</w:t>
      </w:r>
      <w:r w:rsidRPr="00AC19C8">
        <w:rPr>
          <w:lang w:eastAsia="zh-CN"/>
        </w:rPr>
        <w:t>的使用。</w:t>
      </w:r>
    </w:p>
    <w:p w:rsidR="002323E3" w:rsidRDefault="002323E3" w:rsidP="002323E3">
      <w:pPr>
        <w:ind w:firstLineChars="200" w:firstLine="480"/>
        <w:rPr>
          <w:lang w:eastAsia="zh-CN"/>
        </w:rPr>
      </w:pPr>
      <w:r w:rsidRPr="00AC19C8">
        <w:rPr>
          <w:lang w:eastAsia="zh-CN"/>
        </w:rPr>
        <w:t>新</w:t>
      </w:r>
      <w:r>
        <w:rPr>
          <w:rFonts w:hint="eastAsia"/>
          <w:lang w:eastAsia="zh-CN"/>
        </w:rPr>
        <w:t>的</w:t>
      </w:r>
      <w:r>
        <w:rPr>
          <w:lang w:eastAsia="zh-CN"/>
        </w:rPr>
        <w:t>标准旨在通过确定低成本</w:t>
      </w:r>
      <w:r>
        <w:rPr>
          <w:rFonts w:hint="eastAsia"/>
          <w:lang w:eastAsia="zh-CN"/>
        </w:rPr>
        <w:t>、</w:t>
      </w:r>
      <w:r w:rsidRPr="00AC19C8">
        <w:rPr>
          <w:lang w:eastAsia="zh-CN"/>
        </w:rPr>
        <w:t>可持续的宽带回程基础设施，</w:t>
      </w:r>
      <w:r w:rsidRPr="0057381C">
        <w:rPr>
          <w:b/>
          <w:lang w:eastAsia="zh-CN"/>
        </w:rPr>
        <w:t>为宽带</w:t>
      </w:r>
      <w:r w:rsidRPr="0057381C">
        <w:rPr>
          <w:rFonts w:hint="eastAsia"/>
          <w:b/>
          <w:lang w:eastAsia="zh-CN"/>
        </w:rPr>
        <w:t>接入</w:t>
      </w:r>
      <w:r w:rsidRPr="0057381C">
        <w:rPr>
          <w:b/>
          <w:lang w:eastAsia="zh-CN"/>
        </w:rPr>
        <w:t>农村社区</w:t>
      </w:r>
      <w:r w:rsidRPr="0057381C">
        <w:rPr>
          <w:rFonts w:hint="eastAsia"/>
          <w:b/>
          <w:lang w:eastAsia="zh-CN"/>
        </w:rPr>
        <w:t>带来经济上可承受的</w:t>
      </w:r>
      <w:r w:rsidRPr="0057381C">
        <w:rPr>
          <w:b/>
          <w:lang w:eastAsia="zh-CN"/>
        </w:rPr>
        <w:t>实施</w:t>
      </w:r>
      <w:r w:rsidRPr="0057381C">
        <w:rPr>
          <w:rFonts w:hint="eastAsia"/>
          <w:b/>
          <w:lang w:eastAsia="zh-CN"/>
        </w:rPr>
        <w:t>方案</w:t>
      </w:r>
      <w:r>
        <w:rPr>
          <w:rFonts w:hint="eastAsia"/>
          <w:lang w:eastAsia="zh-CN"/>
        </w:rPr>
        <w:t>，</w:t>
      </w:r>
      <w:r w:rsidRPr="00AC19C8">
        <w:rPr>
          <w:lang w:eastAsia="zh-CN"/>
        </w:rPr>
        <w:t>特别</w:t>
      </w:r>
      <w:r>
        <w:rPr>
          <w:rFonts w:hint="eastAsia"/>
          <w:lang w:eastAsia="zh-CN"/>
        </w:rPr>
        <w:t>是</w:t>
      </w:r>
      <w:r>
        <w:rPr>
          <w:lang w:eastAsia="zh-CN"/>
        </w:rPr>
        <w:t>关注发展中国家的农村通信</w:t>
      </w:r>
      <w:r>
        <w:rPr>
          <w:rFonts w:hint="eastAsia"/>
          <w:lang w:eastAsia="zh-CN"/>
        </w:rPr>
        <w:t>。</w:t>
      </w:r>
    </w:p>
    <w:p w:rsidR="002323E3" w:rsidRDefault="002323E3" w:rsidP="002323E3">
      <w:pPr>
        <w:ind w:firstLineChars="200" w:firstLine="480"/>
        <w:rPr>
          <w:bCs/>
          <w:lang w:eastAsia="zh-CN"/>
        </w:rPr>
      </w:pPr>
      <w:r>
        <w:rPr>
          <w:bCs/>
          <w:lang w:eastAsia="zh-CN"/>
        </w:rPr>
        <w:t>宽带有线网络已经</w:t>
      </w:r>
      <w:r>
        <w:rPr>
          <w:rFonts w:hint="eastAsia"/>
          <w:bCs/>
          <w:lang w:eastAsia="zh-CN"/>
        </w:rPr>
        <w:t>有针对</w:t>
      </w:r>
      <w:r w:rsidRPr="0057381C">
        <w:rPr>
          <w:b/>
          <w:bCs/>
          <w:lang w:eastAsia="zh-CN"/>
        </w:rPr>
        <w:t>4K</w:t>
      </w:r>
      <w:r w:rsidRPr="0057381C">
        <w:rPr>
          <w:b/>
          <w:bCs/>
          <w:lang w:eastAsia="zh-CN"/>
        </w:rPr>
        <w:t>超高清电视机顶盒</w:t>
      </w:r>
      <w:r>
        <w:rPr>
          <w:bCs/>
          <w:lang w:eastAsia="zh-CN"/>
        </w:rPr>
        <w:t>的新标准，具有</w:t>
      </w:r>
      <w:r>
        <w:rPr>
          <w:rFonts w:hint="eastAsia"/>
          <w:bCs/>
          <w:lang w:eastAsia="zh-CN"/>
        </w:rPr>
        <w:t>此类</w:t>
      </w:r>
      <w:r>
        <w:rPr>
          <w:bCs/>
          <w:lang w:eastAsia="zh-CN"/>
        </w:rPr>
        <w:t>有线机顶盒的功能</w:t>
      </w:r>
      <w:r>
        <w:rPr>
          <w:rFonts w:hint="eastAsia"/>
          <w:bCs/>
          <w:lang w:eastAsia="zh-CN"/>
        </w:rPr>
        <w:t>规范</w:t>
      </w:r>
      <w:r w:rsidRPr="00AC19C8">
        <w:rPr>
          <w:bCs/>
          <w:lang w:eastAsia="zh-CN"/>
        </w:rPr>
        <w:t>。</w:t>
      </w:r>
    </w:p>
    <w:p w:rsidR="002323E3" w:rsidRDefault="002323E3" w:rsidP="002323E3">
      <w:pPr>
        <w:ind w:firstLineChars="200" w:firstLine="482"/>
        <w:rPr>
          <w:lang w:eastAsia="zh-CN"/>
        </w:rPr>
      </w:pPr>
      <w:r w:rsidRPr="00A76EE6">
        <w:rPr>
          <w:b/>
          <w:bCs/>
          <w:iCs/>
          <w:lang w:eastAsia="zh-CN"/>
        </w:rPr>
        <w:t>同步的移动回程对于</w:t>
      </w:r>
      <w:r w:rsidRPr="00A76EE6">
        <w:rPr>
          <w:b/>
          <w:bCs/>
          <w:iCs/>
          <w:lang w:eastAsia="zh-CN"/>
        </w:rPr>
        <w:t>4G</w:t>
      </w:r>
      <w:r w:rsidRPr="00A76EE6">
        <w:rPr>
          <w:rFonts w:hint="eastAsia"/>
          <w:b/>
          <w:bCs/>
          <w:iCs/>
          <w:lang w:eastAsia="zh-CN"/>
        </w:rPr>
        <w:t>、</w:t>
      </w:r>
      <w:r w:rsidRPr="00A76EE6">
        <w:rPr>
          <w:b/>
          <w:bCs/>
          <w:iCs/>
          <w:lang w:eastAsia="zh-CN"/>
        </w:rPr>
        <w:t>5G</w:t>
      </w:r>
      <w:r w:rsidRPr="00A76EE6">
        <w:rPr>
          <w:b/>
          <w:bCs/>
          <w:iCs/>
          <w:lang w:eastAsia="zh-CN"/>
        </w:rPr>
        <w:t>及以上无线系统的成功至关重要</w:t>
      </w:r>
      <w:r w:rsidRPr="003F5DB5">
        <w:rPr>
          <w:iCs/>
          <w:lang w:eastAsia="zh-CN"/>
        </w:rPr>
        <w:t>。</w:t>
      </w:r>
      <w:r w:rsidRPr="00AC19C8">
        <w:rPr>
          <w:lang w:eastAsia="zh-CN"/>
        </w:rPr>
        <w:t>新的行业标准使得高度精确的时间同步和可靠性水平转化为长达数天</w:t>
      </w:r>
      <w:r>
        <w:rPr>
          <w:rFonts w:hint="eastAsia"/>
          <w:lang w:eastAsia="zh-CN"/>
        </w:rPr>
        <w:t>的</w:t>
      </w:r>
      <w:r w:rsidRPr="00AC19C8">
        <w:rPr>
          <w:lang w:eastAsia="zh-CN"/>
        </w:rPr>
        <w:t>持续能力</w:t>
      </w:r>
      <w:r>
        <w:rPr>
          <w:rFonts w:hint="eastAsia"/>
          <w:lang w:eastAsia="zh-CN"/>
        </w:rPr>
        <w:t>成为可能</w:t>
      </w:r>
      <w:r w:rsidRPr="00AC19C8">
        <w:rPr>
          <w:lang w:eastAsia="zh-CN"/>
        </w:rPr>
        <w:t>，技术通常基于</w:t>
      </w:r>
      <w:r w:rsidRPr="00AC19C8">
        <w:rPr>
          <w:lang w:eastAsia="zh-CN"/>
        </w:rPr>
        <w:t>GNSS</w:t>
      </w:r>
      <w:r w:rsidRPr="00AC19C8">
        <w:rPr>
          <w:lang w:eastAsia="zh-CN"/>
        </w:rPr>
        <w:t>（全球导航卫星系统，如</w:t>
      </w:r>
      <w:r w:rsidRPr="00AC19C8">
        <w:rPr>
          <w:lang w:eastAsia="zh-CN"/>
        </w:rPr>
        <w:t>GPS</w:t>
      </w:r>
      <w:r>
        <w:rPr>
          <w:lang w:eastAsia="zh-CN"/>
        </w:rPr>
        <w:t>）和原子钟（如铯钟）的</w:t>
      </w:r>
      <w:r>
        <w:rPr>
          <w:rFonts w:hint="eastAsia"/>
          <w:lang w:eastAsia="zh-CN"/>
        </w:rPr>
        <w:t>结合</w:t>
      </w:r>
      <w:r w:rsidRPr="00AC19C8">
        <w:rPr>
          <w:lang w:eastAsia="zh-CN"/>
        </w:rPr>
        <w:t>。</w:t>
      </w:r>
    </w:p>
    <w:p w:rsidR="002323E3" w:rsidRDefault="002323E3" w:rsidP="002323E3">
      <w:pPr>
        <w:ind w:firstLineChars="200" w:firstLine="480"/>
        <w:rPr>
          <w:lang w:eastAsia="zh-CN"/>
        </w:rPr>
      </w:pPr>
      <w:r w:rsidRPr="00AC19C8">
        <w:rPr>
          <w:lang w:eastAsia="zh-CN"/>
        </w:rPr>
        <w:t>扩大和加快</w:t>
      </w:r>
      <w:r w:rsidRPr="00CA0FFB">
        <w:rPr>
          <w:b/>
          <w:lang w:eastAsia="zh-CN"/>
        </w:rPr>
        <w:t>软件定义网络（</w:t>
      </w:r>
      <w:r w:rsidRPr="00CA0FFB">
        <w:rPr>
          <w:b/>
          <w:lang w:eastAsia="zh-CN"/>
        </w:rPr>
        <w:t>SDN</w:t>
      </w:r>
      <w:r w:rsidRPr="00CA0FFB">
        <w:rPr>
          <w:b/>
          <w:lang w:eastAsia="zh-CN"/>
        </w:rPr>
        <w:t>）</w:t>
      </w:r>
      <w:r w:rsidRPr="00AC19C8">
        <w:rPr>
          <w:lang w:eastAsia="zh-CN"/>
        </w:rPr>
        <w:t>的标准化工作，产生了两项新</w:t>
      </w:r>
      <w:r>
        <w:rPr>
          <w:rFonts w:hint="eastAsia"/>
          <w:lang w:eastAsia="zh-CN"/>
        </w:rPr>
        <w:t>的</w:t>
      </w:r>
      <w:r w:rsidRPr="00AC19C8">
        <w:rPr>
          <w:lang w:eastAsia="zh-CN"/>
        </w:rPr>
        <w:t>标准，为</w:t>
      </w:r>
      <w:r w:rsidRPr="00AC19C8">
        <w:rPr>
          <w:lang w:eastAsia="zh-CN"/>
        </w:rPr>
        <w:t>SDN</w:t>
      </w:r>
      <w:r>
        <w:rPr>
          <w:lang w:eastAsia="zh-CN"/>
        </w:rPr>
        <w:t>的基础要求和架构打下了基础。</w:t>
      </w:r>
      <w:r w:rsidRPr="00AC19C8">
        <w:rPr>
          <w:lang w:eastAsia="zh-CN"/>
        </w:rPr>
        <w:t>新</w:t>
      </w:r>
      <w:r>
        <w:rPr>
          <w:rFonts w:hint="eastAsia"/>
          <w:lang w:eastAsia="zh-CN"/>
        </w:rPr>
        <w:t>的</w:t>
      </w:r>
      <w:r w:rsidRPr="00AC19C8">
        <w:rPr>
          <w:lang w:eastAsia="zh-CN"/>
        </w:rPr>
        <w:t>标准定义了绿色抽象层与</w:t>
      </w:r>
      <w:r w:rsidRPr="00AC19C8">
        <w:rPr>
          <w:lang w:eastAsia="zh-CN"/>
        </w:rPr>
        <w:t>ITU-T</w:t>
      </w:r>
      <w:r>
        <w:rPr>
          <w:lang w:eastAsia="zh-CN"/>
        </w:rPr>
        <w:t>软件定义</w:t>
      </w:r>
      <w:r w:rsidRPr="00AC19C8">
        <w:rPr>
          <w:lang w:eastAsia="zh-CN"/>
        </w:rPr>
        <w:t>网络架构的集成，</w:t>
      </w:r>
      <w:r>
        <w:rPr>
          <w:rFonts w:hint="eastAsia"/>
          <w:lang w:eastAsia="zh-CN"/>
        </w:rPr>
        <w:t>而</w:t>
      </w:r>
      <w:r w:rsidRPr="00AC19C8">
        <w:rPr>
          <w:lang w:eastAsia="zh-CN"/>
        </w:rPr>
        <w:t>另一个标准</w:t>
      </w:r>
      <w:r>
        <w:rPr>
          <w:rFonts w:hint="eastAsia"/>
          <w:lang w:eastAsia="zh-CN"/>
        </w:rPr>
        <w:t>则</w:t>
      </w:r>
      <w:r w:rsidRPr="00AC19C8">
        <w:rPr>
          <w:lang w:eastAsia="zh-CN"/>
        </w:rPr>
        <w:t>定义了</w:t>
      </w:r>
      <w:r w:rsidRPr="00AC19C8">
        <w:rPr>
          <w:lang w:eastAsia="zh-CN"/>
        </w:rPr>
        <w:t>SDN</w:t>
      </w:r>
      <w:r>
        <w:rPr>
          <w:lang w:eastAsia="zh-CN"/>
        </w:rPr>
        <w:t>的安全</w:t>
      </w:r>
      <w:r>
        <w:rPr>
          <w:rFonts w:hint="eastAsia"/>
          <w:lang w:eastAsia="zh-CN"/>
        </w:rPr>
        <w:t>性</w:t>
      </w:r>
      <w:r w:rsidRPr="00AC19C8">
        <w:rPr>
          <w:lang w:eastAsia="zh-CN"/>
        </w:rPr>
        <w:t>要求和安全</w:t>
      </w:r>
      <w:r>
        <w:rPr>
          <w:rFonts w:hint="eastAsia"/>
          <w:lang w:eastAsia="zh-CN"/>
        </w:rPr>
        <w:t>性</w:t>
      </w:r>
      <w:r>
        <w:rPr>
          <w:lang w:eastAsia="zh-CN"/>
        </w:rPr>
        <w:t>参考架构。</w:t>
      </w:r>
      <w:r w:rsidRPr="00AC19C8">
        <w:rPr>
          <w:lang w:eastAsia="zh-CN"/>
        </w:rPr>
        <w:t>新的标准描述了</w:t>
      </w:r>
      <w:r w:rsidRPr="00AC19C8">
        <w:rPr>
          <w:lang w:eastAsia="zh-CN"/>
        </w:rPr>
        <w:t>SDN</w:t>
      </w:r>
      <w:r w:rsidRPr="00AC19C8">
        <w:rPr>
          <w:lang w:eastAsia="zh-CN"/>
        </w:rPr>
        <w:t>和</w:t>
      </w:r>
      <w:r w:rsidRPr="00AC19C8">
        <w:rPr>
          <w:lang w:eastAsia="zh-CN"/>
        </w:rPr>
        <w:t>ASON</w:t>
      </w:r>
      <w:r>
        <w:rPr>
          <w:lang w:eastAsia="zh-CN"/>
        </w:rPr>
        <w:t>网络管理控制的共同点，涵盖</w:t>
      </w:r>
      <w:r>
        <w:rPr>
          <w:rFonts w:hint="eastAsia"/>
          <w:lang w:eastAsia="zh-CN"/>
        </w:rPr>
        <w:t>了</w:t>
      </w:r>
      <w:r w:rsidRPr="00AC19C8">
        <w:rPr>
          <w:lang w:eastAsia="zh-CN"/>
        </w:rPr>
        <w:t>常见的</w:t>
      </w:r>
      <w:r w:rsidRPr="00AC19C8">
        <w:rPr>
          <w:lang w:eastAsia="zh-CN"/>
        </w:rPr>
        <w:t>SDN</w:t>
      </w:r>
      <w:r w:rsidRPr="00AC19C8">
        <w:rPr>
          <w:lang w:eastAsia="zh-CN"/>
        </w:rPr>
        <w:t>和</w:t>
      </w:r>
      <w:r w:rsidRPr="00AC19C8">
        <w:rPr>
          <w:lang w:eastAsia="zh-CN"/>
        </w:rPr>
        <w:t>ASON</w:t>
      </w:r>
      <w:r w:rsidRPr="00AC19C8">
        <w:rPr>
          <w:lang w:eastAsia="zh-CN"/>
        </w:rPr>
        <w:t>控制方法。</w:t>
      </w:r>
    </w:p>
    <w:p w:rsidR="002323E3" w:rsidRDefault="002323E3" w:rsidP="002323E3">
      <w:pPr>
        <w:ind w:firstLineChars="200" w:firstLine="480"/>
        <w:rPr>
          <w:lang w:eastAsia="zh-CN"/>
        </w:rPr>
      </w:pPr>
      <w:r w:rsidRPr="00AC19C8">
        <w:rPr>
          <w:lang w:eastAsia="zh-CN"/>
        </w:rPr>
        <w:t>ITU-T SDN</w:t>
      </w:r>
      <w:r w:rsidRPr="00AC19C8">
        <w:rPr>
          <w:lang w:eastAsia="zh-CN"/>
        </w:rPr>
        <w:t>联合协调活动（</w:t>
      </w:r>
      <w:r w:rsidRPr="00CA0FFB">
        <w:rPr>
          <w:b/>
          <w:lang w:eastAsia="zh-CN"/>
        </w:rPr>
        <w:t>JCA-SDN</w:t>
      </w:r>
      <w:r w:rsidRPr="00AC19C8">
        <w:rPr>
          <w:lang w:eastAsia="zh-CN"/>
        </w:rPr>
        <w:t>）的协调工作继续进行。</w:t>
      </w:r>
    </w:p>
    <w:p w:rsidR="002323E3" w:rsidRDefault="002323E3" w:rsidP="002323E3">
      <w:pPr>
        <w:ind w:firstLineChars="200" w:firstLine="480"/>
        <w:rPr>
          <w:lang w:eastAsia="zh-CN"/>
        </w:rPr>
      </w:pPr>
      <w:r>
        <w:rPr>
          <w:rFonts w:hint="eastAsia"/>
          <w:lang w:eastAsia="zh-CN"/>
        </w:rPr>
        <w:t>将</w:t>
      </w:r>
      <w:r w:rsidRPr="00CA0FFB">
        <w:rPr>
          <w:lang w:eastAsia="zh-CN"/>
        </w:rPr>
        <w:t>现有传统移动网络与未来网络相结合的</w:t>
      </w:r>
      <w:r w:rsidRPr="00CA0FFB">
        <w:rPr>
          <w:b/>
          <w:lang w:eastAsia="zh-CN"/>
        </w:rPr>
        <w:t>移动分组核心网</w:t>
      </w:r>
      <w:r>
        <w:rPr>
          <w:rFonts w:hint="eastAsia"/>
          <w:b/>
          <w:lang w:eastAsia="zh-CN"/>
        </w:rPr>
        <w:t>之</w:t>
      </w:r>
      <w:r w:rsidRPr="00CA0FFB">
        <w:rPr>
          <w:b/>
          <w:lang w:eastAsia="zh-CN"/>
        </w:rPr>
        <w:t>软网络架构</w:t>
      </w:r>
      <w:r w:rsidRPr="00CA0FFB">
        <w:rPr>
          <w:lang w:eastAsia="zh-CN"/>
        </w:rPr>
        <w:t>的新标准被认为是</w:t>
      </w:r>
      <w:r>
        <w:rPr>
          <w:rFonts w:hint="eastAsia"/>
          <w:lang w:eastAsia="zh-CN"/>
        </w:rPr>
        <w:t>第</w:t>
      </w:r>
      <w:r>
        <w:rPr>
          <w:rFonts w:hint="eastAsia"/>
          <w:lang w:eastAsia="zh-CN"/>
        </w:rPr>
        <w:t>13</w:t>
      </w:r>
      <w:r>
        <w:rPr>
          <w:rFonts w:hint="eastAsia"/>
          <w:lang w:eastAsia="zh-CN"/>
        </w:rPr>
        <w:t>研究组</w:t>
      </w:r>
      <w:r w:rsidRPr="00CA0FFB">
        <w:rPr>
          <w:lang w:eastAsia="zh-CN"/>
        </w:rPr>
        <w:t>5G</w:t>
      </w:r>
      <w:r w:rsidRPr="00CA0FFB">
        <w:rPr>
          <w:lang w:eastAsia="zh-CN"/>
        </w:rPr>
        <w:t>工作的基础。该新标准定义了移动（</w:t>
      </w:r>
      <w:r w:rsidRPr="00CA0FFB">
        <w:rPr>
          <w:lang w:eastAsia="zh-CN"/>
        </w:rPr>
        <w:t>SAME</w:t>
      </w:r>
      <w:r>
        <w:rPr>
          <w:lang w:eastAsia="zh-CN"/>
        </w:rPr>
        <w:t>）软网络架构的设计原则和要求，即灵活的流量</w:t>
      </w:r>
      <w:r>
        <w:rPr>
          <w:rFonts w:hint="eastAsia"/>
          <w:lang w:eastAsia="zh-CN"/>
        </w:rPr>
        <w:t>操控、</w:t>
      </w:r>
      <w:r w:rsidRPr="00CA0FFB">
        <w:rPr>
          <w:lang w:eastAsia="zh-CN"/>
        </w:rPr>
        <w:t>SAME</w:t>
      </w:r>
      <w:r>
        <w:rPr>
          <w:lang w:eastAsia="zh-CN"/>
        </w:rPr>
        <w:t>网络功能的虚拟化</w:t>
      </w:r>
      <w:r>
        <w:rPr>
          <w:rFonts w:hint="eastAsia"/>
          <w:lang w:eastAsia="zh-CN"/>
        </w:rPr>
        <w:t>、</w:t>
      </w:r>
      <w:r w:rsidRPr="00CA0FFB">
        <w:rPr>
          <w:lang w:eastAsia="zh-CN"/>
        </w:rPr>
        <w:t>SAME</w:t>
      </w:r>
      <w:r>
        <w:rPr>
          <w:lang w:eastAsia="zh-CN"/>
        </w:rPr>
        <w:t>网络切片</w:t>
      </w:r>
      <w:r>
        <w:rPr>
          <w:rFonts w:hint="eastAsia"/>
          <w:lang w:eastAsia="zh-CN"/>
        </w:rPr>
        <w:t>、</w:t>
      </w:r>
      <w:r w:rsidRPr="00CA0FFB">
        <w:rPr>
          <w:lang w:eastAsia="zh-CN"/>
        </w:rPr>
        <w:t>控制功能和转发功能</w:t>
      </w:r>
      <w:r>
        <w:rPr>
          <w:rFonts w:hint="eastAsia"/>
          <w:lang w:eastAsia="zh-CN"/>
        </w:rPr>
        <w:t>的分离</w:t>
      </w:r>
      <w:r w:rsidRPr="00CA0FFB">
        <w:rPr>
          <w:lang w:eastAsia="zh-CN"/>
        </w:rPr>
        <w:t>，从而使运营商能够改进其网络的灵活性，例如更有效地使用网络资源，并更快地增强其网络功能。</w:t>
      </w:r>
    </w:p>
    <w:p w:rsidR="00C70E03" w:rsidRDefault="002323E3" w:rsidP="002323E3">
      <w:pPr>
        <w:ind w:firstLineChars="200" w:firstLine="482"/>
        <w:rPr>
          <w:lang w:eastAsia="zh-CN"/>
        </w:rPr>
      </w:pPr>
      <w:r w:rsidRPr="00A76EE6">
        <w:rPr>
          <w:b/>
          <w:bCs/>
          <w:lang w:eastAsia="zh-CN"/>
        </w:rPr>
        <w:t>ITU-T</w:t>
      </w:r>
      <w:r w:rsidRPr="00A76EE6">
        <w:rPr>
          <w:rFonts w:hint="eastAsia"/>
          <w:b/>
          <w:bCs/>
          <w:lang w:eastAsia="zh-CN"/>
        </w:rPr>
        <w:t xml:space="preserve"> </w:t>
      </w:r>
      <w:r w:rsidRPr="00A76EE6">
        <w:rPr>
          <w:b/>
          <w:bCs/>
          <w:lang w:eastAsia="zh-CN"/>
        </w:rPr>
        <w:t>IMT-2020</w:t>
      </w:r>
      <w:r w:rsidRPr="00A76EE6">
        <w:rPr>
          <w:rFonts w:hint="eastAsia"/>
          <w:b/>
          <w:bCs/>
          <w:lang w:eastAsia="zh-CN"/>
        </w:rPr>
        <w:t>（“</w:t>
      </w:r>
      <w:r w:rsidRPr="00A76EE6">
        <w:rPr>
          <w:rFonts w:hint="eastAsia"/>
          <w:b/>
          <w:bCs/>
          <w:lang w:eastAsia="zh-CN"/>
        </w:rPr>
        <w:t>5G</w:t>
      </w:r>
      <w:r w:rsidRPr="00A76EE6">
        <w:rPr>
          <w:rFonts w:hint="eastAsia"/>
          <w:b/>
          <w:bCs/>
          <w:lang w:eastAsia="zh-CN"/>
        </w:rPr>
        <w:t>”）</w:t>
      </w:r>
      <w:r w:rsidRPr="00A76EE6">
        <w:rPr>
          <w:b/>
          <w:bCs/>
          <w:lang w:eastAsia="zh-CN"/>
        </w:rPr>
        <w:t>网络</w:t>
      </w:r>
      <w:r w:rsidRPr="00A76EE6">
        <w:rPr>
          <w:rFonts w:hint="eastAsia"/>
          <w:b/>
          <w:bCs/>
          <w:lang w:eastAsia="zh-CN"/>
        </w:rPr>
        <w:t>问题</w:t>
      </w:r>
      <w:r w:rsidRPr="00A76EE6">
        <w:rPr>
          <w:b/>
          <w:bCs/>
          <w:lang w:eastAsia="zh-CN"/>
        </w:rPr>
        <w:t>焦点组</w:t>
      </w:r>
      <w:r w:rsidRPr="00A76EE6">
        <w:rPr>
          <w:lang w:eastAsia="zh-CN"/>
        </w:rPr>
        <w:t>购买了</w:t>
      </w:r>
      <w:r w:rsidRPr="003B233B">
        <w:rPr>
          <w:rFonts w:hint="eastAsia"/>
          <w:b/>
          <w:lang w:eastAsia="zh-CN"/>
        </w:rPr>
        <w:t>5</w:t>
      </w:r>
      <w:r w:rsidRPr="003B233B">
        <w:rPr>
          <w:rFonts w:hint="eastAsia"/>
          <w:b/>
          <w:lang w:eastAsia="zh-CN"/>
        </w:rPr>
        <w:t>份</w:t>
      </w:r>
      <w:r w:rsidRPr="003B233B">
        <w:rPr>
          <w:b/>
          <w:lang w:eastAsia="zh-CN"/>
        </w:rPr>
        <w:t>国际电联国际标准草案</w:t>
      </w:r>
      <w:r w:rsidRPr="003B233B">
        <w:rPr>
          <w:lang w:eastAsia="zh-CN"/>
        </w:rPr>
        <w:t>和</w:t>
      </w:r>
      <w:r w:rsidRPr="003B233B">
        <w:rPr>
          <w:rFonts w:hint="eastAsia"/>
          <w:b/>
          <w:lang w:eastAsia="zh-CN"/>
        </w:rPr>
        <w:t>4</w:t>
      </w:r>
      <w:r w:rsidRPr="003B233B">
        <w:rPr>
          <w:rFonts w:hint="eastAsia"/>
          <w:b/>
          <w:lang w:eastAsia="zh-CN"/>
        </w:rPr>
        <w:t>份国际电联技术</w:t>
      </w:r>
      <w:r w:rsidRPr="003B233B">
        <w:rPr>
          <w:b/>
          <w:lang w:eastAsia="zh-CN"/>
        </w:rPr>
        <w:t>报告草案</w:t>
      </w:r>
      <w:r w:rsidRPr="00CA0FFB">
        <w:rPr>
          <w:lang w:eastAsia="zh-CN"/>
        </w:rPr>
        <w:t>，以推动</w:t>
      </w:r>
      <w:r w:rsidRPr="00CA0FFB">
        <w:rPr>
          <w:lang w:eastAsia="zh-CN"/>
        </w:rPr>
        <w:t>ITU-T</w:t>
      </w:r>
      <w:r w:rsidRPr="00CA0FFB">
        <w:rPr>
          <w:lang w:eastAsia="zh-CN"/>
        </w:rPr>
        <w:t>研究组的相关工作。</w:t>
      </w:r>
      <w:r>
        <w:rPr>
          <w:rFonts w:hint="eastAsia"/>
          <w:lang w:eastAsia="zh-CN"/>
        </w:rPr>
        <w:t>约</w:t>
      </w:r>
      <w:r w:rsidRPr="003B233B">
        <w:rPr>
          <w:rFonts w:hint="eastAsia"/>
          <w:b/>
          <w:lang w:eastAsia="zh-CN"/>
        </w:rPr>
        <w:t>13</w:t>
      </w:r>
      <w:r w:rsidRPr="003B233B">
        <w:rPr>
          <w:rFonts w:hint="eastAsia"/>
          <w:b/>
          <w:lang w:eastAsia="zh-CN"/>
        </w:rPr>
        <w:t>项新的工作</w:t>
      </w:r>
      <w:r>
        <w:rPr>
          <w:rFonts w:hint="eastAsia"/>
          <w:lang w:eastAsia="zh-CN"/>
        </w:rPr>
        <w:t>，</w:t>
      </w:r>
      <w:r w:rsidRPr="00CA0FFB">
        <w:rPr>
          <w:lang w:eastAsia="zh-CN"/>
        </w:rPr>
        <w:t>大部分基于</w:t>
      </w:r>
      <w:r>
        <w:rPr>
          <w:rFonts w:hint="eastAsia"/>
          <w:lang w:eastAsia="zh-CN"/>
        </w:rPr>
        <w:t>焦点组的</w:t>
      </w:r>
      <w:r w:rsidRPr="00CA0FFB">
        <w:rPr>
          <w:lang w:eastAsia="zh-CN"/>
        </w:rPr>
        <w:t>成果</w:t>
      </w:r>
      <w:r>
        <w:rPr>
          <w:rFonts w:hint="eastAsia"/>
          <w:lang w:eastAsia="zh-CN"/>
        </w:rPr>
        <w:t>，</w:t>
      </w:r>
      <w:r w:rsidRPr="00CA0FFB">
        <w:rPr>
          <w:lang w:eastAsia="zh-CN"/>
        </w:rPr>
        <w:t>于</w:t>
      </w:r>
      <w:r w:rsidRPr="00CA0FFB">
        <w:rPr>
          <w:lang w:eastAsia="zh-CN"/>
        </w:rPr>
        <w:t>2017</w:t>
      </w:r>
      <w:r w:rsidRPr="00CA0FFB">
        <w:rPr>
          <w:lang w:eastAsia="zh-CN"/>
        </w:rPr>
        <w:t>年</w:t>
      </w:r>
      <w:r w:rsidRPr="00CA0FFB">
        <w:rPr>
          <w:lang w:eastAsia="zh-CN"/>
        </w:rPr>
        <w:t>2</w:t>
      </w:r>
      <w:r w:rsidRPr="00CA0FFB">
        <w:rPr>
          <w:lang w:eastAsia="zh-CN"/>
        </w:rPr>
        <w:t>月启动，涵盖</w:t>
      </w:r>
      <w:r w:rsidRPr="00CA0FFB">
        <w:rPr>
          <w:lang w:eastAsia="zh-CN"/>
        </w:rPr>
        <w:t>IMT-2020</w:t>
      </w:r>
      <w:r>
        <w:rPr>
          <w:lang w:eastAsia="zh-CN"/>
        </w:rPr>
        <w:t>网络和固定移动融合的要求</w:t>
      </w:r>
      <w:r>
        <w:rPr>
          <w:rFonts w:hint="eastAsia"/>
          <w:lang w:eastAsia="zh-CN"/>
        </w:rPr>
        <w:t>、</w:t>
      </w:r>
      <w:r w:rsidRPr="00CA0FFB">
        <w:rPr>
          <w:lang w:eastAsia="zh-CN"/>
        </w:rPr>
        <w:t>IMT-2020</w:t>
      </w:r>
      <w:r>
        <w:rPr>
          <w:lang w:eastAsia="zh-CN"/>
        </w:rPr>
        <w:t>架构框架</w:t>
      </w:r>
      <w:r>
        <w:rPr>
          <w:rFonts w:hint="eastAsia"/>
          <w:lang w:eastAsia="zh-CN"/>
        </w:rPr>
        <w:t>、</w:t>
      </w:r>
      <w:r w:rsidRPr="00CA0FFB">
        <w:rPr>
          <w:lang w:eastAsia="zh-CN"/>
        </w:rPr>
        <w:t>IMT-2020</w:t>
      </w:r>
      <w:r>
        <w:rPr>
          <w:lang w:eastAsia="zh-CN"/>
        </w:rPr>
        <w:t>网络管理框架</w:t>
      </w:r>
      <w:r>
        <w:rPr>
          <w:rFonts w:hint="eastAsia"/>
          <w:lang w:eastAsia="zh-CN"/>
        </w:rPr>
        <w:t>、</w:t>
      </w:r>
      <w:r>
        <w:rPr>
          <w:lang w:eastAsia="zh-CN"/>
        </w:rPr>
        <w:t>网络切片</w:t>
      </w:r>
      <w:r>
        <w:rPr>
          <w:rFonts w:hint="eastAsia"/>
          <w:lang w:eastAsia="zh-CN"/>
        </w:rPr>
        <w:t>、</w:t>
      </w:r>
      <w:r>
        <w:rPr>
          <w:lang w:eastAsia="zh-CN"/>
        </w:rPr>
        <w:t>以信息为中心的网络。</w:t>
      </w:r>
      <w:r>
        <w:rPr>
          <w:rFonts w:hint="eastAsia"/>
          <w:lang w:eastAsia="zh-CN"/>
        </w:rPr>
        <w:t>源于这些实际</w:t>
      </w:r>
      <w:r w:rsidRPr="00CA0FFB">
        <w:rPr>
          <w:lang w:eastAsia="zh-CN"/>
        </w:rPr>
        <w:t>成果的第一个</w:t>
      </w:r>
      <w:r>
        <w:rPr>
          <w:rFonts w:hint="eastAsia"/>
          <w:lang w:eastAsia="zh-CN"/>
        </w:rPr>
        <w:t>5G</w:t>
      </w:r>
      <w:r>
        <w:rPr>
          <w:lang w:eastAsia="zh-CN"/>
        </w:rPr>
        <w:t>标准</w:t>
      </w:r>
      <w:r>
        <w:rPr>
          <w:rFonts w:hint="eastAsia"/>
          <w:lang w:eastAsia="zh-CN"/>
        </w:rPr>
        <w:t>有望在</w:t>
      </w:r>
      <w:r w:rsidRPr="00CA0FFB">
        <w:rPr>
          <w:lang w:eastAsia="zh-CN"/>
        </w:rPr>
        <w:t>2017</w:t>
      </w:r>
      <w:r w:rsidRPr="00CA0FFB">
        <w:rPr>
          <w:lang w:eastAsia="zh-CN"/>
        </w:rPr>
        <w:t>年夏</w:t>
      </w:r>
      <w:r>
        <w:rPr>
          <w:lang w:eastAsia="zh-CN"/>
        </w:rPr>
        <w:t>天</w:t>
      </w:r>
      <w:r>
        <w:rPr>
          <w:rFonts w:hint="eastAsia"/>
          <w:lang w:eastAsia="zh-CN"/>
        </w:rPr>
        <w:t>推出</w:t>
      </w:r>
      <w:r w:rsidRPr="00CA0FFB">
        <w:rPr>
          <w:lang w:eastAsia="zh-CN"/>
        </w:rPr>
        <w:t>。</w:t>
      </w:r>
      <w:r w:rsidRPr="003B233B">
        <w:rPr>
          <w:b/>
          <w:lang w:eastAsia="zh-CN"/>
        </w:rPr>
        <w:t>关于</w:t>
      </w:r>
      <w:r w:rsidRPr="003B233B">
        <w:rPr>
          <w:b/>
          <w:lang w:eastAsia="zh-CN"/>
        </w:rPr>
        <w:t>IMT2020</w:t>
      </w:r>
      <w:r w:rsidRPr="003B233B">
        <w:rPr>
          <w:b/>
          <w:lang w:eastAsia="zh-CN"/>
        </w:rPr>
        <w:t>（</w:t>
      </w:r>
      <w:r w:rsidRPr="003B233B">
        <w:rPr>
          <w:b/>
          <w:lang w:eastAsia="zh-CN"/>
        </w:rPr>
        <w:t>ITU-T JCA-IMT2020</w:t>
      </w:r>
      <w:r w:rsidRPr="003B233B">
        <w:rPr>
          <w:b/>
          <w:lang w:eastAsia="zh-CN"/>
        </w:rPr>
        <w:t>）的新的</w:t>
      </w:r>
      <w:r w:rsidRPr="003B233B">
        <w:rPr>
          <w:b/>
          <w:lang w:eastAsia="zh-CN"/>
        </w:rPr>
        <w:t>ITU-T</w:t>
      </w:r>
      <w:r w:rsidRPr="003B233B">
        <w:rPr>
          <w:b/>
          <w:lang w:eastAsia="zh-CN"/>
        </w:rPr>
        <w:t>联合协调活动</w:t>
      </w:r>
      <w:r w:rsidRPr="00CA0FFB">
        <w:rPr>
          <w:lang w:eastAsia="zh-CN"/>
        </w:rPr>
        <w:t>将协调</w:t>
      </w:r>
      <w:r w:rsidRPr="00CA0FFB">
        <w:rPr>
          <w:lang w:eastAsia="zh-CN"/>
        </w:rPr>
        <w:t>ITU-T IMT2020</w:t>
      </w:r>
      <w:r w:rsidRPr="00CA0FFB">
        <w:rPr>
          <w:lang w:eastAsia="zh-CN"/>
        </w:rPr>
        <w:t>标准化工作，重点是</w:t>
      </w:r>
      <w:r w:rsidRPr="00CA0FFB">
        <w:rPr>
          <w:lang w:eastAsia="zh-CN"/>
        </w:rPr>
        <w:t>ITU-T</w:t>
      </w:r>
      <w:r>
        <w:rPr>
          <w:rFonts w:hint="eastAsia"/>
          <w:lang w:eastAsia="zh-CN"/>
        </w:rPr>
        <w:t>内的</w:t>
      </w:r>
      <w:r w:rsidRPr="00CA0FFB">
        <w:rPr>
          <w:lang w:eastAsia="zh-CN"/>
        </w:rPr>
        <w:t>非无线电</w:t>
      </w:r>
      <w:r>
        <w:rPr>
          <w:rFonts w:hint="eastAsia"/>
          <w:lang w:eastAsia="zh-CN"/>
        </w:rPr>
        <w:t>问题</w:t>
      </w:r>
      <w:r>
        <w:rPr>
          <w:lang w:eastAsia="zh-CN"/>
        </w:rPr>
        <w:t>，并将</w:t>
      </w:r>
      <w:r>
        <w:rPr>
          <w:rFonts w:hint="eastAsia"/>
          <w:lang w:eastAsia="zh-CN"/>
        </w:rPr>
        <w:t>维持</w:t>
      </w:r>
      <w:r>
        <w:rPr>
          <w:lang w:eastAsia="zh-CN"/>
        </w:rPr>
        <w:t>国际电联三大部门</w:t>
      </w:r>
      <w:r>
        <w:rPr>
          <w:rFonts w:hint="eastAsia"/>
          <w:lang w:eastAsia="zh-CN"/>
        </w:rPr>
        <w:t>间的</w:t>
      </w:r>
      <w:r>
        <w:rPr>
          <w:lang w:eastAsia="zh-CN"/>
        </w:rPr>
        <w:t>移动通信研究和活动</w:t>
      </w:r>
      <w:r w:rsidRPr="00CA0FFB">
        <w:rPr>
          <w:lang w:eastAsia="zh-CN"/>
        </w:rPr>
        <w:t>路线图。</w:t>
      </w:r>
    </w:p>
    <w:p w:rsidR="00C70E03" w:rsidRDefault="00C70E03" w:rsidP="00C70E03">
      <w:pPr>
        <w:ind w:firstLineChars="200" w:firstLine="480"/>
        <w:rPr>
          <w:lang w:eastAsia="zh-CN"/>
        </w:rPr>
      </w:pPr>
      <w:r>
        <w:rPr>
          <w:rFonts w:hint="eastAsia"/>
          <w:lang w:eastAsia="zh-CN"/>
        </w:rPr>
        <w:t>一个新的标准提出了</w:t>
      </w:r>
      <w:r w:rsidRPr="00C70E03">
        <w:rPr>
          <w:rFonts w:hint="eastAsia"/>
          <w:b/>
          <w:lang w:eastAsia="zh-CN"/>
        </w:rPr>
        <w:t>云感知电信管理系统的业务管理要求</w:t>
      </w:r>
      <w:r w:rsidRPr="00C70E03">
        <w:rPr>
          <w:rFonts w:hint="eastAsia"/>
          <w:lang w:eastAsia="zh-CN"/>
        </w:rPr>
        <w:t>。云计算和大数据的标准化</w:t>
      </w:r>
      <w:r w:rsidRPr="00C70E03">
        <w:rPr>
          <w:rFonts w:hint="eastAsia"/>
          <w:b/>
          <w:lang w:eastAsia="zh-CN"/>
        </w:rPr>
        <w:t>路线图</w:t>
      </w:r>
      <w:r>
        <w:rPr>
          <w:rFonts w:hint="eastAsia"/>
          <w:lang w:eastAsia="zh-CN"/>
        </w:rPr>
        <w:t>已经提出</w:t>
      </w:r>
      <w:r w:rsidRPr="00C70E03">
        <w:rPr>
          <w:rFonts w:hint="eastAsia"/>
          <w:lang w:eastAsia="zh-CN"/>
        </w:rPr>
        <w:t>并将得到保持。</w:t>
      </w:r>
    </w:p>
    <w:p w:rsidR="006001E4" w:rsidRDefault="006001E4" w:rsidP="006001E4">
      <w:pPr>
        <w:ind w:firstLineChars="200" w:firstLine="480"/>
        <w:rPr>
          <w:lang w:eastAsia="zh-CN"/>
        </w:rPr>
      </w:pPr>
      <w:r w:rsidRPr="00AC19C8">
        <w:rPr>
          <w:lang w:eastAsia="zh-CN"/>
        </w:rPr>
        <w:lastRenderedPageBreak/>
        <w:t>随着全球网络不断向大规模视频流量交换服务方向发展，国际电联</w:t>
      </w:r>
      <w:r w:rsidRPr="003932C2">
        <w:rPr>
          <w:b/>
          <w:lang w:eastAsia="zh-CN"/>
        </w:rPr>
        <w:t>多媒体</w:t>
      </w:r>
      <w:r w:rsidRPr="00AC19C8">
        <w:rPr>
          <w:lang w:eastAsia="zh-CN"/>
        </w:rPr>
        <w:t>标准搭建了一个公共创新平台，为减轻全球网络负担起着至关重要的作用。参见第</w:t>
      </w:r>
      <w:r w:rsidRPr="00AC19C8">
        <w:rPr>
          <w:lang w:eastAsia="zh-CN"/>
        </w:rPr>
        <w:t>4</w:t>
      </w:r>
      <w:r w:rsidRPr="00AC19C8">
        <w:rPr>
          <w:lang w:eastAsia="zh-CN"/>
        </w:rPr>
        <w:t>节。</w:t>
      </w:r>
      <w:r>
        <w:rPr>
          <w:rFonts w:hint="eastAsia"/>
          <w:lang w:eastAsia="zh-CN"/>
        </w:rPr>
        <w:t>对第四版</w:t>
      </w:r>
      <w:r w:rsidRPr="003932C2">
        <w:rPr>
          <w:b/>
          <w:lang w:eastAsia="zh-CN"/>
        </w:rPr>
        <w:t>H.265</w:t>
      </w:r>
      <w:r w:rsidRPr="003932C2">
        <w:rPr>
          <w:b/>
          <w:lang w:eastAsia="zh-CN"/>
        </w:rPr>
        <w:t>高效率视频编码</w:t>
      </w:r>
      <w:r>
        <w:rPr>
          <w:rFonts w:hint="eastAsia"/>
          <w:lang w:eastAsia="zh-CN"/>
        </w:rPr>
        <w:t>进行了</w:t>
      </w:r>
      <w:r w:rsidRPr="00AC19C8">
        <w:rPr>
          <w:lang w:eastAsia="zh-CN"/>
        </w:rPr>
        <w:t>标准化</w:t>
      </w:r>
      <w:r>
        <w:rPr>
          <w:rFonts w:hint="eastAsia"/>
          <w:lang w:eastAsia="zh-CN"/>
        </w:rPr>
        <w:t>，添加了</w:t>
      </w:r>
      <w:r>
        <w:rPr>
          <w:lang w:eastAsia="zh-CN"/>
        </w:rPr>
        <w:t>屏幕内容编码</w:t>
      </w:r>
      <w:r>
        <w:rPr>
          <w:rFonts w:hint="eastAsia"/>
          <w:lang w:eastAsia="zh-CN"/>
        </w:rPr>
        <w:t>扩展配置文件、</w:t>
      </w:r>
      <w:r>
        <w:rPr>
          <w:lang w:eastAsia="zh-CN"/>
        </w:rPr>
        <w:t>可扩展范围</w:t>
      </w:r>
      <w:r>
        <w:rPr>
          <w:rFonts w:hint="eastAsia"/>
          <w:lang w:eastAsia="zh-CN"/>
        </w:rPr>
        <w:t>扩展</w:t>
      </w:r>
      <w:r>
        <w:rPr>
          <w:lang w:eastAsia="zh-CN"/>
        </w:rPr>
        <w:t>配置文件</w:t>
      </w:r>
      <w:r>
        <w:rPr>
          <w:rFonts w:hint="eastAsia"/>
          <w:lang w:eastAsia="zh-CN"/>
        </w:rPr>
        <w:t>以及额外的</w:t>
      </w:r>
      <w:r w:rsidRPr="00AC19C8">
        <w:rPr>
          <w:lang w:eastAsia="zh-CN"/>
        </w:rPr>
        <w:t>高吞吐量配置文件</w:t>
      </w:r>
      <w:r>
        <w:rPr>
          <w:lang w:eastAsia="zh-CN"/>
        </w:rPr>
        <w:t>。联合专家组正在</w:t>
      </w:r>
      <w:r>
        <w:rPr>
          <w:rFonts w:hint="eastAsia"/>
          <w:lang w:eastAsia="zh-CN"/>
        </w:rPr>
        <w:t>为超过目前之“</w:t>
      </w:r>
      <w:r w:rsidRPr="00AC19C8">
        <w:rPr>
          <w:lang w:eastAsia="zh-CN"/>
        </w:rPr>
        <w:t>高效率视频编码</w:t>
      </w:r>
      <w:r>
        <w:rPr>
          <w:rFonts w:hint="eastAsia"/>
          <w:lang w:eastAsia="zh-CN"/>
        </w:rPr>
        <w:t>”</w:t>
      </w:r>
      <w:r w:rsidRPr="00AC19C8">
        <w:rPr>
          <w:lang w:eastAsia="zh-CN"/>
        </w:rPr>
        <w:t>（</w:t>
      </w:r>
      <w:r w:rsidRPr="00AC19C8">
        <w:rPr>
          <w:lang w:eastAsia="zh-CN"/>
        </w:rPr>
        <w:t>HEVC</w:t>
      </w:r>
      <w:r w:rsidRPr="00AC19C8">
        <w:rPr>
          <w:lang w:eastAsia="zh-CN"/>
        </w:rPr>
        <w:t>，作为</w:t>
      </w:r>
      <w:r w:rsidRPr="00AC19C8">
        <w:rPr>
          <w:lang w:eastAsia="zh-CN"/>
        </w:rPr>
        <w:t>ITU-T H.265 | ISO</w:t>
      </w:r>
      <w:r>
        <w:rPr>
          <w:lang w:eastAsia="zh-CN"/>
        </w:rPr>
        <w:t>/</w:t>
      </w:r>
      <w:r w:rsidRPr="00AC19C8">
        <w:rPr>
          <w:lang w:eastAsia="zh-CN"/>
        </w:rPr>
        <w:t>IEC 23008-2</w:t>
      </w:r>
      <w:r>
        <w:rPr>
          <w:rFonts w:hint="eastAsia"/>
          <w:lang w:eastAsia="zh-CN"/>
        </w:rPr>
        <w:t>发布）的</w:t>
      </w:r>
      <w:r w:rsidRPr="009B0A26">
        <w:rPr>
          <w:rFonts w:hint="eastAsia"/>
          <w:b/>
          <w:lang w:eastAsia="zh-CN"/>
        </w:rPr>
        <w:t>未来</w:t>
      </w:r>
      <w:r w:rsidRPr="009B0A26">
        <w:rPr>
          <w:b/>
          <w:lang w:eastAsia="zh-CN"/>
        </w:rPr>
        <w:t>视频编码标准</w:t>
      </w:r>
      <w:r>
        <w:rPr>
          <w:rFonts w:hint="eastAsia"/>
          <w:lang w:eastAsia="zh-CN"/>
        </w:rPr>
        <w:t>寻找案例</w:t>
      </w:r>
      <w:r w:rsidRPr="00AC19C8">
        <w:rPr>
          <w:lang w:eastAsia="zh-CN"/>
        </w:rPr>
        <w:t>证据</w:t>
      </w:r>
      <w:r>
        <w:rPr>
          <w:rFonts w:hint="eastAsia"/>
          <w:lang w:eastAsia="zh-CN"/>
        </w:rPr>
        <w:t>，</w:t>
      </w:r>
      <w:r>
        <w:rPr>
          <w:lang w:eastAsia="zh-CN"/>
        </w:rPr>
        <w:t>目的在</w:t>
      </w:r>
      <w:r w:rsidRPr="00AC19C8">
        <w:rPr>
          <w:lang w:eastAsia="zh-CN"/>
        </w:rPr>
        <w:t>加倍</w:t>
      </w:r>
      <w:r w:rsidRPr="00AC19C8">
        <w:rPr>
          <w:lang w:eastAsia="zh-CN"/>
        </w:rPr>
        <w:t>HEVC</w:t>
      </w:r>
      <w:r w:rsidRPr="00AC19C8">
        <w:rPr>
          <w:lang w:eastAsia="zh-CN"/>
        </w:rPr>
        <w:t>的视频压缩能力。</w:t>
      </w:r>
    </w:p>
    <w:p w:rsidR="006001E4" w:rsidRDefault="006001E4" w:rsidP="002F0C2D">
      <w:pPr>
        <w:ind w:firstLineChars="200" w:firstLine="480"/>
        <w:rPr>
          <w:lang w:eastAsia="zh-CN"/>
        </w:rPr>
      </w:pPr>
      <w:r>
        <w:rPr>
          <w:lang w:eastAsia="zh-CN"/>
        </w:rPr>
        <w:t>新的标准规定了</w:t>
      </w:r>
      <w:r w:rsidRPr="009B0A26">
        <w:rPr>
          <w:b/>
          <w:lang w:eastAsia="zh-CN"/>
        </w:rPr>
        <w:t>增强现实智能电视</w:t>
      </w:r>
      <w:r w:rsidRPr="009B0A26">
        <w:rPr>
          <w:rFonts w:hint="eastAsia"/>
          <w:b/>
          <w:lang w:eastAsia="zh-CN"/>
        </w:rPr>
        <w:t>业务</w:t>
      </w:r>
      <w:r w:rsidRPr="00AC19C8">
        <w:rPr>
          <w:lang w:eastAsia="zh-CN"/>
        </w:rPr>
        <w:t>系统，</w:t>
      </w:r>
      <w:r>
        <w:rPr>
          <w:rFonts w:hint="eastAsia"/>
          <w:lang w:eastAsia="zh-CN"/>
        </w:rPr>
        <w:t>它</w:t>
      </w:r>
      <w:r>
        <w:rPr>
          <w:lang w:eastAsia="zh-CN"/>
        </w:rPr>
        <w:t>允许电视观众选择用户</w:t>
      </w:r>
      <w:r>
        <w:rPr>
          <w:rFonts w:hint="eastAsia"/>
          <w:lang w:eastAsia="zh-CN"/>
        </w:rPr>
        <w:t>是</w:t>
      </w:r>
      <w:r w:rsidRPr="00AC19C8">
        <w:rPr>
          <w:lang w:eastAsia="zh-CN"/>
        </w:rPr>
        <w:t>开启增强内容还是仅观看原始</w:t>
      </w:r>
      <w:r>
        <w:rPr>
          <w:rFonts w:hint="eastAsia"/>
          <w:lang w:eastAsia="zh-CN"/>
        </w:rPr>
        <w:t>的</w:t>
      </w:r>
      <w:r w:rsidRPr="00AC19C8">
        <w:rPr>
          <w:lang w:eastAsia="zh-CN"/>
        </w:rPr>
        <w:t>电视内容（没有增强内容）。</w:t>
      </w:r>
    </w:p>
    <w:p w:rsidR="006001E4" w:rsidRPr="00AC19C8" w:rsidRDefault="006001E4" w:rsidP="002F0C2D">
      <w:pPr>
        <w:ind w:firstLineChars="200" w:firstLine="480"/>
        <w:rPr>
          <w:lang w:eastAsia="zh-CN"/>
        </w:rPr>
      </w:pPr>
      <w:r w:rsidRPr="00AC19C8">
        <w:rPr>
          <w:rFonts w:asciiTheme="majorBidi" w:hAnsiTheme="majorBidi" w:cstheme="majorBidi"/>
          <w:lang w:eastAsia="zh-CN"/>
        </w:rPr>
        <w:t>开发了一系列</w:t>
      </w:r>
      <w:r w:rsidRPr="009B0A26">
        <w:rPr>
          <w:rFonts w:asciiTheme="majorBidi" w:hAnsiTheme="majorBidi" w:cstheme="majorBidi"/>
          <w:b/>
          <w:lang w:eastAsia="zh-CN"/>
        </w:rPr>
        <w:t>视频质量监控</w:t>
      </w:r>
      <w:r w:rsidRPr="00AC19C8">
        <w:rPr>
          <w:rFonts w:asciiTheme="majorBidi" w:hAnsiTheme="majorBidi" w:cstheme="majorBidi"/>
          <w:lang w:eastAsia="zh-CN"/>
        </w:rPr>
        <w:t>标准，以监控移动设备上</w:t>
      </w:r>
      <w:r>
        <w:rPr>
          <w:rFonts w:asciiTheme="majorBidi" w:hAnsiTheme="majorBidi" w:cstheme="majorBidi" w:hint="eastAsia"/>
          <w:lang w:eastAsia="zh-CN"/>
        </w:rPr>
        <w:t>的</w:t>
      </w:r>
      <w:r>
        <w:rPr>
          <w:rFonts w:asciiTheme="majorBidi" w:hAnsiTheme="majorBidi" w:cstheme="majorBidi"/>
          <w:lang w:eastAsia="zh-CN"/>
        </w:rPr>
        <w:t>视频流</w:t>
      </w:r>
      <w:r w:rsidRPr="00AC19C8">
        <w:rPr>
          <w:rFonts w:asciiTheme="majorBidi" w:hAnsiTheme="majorBidi" w:cstheme="majorBidi"/>
          <w:lang w:eastAsia="zh-CN"/>
        </w:rPr>
        <w:t>质量以及具有固定网络连接的大屏幕</w:t>
      </w:r>
      <w:r>
        <w:rPr>
          <w:rFonts w:asciiTheme="majorBidi" w:hAnsiTheme="majorBidi" w:cstheme="majorBidi" w:hint="eastAsia"/>
          <w:lang w:eastAsia="zh-CN"/>
        </w:rPr>
        <w:t>上的视频流质量</w:t>
      </w:r>
      <w:r w:rsidRPr="00AC19C8">
        <w:rPr>
          <w:rFonts w:asciiTheme="majorBidi" w:hAnsiTheme="majorBidi" w:cstheme="majorBidi"/>
          <w:lang w:eastAsia="zh-CN"/>
        </w:rPr>
        <w:t>。这些标准适用于逐行下载和自适应比特率视频流。</w:t>
      </w:r>
    </w:p>
    <w:p w:rsidR="008F0C7E" w:rsidRPr="00AC19C8" w:rsidRDefault="00C70E03" w:rsidP="002F0C2D">
      <w:pPr>
        <w:ind w:firstLineChars="200" w:firstLine="480"/>
      </w:pPr>
      <w:r>
        <w:rPr>
          <w:rFonts w:hint="eastAsia"/>
          <w:lang w:eastAsia="zh-CN"/>
        </w:rPr>
        <w:t>专家已经为</w:t>
      </w:r>
      <w:r w:rsidR="00950F1F" w:rsidRPr="00950F1F">
        <w:rPr>
          <w:b/>
          <w:bCs/>
          <w:lang w:val="en-US" w:eastAsia="zh-CN"/>
        </w:rPr>
        <w:t>身临其境体验</w:t>
      </w:r>
      <w:r w:rsidR="00950F1F" w:rsidRPr="00950F1F">
        <w:rPr>
          <w:rFonts w:hint="eastAsia"/>
          <w:b/>
          <w:bCs/>
          <w:lang w:val="en-US" w:eastAsia="zh-CN"/>
        </w:rPr>
        <w:t>（</w:t>
      </w:r>
      <w:r w:rsidR="00950F1F" w:rsidRPr="00950F1F">
        <w:rPr>
          <w:b/>
          <w:bCs/>
          <w:lang w:eastAsia="zh-CN"/>
        </w:rPr>
        <w:t>ILE</w:t>
      </w:r>
      <w:r w:rsidR="00950F1F" w:rsidRPr="00950F1F">
        <w:rPr>
          <w:rFonts w:hint="eastAsia"/>
          <w:b/>
          <w:bCs/>
          <w:lang w:val="en-US" w:eastAsia="zh-CN"/>
        </w:rPr>
        <w:t>）</w:t>
      </w:r>
      <w:r w:rsidR="00950F1F">
        <w:rPr>
          <w:lang w:val="en-US" w:eastAsia="zh-CN"/>
        </w:rPr>
        <w:t>系统</w:t>
      </w:r>
      <w:r>
        <w:rPr>
          <w:rFonts w:hint="eastAsia"/>
          <w:lang w:val="en-US" w:eastAsia="zh-CN"/>
        </w:rPr>
        <w:t>启动了新的标准化</w:t>
      </w:r>
      <w:r w:rsidR="00950F1F">
        <w:rPr>
          <w:lang w:val="en-US" w:eastAsia="zh-CN"/>
        </w:rPr>
        <w:t>工作</w:t>
      </w:r>
      <w:r w:rsidR="00950F1F">
        <w:rPr>
          <w:lang w:eastAsia="zh-CN"/>
        </w:rPr>
        <w:t>，这将使远端受众感受活动现场的气氛，复制亲临现场的体验</w:t>
      </w:r>
      <w:r w:rsidR="00950F1F">
        <w:rPr>
          <w:rFonts w:hint="eastAsia"/>
          <w:lang w:eastAsia="zh-CN"/>
        </w:rPr>
        <w:t>。</w:t>
      </w:r>
    </w:p>
    <w:p w:rsidR="003E7FDE" w:rsidRDefault="001B7890" w:rsidP="003E7FDE">
      <w:pPr>
        <w:ind w:firstLineChars="200" w:firstLine="480"/>
        <w:rPr>
          <w:lang w:eastAsia="zh-CN"/>
        </w:rPr>
      </w:pPr>
      <w:bookmarkStart w:id="15" w:name="OLE_LINK7"/>
      <w:bookmarkStart w:id="16" w:name="OLE_LINK8"/>
      <w:r w:rsidRPr="001B7890">
        <w:rPr>
          <w:rFonts w:hint="eastAsia"/>
          <w:lang w:eastAsia="zh-CN"/>
        </w:rPr>
        <w:t>一套新的国际电联标准提供了模型算法，用于监控移动设备上</w:t>
      </w:r>
      <w:r w:rsidRPr="001B7890">
        <w:rPr>
          <w:rFonts w:hint="eastAsia"/>
          <w:b/>
          <w:lang w:eastAsia="zh-CN"/>
        </w:rPr>
        <w:t>视频流的质量</w:t>
      </w:r>
      <w:r>
        <w:rPr>
          <w:rFonts w:hint="eastAsia"/>
          <w:lang w:eastAsia="zh-CN"/>
        </w:rPr>
        <w:t>以及具有固定网络连接的大</w:t>
      </w:r>
      <w:r w:rsidRPr="001B7890">
        <w:rPr>
          <w:rFonts w:hint="eastAsia"/>
          <w:lang w:eastAsia="zh-CN"/>
        </w:rPr>
        <w:t>屏幕。</w:t>
      </w:r>
    </w:p>
    <w:p w:rsidR="003E7FDE" w:rsidRDefault="003E7FDE" w:rsidP="003E7FDE">
      <w:pPr>
        <w:ind w:firstLineChars="200" w:firstLine="480"/>
        <w:rPr>
          <w:rFonts w:asciiTheme="majorBidi" w:hAnsiTheme="majorBidi" w:cstheme="majorBidi"/>
          <w:lang w:eastAsia="zh-CN"/>
        </w:rPr>
      </w:pPr>
      <w:r w:rsidRPr="00D638CB">
        <w:rPr>
          <w:rFonts w:asciiTheme="majorBidi" w:hAnsiTheme="majorBidi" w:cstheme="majorBidi" w:hint="eastAsia"/>
          <w:lang w:eastAsia="zh-CN"/>
        </w:rPr>
        <w:t>国际电联标准支持</w:t>
      </w:r>
      <w:r w:rsidRPr="00F93B00">
        <w:rPr>
          <w:rFonts w:asciiTheme="majorBidi" w:hAnsiTheme="majorBidi" w:cstheme="majorBidi" w:hint="eastAsia"/>
          <w:b/>
          <w:lang w:eastAsia="zh-CN"/>
        </w:rPr>
        <w:t>物联网</w:t>
      </w:r>
      <w:r w:rsidRPr="00D638CB">
        <w:rPr>
          <w:rFonts w:asciiTheme="majorBidi" w:hAnsiTheme="majorBidi" w:cstheme="majorBidi" w:hint="eastAsia"/>
          <w:lang w:eastAsia="zh-CN"/>
        </w:rPr>
        <w:t>大旗下涉及领域广泛的各类技术，帮助发达国家和发展中国家完成城市基础设施转型，使之受益于高效的智能建筑和运输系统、智能能源网和水网以及电子医疗的创新发展。参见第</w:t>
      </w:r>
      <w:r w:rsidRPr="00D638CB">
        <w:rPr>
          <w:rFonts w:asciiTheme="majorBidi" w:hAnsiTheme="majorBidi" w:cstheme="majorBidi" w:hint="eastAsia"/>
          <w:lang w:eastAsia="zh-CN"/>
        </w:rPr>
        <w:t>5</w:t>
      </w:r>
      <w:r>
        <w:rPr>
          <w:rFonts w:asciiTheme="majorBidi" w:hAnsiTheme="majorBidi" w:cstheme="majorBidi" w:hint="eastAsia"/>
          <w:lang w:eastAsia="zh-CN"/>
        </w:rPr>
        <w:t>节。</w:t>
      </w:r>
      <w:r w:rsidRPr="00F93B00">
        <w:rPr>
          <w:rFonts w:asciiTheme="majorBidi" w:hAnsiTheme="majorBidi" w:cstheme="majorBidi" w:hint="eastAsia"/>
          <w:b/>
          <w:lang w:eastAsia="zh-CN"/>
        </w:rPr>
        <w:t>物联网和智能城市与社区标准路线图</w:t>
      </w:r>
      <w:r w:rsidRPr="00F93B00">
        <w:rPr>
          <w:rFonts w:asciiTheme="majorBidi" w:hAnsiTheme="majorBidi" w:cstheme="majorBidi" w:hint="eastAsia"/>
          <w:lang w:eastAsia="zh-CN"/>
        </w:rPr>
        <w:t>正</w:t>
      </w:r>
      <w:r w:rsidRPr="00D638CB">
        <w:rPr>
          <w:rFonts w:asciiTheme="majorBidi" w:hAnsiTheme="majorBidi" w:cstheme="majorBidi" w:hint="eastAsia"/>
          <w:lang w:eastAsia="zh-CN"/>
        </w:rPr>
        <w:t>由</w:t>
      </w:r>
      <w:r w:rsidRPr="00D638CB">
        <w:rPr>
          <w:rFonts w:asciiTheme="majorBidi" w:hAnsiTheme="majorBidi" w:cstheme="majorBidi" w:hint="eastAsia"/>
          <w:lang w:eastAsia="zh-CN"/>
        </w:rPr>
        <w:t>JCA-IoT</w:t>
      </w:r>
      <w:r w:rsidRPr="00D638CB">
        <w:rPr>
          <w:rFonts w:asciiTheme="majorBidi" w:hAnsiTheme="majorBidi" w:cstheme="majorBidi" w:hint="eastAsia"/>
          <w:lang w:eastAsia="zh-CN"/>
        </w:rPr>
        <w:t>和</w:t>
      </w:r>
      <w:r w:rsidRPr="00D638CB">
        <w:rPr>
          <w:rFonts w:asciiTheme="majorBidi" w:hAnsiTheme="majorBidi" w:cstheme="majorBidi" w:hint="eastAsia"/>
          <w:lang w:eastAsia="zh-CN"/>
        </w:rPr>
        <w:t>SC</w:t>
      </w:r>
      <w:r>
        <w:rPr>
          <w:rFonts w:asciiTheme="majorBidi" w:hAnsiTheme="majorBidi" w:cstheme="majorBidi" w:hint="eastAsia"/>
          <w:lang w:eastAsia="zh-CN"/>
        </w:rPr>
        <w:t>&amp;C</w:t>
      </w:r>
      <w:r w:rsidRPr="00D638CB">
        <w:rPr>
          <w:rFonts w:asciiTheme="majorBidi" w:hAnsiTheme="majorBidi" w:cstheme="majorBidi" w:hint="eastAsia"/>
          <w:lang w:eastAsia="zh-CN"/>
        </w:rPr>
        <w:t>维护</w:t>
      </w:r>
      <w:r>
        <w:rPr>
          <w:rFonts w:asciiTheme="majorBidi" w:hAnsiTheme="majorBidi" w:cstheme="majorBidi" w:hint="eastAsia"/>
          <w:lang w:eastAsia="zh-CN"/>
        </w:rPr>
        <w:t>着。已公布关于</w:t>
      </w:r>
      <w:r w:rsidRPr="00D638CB">
        <w:rPr>
          <w:rFonts w:asciiTheme="majorBidi" w:hAnsiTheme="majorBidi" w:cstheme="majorBidi" w:hint="eastAsia"/>
          <w:lang w:eastAsia="zh-CN"/>
        </w:rPr>
        <w:t>“实施</w:t>
      </w:r>
      <w:r w:rsidRPr="00D638CB">
        <w:rPr>
          <w:rFonts w:asciiTheme="majorBidi" w:hAnsiTheme="majorBidi" w:cstheme="majorBidi" w:hint="eastAsia"/>
          <w:lang w:eastAsia="zh-CN"/>
        </w:rPr>
        <w:t>ITU-T</w:t>
      </w:r>
      <w:r>
        <w:rPr>
          <w:rFonts w:asciiTheme="majorBidi" w:hAnsiTheme="majorBidi" w:cstheme="majorBidi" w:hint="eastAsia"/>
          <w:lang w:eastAsia="zh-CN"/>
        </w:rPr>
        <w:t>国际标准以形成智慧</w:t>
      </w:r>
      <w:r w:rsidRPr="00D638CB">
        <w:rPr>
          <w:rFonts w:asciiTheme="majorBidi" w:hAnsiTheme="majorBidi" w:cstheme="majorBidi" w:hint="eastAsia"/>
          <w:lang w:eastAsia="zh-CN"/>
        </w:rPr>
        <w:t>可持续</w:t>
      </w:r>
      <w:r>
        <w:rPr>
          <w:rFonts w:asciiTheme="majorBidi" w:hAnsiTheme="majorBidi" w:cstheme="majorBidi" w:hint="eastAsia"/>
          <w:lang w:eastAsia="zh-CN"/>
        </w:rPr>
        <w:t>发展城市：迪拜案例</w:t>
      </w:r>
      <w:r w:rsidRPr="00D638CB">
        <w:rPr>
          <w:rFonts w:asciiTheme="majorBidi" w:hAnsiTheme="majorBidi" w:cstheme="majorBidi" w:hint="eastAsia"/>
          <w:lang w:eastAsia="zh-CN"/>
        </w:rPr>
        <w:t>”</w:t>
      </w:r>
      <w:r>
        <w:rPr>
          <w:rFonts w:asciiTheme="majorBidi" w:hAnsiTheme="majorBidi" w:cstheme="majorBidi" w:hint="eastAsia"/>
          <w:lang w:eastAsia="zh-CN"/>
        </w:rPr>
        <w:t>的案例研究结果。该案例研究详细论述了迪拜意欲成为一个智慧城市的、雄心勃勃的开拓之旅</w:t>
      </w:r>
      <w:r w:rsidRPr="00D638CB">
        <w:rPr>
          <w:rFonts w:asciiTheme="majorBidi" w:hAnsiTheme="majorBidi" w:cstheme="majorBidi" w:hint="eastAsia"/>
          <w:lang w:eastAsia="zh-CN"/>
        </w:rPr>
        <w:t>，</w:t>
      </w:r>
      <w:r>
        <w:rPr>
          <w:rFonts w:asciiTheme="majorBidi" w:hAnsiTheme="majorBidi" w:cstheme="majorBidi" w:hint="eastAsia"/>
          <w:lang w:eastAsia="zh-CN"/>
        </w:rPr>
        <w:t>它值得世界其他有抱负的智慧城市模仿。新</w:t>
      </w:r>
      <w:r w:rsidRPr="00D638CB">
        <w:rPr>
          <w:rFonts w:asciiTheme="majorBidi" w:hAnsiTheme="majorBidi" w:cstheme="majorBidi" w:hint="eastAsia"/>
          <w:lang w:eastAsia="zh-CN"/>
        </w:rPr>
        <w:t>标准为</w:t>
      </w:r>
      <w:r>
        <w:rPr>
          <w:rFonts w:asciiTheme="majorBidi" w:hAnsiTheme="majorBidi" w:cstheme="majorBidi" w:hint="eastAsia"/>
          <w:lang w:eastAsia="zh-CN"/>
        </w:rPr>
        <w:t>各城市提供了一般性指导，并为帮助</w:t>
      </w:r>
      <w:r w:rsidRPr="00D638CB">
        <w:rPr>
          <w:rFonts w:asciiTheme="majorBidi" w:hAnsiTheme="majorBidi" w:cstheme="majorBidi" w:hint="eastAsia"/>
          <w:lang w:eastAsia="zh-CN"/>
        </w:rPr>
        <w:t>城市实现可持续发展目标（</w:t>
      </w:r>
      <w:r w:rsidRPr="00D638CB">
        <w:rPr>
          <w:rFonts w:asciiTheme="majorBidi" w:hAnsiTheme="majorBidi" w:cstheme="majorBidi" w:hint="eastAsia"/>
          <w:lang w:eastAsia="zh-CN"/>
        </w:rPr>
        <w:t>SDG</w:t>
      </w:r>
      <w:r w:rsidRPr="00D638CB">
        <w:rPr>
          <w:rFonts w:asciiTheme="majorBidi" w:hAnsiTheme="majorBidi" w:cstheme="majorBidi" w:hint="eastAsia"/>
          <w:lang w:eastAsia="zh-CN"/>
        </w:rPr>
        <w:t>）提供了</w:t>
      </w:r>
      <w:r w:rsidRPr="00BF4795">
        <w:rPr>
          <w:rFonts w:asciiTheme="majorBidi" w:hAnsiTheme="majorBidi" w:cstheme="majorBidi" w:hint="eastAsia"/>
          <w:b/>
          <w:lang w:eastAsia="zh-CN"/>
        </w:rPr>
        <w:t>关于智慧可持续发展城市（</w:t>
      </w:r>
      <w:r w:rsidRPr="00BF4795">
        <w:rPr>
          <w:rFonts w:asciiTheme="majorBidi" w:hAnsiTheme="majorBidi" w:cstheme="majorBidi" w:hint="eastAsia"/>
          <w:b/>
          <w:lang w:eastAsia="zh-CN"/>
        </w:rPr>
        <w:t>SSC</w:t>
      </w:r>
      <w:r w:rsidRPr="00BF4795">
        <w:rPr>
          <w:rFonts w:asciiTheme="majorBidi" w:hAnsiTheme="majorBidi" w:cstheme="majorBidi" w:hint="eastAsia"/>
          <w:b/>
          <w:lang w:eastAsia="zh-CN"/>
        </w:rPr>
        <w:t>）的关键绩效指标（</w:t>
      </w:r>
      <w:r w:rsidRPr="00BF4795">
        <w:rPr>
          <w:rFonts w:asciiTheme="majorBidi" w:hAnsiTheme="majorBidi" w:cstheme="majorBidi" w:hint="eastAsia"/>
          <w:b/>
          <w:lang w:eastAsia="zh-CN"/>
        </w:rPr>
        <w:t>KPI</w:t>
      </w:r>
      <w:r w:rsidRPr="00BF4795">
        <w:rPr>
          <w:rFonts w:asciiTheme="majorBidi" w:hAnsiTheme="majorBidi" w:cstheme="majorBidi" w:hint="eastAsia"/>
          <w:b/>
          <w:lang w:eastAsia="zh-CN"/>
        </w:rPr>
        <w:t>）</w:t>
      </w:r>
      <w:r w:rsidRPr="00D638CB">
        <w:rPr>
          <w:rFonts w:asciiTheme="majorBidi" w:hAnsiTheme="majorBidi" w:cstheme="majorBidi" w:hint="eastAsia"/>
          <w:lang w:eastAsia="zh-CN"/>
        </w:rPr>
        <w:t>。</w:t>
      </w:r>
    </w:p>
    <w:bookmarkEnd w:id="15"/>
    <w:bookmarkEnd w:id="16"/>
    <w:p w:rsidR="007273EF" w:rsidRDefault="007273EF" w:rsidP="007273EF">
      <w:pPr>
        <w:ind w:firstLineChars="200" w:firstLine="480"/>
        <w:rPr>
          <w:lang w:eastAsia="zh-CN"/>
        </w:rPr>
      </w:pPr>
      <w:r w:rsidRPr="00AC19C8">
        <w:rPr>
          <w:lang w:eastAsia="zh-CN"/>
        </w:rPr>
        <w:t>新的和经修订的国际电联标准</w:t>
      </w:r>
      <w:r>
        <w:rPr>
          <w:lang w:eastAsia="zh-CN"/>
        </w:rPr>
        <w:t>规定了汽车免提通信的电</w:t>
      </w:r>
      <w:r>
        <w:rPr>
          <w:rFonts w:hint="eastAsia"/>
          <w:lang w:eastAsia="zh-CN"/>
        </w:rPr>
        <w:t>声</w:t>
      </w:r>
      <w:r>
        <w:rPr>
          <w:lang w:eastAsia="zh-CN"/>
        </w:rPr>
        <w:t>特性</w:t>
      </w:r>
      <w:r>
        <w:rPr>
          <w:rFonts w:hint="eastAsia"/>
          <w:lang w:eastAsia="zh-CN"/>
        </w:rPr>
        <w:t>、</w:t>
      </w:r>
      <w:r>
        <w:rPr>
          <w:lang w:eastAsia="zh-CN"/>
        </w:rPr>
        <w:t>性能要求和测试信号，以及</w:t>
      </w:r>
      <w:r w:rsidRPr="00754D8A">
        <w:rPr>
          <w:rFonts w:hint="eastAsia"/>
          <w:b/>
          <w:lang w:eastAsia="zh-CN"/>
        </w:rPr>
        <w:t>源自</w:t>
      </w:r>
      <w:r w:rsidRPr="00AC19C8">
        <w:rPr>
          <w:lang w:eastAsia="zh-CN"/>
        </w:rPr>
        <w:t>车辆的</w:t>
      </w:r>
      <w:r>
        <w:rPr>
          <w:b/>
          <w:lang w:eastAsia="zh-CN"/>
        </w:rPr>
        <w:t>紧急呼叫</w:t>
      </w:r>
      <w:r w:rsidRPr="00AC19C8">
        <w:rPr>
          <w:lang w:eastAsia="zh-CN"/>
        </w:rPr>
        <w:t>语音质量要求。新的</w:t>
      </w:r>
      <w:r>
        <w:rPr>
          <w:rFonts w:hint="eastAsia"/>
          <w:lang w:eastAsia="zh-CN"/>
        </w:rPr>
        <w:t>国际电联</w:t>
      </w:r>
      <w:r w:rsidRPr="00AC19C8">
        <w:rPr>
          <w:lang w:eastAsia="zh-CN"/>
        </w:rPr>
        <w:t>标准描述了</w:t>
      </w:r>
      <w:r w:rsidRPr="00754D8A">
        <w:rPr>
          <w:b/>
          <w:lang w:eastAsia="zh-CN"/>
        </w:rPr>
        <w:t>智能交通系统中车辆网关平台</w:t>
      </w:r>
      <w:r w:rsidRPr="00AC19C8">
        <w:rPr>
          <w:lang w:eastAsia="zh-CN"/>
        </w:rPr>
        <w:t>的服务要求和功能要求。</w:t>
      </w:r>
    </w:p>
    <w:p w:rsidR="00FD02EA" w:rsidRDefault="00FD02EA" w:rsidP="00FD02EA">
      <w:pPr>
        <w:ind w:firstLineChars="200" w:firstLine="480"/>
        <w:rPr>
          <w:lang w:eastAsia="zh-CN"/>
        </w:rPr>
      </w:pPr>
      <w:r w:rsidRPr="00AC19C8">
        <w:rPr>
          <w:lang w:eastAsia="zh-CN"/>
        </w:rPr>
        <w:t>国际电联致力于建立</w:t>
      </w:r>
      <w:r w:rsidRPr="001D0856">
        <w:rPr>
          <w:b/>
          <w:lang w:eastAsia="zh-CN"/>
        </w:rPr>
        <w:t>信任，</w:t>
      </w:r>
      <w:r w:rsidRPr="001D0856">
        <w:rPr>
          <w:rFonts w:hint="eastAsia"/>
          <w:b/>
          <w:lang w:eastAsia="zh-CN"/>
        </w:rPr>
        <w:t>信息通信技术</w:t>
      </w:r>
      <w:r w:rsidRPr="001D0856">
        <w:rPr>
          <w:b/>
          <w:lang w:eastAsia="zh-CN"/>
        </w:rPr>
        <w:t>在使用时安全措施</w:t>
      </w:r>
      <w:r w:rsidRPr="00AC19C8">
        <w:rPr>
          <w:lang w:eastAsia="zh-CN"/>
        </w:rPr>
        <w:t>不断加强，从而增强了网络基础设施、服务和应用的安全性。国际电联成员还开展了新的标准化工作，以说明建立可信</w:t>
      </w:r>
      <w:r>
        <w:rPr>
          <w:rFonts w:hint="eastAsia"/>
          <w:lang w:eastAsia="zh-CN"/>
        </w:rPr>
        <w:t>信息通信技术</w:t>
      </w:r>
      <w:r w:rsidRPr="00AC19C8">
        <w:rPr>
          <w:lang w:eastAsia="zh-CN"/>
        </w:rPr>
        <w:t>环境所需的基本原则。参见第</w:t>
      </w:r>
      <w:r w:rsidRPr="00AC19C8">
        <w:rPr>
          <w:lang w:eastAsia="zh-CN"/>
        </w:rPr>
        <w:t>6</w:t>
      </w:r>
      <w:r w:rsidRPr="00AC19C8">
        <w:rPr>
          <w:lang w:eastAsia="zh-CN"/>
        </w:rPr>
        <w:t>节。</w:t>
      </w:r>
      <w:r w:rsidRPr="00AC19C8">
        <w:rPr>
          <w:lang w:eastAsia="zh-CN"/>
        </w:rPr>
        <w:t>ITU-T X.500</w:t>
      </w:r>
      <w:r w:rsidRPr="00AC19C8">
        <w:rPr>
          <w:lang w:eastAsia="zh-CN"/>
        </w:rPr>
        <w:t>系列第八版已经完成</w:t>
      </w:r>
      <w:r>
        <w:rPr>
          <w:rFonts w:hint="eastAsia"/>
          <w:lang w:eastAsia="zh-CN"/>
        </w:rPr>
        <w:t>；</w:t>
      </w:r>
      <w:r>
        <w:rPr>
          <w:lang w:eastAsia="zh-CN"/>
        </w:rPr>
        <w:t>其中</w:t>
      </w:r>
      <w:r>
        <w:rPr>
          <w:rFonts w:hint="eastAsia"/>
          <w:lang w:eastAsia="zh-CN"/>
        </w:rPr>
        <w:t>包括</w:t>
      </w:r>
      <w:r w:rsidRPr="00AC19C8">
        <w:rPr>
          <w:lang w:eastAsia="zh-CN"/>
        </w:rPr>
        <w:t>关于公钥证书和特权管理基础设施</w:t>
      </w:r>
      <w:r>
        <w:rPr>
          <w:rFonts w:hint="eastAsia"/>
          <w:lang w:eastAsia="zh-CN"/>
        </w:rPr>
        <w:t>的</w:t>
      </w:r>
      <w:r w:rsidRPr="00AC19C8">
        <w:rPr>
          <w:lang w:eastAsia="zh-CN"/>
        </w:rPr>
        <w:t>ITU-T X.509</w:t>
      </w:r>
      <w:r>
        <w:rPr>
          <w:rFonts w:hint="eastAsia"/>
          <w:lang w:eastAsia="zh-CN"/>
        </w:rPr>
        <w:t>建议书</w:t>
      </w:r>
      <w:r w:rsidRPr="00AC19C8">
        <w:rPr>
          <w:lang w:eastAsia="zh-CN"/>
        </w:rPr>
        <w:t>。两个新的安全标准定义了使用生物</w:t>
      </w:r>
      <w:r>
        <w:rPr>
          <w:rFonts w:hint="eastAsia"/>
          <w:lang w:eastAsia="zh-CN"/>
        </w:rPr>
        <w:t>特征</w:t>
      </w:r>
      <w:r w:rsidRPr="00AC19C8">
        <w:rPr>
          <w:lang w:eastAsia="zh-CN"/>
        </w:rPr>
        <w:t>识别硬件安全模块的远程生物</w:t>
      </w:r>
      <w:r>
        <w:rPr>
          <w:rFonts w:hint="eastAsia"/>
          <w:lang w:eastAsia="zh-CN"/>
        </w:rPr>
        <w:t>特征</w:t>
      </w:r>
      <w:r w:rsidRPr="00AC19C8">
        <w:rPr>
          <w:lang w:eastAsia="zh-CN"/>
        </w:rPr>
        <w:t>认证框架，以及使用移动设备的远程生物</w:t>
      </w:r>
      <w:r>
        <w:rPr>
          <w:rFonts w:hint="eastAsia"/>
          <w:lang w:eastAsia="zh-CN"/>
        </w:rPr>
        <w:t>特征测定</w:t>
      </w:r>
      <w:r w:rsidRPr="00AC19C8">
        <w:rPr>
          <w:lang w:eastAsia="zh-CN"/>
        </w:rPr>
        <w:t>应用的技术和操作对策。</w:t>
      </w:r>
    </w:p>
    <w:p w:rsidR="00927200" w:rsidRDefault="00927200" w:rsidP="00927200">
      <w:pPr>
        <w:ind w:firstLineChars="200" w:firstLine="480"/>
        <w:rPr>
          <w:lang w:eastAsia="zh-CN"/>
        </w:rPr>
      </w:pPr>
      <w:r w:rsidRPr="00502547">
        <w:rPr>
          <w:lang w:eastAsia="zh-CN"/>
        </w:rPr>
        <w:t>国际电联的</w:t>
      </w:r>
      <w:r>
        <w:rPr>
          <w:rFonts w:hint="eastAsia"/>
          <w:lang w:eastAsia="zh-CN"/>
        </w:rPr>
        <w:t>“</w:t>
      </w:r>
      <w:r w:rsidRPr="00927200">
        <w:rPr>
          <w:b/>
          <w:lang w:eastAsia="zh-CN"/>
        </w:rPr>
        <w:t>绿色</w:t>
      </w:r>
      <w:r w:rsidRPr="00927200">
        <w:rPr>
          <w:rFonts w:hint="eastAsia"/>
          <w:b/>
          <w:lang w:eastAsia="zh-CN"/>
        </w:rPr>
        <w:t>信息通信技术</w:t>
      </w:r>
      <w:r>
        <w:rPr>
          <w:rFonts w:hint="eastAsia"/>
          <w:lang w:eastAsia="zh-CN"/>
        </w:rPr>
        <w:t>”</w:t>
      </w:r>
      <w:r w:rsidRPr="00502547">
        <w:rPr>
          <w:lang w:eastAsia="zh-CN"/>
        </w:rPr>
        <w:t>标准帮助减轻了</w:t>
      </w:r>
      <w:r>
        <w:rPr>
          <w:rFonts w:hint="eastAsia"/>
          <w:lang w:eastAsia="zh-CN"/>
        </w:rPr>
        <w:t>信息通信技术</w:t>
      </w:r>
      <w:r w:rsidRPr="00502547">
        <w:rPr>
          <w:lang w:eastAsia="zh-CN"/>
        </w:rPr>
        <w:t>行业及其他行业的环境足迹。</w:t>
      </w:r>
      <w:r w:rsidRPr="00502547">
        <w:rPr>
          <w:lang w:eastAsia="zh-CN"/>
        </w:rPr>
        <w:t>ITU-T L.1300</w:t>
      </w:r>
      <w:r w:rsidRPr="00502547">
        <w:rPr>
          <w:lang w:eastAsia="zh-CN"/>
        </w:rPr>
        <w:t>系列建议书中的一些新的绿色信息通信技术</w:t>
      </w:r>
      <w:r>
        <w:rPr>
          <w:lang w:eastAsia="zh-CN"/>
        </w:rPr>
        <w:t>标准实现了能源</w:t>
      </w:r>
      <w:r>
        <w:rPr>
          <w:rFonts w:hint="eastAsia"/>
          <w:lang w:eastAsia="zh-CN"/>
        </w:rPr>
        <w:t>高效的信息通信技术</w:t>
      </w:r>
      <w:r>
        <w:rPr>
          <w:lang w:eastAsia="zh-CN"/>
        </w:rPr>
        <w:t>/</w:t>
      </w:r>
      <w:r w:rsidRPr="00502547">
        <w:rPr>
          <w:lang w:eastAsia="zh-CN"/>
        </w:rPr>
        <w:t>电信解决方案。参见第</w:t>
      </w:r>
      <w:r w:rsidRPr="00502547">
        <w:rPr>
          <w:lang w:eastAsia="zh-CN"/>
        </w:rPr>
        <w:t>7</w:t>
      </w:r>
      <w:r w:rsidRPr="00502547">
        <w:rPr>
          <w:lang w:eastAsia="zh-CN"/>
        </w:rPr>
        <w:t>节。例如，</w:t>
      </w:r>
      <w:r>
        <w:rPr>
          <w:rFonts w:hint="eastAsia"/>
          <w:lang w:eastAsia="zh-CN"/>
        </w:rPr>
        <w:t>针对</w:t>
      </w:r>
      <w:r w:rsidRPr="00502547">
        <w:rPr>
          <w:lang w:eastAsia="zh-CN"/>
        </w:rPr>
        <w:t>笔记本电脑和其他便携式设备的</w:t>
      </w:r>
      <w:r w:rsidRPr="00927200">
        <w:rPr>
          <w:b/>
          <w:lang w:eastAsia="zh-CN"/>
        </w:rPr>
        <w:t>外部通用电源适配器解决方案</w:t>
      </w:r>
      <w:r>
        <w:rPr>
          <w:lang w:eastAsia="zh-CN"/>
        </w:rPr>
        <w:t>的新环保标准提供了更高的能源效率和</w:t>
      </w:r>
      <w:r>
        <w:rPr>
          <w:rFonts w:hint="eastAsia"/>
          <w:lang w:eastAsia="zh-CN"/>
        </w:rPr>
        <w:t>更少</w:t>
      </w:r>
      <w:r>
        <w:rPr>
          <w:lang w:eastAsia="zh-CN"/>
        </w:rPr>
        <w:t>的温室气体排放，</w:t>
      </w:r>
      <w:r>
        <w:rPr>
          <w:rFonts w:hint="eastAsia"/>
          <w:lang w:eastAsia="zh-CN"/>
        </w:rPr>
        <w:t>有望</w:t>
      </w:r>
      <w:r>
        <w:rPr>
          <w:lang w:eastAsia="zh-CN"/>
        </w:rPr>
        <w:t>大大减少电子</w:t>
      </w:r>
      <w:r>
        <w:rPr>
          <w:rFonts w:hint="eastAsia"/>
          <w:lang w:eastAsia="zh-CN"/>
        </w:rPr>
        <w:t>垃圾</w:t>
      </w:r>
      <w:r w:rsidRPr="00502547">
        <w:rPr>
          <w:lang w:eastAsia="zh-CN"/>
        </w:rPr>
        <w:t>，从而将有助于实现</w:t>
      </w:r>
      <w:r>
        <w:rPr>
          <w:rFonts w:hint="eastAsia"/>
          <w:lang w:eastAsia="zh-CN"/>
        </w:rPr>
        <w:t>“</w:t>
      </w:r>
      <w:r w:rsidRPr="00502547">
        <w:rPr>
          <w:lang w:eastAsia="zh-CN"/>
        </w:rPr>
        <w:t>联合国可持续发展目标</w:t>
      </w:r>
      <w:r>
        <w:rPr>
          <w:rFonts w:hint="eastAsia"/>
          <w:lang w:eastAsia="zh-CN"/>
        </w:rPr>
        <w:t>”</w:t>
      </w:r>
      <w:r w:rsidRPr="00502547">
        <w:rPr>
          <w:lang w:eastAsia="zh-CN"/>
        </w:rPr>
        <w:t>目标</w:t>
      </w:r>
      <w:r w:rsidRPr="00502547">
        <w:rPr>
          <w:lang w:eastAsia="zh-CN"/>
        </w:rPr>
        <w:t>12</w:t>
      </w:r>
      <w:r w:rsidRPr="00502547">
        <w:rPr>
          <w:lang w:eastAsia="zh-CN"/>
        </w:rPr>
        <w:t>所确定的目标，以确保可持续的生产和消费模式</w:t>
      </w:r>
      <w:r>
        <w:rPr>
          <w:rFonts w:hint="eastAsia"/>
          <w:lang w:eastAsia="zh-CN"/>
        </w:rPr>
        <w:t>；</w:t>
      </w:r>
      <w:r w:rsidRPr="00502547">
        <w:rPr>
          <w:lang w:eastAsia="zh-CN"/>
        </w:rPr>
        <w:t>并将协助实现</w:t>
      </w:r>
      <w:r>
        <w:rPr>
          <w:rFonts w:hint="eastAsia"/>
          <w:lang w:eastAsia="zh-CN"/>
        </w:rPr>
        <w:t>“连通</w:t>
      </w:r>
      <w:r w:rsidRPr="00502547">
        <w:rPr>
          <w:lang w:eastAsia="zh-CN"/>
        </w:rPr>
        <w:t>2020</w:t>
      </w:r>
      <w:r w:rsidRPr="00502547">
        <w:rPr>
          <w:lang w:eastAsia="zh-CN"/>
        </w:rPr>
        <w:t>议程</w:t>
      </w:r>
      <w:r>
        <w:rPr>
          <w:rFonts w:hint="eastAsia"/>
          <w:lang w:eastAsia="zh-CN"/>
        </w:rPr>
        <w:t>”所确定</w:t>
      </w:r>
      <w:r>
        <w:rPr>
          <w:lang w:eastAsia="zh-CN"/>
        </w:rPr>
        <w:t>的电子</w:t>
      </w:r>
      <w:r>
        <w:rPr>
          <w:rFonts w:hint="eastAsia"/>
          <w:lang w:eastAsia="zh-CN"/>
        </w:rPr>
        <w:t>垃圾</w:t>
      </w:r>
      <w:r w:rsidRPr="00502547">
        <w:rPr>
          <w:lang w:eastAsia="zh-CN"/>
        </w:rPr>
        <w:t>目标，到</w:t>
      </w:r>
      <w:r w:rsidRPr="00502547">
        <w:rPr>
          <w:lang w:eastAsia="zh-CN"/>
        </w:rPr>
        <w:t>2020</w:t>
      </w:r>
      <w:r>
        <w:rPr>
          <w:lang w:eastAsia="zh-CN"/>
        </w:rPr>
        <w:t>年将冗余电子</w:t>
      </w:r>
      <w:r>
        <w:rPr>
          <w:rFonts w:hint="eastAsia"/>
          <w:lang w:eastAsia="zh-CN"/>
        </w:rPr>
        <w:t>垃圾</w:t>
      </w:r>
      <w:r w:rsidRPr="00502547">
        <w:rPr>
          <w:lang w:eastAsia="zh-CN"/>
        </w:rPr>
        <w:t>数量减少</w:t>
      </w:r>
      <w:r w:rsidRPr="00502547">
        <w:rPr>
          <w:lang w:eastAsia="zh-CN"/>
        </w:rPr>
        <w:t>50</w:t>
      </w:r>
      <w:r>
        <w:rPr>
          <w:rFonts w:hint="eastAsia"/>
          <w:lang w:eastAsia="zh-CN"/>
        </w:rPr>
        <w:t>%</w:t>
      </w:r>
      <w:r w:rsidRPr="00502547">
        <w:rPr>
          <w:lang w:eastAsia="zh-CN"/>
        </w:rPr>
        <w:t>。</w:t>
      </w:r>
    </w:p>
    <w:p w:rsidR="008A7250" w:rsidRDefault="008A7250" w:rsidP="008A7250">
      <w:pPr>
        <w:pStyle w:val="NormalWeb"/>
        <w:spacing w:before="120" w:after="120"/>
        <w:ind w:firstLine="345"/>
        <w:rPr>
          <w:sz w:val="24"/>
          <w:szCs w:val="24"/>
          <w:lang w:val="en-GB"/>
        </w:rPr>
      </w:pPr>
      <w:r w:rsidRPr="008A7250">
        <w:rPr>
          <w:sz w:val="24"/>
          <w:szCs w:val="24"/>
          <w:lang w:val="en-GB"/>
        </w:rPr>
        <w:t>新的标准规定了</w:t>
      </w:r>
      <w:r w:rsidRPr="008A7250">
        <w:rPr>
          <w:rFonts w:hint="eastAsia"/>
          <w:b/>
          <w:sz w:val="24"/>
          <w:szCs w:val="24"/>
          <w:lang w:val="en-GB"/>
        </w:rPr>
        <w:t>针对</w:t>
      </w:r>
      <w:r w:rsidRPr="008A7250">
        <w:rPr>
          <w:b/>
          <w:sz w:val="24"/>
          <w:szCs w:val="24"/>
          <w:lang w:val="en-GB"/>
        </w:rPr>
        <w:t>电信网络设施的绿色</w:t>
      </w:r>
      <w:r w:rsidRPr="008A7250">
        <w:rPr>
          <w:rFonts w:hint="eastAsia"/>
          <w:b/>
          <w:sz w:val="24"/>
          <w:szCs w:val="24"/>
          <w:lang w:val="en-GB"/>
        </w:rPr>
        <w:t>信息通信技术</w:t>
      </w:r>
      <w:r w:rsidRPr="008A7250">
        <w:rPr>
          <w:b/>
          <w:sz w:val="24"/>
          <w:szCs w:val="24"/>
          <w:lang w:val="en-GB"/>
        </w:rPr>
        <w:t>解决方案</w:t>
      </w:r>
      <w:r w:rsidRPr="008A7250">
        <w:rPr>
          <w:sz w:val="24"/>
          <w:szCs w:val="24"/>
          <w:lang w:val="en-GB"/>
        </w:rPr>
        <w:t>，允许引入高效的基础设施解决方案，包括高效</w:t>
      </w:r>
      <w:r w:rsidRPr="008A7250">
        <w:rPr>
          <w:rFonts w:hint="eastAsia"/>
          <w:sz w:val="24"/>
          <w:szCs w:val="24"/>
          <w:lang w:val="en-GB"/>
        </w:rPr>
        <w:t>的</w:t>
      </w:r>
      <w:r w:rsidRPr="008A7250">
        <w:rPr>
          <w:sz w:val="24"/>
          <w:szCs w:val="24"/>
          <w:lang w:val="en-GB"/>
        </w:rPr>
        <w:t>电源解决方案</w:t>
      </w:r>
      <w:r w:rsidRPr="008A7250">
        <w:rPr>
          <w:rFonts w:hint="eastAsia"/>
          <w:sz w:val="24"/>
          <w:szCs w:val="24"/>
          <w:lang w:val="en-GB"/>
        </w:rPr>
        <w:t>、</w:t>
      </w:r>
      <w:r w:rsidRPr="008A7250">
        <w:rPr>
          <w:sz w:val="24"/>
          <w:szCs w:val="24"/>
          <w:lang w:val="en-GB"/>
        </w:rPr>
        <w:t>可再生能源解决方案</w:t>
      </w:r>
      <w:r w:rsidRPr="008A7250">
        <w:rPr>
          <w:rFonts w:hint="eastAsia"/>
          <w:sz w:val="24"/>
          <w:szCs w:val="24"/>
          <w:lang w:val="en-GB"/>
        </w:rPr>
        <w:t>、</w:t>
      </w:r>
      <w:r w:rsidRPr="008A7250">
        <w:rPr>
          <w:sz w:val="24"/>
          <w:szCs w:val="24"/>
          <w:lang w:val="en-GB"/>
        </w:rPr>
        <w:t>空调节能解决方案以及免费</w:t>
      </w:r>
      <w:r w:rsidRPr="008A7250">
        <w:rPr>
          <w:rFonts w:hint="eastAsia"/>
          <w:sz w:val="24"/>
          <w:szCs w:val="24"/>
          <w:lang w:val="en-GB"/>
        </w:rPr>
        <w:t>节约</w:t>
      </w:r>
      <w:r w:rsidRPr="008A7250">
        <w:rPr>
          <w:sz w:val="24"/>
          <w:szCs w:val="24"/>
          <w:lang w:val="en-GB"/>
        </w:rPr>
        <w:t>的冷却解决方案。</w:t>
      </w:r>
    </w:p>
    <w:p w:rsidR="008A7250" w:rsidRDefault="008A7250" w:rsidP="00806503">
      <w:pPr>
        <w:pStyle w:val="NormalWeb"/>
        <w:spacing w:before="120" w:after="120"/>
        <w:ind w:firstLine="345"/>
        <w:rPr>
          <w:sz w:val="24"/>
          <w:szCs w:val="24"/>
          <w:lang w:val="en-GB"/>
        </w:rPr>
      </w:pPr>
      <w:r w:rsidRPr="008A7250">
        <w:rPr>
          <w:sz w:val="24"/>
          <w:szCs w:val="24"/>
          <w:lang w:val="en-GB"/>
        </w:rPr>
        <w:lastRenderedPageBreak/>
        <w:t>新</w:t>
      </w:r>
      <w:r w:rsidRPr="008A7250">
        <w:rPr>
          <w:rFonts w:hint="eastAsia"/>
          <w:sz w:val="24"/>
          <w:szCs w:val="24"/>
          <w:lang w:val="en-GB"/>
        </w:rPr>
        <w:t>的</w:t>
      </w:r>
      <w:r w:rsidRPr="008A7250">
        <w:rPr>
          <w:sz w:val="24"/>
          <w:szCs w:val="24"/>
          <w:lang w:val="en-GB"/>
        </w:rPr>
        <w:t>标准</w:t>
      </w:r>
      <w:r w:rsidRPr="008A7250">
        <w:rPr>
          <w:rFonts w:hint="eastAsia"/>
          <w:sz w:val="24"/>
          <w:szCs w:val="24"/>
          <w:lang w:val="en-GB"/>
        </w:rPr>
        <w:t>允许</w:t>
      </w:r>
      <w:r w:rsidRPr="008A7250">
        <w:rPr>
          <w:sz w:val="24"/>
          <w:szCs w:val="24"/>
          <w:lang w:val="en-GB"/>
        </w:rPr>
        <w:t>评估基站站点的</w:t>
      </w:r>
      <w:r w:rsidRPr="008A7250">
        <w:rPr>
          <w:b/>
          <w:sz w:val="24"/>
          <w:szCs w:val="24"/>
          <w:lang w:val="en-GB"/>
        </w:rPr>
        <w:t>能源效率</w:t>
      </w:r>
      <w:r w:rsidRPr="008A7250">
        <w:rPr>
          <w:sz w:val="24"/>
          <w:szCs w:val="24"/>
          <w:lang w:val="en-GB"/>
        </w:rPr>
        <w:t>，包括基站现场所有电信设备</w:t>
      </w:r>
      <w:r w:rsidRPr="008A7250">
        <w:rPr>
          <w:rFonts w:hint="eastAsia"/>
          <w:sz w:val="24"/>
          <w:szCs w:val="24"/>
          <w:lang w:val="en-GB"/>
        </w:rPr>
        <w:t>、</w:t>
      </w:r>
      <w:r w:rsidRPr="008A7250">
        <w:rPr>
          <w:sz w:val="24"/>
          <w:szCs w:val="24"/>
          <w:lang w:val="en-GB"/>
        </w:rPr>
        <w:t>整个基础设施的能耗</w:t>
      </w:r>
      <w:r w:rsidRPr="008A7250">
        <w:rPr>
          <w:rFonts w:hint="eastAsia"/>
          <w:sz w:val="24"/>
          <w:szCs w:val="24"/>
          <w:lang w:val="en-GB"/>
        </w:rPr>
        <w:t>，</w:t>
      </w:r>
      <w:r w:rsidRPr="008A7250">
        <w:rPr>
          <w:sz w:val="24"/>
          <w:szCs w:val="24"/>
          <w:lang w:val="en-GB"/>
        </w:rPr>
        <w:t>以及</w:t>
      </w:r>
      <w:r w:rsidRPr="008A7250">
        <w:rPr>
          <w:rFonts w:hint="eastAsia"/>
          <w:sz w:val="24"/>
          <w:szCs w:val="24"/>
          <w:lang w:val="en-GB"/>
        </w:rPr>
        <w:t>因</w:t>
      </w:r>
      <w:r w:rsidRPr="00A446C4">
        <w:rPr>
          <w:rFonts w:asciiTheme="majorBidi" w:hAnsiTheme="majorBidi" w:cstheme="majorBidi"/>
          <w:sz w:val="24"/>
          <w:szCs w:val="24"/>
          <w:lang w:val="en-GB"/>
        </w:rPr>
        <w:t>AC/DC</w:t>
      </w:r>
      <w:r w:rsidRPr="008A7250">
        <w:rPr>
          <w:sz w:val="24"/>
          <w:szCs w:val="24"/>
          <w:lang w:val="en-GB"/>
        </w:rPr>
        <w:t>整流器</w:t>
      </w:r>
      <w:r w:rsidRPr="008A7250">
        <w:rPr>
          <w:rFonts w:hint="eastAsia"/>
          <w:sz w:val="24"/>
          <w:szCs w:val="24"/>
          <w:lang w:val="en-GB"/>
        </w:rPr>
        <w:t>、</w:t>
      </w:r>
      <w:r w:rsidRPr="008A7250">
        <w:rPr>
          <w:sz w:val="24"/>
          <w:szCs w:val="24"/>
          <w:lang w:val="en-GB"/>
        </w:rPr>
        <w:t>发电机和电缆损耗</w:t>
      </w:r>
      <w:r w:rsidRPr="008A7250">
        <w:rPr>
          <w:rFonts w:hint="eastAsia"/>
          <w:sz w:val="24"/>
          <w:szCs w:val="24"/>
          <w:lang w:val="en-GB"/>
        </w:rPr>
        <w:t>而</w:t>
      </w:r>
      <w:r w:rsidRPr="008A7250">
        <w:rPr>
          <w:sz w:val="24"/>
          <w:szCs w:val="24"/>
          <w:lang w:val="en-GB"/>
        </w:rPr>
        <w:t>引起的能量损耗。</w:t>
      </w:r>
    </w:p>
    <w:p w:rsidR="00806503" w:rsidRDefault="00806503" w:rsidP="00806503">
      <w:pPr>
        <w:ind w:firstLineChars="200" w:firstLine="480"/>
        <w:rPr>
          <w:lang w:eastAsia="zh-CN"/>
        </w:rPr>
      </w:pPr>
      <w:r w:rsidRPr="00191141">
        <w:rPr>
          <w:lang w:eastAsia="zh-CN"/>
        </w:rPr>
        <w:t>国际电联标准协助</w:t>
      </w:r>
      <w:r w:rsidRPr="00191141">
        <w:rPr>
          <w:b/>
          <w:lang w:eastAsia="zh-CN"/>
        </w:rPr>
        <w:t>电磁场责任管理</w:t>
      </w:r>
      <w:r>
        <w:rPr>
          <w:lang w:eastAsia="zh-CN"/>
        </w:rPr>
        <w:t>，包括采用各类测量技术、</w:t>
      </w:r>
      <w:r>
        <w:rPr>
          <w:rFonts w:hint="eastAsia"/>
          <w:lang w:eastAsia="zh-CN"/>
        </w:rPr>
        <w:t>程序</w:t>
      </w:r>
      <w:r>
        <w:rPr>
          <w:lang w:eastAsia="zh-CN"/>
        </w:rPr>
        <w:t>和数值模型，以评价通信系统和无线电终端</w:t>
      </w:r>
      <w:r w:rsidRPr="00191141">
        <w:rPr>
          <w:lang w:eastAsia="zh-CN"/>
        </w:rPr>
        <w:t>引起的电磁场。</w:t>
      </w:r>
      <w:r w:rsidRPr="00191141">
        <w:rPr>
          <w:lang w:eastAsia="zh-CN"/>
        </w:rPr>
        <w:t>ITU-T K</w:t>
      </w:r>
      <w:r w:rsidRPr="00191141">
        <w:rPr>
          <w:lang w:eastAsia="zh-CN"/>
        </w:rPr>
        <w:t>系列建议书中的几项新的和</w:t>
      </w:r>
      <w:r>
        <w:rPr>
          <w:rFonts w:hint="eastAsia"/>
          <w:lang w:eastAsia="zh-CN"/>
        </w:rPr>
        <w:t>经</w:t>
      </w:r>
      <w:r w:rsidRPr="00191141">
        <w:rPr>
          <w:lang w:eastAsia="zh-CN"/>
        </w:rPr>
        <w:t>修订的标准提供了</w:t>
      </w:r>
      <w:r>
        <w:rPr>
          <w:rFonts w:hint="eastAsia"/>
          <w:lang w:eastAsia="zh-CN"/>
        </w:rPr>
        <w:t>信息通信技术</w:t>
      </w:r>
      <w:r w:rsidRPr="00191141">
        <w:rPr>
          <w:lang w:eastAsia="zh-CN"/>
        </w:rPr>
        <w:t>设备和基础设施的</w:t>
      </w:r>
      <w:r>
        <w:rPr>
          <w:rFonts w:hint="eastAsia"/>
          <w:lang w:eastAsia="zh-CN"/>
        </w:rPr>
        <w:t>电磁兼容性（</w:t>
      </w:r>
      <w:r w:rsidRPr="00191141">
        <w:rPr>
          <w:lang w:eastAsia="zh-CN"/>
        </w:rPr>
        <w:t>EMC</w:t>
      </w:r>
      <w:r>
        <w:rPr>
          <w:rFonts w:hint="eastAsia"/>
          <w:lang w:eastAsia="zh-CN"/>
        </w:rPr>
        <w:t>）耐性</w:t>
      </w:r>
      <w:r w:rsidRPr="00191141">
        <w:rPr>
          <w:lang w:eastAsia="zh-CN"/>
        </w:rPr>
        <w:t>和安全限制，从而有助于实现</w:t>
      </w:r>
      <w:r>
        <w:rPr>
          <w:rFonts w:hint="eastAsia"/>
          <w:lang w:eastAsia="zh-CN"/>
        </w:rPr>
        <w:t>可持续发展目标（</w:t>
      </w:r>
      <w:r w:rsidRPr="00191141">
        <w:rPr>
          <w:lang w:eastAsia="zh-CN"/>
        </w:rPr>
        <w:t>SDG</w:t>
      </w:r>
      <w:r>
        <w:rPr>
          <w:rFonts w:hint="eastAsia"/>
          <w:lang w:eastAsia="zh-CN"/>
        </w:rPr>
        <w:t>）中的</w:t>
      </w:r>
      <w:r w:rsidRPr="00191141">
        <w:rPr>
          <w:lang w:eastAsia="zh-CN"/>
        </w:rPr>
        <w:t>目标</w:t>
      </w:r>
      <w:r w:rsidRPr="00191141">
        <w:rPr>
          <w:lang w:eastAsia="zh-CN"/>
        </w:rPr>
        <w:t>9</w:t>
      </w:r>
      <w:r w:rsidRPr="00191141">
        <w:rPr>
          <w:lang w:eastAsia="zh-CN"/>
        </w:rPr>
        <w:t>。</w:t>
      </w:r>
    </w:p>
    <w:p w:rsidR="004F0DDA" w:rsidRDefault="004F0DDA" w:rsidP="00AA29E6">
      <w:pPr>
        <w:ind w:firstLineChars="200" w:firstLine="480"/>
        <w:rPr>
          <w:lang w:eastAsia="zh-CN"/>
        </w:rPr>
      </w:pPr>
      <w:r w:rsidRPr="00191141">
        <w:rPr>
          <w:lang w:eastAsia="zh-CN"/>
        </w:rPr>
        <w:t>三项新</w:t>
      </w:r>
      <w:r>
        <w:rPr>
          <w:rFonts w:hint="eastAsia"/>
          <w:lang w:eastAsia="zh-CN"/>
        </w:rPr>
        <w:t>的</w:t>
      </w:r>
      <w:r w:rsidRPr="00191141">
        <w:rPr>
          <w:lang w:eastAsia="zh-CN"/>
        </w:rPr>
        <w:t>标准规定了光纤对分布点设备的</w:t>
      </w:r>
      <w:r w:rsidRPr="008A572C">
        <w:rPr>
          <w:b/>
          <w:lang w:eastAsia="zh-CN"/>
        </w:rPr>
        <w:t>防雷要求</w:t>
      </w:r>
      <w:r w:rsidRPr="00191141">
        <w:rPr>
          <w:lang w:eastAsia="zh-CN"/>
        </w:rPr>
        <w:t>，以及无线基站和微型基站的接地要求。新</w:t>
      </w:r>
      <w:r>
        <w:rPr>
          <w:rFonts w:hint="eastAsia"/>
          <w:lang w:eastAsia="zh-CN"/>
        </w:rPr>
        <w:t>的</w:t>
      </w:r>
      <w:r>
        <w:rPr>
          <w:lang w:eastAsia="zh-CN"/>
        </w:rPr>
        <w:t>标准定义了电信</w:t>
      </w:r>
      <w:r>
        <w:rPr>
          <w:rFonts w:hint="eastAsia"/>
          <w:lang w:eastAsia="zh-CN"/>
        </w:rPr>
        <w:t>设施中电气</w:t>
      </w:r>
      <w:r w:rsidRPr="00191141">
        <w:rPr>
          <w:lang w:eastAsia="zh-CN"/>
        </w:rPr>
        <w:t>设备的</w:t>
      </w:r>
      <w:r w:rsidRPr="008A572C">
        <w:rPr>
          <w:b/>
          <w:lang w:eastAsia="zh-CN"/>
        </w:rPr>
        <w:t>EMC</w:t>
      </w:r>
      <w:r w:rsidRPr="008A572C">
        <w:rPr>
          <w:b/>
          <w:lang w:eastAsia="zh-CN"/>
        </w:rPr>
        <w:t>要求</w:t>
      </w:r>
      <w:r w:rsidRPr="00191141">
        <w:rPr>
          <w:lang w:eastAsia="zh-CN"/>
        </w:rPr>
        <w:t>，并描述了电信设施中安装</w:t>
      </w:r>
      <w:r>
        <w:rPr>
          <w:rFonts w:hint="eastAsia"/>
          <w:lang w:eastAsia="zh-CN"/>
        </w:rPr>
        <w:t>的</w:t>
      </w:r>
      <w:r>
        <w:rPr>
          <w:lang w:eastAsia="zh-CN"/>
        </w:rPr>
        <w:t>电气系统辐射和传导</w:t>
      </w:r>
      <w:r>
        <w:rPr>
          <w:rFonts w:hint="eastAsia"/>
          <w:lang w:eastAsia="zh-CN"/>
        </w:rPr>
        <w:t>发射</w:t>
      </w:r>
      <w:r w:rsidRPr="00191141">
        <w:rPr>
          <w:lang w:eastAsia="zh-CN"/>
        </w:rPr>
        <w:t>的要求。</w:t>
      </w:r>
    </w:p>
    <w:p w:rsidR="00B33963" w:rsidRDefault="00B33963" w:rsidP="00B33963">
      <w:pPr>
        <w:ind w:firstLineChars="200" w:firstLine="480"/>
        <w:rPr>
          <w:lang w:val="en-US" w:eastAsia="zh-CN"/>
        </w:rPr>
      </w:pPr>
      <w:r>
        <w:rPr>
          <w:rFonts w:hint="eastAsia"/>
          <w:lang w:val="en-US" w:eastAsia="zh-CN"/>
        </w:rPr>
        <w:t>关于</w:t>
      </w:r>
      <w:r w:rsidRPr="00191141">
        <w:rPr>
          <w:lang w:val="en-US" w:eastAsia="zh-CN"/>
        </w:rPr>
        <w:t>智能电缆系统</w:t>
      </w:r>
      <w:r>
        <w:rPr>
          <w:rFonts w:hint="eastAsia"/>
          <w:lang w:val="en-US" w:eastAsia="zh-CN"/>
        </w:rPr>
        <w:t>的</w:t>
      </w:r>
      <w:r w:rsidRPr="00A76EE6">
        <w:rPr>
          <w:b/>
          <w:bCs/>
          <w:lang w:val="en-US" w:eastAsia="zh-CN"/>
        </w:rPr>
        <w:t>国际电联</w:t>
      </w:r>
      <w:r w:rsidRPr="00A76EE6">
        <w:rPr>
          <w:rFonts w:hint="eastAsia"/>
          <w:b/>
          <w:bCs/>
          <w:lang w:val="en-US" w:eastAsia="zh-CN"/>
        </w:rPr>
        <w:t>（</w:t>
      </w:r>
      <w:r w:rsidRPr="00A76EE6">
        <w:rPr>
          <w:rFonts w:hint="eastAsia"/>
          <w:b/>
          <w:bCs/>
          <w:lang w:val="en-US" w:eastAsia="zh-CN"/>
        </w:rPr>
        <w:t>ITU</w:t>
      </w:r>
      <w:r w:rsidRPr="00A76EE6">
        <w:rPr>
          <w:rFonts w:hint="eastAsia"/>
          <w:b/>
          <w:bCs/>
          <w:lang w:val="en-US" w:eastAsia="zh-CN"/>
        </w:rPr>
        <w:t>）</w:t>
      </w:r>
      <w:r w:rsidRPr="00A76EE6">
        <w:rPr>
          <w:b/>
          <w:bCs/>
          <w:lang w:val="en-US" w:eastAsia="zh-CN"/>
        </w:rPr>
        <w:t>/</w:t>
      </w:r>
      <w:r w:rsidRPr="00A76EE6">
        <w:rPr>
          <w:rFonts w:hint="eastAsia"/>
          <w:b/>
          <w:bCs/>
          <w:lang w:val="en-US" w:eastAsia="zh-CN"/>
        </w:rPr>
        <w:t>世界</w:t>
      </w:r>
      <w:r w:rsidRPr="00A76EE6">
        <w:rPr>
          <w:b/>
          <w:bCs/>
          <w:lang w:val="en-US" w:eastAsia="zh-CN"/>
        </w:rPr>
        <w:t>气象组织</w:t>
      </w:r>
      <w:r w:rsidRPr="00A76EE6">
        <w:rPr>
          <w:rFonts w:hint="eastAsia"/>
          <w:b/>
          <w:bCs/>
          <w:lang w:val="en-US" w:eastAsia="zh-CN"/>
        </w:rPr>
        <w:t>（</w:t>
      </w:r>
      <w:r w:rsidRPr="00A76EE6">
        <w:rPr>
          <w:rFonts w:hint="eastAsia"/>
          <w:b/>
          <w:bCs/>
          <w:lang w:val="en-US" w:eastAsia="zh-CN"/>
        </w:rPr>
        <w:t>WMO</w:t>
      </w:r>
      <w:r w:rsidRPr="00A76EE6">
        <w:rPr>
          <w:rFonts w:hint="eastAsia"/>
          <w:b/>
          <w:bCs/>
          <w:lang w:val="en-US" w:eastAsia="zh-CN"/>
        </w:rPr>
        <w:t>）</w:t>
      </w:r>
      <w:r w:rsidRPr="00A76EE6">
        <w:rPr>
          <w:b/>
          <w:bCs/>
          <w:lang w:val="en-US" w:eastAsia="zh-CN"/>
        </w:rPr>
        <w:t>/</w:t>
      </w:r>
      <w:r w:rsidRPr="00A76EE6">
        <w:rPr>
          <w:rFonts w:hint="eastAsia"/>
          <w:b/>
          <w:bCs/>
          <w:lang w:val="en-US" w:eastAsia="zh-CN"/>
        </w:rPr>
        <w:t>联合国</w:t>
      </w:r>
      <w:r w:rsidRPr="00A76EE6">
        <w:rPr>
          <w:b/>
          <w:bCs/>
          <w:lang w:val="en-US" w:eastAsia="zh-CN"/>
        </w:rPr>
        <w:t>教科文组织</w:t>
      </w:r>
      <w:r w:rsidRPr="00A76EE6">
        <w:rPr>
          <w:rFonts w:hint="eastAsia"/>
          <w:b/>
          <w:bCs/>
          <w:lang w:val="en-US" w:eastAsia="zh-CN"/>
        </w:rPr>
        <w:t>（</w:t>
      </w:r>
      <w:r w:rsidRPr="00A76EE6">
        <w:rPr>
          <w:rFonts w:hint="eastAsia"/>
          <w:b/>
          <w:bCs/>
          <w:lang w:val="en-US" w:eastAsia="zh-CN"/>
        </w:rPr>
        <w:t>UNESCO</w:t>
      </w:r>
      <w:r w:rsidRPr="00A76EE6">
        <w:rPr>
          <w:rFonts w:hint="eastAsia"/>
          <w:b/>
          <w:bCs/>
          <w:lang w:val="en-US" w:eastAsia="zh-CN"/>
        </w:rPr>
        <w:t>）</w:t>
      </w:r>
      <w:r w:rsidRPr="00A76EE6">
        <w:rPr>
          <w:b/>
          <w:bCs/>
          <w:lang w:val="en-US" w:eastAsia="zh-CN"/>
        </w:rPr>
        <w:t>-</w:t>
      </w:r>
      <w:r w:rsidRPr="00A76EE6">
        <w:rPr>
          <w:rFonts w:hint="eastAsia"/>
          <w:b/>
          <w:bCs/>
          <w:lang w:val="en-US" w:eastAsia="zh-CN"/>
        </w:rPr>
        <w:t>国际</w:t>
      </w:r>
      <w:r w:rsidRPr="00A76EE6">
        <w:rPr>
          <w:b/>
          <w:bCs/>
          <w:lang w:val="en-US" w:eastAsia="zh-CN"/>
        </w:rPr>
        <w:t>海委会</w:t>
      </w:r>
      <w:r w:rsidRPr="00A76EE6">
        <w:rPr>
          <w:rFonts w:hint="eastAsia"/>
          <w:b/>
          <w:bCs/>
          <w:lang w:val="en-US" w:eastAsia="zh-CN"/>
        </w:rPr>
        <w:t>（</w:t>
      </w:r>
      <w:r w:rsidRPr="00A76EE6">
        <w:rPr>
          <w:rFonts w:hint="eastAsia"/>
          <w:b/>
          <w:bCs/>
          <w:lang w:val="en-US" w:eastAsia="zh-CN"/>
        </w:rPr>
        <w:t>IOC</w:t>
      </w:r>
      <w:r w:rsidRPr="00A76EE6">
        <w:rPr>
          <w:rFonts w:hint="eastAsia"/>
          <w:b/>
          <w:bCs/>
          <w:lang w:val="en-US" w:eastAsia="zh-CN"/>
        </w:rPr>
        <w:t>）</w:t>
      </w:r>
      <w:r w:rsidRPr="00A76EE6">
        <w:rPr>
          <w:b/>
          <w:bCs/>
          <w:lang w:val="en-US" w:eastAsia="zh-CN"/>
        </w:rPr>
        <w:t>联合工作组</w:t>
      </w:r>
      <w:r w:rsidRPr="00A76EE6">
        <w:rPr>
          <w:lang w:val="en-US" w:eastAsia="zh-CN"/>
        </w:rPr>
        <w:t>正领导着一个庞大的新项目</w:t>
      </w:r>
      <w:r w:rsidRPr="00191141">
        <w:rPr>
          <w:lang w:val="en-US" w:eastAsia="zh-CN"/>
        </w:rPr>
        <w:t>，即为水下通信电缆安装气候和危险监控传感器。国际电联标准化</w:t>
      </w:r>
      <w:r>
        <w:rPr>
          <w:rFonts w:hint="eastAsia"/>
          <w:lang w:val="en-US" w:eastAsia="zh-CN"/>
        </w:rPr>
        <w:t>工作</w:t>
      </w:r>
      <w:r w:rsidRPr="00191141">
        <w:rPr>
          <w:lang w:val="en-US" w:eastAsia="zh-CN"/>
        </w:rPr>
        <w:t>继续处理</w:t>
      </w:r>
      <w:r w:rsidRPr="00213D69">
        <w:rPr>
          <w:b/>
          <w:lang w:val="en-US" w:eastAsia="zh-CN"/>
        </w:rPr>
        <w:t>防灾减灾、网络弹性和恢复</w:t>
      </w:r>
      <w:r w:rsidRPr="00191141">
        <w:rPr>
          <w:lang w:val="en-US" w:eastAsia="zh-CN"/>
        </w:rPr>
        <w:t>等问题，并认识到</w:t>
      </w:r>
      <w:r w:rsidRPr="00191141">
        <w:rPr>
          <w:lang w:val="en-US" w:eastAsia="zh-CN"/>
        </w:rPr>
        <w:t>21</w:t>
      </w:r>
      <w:r w:rsidRPr="00191141">
        <w:rPr>
          <w:lang w:val="en-US" w:eastAsia="zh-CN"/>
        </w:rPr>
        <w:t>世纪的极端天气事件将愈发频繁。</w:t>
      </w:r>
    </w:p>
    <w:p w:rsidR="00397E85" w:rsidRDefault="00B33963" w:rsidP="00397E85">
      <w:pPr>
        <w:pStyle w:val="NormalWeb"/>
        <w:spacing w:before="120" w:after="120"/>
        <w:ind w:firstLineChars="200" w:firstLine="482"/>
        <w:rPr>
          <w:sz w:val="24"/>
          <w:szCs w:val="24"/>
          <w:lang w:val="en-GB"/>
        </w:rPr>
      </w:pPr>
      <w:r w:rsidRPr="00B33963">
        <w:rPr>
          <w:rFonts w:hint="eastAsia"/>
          <w:b/>
          <w:sz w:val="24"/>
          <w:szCs w:val="24"/>
        </w:rPr>
        <w:t>关于信息通信技术和</w:t>
      </w:r>
      <w:r w:rsidRPr="00B33963">
        <w:rPr>
          <w:rFonts w:hint="eastAsia"/>
          <w:b/>
          <w:bCs/>
          <w:sz w:val="24"/>
          <w:szCs w:val="24"/>
          <w:lang w:val="en-GB"/>
        </w:rPr>
        <w:t>农业对气候变化适应性</w:t>
      </w:r>
      <w:r w:rsidRPr="00B33963">
        <w:rPr>
          <w:rFonts w:hint="eastAsia"/>
          <w:bCs/>
          <w:sz w:val="24"/>
          <w:szCs w:val="24"/>
          <w:lang w:val="en-GB"/>
        </w:rPr>
        <w:t>的新标准</w:t>
      </w:r>
      <w:r w:rsidRPr="00B33963">
        <w:rPr>
          <w:rFonts w:hint="eastAsia"/>
          <w:sz w:val="24"/>
          <w:szCs w:val="24"/>
          <w:lang w:val="en-GB"/>
        </w:rPr>
        <w:t>介绍了在收成差或气候变化引发灾难时，如何利用信息通信技术帮助农业部门维持运行。</w:t>
      </w:r>
    </w:p>
    <w:p w:rsidR="00397E85" w:rsidRPr="00397E85" w:rsidRDefault="00397E85" w:rsidP="00397E85">
      <w:pPr>
        <w:pStyle w:val="NormalWeb"/>
        <w:spacing w:before="120" w:after="120"/>
        <w:ind w:firstLineChars="200" w:firstLine="480"/>
        <w:rPr>
          <w:sz w:val="24"/>
          <w:szCs w:val="24"/>
        </w:rPr>
      </w:pPr>
      <w:r w:rsidRPr="00397E85">
        <w:rPr>
          <w:sz w:val="24"/>
          <w:szCs w:val="24"/>
        </w:rPr>
        <w:t>几项经修订的标准适用于电信设备抵抗过压和过流的</w:t>
      </w:r>
      <w:r w:rsidRPr="00397E85">
        <w:rPr>
          <w:rFonts w:hint="eastAsia"/>
          <w:b/>
          <w:sz w:val="24"/>
          <w:szCs w:val="24"/>
        </w:rPr>
        <w:t>耐性</w:t>
      </w:r>
      <w:r w:rsidRPr="00397E85">
        <w:rPr>
          <w:sz w:val="24"/>
          <w:szCs w:val="24"/>
        </w:rPr>
        <w:t>，并</w:t>
      </w:r>
      <w:r w:rsidRPr="00397E85">
        <w:rPr>
          <w:rFonts w:hint="eastAsia"/>
          <w:sz w:val="24"/>
          <w:szCs w:val="24"/>
        </w:rPr>
        <w:t>对</w:t>
      </w:r>
      <w:r w:rsidRPr="00397E85">
        <w:rPr>
          <w:sz w:val="24"/>
          <w:szCs w:val="24"/>
        </w:rPr>
        <w:t>设备的电磁辐射</w:t>
      </w:r>
      <w:r w:rsidRPr="00397E85">
        <w:rPr>
          <w:rFonts w:hint="eastAsia"/>
          <w:sz w:val="24"/>
          <w:szCs w:val="24"/>
        </w:rPr>
        <w:t>规定了</w:t>
      </w:r>
      <w:r w:rsidRPr="00397E85">
        <w:rPr>
          <w:sz w:val="24"/>
          <w:szCs w:val="24"/>
        </w:rPr>
        <w:t>安全限制</w:t>
      </w:r>
      <w:r w:rsidRPr="00397E85">
        <w:rPr>
          <w:rFonts w:hint="eastAsia"/>
          <w:sz w:val="24"/>
          <w:szCs w:val="24"/>
        </w:rPr>
        <w:t>，以</w:t>
      </w:r>
      <w:r w:rsidRPr="00397E85">
        <w:rPr>
          <w:sz w:val="24"/>
          <w:szCs w:val="24"/>
        </w:rPr>
        <w:t>保护人类。</w:t>
      </w:r>
    </w:p>
    <w:p w:rsidR="00791FB0" w:rsidRPr="00191141" w:rsidRDefault="00791FB0" w:rsidP="00791FB0">
      <w:pPr>
        <w:ind w:firstLineChars="200" w:firstLine="480"/>
        <w:rPr>
          <w:lang w:val="en-US" w:eastAsia="zh-CN"/>
        </w:rPr>
      </w:pPr>
      <w:r w:rsidRPr="00191141">
        <w:rPr>
          <w:lang w:val="en-US" w:eastAsia="zh-CN"/>
        </w:rPr>
        <w:t>国际社会期待利用国际电联成员这一独特的</w:t>
      </w:r>
      <w:r>
        <w:rPr>
          <w:rFonts w:hint="eastAsia"/>
          <w:lang w:val="en-US" w:eastAsia="zh-CN"/>
        </w:rPr>
        <w:t>、具有全球代表性的</w:t>
      </w:r>
      <w:r w:rsidRPr="00191141">
        <w:rPr>
          <w:lang w:val="en-US" w:eastAsia="zh-CN"/>
        </w:rPr>
        <w:t>公</w:t>
      </w:r>
      <w:r>
        <w:rPr>
          <w:rFonts w:hint="eastAsia"/>
          <w:lang w:val="en-US" w:eastAsia="zh-CN"/>
        </w:rPr>
        <w:t>共</w:t>
      </w:r>
      <w:r w:rsidRPr="00191141">
        <w:rPr>
          <w:lang w:val="en-US" w:eastAsia="zh-CN"/>
        </w:rPr>
        <w:t>–</w:t>
      </w:r>
      <w:r w:rsidRPr="00191141">
        <w:rPr>
          <w:lang w:val="en-US" w:eastAsia="zh-CN"/>
        </w:rPr>
        <w:t>私营伙伴关系中立平台来</w:t>
      </w:r>
      <w:r>
        <w:rPr>
          <w:rFonts w:hint="eastAsia"/>
          <w:b/>
          <w:lang w:val="en-US" w:eastAsia="zh-CN"/>
        </w:rPr>
        <w:t>加强</w:t>
      </w:r>
      <w:r w:rsidRPr="003C77B9">
        <w:rPr>
          <w:b/>
          <w:lang w:val="en-US" w:eastAsia="zh-CN"/>
        </w:rPr>
        <w:t>技术革新、</w:t>
      </w:r>
      <w:r w:rsidRPr="00191141">
        <w:rPr>
          <w:b/>
          <w:bCs/>
          <w:lang w:val="en-US" w:eastAsia="zh-CN"/>
        </w:rPr>
        <w:t>企业需要与经济和政策需求之间的纽带</w:t>
      </w:r>
      <w:r>
        <w:rPr>
          <w:rFonts w:hint="eastAsia"/>
          <w:b/>
          <w:bCs/>
          <w:lang w:val="en-US" w:eastAsia="zh-CN"/>
        </w:rPr>
        <w:t>关系</w:t>
      </w:r>
      <w:r w:rsidRPr="00191141">
        <w:rPr>
          <w:lang w:val="en-US" w:eastAsia="zh-CN"/>
        </w:rPr>
        <w:t>。国际电联成员</w:t>
      </w:r>
      <w:r>
        <w:rPr>
          <w:rFonts w:hint="eastAsia"/>
          <w:lang w:val="en-US" w:eastAsia="zh-CN"/>
        </w:rPr>
        <w:t>在</w:t>
      </w:r>
      <w:r w:rsidRPr="00191141">
        <w:rPr>
          <w:lang w:val="en-US" w:eastAsia="zh-CN"/>
        </w:rPr>
        <w:t>WTSA-16</w:t>
      </w:r>
      <w:r>
        <w:rPr>
          <w:rFonts w:hint="eastAsia"/>
          <w:lang w:val="en-US" w:eastAsia="zh-CN"/>
        </w:rPr>
        <w:t>上</w:t>
      </w:r>
      <w:r w:rsidRPr="00191141">
        <w:rPr>
          <w:lang w:val="en-US" w:eastAsia="zh-CN"/>
        </w:rPr>
        <w:t>批准了针对</w:t>
      </w:r>
      <w:r>
        <w:rPr>
          <w:rFonts w:hint="eastAsia"/>
          <w:lang w:val="en-US" w:eastAsia="zh-CN"/>
        </w:rPr>
        <w:t>下一代网络（</w:t>
      </w:r>
      <w:r w:rsidRPr="00191141">
        <w:rPr>
          <w:lang w:val="en-US" w:eastAsia="zh-CN"/>
        </w:rPr>
        <w:t>NGN</w:t>
      </w:r>
      <w:r>
        <w:rPr>
          <w:rFonts w:hint="eastAsia"/>
          <w:lang w:val="en-US" w:eastAsia="zh-CN"/>
        </w:rPr>
        <w:t>）</w:t>
      </w:r>
      <w:r w:rsidRPr="00191141">
        <w:rPr>
          <w:lang w:val="en-US" w:eastAsia="zh-CN"/>
        </w:rPr>
        <w:t>的</w:t>
      </w:r>
      <w:r>
        <w:rPr>
          <w:rFonts w:hint="eastAsia"/>
          <w:lang w:val="en-US" w:eastAsia="zh-CN"/>
        </w:rPr>
        <w:t>、有关</w:t>
      </w:r>
      <w:r w:rsidRPr="00191141">
        <w:rPr>
          <w:lang w:val="en-US" w:eastAsia="zh-CN"/>
        </w:rPr>
        <w:t>普遍服务</w:t>
      </w:r>
      <w:r>
        <w:rPr>
          <w:rFonts w:hint="eastAsia"/>
          <w:lang w:val="en-US" w:eastAsia="zh-CN"/>
        </w:rPr>
        <w:t>、</w:t>
      </w:r>
      <w:r>
        <w:rPr>
          <w:lang w:val="en-US" w:eastAsia="zh-CN"/>
        </w:rPr>
        <w:t>收费和</w:t>
      </w:r>
      <w:r>
        <w:rPr>
          <w:rFonts w:hint="eastAsia"/>
          <w:lang w:val="en-US" w:eastAsia="zh-CN"/>
        </w:rPr>
        <w:t>结算</w:t>
      </w:r>
      <w:r>
        <w:rPr>
          <w:lang w:val="en-US" w:eastAsia="zh-CN"/>
        </w:rPr>
        <w:t>原则的新标准，</w:t>
      </w:r>
      <w:r>
        <w:rPr>
          <w:rFonts w:hint="eastAsia"/>
          <w:lang w:val="en-US" w:eastAsia="zh-CN"/>
        </w:rPr>
        <w:t>提出</w:t>
      </w:r>
      <w:r w:rsidRPr="00191141">
        <w:rPr>
          <w:lang w:val="en-US" w:eastAsia="zh-CN"/>
        </w:rPr>
        <w:t>了</w:t>
      </w:r>
      <w:r>
        <w:rPr>
          <w:rFonts w:hint="eastAsia"/>
          <w:lang w:val="en-US" w:eastAsia="zh-CN"/>
        </w:rPr>
        <w:t>旨在</w:t>
      </w:r>
      <w:r>
        <w:rPr>
          <w:lang w:val="en-US" w:eastAsia="zh-CN"/>
        </w:rPr>
        <w:t>降低国际漫游</w:t>
      </w:r>
      <w:r>
        <w:rPr>
          <w:rFonts w:hint="eastAsia"/>
          <w:lang w:val="en-US" w:eastAsia="zh-CN"/>
        </w:rPr>
        <w:t>费</w:t>
      </w:r>
      <w:r w:rsidRPr="00191141">
        <w:rPr>
          <w:lang w:val="en-US" w:eastAsia="zh-CN"/>
        </w:rPr>
        <w:t>的方法，</w:t>
      </w:r>
      <w:r>
        <w:rPr>
          <w:lang w:val="en-US" w:eastAsia="zh-CN"/>
        </w:rPr>
        <w:t>并提出了</w:t>
      </w:r>
      <w:r>
        <w:rPr>
          <w:rFonts w:hint="eastAsia"/>
          <w:lang w:val="en-US" w:eastAsia="zh-CN"/>
        </w:rPr>
        <w:t>用于</w:t>
      </w:r>
      <w:r>
        <w:rPr>
          <w:lang w:val="en-US" w:eastAsia="zh-CN"/>
        </w:rPr>
        <w:t>协助各国</w:t>
      </w:r>
      <w:r>
        <w:rPr>
          <w:rFonts w:hint="eastAsia"/>
          <w:lang w:val="en-US" w:eastAsia="zh-CN"/>
        </w:rPr>
        <w:t>定义</w:t>
      </w:r>
      <w:r>
        <w:rPr>
          <w:lang w:val="en-US" w:eastAsia="zh-CN"/>
        </w:rPr>
        <w:t>和确定具有</w:t>
      </w:r>
      <w:r>
        <w:rPr>
          <w:rFonts w:hint="eastAsia"/>
          <w:lang w:val="en-US" w:eastAsia="zh-CN"/>
        </w:rPr>
        <w:t>重大市场影响力</w:t>
      </w:r>
      <w:r>
        <w:rPr>
          <w:lang w:val="en-US" w:eastAsia="zh-CN"/>
        </w:rPr>
        <w:t>的运营商的原则和</w:t>
      </w:r>
      <w:r>
        <w:rPr>
          <w:rFonts w:hint="eastAsia"/>
          <w:lang w:val="en-US" w:eastAsia="zh-CN"/>
        </w:rPr>
        <w:t>导则</w:t>
      </w:r>
      <w:r w:rsidRPr="00191141">
        <w:rPr>
          <w:lang w:val="en-US" w:eastAsia="zh-CN"/>
        </w:rPr>
        <w:t>。参见第</w:t>
      </w:r>
      <w:r w:rsidRPr="00191141">
        <w:rPr>
          <w:lang w:val="en-US" w:eastAsia="zh-CN"/>
        </w:rPr>
        <w:t>8</w:t>
      </w:r>
      <w:r w:rsidRPr="00191141">
        <w:rPr>
          <w:lang w:val="en-US" w:eastAsia="zh-CN"/>
        </w:rPr>
        <w:t>节</w:t>
      </w:r>
      <w:r>
        <w:rPr>
          <w:rFonts w:hint="eastAsia"/>
          <w:lang w:val="en-US" w:eastAsia="zh-CN"/>
        </w:rPr>
        <w:t>。</w:t>
      </w:r>
    </w:p>
    <w:p w:rsidR="008F0C7E" w:rsidRPr="008A7250" w:rsidRDefault="00EF7036" w:rsidP="00EE4034">
      <w:pPr>
        <w:ind w:firstLineChars="200" w:firstLine="480"/>
        <w:rPr>
          <w:lang w:val="en-US" w:eastAsia="zh-CN"/>
        </w:rPr>
      </w:pPr>
      <w:r>
        <w:rPr>
          <w:rFonts w:hint="eastAsia"/>
          <w:lang w:val="en-US" w:eastAsia="zh-CN"/>
        </w:rPr>
        <w:t>国际电联</w:t>
      </w:r>
      <w:r w:rsidR="00EE4034" w:rsidRPr="008A7250">
        <w:rPr>
          <w:lang w:val="en-US" w:eastAsia="zh-CN"/>
        </w:rPr>
        <w:t>标准化工作涉及</w:t>
      </w:r>
      <w:r w:rsidR="00EE4034" w:rsidRPr="008A7250">
        <w:rPr>
          <w:b/>
          <w:bCs/>
          <w:lang w:val="en-US" w:eastAsia="zh-CN"/>
        </w:rPr>
        <w:t>性能、服务质量（</w:t>
      </w:r>
      <w:r w:rsidR="00EE4034" w:rsidRPr="008A7250">
        <w:rPr>
          <w:b/>
          <w:bCs/>
          <w:lang w:val="en-US" w:eastAsia="zh-CN"/>
        </w:rPr>
        <w:t>QoS</w:t>
      </w:r>
      <w:r w:rsidR="00EE4034" w:rsidRPr="008A7250">
        <w:rPr>
          <w:b/>
          <w:bCs/>
          <w:lang w:val="en-US" w:eastAsia="zh-CN"/>
        </w:rPr>
        <w:t>）和用户体验质量（</w:t>
      </w:r>
      <w:r w:rsidR="00EE4034" w:rsidRPr="008A7250">
        <w:rPr>
          <w:b/>
          <w:bCs/>
          <w:lang w:val="en-US" w:eastAsia="zh-CN"/>
        </w:rPr>
        <w:t>QoE</w:t>
      </w:r>
      <w:r w:rsidR="00EE4034" w:rsidRPr="008A7250">
        <w:rPr>
          <w:b/>
          <w:bCs/>
          <w:lang w:val="en-US" w:eastAsia="zh-CN"/>
        </w:rPr>
        <w:t>），</w:t>
      </w:r>
      <w:r w:rsidR="00EE4034" w:rsidRPr="008A7250">
        <w:rPr>
          <w:lang w:val="en-US" w:eastAsia="zh-CN"/>
        </w:rPr>
        <w:t>从固定电路交换网络通话到移动和分组网络</w:t>
      </w:r>
      <w:r w:rsidR="00791FB0">
        <w:rPr>
          <w:lang w:val="en-US" w:eastAsia="zh-CN"/>
        </w:rPr>
        <w:t>的多媒体应用，全方位涵盖了终端、网络和服务。</w:t>
      </w:r>
      <w:r w:rsidR="00EE4034" w:rsidRPr="008A7250">
        <w:rPr>
          <w:lang w:val="en-US" w:eastAsia="zh-CN"/>
        </w:rPr>
        <w:t>参见第</w:t>
      </w:r>
      <w:r w:rsidR="00EE4034" w:rsidRPr="008A7250">
        <w:rPr>
          <w:lang w:val="en-US" w:eastAsia="zh-CN"/>
        </w:rPr>
        <w:t>9</w:t>
      </w:r>
      <w:r w:rsidR="00EE4034" w:rsidRPr="008A7250">
        <w:rPr>
          <w:lang w:val="en-US" w:eastAsia="zh-CN"/>
        </w:rPr>
        <w:t>节</w:t>
      </w:r>
      <w:r w:rsidR="00791FB0">
        <w:rPr>
          <w:rFonts w:hint="eastAsia"/>
          <w:lang w:val="en-US" w:eastAsia="zh-CN"/>
        </w:rPr>
        <w:t>。</w:t>
      </w:r>
    </w:p>
    <w:p w:rsidR="00EF7036" w:rsidRPr="00191141" w:rsidRDefault="00EF7036" w:rsidP="00EF7036">
      <w:pPr>
        <w:snapToGrid w:val="0"/>
        <w:ind w:firstLineChars="200" w:firstLine="482"/>
        <w:rPr>
          <w:lang w:eastAsia="zh-CN"/>
        </w:rPr>
      </w:pPr>
      <w:r>
        <w:rPr>
          <w:rFonts w:hint="eastAsia"/>
          <w:b/>
          <w:bCs/>
          <w:lang w:val="en-US" w:eastAsia="zh-CN"/>
        </w:rPr>
        <w:t>国际电联</w:t>
      </w:r>
      <w:r w:rsidR="00EE4034" w:rsidRPr="008A7250">
        <w:rPr>
          <w:b/>
          <w:bCs/>
          <w:lang w:val="en-US" w:eastAsia="zh-CN"/>
        </w:rPr>
        <w:t>一致性和互操作性（</w:t>
      </w:r>
      <w:r w:rsidR="00EE4034" w:rsidRPr="008A7250">
        <w:rPr>
          <w:b/>
          <w:bCs/>
          <w:lang w:val="en-US" w:eastAsia="zh-CN"/>
        </w:rPr>
        <w:t>C&amp;I</w:t>
      </w:r>
      <w:r w:rsidR="00EE4034" w:rsidRPr="008A7250">
        <w:rPr>
          <w:b/>
          <w:bCs/>
          <w:lang w:val="en-US" w:eastAsia="zh-CN"/>
        </w:rPr>
        <w:t>）项目</w:t>
      </w:r>
      <w:r>
        <w:rPr>
          <w:lang w:val="en-US" w:eastAsia="zh-CN"/>
        </w:rPr>
        <w:t>对发展中国家而言</w:t>
      </w:r>
      <w:r>
        <w:rPr>
          <w:rFonts w:hint="eastAsia"/>
          <w:lang w:val="en-US" w:eastAsia="zh-CN"/>
        </w:rPr>
        <w:t>尤其</w:t>
      </w:r>
      <w:r>
        <w:rPr>
          <w:lang w:val="en-US" w:eastAsia="zh-CN"/>
        </w:rPr>
        <w:t>重要，</w:t>
      </w:r>
      <w:r>
        <w:rPr>
          <w:rFonts w:hint="eastAsia"/>
          <w:lang w:val="en-US" w:eastAsia="zh-CN"/>
        </w:rPr>
        <w:t>发展中国家</w:t>
      </w:r>
      <w:r w:rsidR="00EE4034" w:rsidRPr="008A7250">
        <w:rPr>
          <w:lang w:val="en-US" w:eastAsia="zh-CN"/>
        </w:rPr>
        <w:t>正致力于向</w:t>
      </w:r>
      <w:r>
        <w:rPr>
          <w:rFonts w:hint="eastAsia"/>
          <w:lang w:val="en-US" w:eastAsia="zh-CN"/>
        </w:rPr>
        <w:t>国际电联</w:t>
      </w:r>
      <w:r>
        <w:rPr>
          <w:lang w:val="en-US" w:eastAsia="zh-CN"/>
        </w:rPr>
        <w:t>标准靠拢，并将受益于</w:t>
      </w:r>
      <w:r>
        <w:rPr>
          <w:rFonts w:hint="eastAsia"/>
          <w:lang w:val="en-US" w:eastAsia="zh-CN"/>
        </w:rPr>
        <w:t>因</w:t>
      </w:r>
      <w:r>
        <w:rPr>
          <w:lang w:val="en-US" w:eastAsia="zh-CN"/>
        </w:rPr>
        <w:t>标准一致性</w:t>
      </w:r>
      <w:r>
        <w:rPr>
          <w:rFonts w:hint="eastAsia"/>
          <w:lang w:val="en-US" w:eastAsia="zh-CN"/>
        </w:rPr>
        <w:t>而</w:t>
      </w:r>
      <w:r>
        <w:rPr>
          <w:lang w:val="en-US" w:eastAsia="zh-CN"/>
        </w:rPr>
        <w:t>带来的</w:t>
      </w:r>
      <w:r>
        <w:rPr>
          <w:rFonts w:hint="eastAsia"/>
          <w:lang w:val="en-US" w:eastAsia="zh-CN"/>
        </w:rPr>
        <w:t>更好的</w:t>
      </w:r>
      <w:r>
        <w:rPr>
          <w:lang w:val="en-US" w:eastAsia="zh-CN"/>
        </w:rPr>
        <w:t>互操作性。</w:t>
      </w:r>
      <w:r w:rsidR="00EE4034" w:rsidRPr="008A7250">
        <w:rPr>
          <w:lang w:val="en-US" w:eastAsia="zh-CN"/>
        </w:rPr>
        <w:t>参见第</w:t>
      </w:r>
      <w:r w:rsidR="00EE4034" w:rsidRPr="008A7250">
        <w:rPr>
          <w:lang w:val="en-US" w:eastAsia="zh-CN"/>
        </w:rPr>
        <w:t>10</w:t>
      </w:r>
      <w:r>
        <w:rPr>
          <w:lang w:val="en-US" w:eastAsia="zh-CN"/>
        </w:rPr>
        <w:t>节</w:t>
      </w:r>
      <w:r>
        <w:rPr>
          <w:rFonts w:hint="eastAsia"/>
          <w:lang w:val="en-US" w:eastAsia="zh-CN"/>
        </w:rPr>
        <w:t>。</w:t>
      </w:r>
      <w:r w:rsidRPr="00191141">
        <w:rPr>
          <w:lang w:eastAsia="zh-CN"/>
        </w:rPr>
        <w:t>新</w:t>
      </w:r>
      <w:r>
        <w:rPr>
          <w:rFonts w:hint="eastAsia"/>
          <w:lang w:eastAsia="zh-CN"/>
        </w:rPr>
        <w:t>的导则</w:t>
      </w:r>
      <w:r w:rsidRPr="00191141">
        <w:rPr>
          <w:lang w:eastAsia="zh-CN"/>
        </w:rPr>
        <w:t>规定了任命</w:t>
      </w:r>
      <w:r w:rsidRPr="00191141">
        <w:rPr>
          <w:lang w:eastAsia="zh-CN"/>
        </w:rPr>
        <w:t>ITU-T</w:t>
      </w:r>
      <w:r w:rsidRPr="00191141">
        <w:rPr>
          <w:lang w:eastAsia="zh-CN"/>
        </w:rPr>
        <w:t>技术专家</w:t>
      </w:r>
      <w:r>
        <w:rPr>
          <w:rFonts w:hint="eastAsia"/>
          <w:lang w:eastAsia="zh-CN"/>
        </w:rPr>
        <w:t>的</w:t>
      </w:r>
      <w:r w:rsidRPr="003C77B9">
        <w:rPr>
          <w:b/>
          <w:lang w:eastAsia="zh-CN"/>
        </w:rPr>
        <w:t>ITU-T CASC</w:t>
      </w:r>
      <w:r w:rsidRPr="003C77B9">
        <w:rPr>
          <w:b/>
          <w:lang w:eastAsia="zh-CN"/>
        </w:rPr>
        <w:t>程序</w:t>
      </w:r>
      <w:r>
        <w:rPr>
          <w:lang w:eastAsia="zh-CN"/>
        </w:rPr>
        <w:t>。例如，新的国际电联标准</w:t>
      </w:r>
      <w:r>
        <w:rPr>
          <w:rFonts w:hint="eastAsia"/>
          <w:lang w:eastAsia="zh-CN"/>
        </w:rPr>
        <w:t>规定</w:t>
      </w:r>
      <w:r>
        <w:rPr>
          <w:lang w:eastAsia="zh-CN"/>
        </w:rPr>
        <w:t>了</w:t>
      </w:r>
      <w:r>
        <w:rPr>
          <w:rFonts w:hint="eastAsia"/>
          <w:lang w:eastAsia="zh-CN"/>
        </w:rPr>
        <w:t>相应的导则，用于</w:t>
      </w:r>
      <w:r>
        <w:rPr>
          <w:lang w:eastAsia="zh-CN"/>
        </w:rPr>
        <w:t>在</w:t>
      </w:r>
      <w:r>
        <w:rPr>
          <w:rFonts w:hint="eastAsia"/>
          <w:lang w:eastAsia="zh-CN"/>
        </w:rPr>
        <w:t>互联网</w:t>
      </w:r>
      <w:r>
        <w:rPr>
          <w:lang w:eastAsia="zh-CN"/>
        </w:rPr>
        <w:t>服务提供商提供</w:t>
      </w:r>
      <w:r>
        <w:rPr>
          <w:rFonts w:hint="eastAsia"/>
          <w:lang w:eastAsia="zh-CN"/>
        </w:rPr>
        <w:t>互联网服务时协助</w:t>
      </w:r>
      <w:r>
        <w:rPr>
          <w:lang w:eastAsia="zh-CN"/>
        </w:rPr>
        <w:t>监管机构</w:t>
      </w:r>
      <w:r w:rsidRPr="003C77B9">
        <w:rPr>
          <w:b/>
          <w:lang w:eastAsia="zh-CN"/>
        </w:rPr>
        <w:t>监控互联网的</w:t>
      </w:r>
      <w:r w:rsidRPr="003C77B9">
        <w:rPr>
          <w:rFonts w:hint="eastAsia"/>
          <w:b/>
          <w:lang w:eastAsia="zh-CN"/>
        </w:rPr>
        <w:t>服务质量（</w:t>
      </w:r>
      <w:r w:rsidRPr="003C77B9">
        <w:rPr>
          <w:b/>
          <w:lang w:eastAsia="zh-CN"/>
        </w:rPr>
        <w:t>QoS</w:t>
      </w:r>
      <w:r w:rsidRPr="003C77B9">
        <w:rPr>
          <w:rFonts w:hint="eastAsia"/>
          <w:b/>
          <w:lang w:eastAsia="zh-CN"/>
        </w:rPr>
        <w:t>）</w:t>
      </w:r>
      <w:r w:rsidRPr="00191141">
        <w:rPr>
          <w:lang w:eastAsia="zh-CN"/>
        </w:rPr>
        <w:t>。</w:t>
      </w:r>
    </w:p>
    <w:p w:rsidR="00A11AF3" w:rsidRPr="00191141" w:rsidRDefault="00A11AF3" w:rsidP="0005699C">
      <w:pPr>
        <w:ind w:firstLineChars="200" w:firstLine="480"/>
        <w:rPr>
          <w:rFonts w:asciiTheme="majorBidi" w:hAnsiTheme="majorBidi" w:cstheme="majorBidi"/>
          <w:lang w:eastAsia="zh-CN"/>
        </w:rPr>
      </w:pPr>
      <w:r w:rsidRPr="00191141">
        <w:rPr>
          <w:rFonts w:asciiTheme="majorBidi" w:hAnsiTheme="majorBidi" w:cstheme="majorBidi"/>
          <w:lang w:eastAsia="zh-CN"/>
        </w:rPr>
        <w:t>国际电联的技术工作旨在</w:t>
      </w:r>
      <w:r w:rsidRPr="003C77B9">
        <w:rPr>
          <w:rFonts w:asciiTheme="majorBidi" w:hAnsiTheme="majorBidi" w:cstheme="majorBidi"/>
          <w:b/>
          <w:lang w:eastAsia="zh-CN"/>
        </w:rPr>
        <w:t>打击涉及</w:t>
      </w:r>
      <w:r w:rsidRPr="003C77B9">
        <w:rPr>
          <w:rFonts w:asciiTheme="majorBidi" w:hAnsiTheme="majorBidi" w:cstheme="majorBidi" w:hint="eastAsia"/>
          <w:b/>
          <w:lang w:eastAsia="zh-CN"/>
        </w:rPr>
        <w:t>信息通信技术</w:t>
      </w:r>
      <w:r w:rsidRPr="003C77B9">
        <w:rPr>
          <w:rFonts w:asciiTheme="majorBidi" w:hAnsiTheme="majorBidi" w:cstheme="majorBidi"/>
          <w:b/>
          <w:lang w:eastAsia="zh-CN"/>
        </w:rPr>
        <w:t>的</w:t>
      </w:r>
      <w:r w:rsidRPr="003C77B9">
        <w:rPr>
          <w:rFonts w:asciiTheme="majorBidi" w:hAnsiTheme="majorBidi" w:cstheme="majorBidi" w:hint="eastAsia"/>
          <w:b/>
          <w:lang w:eastAsia="zh-CN"/>
        </w:rPr>
        <w:t>造假</w:t>
      </w:r>
      <w:r w:rsidRPr="003C77B9">
        <w:rPr>
          <w:rFonts w:asciiTheme="majorBidi" w:hAnsiTheme="majorBidi" w:cstheme="majorBidi"/>
          <w:b/>
          <w:lang w:eastAsia="zh-CN"/>
        </w:rPr>
        <w:t>行为</w:t>
      </w:r>
      <w:r w:rsidRPr="00191141">
        <w:rPr>
          <w:rFonts w:asciiTheme="majorBidi" w:hAnsiTheme="majorBidi" w:cstheme="majorBidi"/>
          <w:lang w:eastAsia="zh-CN"/>
        </w:rPr>
        <w:t>，我们持续研究</w:t>
      </w:r>
      <w:r>
        <w:rPr>
          <w:rFonts w:asciiTheme="majorBidi" w:hAnsiTheme="majorBidi" w:cstheme="majorBidi" w:hint="eastAsia"/>
          <w:lang w:eastAsia="zh-CN"/>
        </w:rPr>
        <w:t>和</w:t>
      </w:r>
      <w:r w:rsidRPr="00191141">
        <w:rPr>
          <w:rFonts w:asciiTheme="majorBidi" w:hAnsiTheme="majorBidi" w:cstheme="majorBidi"/>
          <w:lang w:eastAsia="zh-CN"/>
        </w:rPr>
        <w:t>跟进造假行为的规模和动态，随着新标准的不断制定，技术工作的发展势头也在不断增强。参见第</w:t>
      </w:r>
      <w:r w:rsidRPr="00191141">
        <w:rPr>
          <w:rFonts w:asciiTheme="majorBidi" w:hAnsiTheme="majorBidi" w:cstheme="majorBidi"/>
          <w:lang w:eastAsia="zh-CN"/>
        </w:rPr>
        <w:t>13</w:t>
      </w:r>
      <w:r w:rsidRPr="00191141">
        <w:rPr>
          <w:rFonts w:asciiTheme="majorBidi" w:hAnsiTheme="majorBidi" w:cstheme="majorBidi"/>
          <w:lang w:eastAsia="zh-CN"/>
        </w:rPr>
        <w:t>节。</w:t>
      </w:r>
      <w:r>
        <w:rPr>
          <w:rFonts w:asciiTheme="majorBidi" w:hAnsiTheme="majorBidi" w:cstheme="majorBidi" w:hint="eastAsia"/>
          <w:lang w:eastAsia="zh-CN"/>
        </w:rPr>
        <w:t>第</w:t>
      </w:r>
      <w:r>
        <w:rPr>
          <w:rFonts w:asciiTheme="majorBidi" w:hAnsiTheme="majorBidi" w:cstheme="majorBidi" w:hint="eastAsia"/>
          <w:lang w:eastAsia="zh-CN"/>
        </w:rPr>
        <w:t>11</w:t>
      </w:r>
      <w:r>
        <w:rPr>
          <w:rFonts w:asciiTheme="majorBidi" w:hAnsiTheme="majorBidi" w:cstheme="majorBidi" w:hint="eastAsia"/>
          <w:lang w:eastAsia="zh-CN"/>
        </w:rPr>
        <w:t>研究组</w:t>
      </w:r>
      <w:r w:rsidRPr="00191141">
        <w:rPr>
          <w:rFonts w:asciiTheme="majorBidi" w:hAnsiTheme="majorBidi" w:cstheme="majorBidi"/>
          <w:lang w:eastAsia="zh-CN"/>
        </w:rPr>
        <w:t>制定了执行</w:t>
      </w:r>
      <w:r w:rsidRPr="00191141">
        <w:rPr>
          <w:rFonts w:asciiTheme="majorBidi" w:hAnsiTheme="majorBidi" w:cstheme="majorBidi"/>
          <w:lang w:eastAsia="zh-CN"/>
        </w:rPr>
        <w:t>WTSA-16</w:t>
      </w:r>
      <w:r w:rsidRPr="00191141">
        <w:rPr>
          <w:rFonts w:asciiTheme="majorBidi" w:hAnsiTheme="majorBidi" w:cstheme="majorBidi"/>
          <w:lang w:eastAsia="zh-CN"/>
        </w:rPr>
        <w:t>第</w:t>
      </w:r>
      <w:r w:rsidRPr="00191141">
        <w:rPr>
          <w:rFonts w:asciiTheme="majorBidi" w:hAnsiTheme="majorBidi" w:cstheme="majorBidi"/>
          <w:lang w:eastAsia="zh-CN"/>
        </w:rPr>
        <w:t>96</w:t>
      </w:r>
      <w:r w:rsidRPr="00191141">
        <w:rPr>
          <w:rFonts w:asciiTheme="majorBidi" w:hAnsiTheme="majorBidi" w:cstheme="majorBidi"/>
          <w:lang w:eastAsia="zh-CN"/>
        </w:rPr>
        <w:t>号决议</w:t>
      </w:r>
      <w:r>
        <w:rPr>
          <w:rFonts w:asciiTheme="majorBidi" w:hAnsiTheme="majorBidi" w:cstheme="majorBidi" w:hint="eastAsia"/>
          <w:lang w:eastAsia="zh-CN"/>
        </w:rPr>
        <w:t>“</w:t>
      </w:r>
      <w:r w:rsidRPr="00191141">
        <w:rPr>
          <w:rFonts w:asciiTheme="majorBidi" w:hAnsiTheme="majorBidi" w:cstheme="majorBidi"/>
          <w:lang w:eastAsia="zh-CN"/>
        </w:rPr>
        <w:t>国际电联电信标准化部门开展打击假冒电信</w:t>
      </w:r>
      <w:r w:rsidRPr="00191141">
        <w:rPr>
          <w:rFonts w:asciiTheme="majorBidi" w:hAnsiTheme="majorBidi" w:cstheme="majorBidi"/>
          <w:lang w:eastAsia="zh-CN"/>
        </w:rPr>
        <w:t>/</w:t>
      </w:r>
      <w:r w:rsidRPr="00191141">
        <w:rPr>
          <w:rFonts w:asciiTheme="majorBidi" w:hAnsiTheme="majorBidi" w:cstheme="majorBidi"/>
          <w:lang w:eastAsia="zh-CN"/>
        </w:rPr>
        <w:t>信息通信技术设备的研究</w:t>
      </w:r>
      <w:r>
        <w:rPr>
          <w:rFonts w:asciiTheme="majorBidi" w:hAnsiTheme="majorBidi" w:cstheme="majorBidi" w:hint="eastAsia"/>
          <w:lang w:eastAsia="zh-CN"/>
        </w:rPr>
        <w:t>”以及</w:t>
      </w:r>
      <w:r w:rsidRPr="00191141">
        <w:rPr>
          <w:rFonts w:asciiTheme="majorBidi" w:hAnsiTheme="majorBidi" w:cstheme="majorBidi"/>
          <w:lang w:eastAsia="zh-CN"/>
        </w:rPr>
        <w:t>第</w:t>
      </w:r>
      <w:r w:rsidRPr="00191141">
        <w:rPr>
          <w:rFonts w:asciiTheme="majorBidi" w:hAnsiTheme="majorBidi" w:cstheme="majorBidi"/>
          <w:lang w:eastAsia="zh-CN"/>
        </w:rPr>
        <w:t>97</w:t>
      </w:r>
      <w:r w:rsidRPr="00191141">
        <w:rPr>
          <w:rFonts w:asciiTheme="majorBidi" w:hAnsiTheme="majorBidi" w:cstheme="majorBidi"/>
          <w:lang w:eastAsia="zh-CN"/>
        </w:rPr>
        <w:t>号决议</w:t>
      </w:r>
      <w:r>
        <w:rPr>
          <w:rFonts w:asciiTheme="majorBidi" w:hAnsiTheme="majorBidi" w:cstheme="majorBidi" w:hint="eastAsia"/>
          <w:lang w:eastAsia="zh-CN"/>
        </w:rPr>
        <w:t>“</w:t>
      </w:r>
      <w:r w:rsidRPr="00191141">
        <w:rPr>
          <w:rFonts w:asciiTheme="majorBidi" w:hAnsiTheme="majorBidi" w:cstheme="majorBidi"/>
          <w:lang w:eastAsia="zh-CN"/>
        </w:rPr>
        <w:t>打击盗窃移动电信设备的行为</w:t>
      </w:r>
      <w:r>
        <w:rPr>
          <w:rFonts w:asciiTheme="majorBidi" w:hAnsiTheme="majorBidi" w:cstheme="majorBidi" w:hint="eastAsia"/>
          <w:lang w:eastAsia="zh-CN"/>
        </w:rPr>
        <w:t>”的计划，</w:t>
      </w:r>
      <w:r>
        <w:rPr>
          <w:rFonts w:asciiTheme="majorBidi" w:hAnsiTheme="majorBidi" w:cstheme="majorBidi"/>
          <w:lang w:eastAsia="zh-CN"/>
        </w:rPr>
        <w:t>开展了新的工作，开发了一个打击使用</w:t>
      </w:r>
      <w:r>
        <w:rPr>
          <w:rFonts w:asciiTheme="majorBidi" w:hAnsiTheme="majorBidi" w:cstheme="majorBidi" w:hint="eastAsia"/>
          <w:lang w:eastAsia="zh-CN"/>
        </w:rPr>
        <w:t>被</w:t>
      </w:r>
      <w:r>
        <w:rPr>
          <w:rFonts w:asciiTheme="majorBidi" w:hAnsiTheme="majorBidi" w:cstheme="majorBidi"/>
          <w:lang w:eastAsia="zh-CN"/>
        </w:rPr>
        <w:t>盗</w:t>
      </w:r>
      <w:r w:rsidRPr="00191141">
        <w:rPr>
          <w:rFonts w:asciiTheme="majorBidi" w:hAnsiTheme="majorBidi" w:cstheme="majorBidi"/>
          <w:lang w:eastAsia="zh-CN"/>
        </w:rPr>
        <w:t>移动</w:t>
      </w:r>
      <w:r>
        <w:rPr>
          <w:rFonts w:asciiTheme="majorBidi" w:hAnsiTheme="majorBidi" w:cstheme="majorBidi" w:hint="eastAsia"/>
          <w:lang w:eastAsia="zh-CN"/>
        </w:rPr>
        <w:t>信息通信技术</w:t>
      </w:r>
      <w:r w:rsidRPr="00191141">
        <w:rPr>
          <w:rFonts w:asciiTheme="majorBidi" w:hAnsiTheme="majorBidi" w:cstheme="majorBidi"/>
          <w:lang w:eastAsia="zh-CN"/>
        </w:rPr>
        <w:t>设备的框架，并支持解决打击假冒</w:t>
      </w:r>
      <w:r>
        <w:rPr>
          <w:rFonts w:asciiTheme="majorBidi" w:hAnsiTheme="majorBidi" w:cstheme="majorBidi" w:hint="eastAsia"/>
          <w:lang w:eastAsia="zh-CN"/>
        </w:rPr>
        <w:t>信息通信技术</w:t>
      </w:r>
      <w:r>
        <w:rPr>
          <w:rFonts w:asciiTheme="majorBidi" w:hAnsiTheme="majorBidi" w:cstheme="majorBidi"/>
          <w:lang w:eastAsia="zh-CN"/>
        </w:rPr>
        <w:t>设备的框架</w:t>
      </w:r>
      <w:r w:rsidRPr="00191141">
        <w:rPr>
          <w:rFonts w:asciiTheme="majorBidi" w:hAnsiTheme="majorBidi" w:cstheme="majorBidi"/>
          <w:lang w:eastAsia="zh-CN"/>
        </w:rPr>
        <w:t>信息</w:t>
      </w:r>
      <w:r>
        <w:rPr>
          <w:rFonts w:asciiTheme="majorBidi" w:hAnsiTheme="majorBidi" w:cstheme="majorBidi" w:hint="eastAsia"/>
          <w:lang w:eastAsia="zh-CN"/>
        </w:rPr>
        <w:t>；</w:t>
      </w:r>
      <w:r w:rsidRPr="00191141">
        <w:rPr>
          <w:rFonts w:asciiTheme="majorBidi" w:hAnsiTheme="majorBidi" w:cstheme="majorBidi"/>
          <w:lang w:eastAsia="zh-CN"/>
        </w:rPr>
        <w:t>以及</w:t>
      </w:r>
      <w:r>
        <w:rPr>
          <w:rFonts w:asciiTheme="majorBidi" w:hAnsiTheme="majorBidi" w:cstheme="majorBidi" w:hint="eastAsia"/>
          <w:lang w:eastAsia="zh-CN"/>
        </w:rPr>
        <w:t>关于</w:t>
      </w:r>
      <w:r w:rsidRPr="00191141">
        <w:rPr>
          <w:rFonts w:asciiTheme="majorBidi" w:hAnsiTheme="majorBidi" w:cstheme="majorBidi"/>
          <w:lang w:eastAsia="zh-CN"/>
        </w:rPr>
        <w:t>最佳做法和解决方案</w:t>
      </w:r>
      <w:r>
        <w:rPr>
          <w:rFonts w:asciiTheme="majorBidi" w:hAnsiTheme="majorBidi" w:cstheme="majorBidi" w:hint="eastAsia"/>
          <w:lang w:eastAsia="zh-CN"/>
        </w:rPr>
        <w:t>的导则</w:t>
      </w:r>
      <w:r w:rsidRPr="00191141">
        <w:rPr>
          <w:rFonts w:asciiTheme="majorBidi" w:hAnsiTheme="majorBidi" w:cstheme="majorBidi"/>
          <w:lang w:eastAsia="zh-CN"/>
        </w:rPr>
        <w:t>。</w:t>
      </w:r>
    </w:p>
    <w:p w:rsidR="0005699C" w:rsidRPr="00191141" w:rsidRDefault="0005699C" w:rsidP="0005699C">
      <w:pPr>
        <w:ind w:firstLineChars="200" w:firstLine="480"/>
        <w:rPr>
          <w:lang w:eastAsia="zh-CN"/>
        </w:rPr>
      </w:pPr>
      <w:r w:rsidRPr="00191141">
        <w:rPr>
          <w:lang w:eastAsia="zh-CN"/>
        </w:rPr>
        <w:t>事实证明，</w:t>
      </w:r>
      <w:r w:rsidRPr="008B2596">
        <w:rPr>
          <w:b/>
          <w:lang w:eastAsia="zh-CN"/>
        </w:rPr>
        <w:t>ITU-T</w:t>
      </w:r>
      <w:r w:rsidRPr="008B2596">
        <w:rPr>
          <w:b/>
          <w:lang w:eastAsia="zh-CN"/>
        </w:rPr>
        <w:t>焦点组</w:t>
      </w:r>
      <w:r>
        <w:rPr>
          <w:lang w:eastAsia="zh-CN"/>
        </w:rPr>
        <w:t>能够有效即时</w:t>
      </w:r>
      <w:r>
        <w:rPr>
          <w:rFonts w:hint="eastAsia"/>
          <w:lang w:eastAsia="zh-CN"/>
        </w:rPr>
        <w:t>回应信息通信技术</w:t>
      </w:r>
      <w:r w:rsidRPr="00191141">
        <w:rPr>
          <w:lang w:eastAsia="zh-CN"/>
        </w:rPr>
        <w:t>标准化需求，为</w:t>
      </w:r>
      <w:r w:rsidRPr="00191141">
        <w:rPr>
          <w:lang w:eastAsia="zh-CN"/>
        </w:rPr>
        <w:t>ITU-T</w:t>
      </w:r>
      <w:r w:rsidRPr="00191141">
        <w:rPr>
          <w:lang w:eastAsia="zh-CN"/>
        </w:rPr>
        <w:t>研究组后续的标准化工作奠定基础。</w:t>
      </w:r>
      <w:r>
        <w:rPr>
          <w:rFonts w:hint="eastAsia"/>
          <w:lang w:eastAsia="zh-CN"/>
        </w:rPr>
        <w:t>焦点</w:t>
      </w:r>
      <w:r w:rsidRPr="00191141">
        <w:rPr>
          <w:lang w:eastAsia="zh-CN"/>
        </w:rPr>
        <w:t>组向国际电联成员和</w:t>
      </w:r>
      <w:r>
        <w:rPr>
          <w:rFonts w:hint="eastAsia"/>
          <w:lang w:eastAsia="zh-CN"/>
        </w:rPr>
        <w:t>国际电联成员之外的</w:t>
      </w:r>
      <w:r>
        <w:rPr>
          <w:lang w:eastAsia="zh-CN"/>
        </w:rPr>
        <w:t>其他组织开放，</w:t>
      </w:r>
      <w:r>
        <w:rPr>
          <w:rFonts w:hint="eastAsia"/>
          <w:lang w:eastAsia="zh-CN"/>
        </w:rPr>
        <w:t>这些</w:t>
      </w:r>
      <w:r w:rsidRPr="00191141">
        <w:rPr>
          <w:lang w:eastAsia="zh-CN"/>
        </w:rPr>
        <w:t>小组可自主选择研究成果和研究方法，工作方式十分灵活。参见第</w:t>
      </w:r>
      <w:r w:rsidRPr="00191141">
        <w:rPr>
          <w:lang w:eastAsia="zh-CN"/>
        </w:rPr>
        <w:t>14</w:t>
      </w:r>
      <w:r w:rsidRPr="00191141">
        <w:rPr>
          <w:lang w:eastAsia="zh-CN"/>
        </w:rPr>
        <w:t>节。关于</w:t>
      </w:r>
      <w:r w:rsidRPr="00191141">
        <w:rPr>
          <w:lang w:eastAsia="zh-CN"/>
        </w:rPr>
        <w:t>2016</w:t>
      </w:r>
      <w:r>
        <w:rPr>
          <w:lang w:eastAsia="zh-CN"/>
        </w:rPr>
        <w:t>年底结束的两个</w:t>
      </w:r>
      <w:r>
        <w:rPr>
          <w:rFonts w:hint="eastAsia"/>
          <w:lang w:eastAsia="zh-CN"/>
        </w:rPr>
        <w:t>焦点</w:t>
      </w:r>
      <w:r w:rsidRPr="00191141">
        <w:rPr>
          <w:lang w:eastAsia="zh-CN"/>
        </w:rPr>
        <w:t>组（</w:t>
      </w:r>
      <w:r w:rsidRPr="00191141">
        <w:rPr>
          <w:lang w:eastAsia="zh-CN"/>
        </w:rPr>
        <w:t>DFS</w:t>
      </w:r>
      <w:r w:rsidRPr="00191141">
        <w:rPr>
          <w:lang w:eastAsia="zh-CN"/>
        </w:rPr>
        <w:t>和</w:t>
      </w:r>
      <w:r w:rsidRPr="00191141">
        <w:rPr>
          <w:lang w:eastAsia="zh-CN"/>
        </w:rPr>
        <w:t>IMT-2020</w:t>
      </w:r>
      <w:r>
        <w:rPr>
          <w:lang w:eastAsia="zh-CN"/>
        </w:rPr>
        <w:t>），在</w:t>
      </w:r>
      <w:r>
        <w:rPr>
          <w:rFonts w:hint="eastAsia"/>
          <w:lang w:eastAsia="zh-CN"/>
        </w:rPr>
        <w:t>实施</w:t>
      </w:r>
      <w:r w:rsidRPr="00191141">
        <w:rPr>
          <w:lang w:eastAsia="zh-CN"/>
        </w:rPr>
        <w:t>ITU-T A.7</w:t>
      </w:r>
      <w:r>
        <w:rPr>
          <w:rFonts w:hint="eastAsia"/>
          <w:lang w:eastAsia="zh-CN"/>
        </w:rPr>
        <w:t>建议书的过程中获得了丰</w:t>
      </w:r>
      <w:r>
        <w:rPr>
          <w:rFonts w:hint="eastAsia"/>
          <w:lang w:eastAsia="zh-CN"/>
        </w:rPr>
        <w:lastRenderedPageBreak/>
        <w:t>富、有益的经验，</w:t>
      </w:r>
      <w:r w:rsidRPr="00191141">
        <w:rPr>
          <w:lang w:eastAsia="zh-CN"/>
        </w:rPr>
        <w:t>特别是</w:t>
      </w:r>
      <w:r>
        <w:rPr>
          <w:rFonts w:hint="eastAsia"/>
          <w:lang w:eastAsia="zh-CN"/>
        </w:rPr>
        <w:t>在依据</w:t>
      </w:r>
      <w:r w:rsidRPr="00191141">
        <w:rPr>
          <w:lang w:eastAsia="zh-CN"/>
        </w:rPr>
        <w:t>ITU-T A.7</w:t>
      </w:r>
      <w:r>
        <w:rPr>
          <w:rFonts w:hint="eastAsia"/>
          <w:lang w:eastAsia="zh-CN"/>
        </w:rPr>
        <w:t>建议书附录</w:t>
      </w:r>
      <w:r>
        <w:rPr>
          <w:rFonts w:hint="eastAsia"/>
          <w:lang w:eastAsia="zh-CN"/>
        </w:rPr>
        <w:t>I</w:t>
      </w:r>
      <w:r>
        <w:rPr>
          <w:rFonts w:hint="eastAsia"/>
          <w:lang w:eastAsia="zh-CN"/>
        </w:rPr>
        <w:t>归纳整理并将实际成果从焦点组移交给主管组的过程中，发现这些经验非常有用。</w:t>
      </w:r>
    </w:p>
    <w:p w:rsidR="0005699C" w:rsidRPr="00191141" w:rsidRDefault="0005699C" w:rsidP="0005699C">
      <w:pPr>
        <w:ind w:firstLineChars="200" w:firstLine="480"/>
        <w:rPr>
          <w:lang w:eastAsia="zh-CN"/>
        </w:rPr>
      </w:pPr>
      <w:r>
        <w:rPr>
          <w:lang w:eastAsia="zh-CN"/>
        </w:rPr>
        <w:t>国际电联焦点</w:t>
      </w:r>
      <w:r>
        <w:rPr>
          <w:rFonts w:hint="eastAsia"/>
          <w:lang w:eastAsia="zh-CN"/>
        </w:rPr>
        <w:t>组</w:t>
      </w:r>
      <w:r w:rsidRPr="00191141">
        <w:rPr>
          <w:lang w:eastAsia="zh-CN"/>
        </w:rPr>
        <w:t>数字金融服务（</w:t>
      </w:r>
      <w:r w:rsidRPr="008B2596">
        <w:rPr>
          <w:b/>
          <w:lang w:eastAsia="zh-CN"/>
        </w:rPr>
        <w:t>FG DFS</w:t>
      </w:r>
      <w:r>
        <w:rPr>
          <w:lang w:eastAsia="zh-CN"/>
        </w:rPr>
        <w:t>）已</w:t>
      </w:r>
      <w:r w:rsidRPr="00191141">
        <w:rPr>
          <w:lang w:eastAsia="zh-CN"/>
        </w:rPr>
        <w:t>在</w:t>
      </w:r>
      <w:r w:rsidRPr="00191141">
        <w:rPr>
          <w:lang w:eastAsia="zh-CN"/>
        </w:rPr>
        <w:t>DFS</w:t>
      </w:r>
      <w:r>
        <w:rPr>
          <w:lang w:eastAsia="zh-CN"/>
        </w:rPr>
        <w:t>生态系统</w:t>
      </w:r>
      <w:r>
        <w:rPr>
          <w:rFonts w:hint="eastAsia"/>
          <w:lang w:eastAsia="zh-CN"/>
        </w:rPr>
        <w:t>、</w:t>
      </w:r>
      <w:r>
        <w:rPr>
          <w:lang w:eastAsia="zh-CN"/>
        </w:rPr>
        <w:t>互操作性</w:t>
      </w:r>
      <w:r>
        <w:rPr>
          <w:rFonts w:hint="eastAsia"/>
          <w:lang w:eastAsia="zh-CN"/>
        </w:rPr>
        <w:t>、</w:t>
      </w:r>
      <w:r>
        <w:rPr>
          <w:lang w:eastAsia="zh-CN"/>
        </w:rPr>
        <w:t>消费者保护和技术</w:t>
      </w:r>
      <w:r>
        <w:rPr>
          <w:rFonts w:hint="eastAsia"/>
          <w:lang w:eastAsia="zh-CN"/>
        </w:rPr>
        <w:t>、</w:t>
      </w:r>
      <w:r>
        <w:rPr>
          <w:lang w:eastAsia="zh-CN"/>
        </w:rPr>
        <w:t>创新和竞争等领域提</w:t>
      </w:r>
      <w:r>
        <w:rPr>
          <w:rFonts w:hint="eastAsia"/>
          <w:lang w:eastAsia="zh-CN"/>
        </w:rPr>
        <w:t>交</w:t>
      </w:r>
      <w:r w:rsidRPr="00191141">
        <w:rPr>
          <w:lang w:eastAsia="zh-CN"/>
        </w:rPr>
        <w:t>了</w:t>
      </w:r>
      <w:r w:rsidRPr="009A52B4">
        <w:rPr>
          <w:b/>
          <w:lang w:eastAsia="zh-CN"/>
        </w:rPr>
        <w:t>28</w:t>
      </w:r>
      <w:r w:rsidRPr="009A52B4">
        <w:rPr>
          <w:rFonts w:hint="eastAsia"/>
          <w:b/>
          <w:lang w:eastAsia="zh-CN"/>
        </w:rPr>
        <w:t>份</w:t>
      </w:r>
      <w:r w:rsidRPr="009A52B4">
        <w:rPr>
          <w:b/>
          <w:lang w:eastAsia="zh-CN"/>
        </w:rPr>
        <w:t>专题报告</w:t>
      </w:r>
      <w:r>
        <w:rPr>
          <w:lang w:eastAsia="zh-CN"/>
        </w:rPr>
        <w:t>。这些报告</w:t>
      </w:r>
      <w:r>
        <w:rPr>
          <w:rFonts w:hint="eastAsia"/>
          <w:lang w:eastAsia="zh-CN"/>
        </w:rPr>
        <w:t>支持约</w:t>
      </w:r>
      <w:r w:rsidRPr="009A52B4">
        <w:rPr>
          <w:b/>
          <w:lang w:eastAsia="zh-CN"/>
        </w:rPr>
        <w:t>85</w:t>
      </w:r>
      <w:r w:rsidRPr="009A52B4">
        <w:rPr>
          <w:b/>
          <w:lang w:eastAsia="zh-CN"/>
        </w:rPr>
        <w:t>项政策建议</w:t>
      </w:r>
      <w:r>
        <w:rPr>
          <w:lang w:eastAsia="zh-CN"/>
        </w:rPr>
        <w:t>，</w:t>
      </w:r>
      <w:r>
        <w:rPr>
          <w:rFonts w:hint="eastAsia"/>
          <w:lang w:eastAsia="zh-CN"/>
        </w:rPr>
        <w:t>支持</w:t>
      </w:r>
      <w:r w:rsidRPr="00191141">
        <w:rPr>
          <w:lang w:eastAsia="zh-CN"/>
        </w:rPr>
        <w:t>建立了指导原则，以协助在国家</w:t>
      </w:r>
      <w:r>
        <w:rPr>
          <w:lang w:eastAsia="zh-CN"/>
        </w:rPr>
        <w:t>和全球</w:t>
      </w:r>
      <w:r>
        <w:rPr>
          <w:rFonts w:hint="eastAsia"/>
          <w:lang w:eastAsia="zh-CN"/>
        </w:rPr>
        <w:t>层面实现</w:t>
      </w:r>
      <w:r w:rsidRPr="00191141">
        <w:rPr>
          <w:lang w:eastAsia="zh-CN"/>
        </w:rPr>
        <w:t>数字金融</w:t>
      </w:r>
      <w:r>
        <w:rPr>
          <w:rFonts w:hint="eastAsia"/>
          <w:lang w:eastAsia="zh-CN"/>
        </w:rPr>
        <w:t>包容性</w:t>
      </w:r>
      <w:r w:rsidRPr="00191141">
        <w:rPr>
          <w:lang w:eastAsia="zh-CN"/>
        </w:rPr>
        <w:t>。</w:t>
      </w:r>
    </w:p>
    <w:p w:rsidR="0005699C" w:rsidRPr="00191141" w:rsidRDefault="0005699C" w:rsidP="009B2D80">
      <w:pPr>
        <w:ind w:firstLineChars="200" w:firstLine="480"/>
        <w:rPr>
          <w:lang w:eastAsia="zh-CN"/>
        </w:rPr>
      </w:pPr>
      <w:r w:rsidRPr="00191141">
        <w:rPr>
          <w:rFonts w:hint="eastAsia"/>
          <w:lang w:eastAsia="zh-CN"/>
        </w:rPr>
        <w:t>2017</w:t>
      </w:r>
      <w:r w:rsidRPr="00191141">
        <w:rPr>
          <w:rFonts w:hint="eastAsia"/>
          <w:lang w:eastAsia="zh-CN"/>
        </w:rPr>
        <w:t>年</w:t>
      </w:r>
      <w:r w:rsidRPr="00191141">
        <w:rPr>
          <w:rFonts w:hint="eastAsia"/>
          <w:lang w:eastAsia="zh-CN"/>
        </w:rPr>
        <w:t>3</w:t>
      </w:r>
      <w:r>
        <w:rPr>
          <w:rFonts w:hint="eastAsia"/>
          <w:lang w:eastAsia="zh-CN"/>
        </w:rPr>
        <w:t>月，</w:t>
      </w:r>
      <w:r w:rsidRPr="00191141">
        <w:rPr>
          <w:rFonts w:hint="eastAsia"/>
          <w:lang w:eastAsia="zh-CN"/>
        </w:rPr>
        <w:t>第</w:t>
      </w:r>
      <w:r w:rsidRPr="00191141">
        <w:rPr>
          <w:rFonts w:hint="eastAsia"/>
          <w:lang w:eastAsia="zh-CN"/>
        </w:rPr>
        <w:t>20</w:t>
      </w:r>
      <w:r w:rsidRPr="00191141">
        <w:rPr>
          <w:rFonts w:hint="eastAsia"/>
          <w:lang w:eastAsia="zh-CN"/>
        </w:rPr>
        <w:t>研究组成立了一个</w:t>
      </w:r>
      <w:r w:rsidRPr="009A52B4">
        <w:rPr>
          <w:rFonts w:hint="eastAsia"/>
          <w:b/>
          <w:lang w:eastAsia="zh-CN"/>
        </w:rPr>
        <w:t>新的、关于数据处理和管理的焦点组，以支持物联网和智慧城市与社区</w:t>
      </w:r>
      <w:r>
        <w:rPr>
          <w:rFonts w:hint="eastAsia"/>
          <w:lang w:eastAsia="zh-CN"/>
        </w:rPr>
        <w:t>，它将在智慧城市情形下研究数据处理和管理问题。焦点组将审查</w:t>
      </w:r>
      <w:r w:rsidRPr="00191141">
        <w:rPr>
          <w:rFonts w:hint="eastAsia"/>
          <w:lang w:eastAsia="zh-CN"/>
        </w:rPr>
        <w:t>现有技术平台及相关的数据处理和管理导则，以确定</w:t>
      </w:r>
      <w:r w:rsidRPr="00191141">
        <w:rPr>
          <w:rFonts w:hint="eastAsia"/>
          <w:lang w:eastAsia="zh-CN"/>
        </w:rPr>
        <w:t>ITU-T</w:t>
      </w:r>
      <w:r w:rsidRPr="00191141">
        <w:rPr>
          <w:rFonts w:hint="eastAsia"/>
          <w:lang w:eastAsia="zh-CN"/>
        </w:rPr>
        <w:t>第</w:t>
      </w:r>
      <w:r w:rsidRPr="00191141">
        <w:rPr>
          <w:rFonts w:hint="eastAsia"/>
          <w:lang w:eastAsia="zh-CN"/>
        </w:rPr>
        <w:t>20</w:t>
      </w:r>
      <w:r>
        <w:rPr>
          <w:rFonts w:hint="eastAsia"/>
          <w:lang w:eastAsia="zh-CN"/>
        </w:rPr>
        <w:t>研究组</w:t>
      </w:r>
      <w:r w:rsidRPr="00191141">
        <w:rPr>
          <w:rFonts w:hint="eastAsia"/>
          <w:lang w:eastAsia="zh-CN"/>
        </w:rPr>
        <w:t>要解决的标准化需求。焦点组的一项关键优先工作将是提出支持数据集和数据管理系统互操作性的机制。</w:t>
      </w:r>
    </w:p>
    <w:p w:rsidR="00C625EB" w:rsidRDefault="009B2D80" w:rsidP="00C625EB">
      <w:pPr>
        <w:ind w:firstLineChars="200" w:firstLine="480"/>
        <w:rPr>
          <w:lang w:eastAsia="zh-CN"/>
        </w:rPr>
      </w:pPr>
      <w:r w:rsidRPr="00191141">
        <w:rPr>
          <w:lang w:val="en-US" w:eastAsia="zh-CN"/>
        </w:rPr>
        <w:t>在</w:t>
      </w:r>
      <w:r>
        <w:rPr>
          <w:rFonts w:hint="eastAsia"/>
          <w:b/>
          <w:bCs/>
          <w:lang w:val="en-US" w:eastAsia="zh-CN"/>
        </w:rPr>
        <w:t>国际电联</w:t>
      </w:r>
      <w:r w:rsidRPr="00191141">
        <w:rPr>
          <w:b/>
          <w:bCs/>
          <w:lang w:val="en-US" w:eastAsia="zh-CN"/>
        </w:rPr>
        <w:t>缩小标准化差距（</w:t>
      </w:r>
      <w:r w:rsidRPr="00191141">
        <w:rPr>
          <w:b/>
          <w:bCs/>
          <w:lang w:val="en-US" w:eastAsia="zh-CN"/>
        </w:rPr>
        <w:t>BSG</w:t>
      </w:r>
      <w:r w:rsidRPr="00191141">
        <w:rPr>
          <w:b/>
          <w:bCs/>
          <w:lang w:val="en-US" w:eastAsia="zh-CN"/>
        </w:rPr>
        <w:t>）项目</w:t>
      </w:r>
      <w:r w:rsidRPr="00191141">
        <w:rPr>
          <w:lang w:val="en-US" w:eastAsia="zh-CN"/>
        </w:rPr>
        <w:t>的帮助下，</w:t>
      </w:r>
      <w:r w:rsidRPr="00191141">
        <w:rPr>
          <w:lang w:val="en-US" w:eastAsia="zh-CN"/>
        </w:rPr>
        <w:t>ITU-T</w:t>
      </w:r>
      <w:r w:rsidRPr="00191141">
        <w:rPr>
          <w:lang w:val="en-US" w:eastAsia="zh-CN"/>
        </w:rPr>
        <w:t>正努力促使发展中国家参与</w:t>
      </w:r>
      <w:r>
        <w:rPr>
          <w:rFonts w:hint="eastAsia"/>
          <w:lang w:val="en-US" w:eastAsia="zh-CN"/>
        </w:rPr>
        <w:t>信息通信技术</w:t>
      </w:r>
      <w:r w:rsidRPr="00191141">
        <w:rPr>
          <w:lang w:val="en-US" w:eastAsia="zh-CN"/>
        </w:rPr>
        <w:t>标准的制定和实施。参见第</w:t>
      </w:r>
      <w:r w:rsidRPr="00191141">
        <w:rPr>
          <w:lang w:val="en-US" w:eastAsia="zh-CN"/>
        </w:rPr>
        <w:t>17</w:t>
      </w:r>
      <w:r>
        <w:rPr>
          <w:lang w:val="en-US" w:eastAsia="zh-CN"/>
        </w:rPr>
        <w:t>节</w:t>
      </w:r>
      <w:r>
        <w:rPr>
          <w:rFonts w:hint="eastAsia"/>
          <w:lang w:val="en-US" w:eastAsia="zh-CN"/>
        </w:rPr>
        <w:t>。电信标准化局（</w:t>
      </w:r>
      <w:r w:rsidRPr="00191141">
        <w:rPr>
          <w:lang w:eastAsia="zh-CN"/>
        </w:rPr>
        <w:t>TSB</w:t>
      </w:r>
      <w:r>
        <w:rPr>
          <w:rFonts w:hint="eastAsia"/>
          <w:lang w:eastAsia="zh-CN"/>
        </w:rPr>
        <w:t>）</w:t>
      </w:r>
      <w:r w:rsidRPr="00191141">
        <w:rPr>
          <w:lang w:eastAsia="zh-CN"/>
        </w:rPr>
        <w:t>继续</w:t>
      </w:r>
      <w:r>
        <w:rPr>
          <w:rFonts w:hint="eastAsia"/>
          <w:lang w:eastAsia="zh-CN"/>
        </w:rPr>
        <w:t>其</w:t>
      </w:r>
      <w:r w:rsidRPr="00191141">
        <w:rPr>
          <w:lang w:eastAsia="zh-CN"/>
        </w:rPr>
        <w:t>成功实践，</w:t>
      </w:r>
      <w:r>
        <w:rPr>
          <w:rFonts w:hint="eastAsia"/>
          <w:lang w:eastAsia="zh-CN"/>
        </w:rPr>
        <w:t>为</w:t>
      </w:r>
      <w:r>
        <w:rPr>
          <w:lang w:eastAsia="zh-CN"/>
        </w:rPr>
        <w:t>来自发展中国家的新</w:t>
      </w:r>
      <w:r>
        <w:rPr>
          <w:rFonts w:hint="eastAsia"/>
          <w:lang w:eastAsia="zh-CN"/>
        </w:rPr>
        <w:t>手</w:t>
      </w:r>
      <w:r w:rsidRPr="00191141">
        <w:rPr>
          <w:lang w:eastAsia="zh-CN"/>
        </w:rPr>
        <w:t>提供</w:t>
      </w:r>
      <w:r>
        <w:rPr>
          <w:rFonts w:hint="eastAsia"/>
          <w:b/>
          <w:lang w:eastAsia="zh-CN"/>
        </w:rPr>
        <w:t>实际操作</w:t>
      </w:r>
      <w:r w:rsidRPr="00B80F54">
        <w:rPr>
          <w:rFonts w:hint="eastAsia"/>
          <w:b/>
          <w:lang w:eastAsia="zh-CN"/>
        </w:rPr>
        <w:t>培训</w:t>
      </w:r>
      <w:r>
        <w:rPr>
          <w:rFonts w:hint="eastAsia"/>
          <w:b/>
          <w:lang w:eastAsia="zh-CN"/>
        </w:rPr>
        <w:t>活动</w:t>
      </w:r>
      <w:r w:rsidRPr="00191141">
        <w:rPr>
          <w:lang w:eastAsia="zh-CN"/>
        </w:rPr>
        <w:t>。</w:t>
      </w:r>
      <w:r>
        <w:rPr>
          <w:rFonts w:hint="eastAsia"/>
          <w:lang w:eastAsia="zh-CN"/>
        </w:rPr>
        <w:t>自</w:t>
      </w:r>
      <w:r w:rsidRPr="00191141">
        <w:rPr>
          <w:lang w:eastAsia="zh-CN"/>
        </w:rPr>
        <w:t>2016</w:t>
      </w:r>
      <w:r w:rsidRPr="00191141">
        <w:rPr>
          <w:lang w:eastAsia="zh-CN"/>
        </w:rPr>
        <w:t>年</w:t>
      </w:r>
      <w:r w:rsidRPr="00191141">
        <w:rPr>
          <w:lang w:eastAsia="zh-CN"/>
        </w:rPr>
        <w:t>1</w:t>
      </w:r>
      <w:r w:rsidRPr="00191141">
        <w:rPr>
          <w:lang w:eastAsia="zh-CN"/>
        </w:rPr>
        <w:t>月</w:t>
      </w:r>
      <w:r>
        <w:rPr>
          <w:rFonts w:hint="eastAsia"/>
          <w:lang w:eastAsia="zh-CN"/>
        </w:rPr>
        <w:t>以来，</w:t>
      </w:r>
      <w:r w:rsidRPr="00191141">
        <w:rPr>
          <w:lang w:eastAsia="zh-CN"/>
        </w:rPr>
        <w:t>为</w:t>
      </w:r>
      <w:r w:rsidRPr="00191141">
        <w:rPr>
          <w:lang w:eastAsia="zh-CN"/>
        </w:rPr>
        <w:t>ITU-T</w:t>
      </w:r>
      <w:r w:rsidRPr="00191141">
        <w:rPr>
          <w:lang w:eastAsia="zh-CN"/>
        </w:rPr>
        <w:t>第</w:t>
      </w:r>
      <w:r w:rsidRPr="00191141">
        <w:rPr>
          <w:lang w:eastAsia="zh-CN"/>
        </w:rPr>
        <w:t>2</w:t>
      </w:r>
      <w:r w:rsidRPr="00191141">
        <w:rPr>
          <w:lang w:eastAsia="zh-CN"/>
        </w:rPr>
        <w:t>研究组、</w:t>
      </w:r>
      <w:r w:rsidRPr="00191141">
        <w:rPr>
          <w:lang w:eastAsia="zh-CN"/>
        </w:rPr>
        <w:t>ITU-T</w:t>
      </w:r>
      <w:r w:rsidRPr="00191141">
        <w:rPr>
          <w:lang w:eastAsia="zh-CN"/>
        </w:rPr>
        <w:t>第</w:t>
      </w:r>
      <w:r w:rsidRPr="00191141">
        <w:rPr>
          <w:lang w:eastAsia="zh-CN"/>
        </w:rPr>
        <w:t>9</w:t>
      </w:r>
      <w:r w:rsidRPr="00191141">
        <w:rPr>
          <w:lang w:eastAsia="zh-CN"/>
        </w:rPr>
        <w:t>研究组、</w:t>
      </w:r>
      <w:r w:rsidRPr="00191141">
        <w:rPr>
          <w:lang w:eastAsia="zh-CN"/>
        </w:rPr>
        <w:t>ITU-T</w:t>
      </w:r>
      <w:r w:rsidRPr="00191141">
        <w:rPr>
          <w:lang w:eastAsia="zh-CN"/>
        </w:rPr>
        <w:t>第</w:t>
      </w:r>
      <w:r w:rsidRPr="00191141">
        <w:rPr>
          <w:lang w:eastAsia="zh-CN"/>
        </w:rPr>
        <w:t>11</w:t>
      </w:r>
      <w:r w:rsidRPr="00191141">
        <w:rPr>
          <w:lang w:eastAsia="zh-CN"/>
        </w:rPr>
        <w:t>研究组、</w:t>
      </w:r>
      <w:r w:rsidRPr="00191141">
        <w:rPr>
          <w:lang w:eastAsia="zh-CN"/>
        </w:rPr>
        <w:t>ITU-T</w:t>
      </w:r>
      <w:r w:rsidRPr="00191141">
        <w:rPr>
          <w:lang w:eastAsia="zh-CN"/>
        </w:rPr>
        <w:t>第</w:t>
      </w:r>
      <w:r w:rsidRPr="00191141">
        <w:rPr>
          <w:lang w:eastAsia="zh-CN"/>
        </w:rPr>
        <w:t>12</w:t>
      </w:r>
      <w:r w:rsidRPr="00191141">
        <w:rPr>
          <w:lang w:eastAsia="zh-CN"/>
        </w:rPr>
        <w:t>研究组、</w:t>
      </w:r>
      <w:r w:rsidRPr="00191141">
        <w:rPr>
          <w:lang w:eastAsia="zh-CN"/>
        </w:rPr>
        <w:t>ITU-T</w:t>
      </w:r>
      <w:r w:rsidRPr="00191141">
        <w:rPr>
          <w:lang w:eastAsia="zh-CN"/>
        </w:rPr>
        <w:t>第</w:t>
      </w:r>
      <w:r w:rsidRPr="00191141">
        <w:rPr>
          <w:lang w:eastAsia="zh-CN"/>
        </w:rPr>
        <w:t>13</w:t>
      </w:r>
      <w:r w:rsidRPr="00191141">
        <w:rPr>
          <w:lang w:eastAsia="zh-CN"/>
        </w:rPr>
        <w:t>研究组和</w:t>
      </w:r>
      <w:r w:rsidRPr="00191141">
        <w:rPr>
          <w:lang w:eastAsia="zh-CN"/>
        </w:rPr>
        <w:t>ITU-T</w:t>
      </w:r>
      <w:r w:rsidRPr="00191141">
        <w:rPr>
          <w:lang w:eastAsia="zh-CN"/>
        </w:rPr>
        <w:t>第</w:t>
      </w:r>
      <w:r w:rsidRPr="00191141">
        <w:rPr>
          <w:lang w:eastAsia="zh-CN"/>
        </w:rPr>
        <w:t>17</w:t>
      </w:r>
      <w:r w:rsidRPr="00191141">
        <w:rPr>
          <w:lang w:eastAsia="zh-CN"/>
        </w:rPr>
        <w:t>研究组的代表组织举办了</w:t>
      </w:r>
      <w:r w:rsidRPr="00191141">
        <w:rPr>
          <w:lang w:eastAsia="zh-CN"/>
        </w:rPr>
        <w:t>12</w:t>
      </w:r>
      <w:r w:rsidRPr="00191141">
        <w:rPr>
          <w:lang w:eastAsia="zh-CN"/>
        </w:rPr>
        <w:t>次</w:t>
      </w:r>
      <w:r>
        <w:rPr>
          <w:rFonts w:hint="eastAsia"/>
          <w:lang w:eastAsia="zh-CN"/>
        </w:rPr>
        <w:t>实际操作</w:t>
      </w:r>
      <w:r w:rsidRPr="00191141">
        <w:rPr>
          <w:lang w:eastAsia="zh-CN"/>
        </w:rPr>
        <w:t>培训活动。</w:t>
      </w:r>
      <w:r>
        <w:rPr>
          <w:rFonts w:hint="eastAsia"/>
          <w:lang w:eastAsia="zh-CN"/>
        </w:rPr>
        <w:t>共有</w:t>
      </w:r>
      <w:r w:rsidRPr="00191141">
        <w:rPr>
          <w:lang w:eastAsia="zh-CN"/>
        </w:rPr>
        <w:t>来自</w:t>
      </w:r>
      <w:r w:rsidRPr="00191141">
        <w:rPr>
          <w:lang w:eastAsia="zh-CN"/>
        </w:rPr>
        <w:t>35</w:t>
      </w:r>
      <w:r w:rsidRPr="00191141">
        <w:rPr>
          <w:lang w:eastAsia="zh-CN"/>
        </w:rPr>
        <w:t>个国家和</w:t>
      </w:r>
      <w:r w:rsidRPr="00191141">
        <w:rPr>
          <w:lang w:eastAsia="zh-CN"/>
        </w:rPr>
        <w:t>64</w:t>
      </w:r>
      <w:r w:rsidRPr="00191141">
        <w:rPr>
          <w:lang w:eastAsia="zh-CN"/>
        </w:rPr>
        <w:t>个不同组织的</w:t>
      </w:r>
      <w:r w:rsidRPr="00191141">
        <w:rPr>
          <w:lang w:eastAsia="zh-CN"/>
        </w:rPr>
        <w:t>191</w:t>
      </w:r>
      <w:r>
        <w:rPr>
          <w:rFonts w:hint="eastAsia"/>
          <w:lang w:eastAsia="zh-CN"/>
        </w:rPr>
        <w:t>名参与者从中</w:t>
      </w:r>
      <w:r w:rsidRPr="00191141">
        <w:rPr>
          <w:lang w:eastAsia="zh-CN"/>
        </w:rPr>
        <w:t>受益。在</w:t>
      </w:r>
      <w:r w:rsidRPr="00191141">
        <w:rPr>
          <w:lang w:eastAsia="zh-CN"/>
        </w:rPr>
        <w:t>2016</w:t>
      </w:r>
      <w:r w:rsidRPr="00191141">
        <w:rPr>
          <w:lang w:eastAsia="zh-CN"/>
        </w:rPr>
        <w:t>年</w:t>
      </w:r>
      <w:r w:rsidRPr="00191141">
        <w:rPr>
          <w:lang w:eastAsia="zh-CN"/>
        </w:rPr>
        <w:t>10</w:t>
      </w:r>
      <w:r w:rsidRPr="00191141">
        <w:rPr>
          <w:lang w:eastAsia="zh-CN"/>
        </w:rPr>
        <w:t>月至</w:t>
      </w:r>
      <w:r w:rsidRPr="00191141">
        <w:rPr>
          <w:lang w:eastAsia="zh-CN"/>
        </w:rPr>
        <w:t>2017</w:t>
      </w:r>
      <w:r w:rsidRPr="00191141">
        <w:rPr>
          <w:lang w:eastAsia="zh-CN"/>
        </w:rPr>
        <w:t>年</w:t>
      </w:r>
      <w:r w:rsidRPr="00191141">
        <w:rPr>
          <w:lang w:eastAsia="zh-CN"/>
        </w:rPr>
        <w:t>2</w:t>
      </w:r>
      <w:r w:rsidRPr="00191141">
        <w:rPr>
          <w:lang w:eastAsia="zh-CN"/>
        </w:rPr>
        <w:t>月期间</w:t>
      </w:r>
      <w:r>
        <w:rPr>
          <w:rFonts w:hint="eastAsia"/>
          <w:lang w:eastAsia="zh-CN"/>
        </w:rPr>
        <w:t>，共授予了</w:t>
      </w:r>
      <w:r w:rsidRPr="00B80F54">
        <w:rPr>
          <w:b/>
          <w:lang w:eastAsia="zh-CN"/>
        </w:rPr>
        <w:t>73</w:t>
      </w:r>
      <w:r w:rsidRPr="00B80F54">
        <w:rPr>
          <w:rFonts w:hint="eastAsia"/>
          <w:b/>
          <w:lang w:eastAsia="zh-CN"/>
        </w:rPr>
        <w:t>份与会补贴</w:t>
      </w:r>
      <w:r>
        <w:rPr>
          <w:rFonts w:hint="eastAsia"/>
          <w:lang w:eastAsia="zh-CN"/>
        </w:rPr>
        <w:t>；当中</w:t>
      </w:r>
      <w:r w:rsidRPr="00191141">
        <w:rPr>
          <w:lang w:eastAsia="zh-CN"/>
        </w:rPr>
        <w:t>8</w:t>
      </w:r>
      <w:r>
        <w:rPr>
          <w:rFonts w:hint="eastAsia"/>
          <w:lang w:eastAsia="zh-CN"/>
        </w:rPr>
        <w:t>份与会补贴</w:t>
      </w:r>
      <w:r w:rsidRPr="00191141">
        <w:rPr>
          <w:lang w:eastAsia="zh-CN"/>
        </w:rPr>
        <w:t>被取消。</w:t>
      </w:r>
    </w:p>
    <w:p w:rsidR="00C625EB" w:rsidRDefault="00C625EB" w:rsidP="00C625EB">
      <w:pPr>
        <w:ind w:firstLineChars="200" w:firstLine="480"/>
        <w:rPr>
          <w:lang w:eastAsia="zh-CN"/>
        </w:rPr>
      </w:pPr>
      <w:r>
        <w:rPr>
          <w:lang w:eastAsia="zh-CN"/>
        </w:rPr>
        <w:t>韩国科学</w:t>
      </w:r>
      <w:r>
        <w:rPr>
          <w:rFonts w:hint="eastAsia"/>
          <w:lang w:eastAsia="zh-CN"/>
        </w:rPr>
        <w:t>、信息通信技术</w:t>
      </w:r>
      <w:r w:rsidRPr="00191141">
        <w:rPr>
          <w:lang w:eastAsia="zh-CN"/>
        </w:rPr>
        <w:t>和未来规划部（</w:t>
      </w:r>
      <w:r w:rsidRPr="00191141">
        <w:rPr>
          <w:lang w:eastAsia="zh-CN"/>
        </w:rPr>
        <w:t>MSIP</w:t>
      </w:r>
      <w:r w:rsidRPr="00191141">
        <w:rPr>
          <w:lang w:eastAsia="zh-CN"/>
        </w:rPr>
        <w:t>）为</w:t>
      </w:r>
      <w:r w:rsidRPr="00B80F54">
        <w:rPr>
          <w:b/>
          <w:lang w:eastAsia="zh-CN"/>
        </w:rPr>
        <w:t>BSG</w:t>
      </w:r>
      <w:r w:rsidRPr="00B80F54">
        <w:rPr>
          <w:b/>
          <w:lang w:eastAsia="zh-CN"/>
        </w:rPr>
        <w:t>基金</w:t>
      </w:r>
      <w:r>
        <w:rPr>
          <w:rFonts w:hint="eastAsia"/>
          <w:lang w:eastAsia="zh-CN"/>
        </w:rPr>
        <w:t>提供了友好捐赠。电信标准化局（</w:t>
      </w:r>
      <w:r>
        <w:rPr>
          <w:rFonts w:hint="eastAsia"/>
          <w:lang w:eastAsia="zh-CN"/>
        </w:rPr>
        <w:t>TSB</w:t>
      </w:r>
      <w:r>
        <w:rPr>
          <w:rFonts w:hint="eastAsia"/>
          <w:lang w:eastAsia="zh-CN"/>
        </w:rPr>
        <w:t>）</w:t>
      </w:r>
      <w:r w:rsidRPr="00191141">
        <w:rPr>
          <w:lang w:eastAsia="zh-CN"/>
        </w:rPr>
        <w:t>鼓励向</w:t>
      </w:r>
      <w:r w:rsidRPr="00191141">
        <w:rPr>
          <w:lang w:eastAsia="zh-CN"/>
        </w:rPr>
        <w:t>BSG</w:t>
      </w:r>
      <w:r w:rsidRPr="00191141">
        <w:rPr>
          <w:lang w:eastAsia="zh-CN"/>
        </w:rPr>
        <w:t>基金提供其他自愿捐款。</w:t>
      </w:r>
    </w:p>
    <w:p w:rsidR="00C625EB" w:rsidRPr="00191141" w:rsidRDefault="00C625EB" w:rsidP="00C625EB">
      <w:pPr>
        <w:ind w:firstLineChars="200" w:firstLine="480"/>
        <w:rPr>
          <w:lang w:eastAsia="zh-CN"/>
        </w:rPr>
      </w:pPr>
      <w:r w:rsidRPr="00191141">
        <w:rPr>
          <w:lang w:eastAsia="zh-CN"/>
        </w:rPr>
        <w:t>随着最近在第</w:t>
      </w:r>
      <w:r w:rsidRPr="00191141">
        <w:rPr>
          <w:lang w:eastAsia="zh-CN"/>
        </w:rPr>
        <w:t>17</w:t>
      </w:r>
      <w:r>
        <w:rPr>
          <w:rFonts w:hint="eastAsia"/>
          <w:lang w:eastAsia="zh-CN"/>
        </w:rPr>
        <w:t>研究组</w:t>
      </w:r>
      <w:r w:rsidRPr="00191141">
        <w:rPr>
          <w:lang w:eastAsia="zh-CN"/>
        </w:rPr>
        <w:t>和第</w:t>
      </w:r>
      <w:r w:rsidRPr="00191141">
        <w:rPr>
          <w:lang w:eastAsia="zh-CN"/>
        </w:rPr>
        <w:t>20</w:t>
      </w:r>
      <w:r>
        <w:rPr>
          <w:rFonts w:hint="eastAsia"/>
          <w:lang w:eastAsia="zh-CN"/>
        </w:rPr>
        <w:t>研究组</w:t>
      </w:r>
      <w:r>
        <w:rPr>
          <w:lang w:eastAsia="zh-CN"/>
        </w:rPr>
        <w:t>建立</w:t>
      </w:r>
      <w:r>
        <w:rPr>
          <w:rFonts w:hint="eastAsia"/>
          <w:lang w:eastAsia="zh-CN"/>
        </w:rPr>
        <w:t>了</w:t>
      </w:r>
      <w:r>
        <w:rPr>
          <w:lang w:eastAsia="zh-CN"/>
        </w:rPr>
        <w:t>五个新的区域</w:t>
      </w:r>
      <w:r>
        <w:rPr>
          <w:rFonts w:hint="eastAsia"/>
          <w:lang w:eastAsia="zh-CN"/>
        </w:rPr>
        <w:t>组</w:t>
      </w:r>
      <w:r w:rsidRPr="00191141">
        <w:rPr>
          <w:lang w:eastAsia="zh-CN"/>
        </w:rPr>
        <w:t>，</w:t>
      </w:r>
      <w:r w:rsidRPr="00191141">
        <w:rPr>
          <w:lang w:eastAsia="zh-CN"/>
        </w:rPr>
        <w:t>ITU-T</w:t>
      </w:r>
      <w:r>
        <w:rPr>
          <w:lang w:eastAsia="zh-CN"/>
        </w:rPr>
        <w:t>现</w:t>
      </w:r>
      <w:r w:rsidRPr="00191141">
        <w:rPr>
          <w:lang w:eastAsia="zh-CN"/>
        </w:rPr>
        <w:t>有</w:t>
      </w:r>
      <w:r w:rsidRPr="00B80F54">
        <w:rPr>
          <w:b/>
          <w:lang w:eastAsia="zh-CN"/>
        </w:rPr>
        <w:t>23</w:t>
      </w:r>
      <w:r w:rsidRPr="00B80F54">
        <w:rPr>
          <w:b/>
          <w:lang w:eastAsia="zh-CN"/>
        </w:rPr>
        <w:t>个区域</w:t>
      </w:r>
      <w:r w:rsidRPr="00B80F54">
        <w:rPr>
          <w:rFonts w:hint="eastAsia"/>
          <w:b/>
          <w:lang w:eastAsia="zh-CN"/>
        </w:rPr>
        <w:t>组</w:t>
      </w:r>
      <w:r>
        <w:rPr>
          <w:lang w:eastAsia="zh-CN"/>
        </w:rPr>
        <w:t>。这一重大</w:t>
      </w:r>
      <w:r>
        <w:rPr>
          <w:rFonts w:hint="eastAsia"/>
          <w:lang w:eastAsia="zh-CN"/>
        </w:rPr>
        <w:t>进步为</w:t>
      </w:r>
      <w:r w:rsidRPr="00191141">
        <w:rPr>
          <w:lang w:eastAsia="zh-CN"/>
        </w:rPr>
        <w:t>ITU-T</w:t>
      </w:r>
      <w:r w:rsidRPr="00191141">
        <w:rPr>
          <w:lang w:eastAsia="zh-CN"/>
        </w:rPr>
        <w:t>研究组</w:t>
      </w:r>
      <w:r>
        <w:rPr>
          <w:rFonts w:hint="eastAsia"/>
          <w:lang w:eastAsia="zh-CN"/>
        </w:rPr>
        <w:t>提供了一个很好的基础，得以</w:t>
      </w:r>
      <w:r w:rsidRPr="00191141">
        <w:rPr>
          <w:lang w:eastAsia="zh-CN"/>
        </w:rPr>
        <w:t>在</w:t>
      </w:r>
      <w:r>
        <w:rPr>
          <w:rFonts w:hint="eastAsia"/>
          <w:lang w:eastAsia="zh-CN"/>
        </w:rPr>
        <w:t>各种</w:t>
      </w:r>
      <w:r>
        <w:rPr>
          <w:lang w:eastAsia="zh-CN"/>
        </w:rPr>
        <w:t>不同地区开展业务，以</w:t>
      </w:r>
      <w:r>
        <w:rPr>
          <w:rFonts w:hint="eastAsia"/>
          <w:lang w:eastAsia="zh-CN"/>
        </w:rPr>
        <w:t>弥合</w:t>
      </w:r>
      <w:r w:rsidRPr="00191141">
        <w:rPr>
          <w:lang w:eastAsia="zh-CN"/>
        </w:rPr>
        <w:t>发展中</w:t>
      </w:r>
      <w:r>
        <w:rPr>
          <w:lang w:eastAsia="zh-CN"/>
        </w:rPr>
        <w:t>国家和发达国家之间的标准化差距，并提高国际标准化工作的效率和</w:t>
      </w:r>
      <w:r>
        <w:rPr>
          <w:rFonts w:hint="eastAsia"/>
          <w:lang w:eastAsia="zh-CN"/>
        </w:rPr>
        <w:t>效果</w:t>
      </w:r>
      <w:r>
        <w:rPr>
          <w:lang w:eastAsia="zh-CN"/>
        </w:rPr>
        <w:t>，</w:t>
      </w:r>
      <w:r>
        <w:rPr>
          <w:rFonts w:hint="eastAsia"/>
          <w:lang w:eastAsia="zh-CN"/>
        </w:rPr>
        <w:t>参见</w:t>
      </w:r>
      <w:r w:rsidRPr="00191141">
        <w:rPr>
          <w:lang w:eastAsia="zh-CN"/>
        </w:rPr>
        <w:t>第</w:t>
      </w:r>
      <w:r w:rsidRPr="00191141">
        <w:rPr>
          <w:lang w:eastAsia="zh-CN"/>
        </w:rPr>
        <w:t>17.2</w:t>
      </w:r>
      <w:r w:rsidRPr="00191141">
        <w:rPr>
          <w:lang w:eastAsia="zh-CN"/>
        </w:rPr>
        <w:t>节。</w:t>
      </w:r>
    </w:p>
    <w:p w:rsidR="008F0C7E" w:rsidRPr="00C625EB" w:rsidRDefault="00FF3CB5" w:rsidP="009707FE">
      <w:pPr>
        <w:spacing w:after="120"/>
        <w:ind w:firstLineChars="200" w:firstLine="480"/>
        <w:rPr>
          <w:lang w:eastAsia="zh-CN"/>
        </w:rPr>
      </w:pPr>
      <w:r w:rsidRPr="008A7250">
        <w:rPr>
          <w:rFonts w:hint="eastAsia"/>
          <w:lang w:eastAsia="zh-CN"/>
        </w:rPr>
        <w:t>国际电联电信</w:t>
      </w:r>
      <w:r w:rsidRPr="008A7250">
        <w:rPr>
          <w:lang w:eastAsia="zh-CN"/>
        </w:rPr>
        <w:t>标准化局</w:t>
      </w:r>
      <w:r w:rsidRPr="008A7250">
        <w:rPr>
          <w:rFonts w:hint="eastAsia"/>
          <w:lang w:eastAsia="zh-CN"/>
        </w:rPr>
        <w:t>已经开始实施一项旨在增加</w:t>
      </w:r>
      <w:r w:rsidRPr="008A7250">
        <w:rPr>
          <w:rFonts w:hint="eastAsia"/>
          <w:b/>
          <w:bCs/>
          <w:lang w:eastAsia="zh-CN"/>
        </w:rPr>
        <w:t>欧洲运营商</w:t>
      </w:r>
      <w:r w:rsidR="00C625EB">
        <w:rPr>
          <w:rFonts w:hint="eastAsia"/>
          <w:b/>
          <w:bCs/>
          <w:lang w:eastAsia="zh-CN"/>
        </w:rPr>
        <w:t>参与</w:t>
      </w:r>
      <w:r w:rsidR="00C625EB">
        <w:rPr>
          <w:rFonts w:hint="eastAsia"/>
          <w:lang w:eastAsia="zh-CN"/>
        </w:rPr>
        <w:t>（包括成员和非成员）</w:t>
      </w:r>
      <w:r w:rsidRPr="008A7250">
        <w:rPr>
          <w:lang w:eastAsia="zh-CN"/>
        </w:rPr>
        <w:t>ITU-T</w:t>
      </w:r>
      <w:r w:rsidRPr="008A7250">
        <w:rPr>
          <w:rFonts w:hint="eastAsia"/>
          <w:lang w:eastAsia="zh-CN"/>
        </w:rPr>
        <w:t>研究组、</w:t>
      </w:r>
      <w:r w:rsidRPr="008A7250">
        <w:rPr>
          <w:lang w:eastAsia="zh-CN"/>
        </w:rPr>
        <w:t>焦点组、联合协调活动</w:t>
      </w:r>
      <w:r w:rsidR="00C625EB">
        <w:rPr>
          <w:rFonts w:hint="eastAsia"/>
          <w:lang w:eastAsia="zh-CN"/>
        </w:rPr>
        <w:t>及讲习班</w:t>
      </w:r>
      <w:r w:rsidRPr="008A7250">
        <w:rPr>
          <w:rFonts w:hint="eastAsia"/>
          <w:lang w:eastAsia="zh-CN"/>
        </w:rPr>
        <w:t>的新计划</w:t>
      </w:r>
      <w:r w:rsidR="00C625EB">
        <w:rPr>
          <w:rFonts w:hint="eastAsia"/>
          <w:lang w:eastAsia="zh-CN"/>
        </w:rPr>
        <w:t>“欧洲运营商目标清单”</w:t>
      </w:r>
      <w:r w:rsidRPr="008A7250">
        <w:rPr>
          <w:rFonts w:hint="eastAsia"/>
          <w:lang w:eastAsia="zh-CN"/>
        </w:rPr>
        <w:t>。该计划</w:t>
      </w:r>
      <w:r w:rsidR="00C625EB">
        <w:rPr>
          <w:rFonts w:hint="eastAsia"/>
          <w:lang w:eastAsia="zh-CN"/>
        </w:rPr>
        <w:t>的目标是增加</w:t>
      </w:r>
      <w:r w:rsidRPr="008A7250">
        <w:rPr>
          <w:lang w:eastAsia="zh-CN"/>
        </w:rPr>
        <w:t>具体</w:t>
      </w:r>
      <w:r w:rsidRPr="008A7250">
        <w:rPr>
          <w:rFonts w:hint="eastAsia"/>
          <w:lang w:eastAsia="zh-CN"/>
        </w:rPr>
        <w:t>欧盟运营商</w:t>
      </w:r>
      <w:r w:rsidR="00C625EB">
        <w:rPr>
          <w:rFonts w:hint="eastAsia"/>
          <w:lang w:eastAsia="zh-CN"/>
        </w:rPr>
        <w:t>参与</w:t>
      </w:r>
      <w:r w:rsidR="00C625EB">
        <w:rPr>
          <w:rFonts w:hint="eastAsia"/>
          <w:lang w:eastAsia="zh-CN"/>
        </w:rPr>
        <w:t>ITU-T</w:t>
      </w:r>
      <w:r w:rsidR="00C625EB">
        <w:rPr>
          <w:rFonts w:hint="eastAsia"/>
          <w:lang w:eastAsia="zh-CN"/>
        </w:rPr>
        <w:t>的活动，涉及</w:t>
      </w:r>
      <w:r w:rsidRPr="008A7250">
        <w:rPr>
          <w:rFonts w:hint="eastAsia"/>
          <w:lang w:eastAsia="zh-CN"/>
        </w:rPr>
        <w:t>首席</w:t>
      </w:r>
      <w:r w:rsidRPr="008A7250">
        <w:rPr>
          <w:lang w:eastAsia="zh-CN"/>
        </w:rPr>
        <w:t>信息</w:t>
      </w:r>
      <w:r w:rsidRPr="008A7250">
        <w:rPr>
          <w:rFonts w:hint="eastAsia"/>
          <w:lang w:eastAsia="zh-CN"/>
        </w:rPr>
        <w:t>官</w:t>
      </w:r>
      <w:r w:rsidR="00C625EB">
        <w:rPr>
          <w:rFonts w:hint="eastAsia"/>
          <w:lang w:eastAsia="zh-CN"/>
        </w:rPr>
        <w:t>（</w:t>
      </w:r>
      <w:r w:rsidR="00C625EB">
        <w:rPr>
          <w:rFonts w:hint="eastAsia"/>
          <w:lang w:eastAsia="zh-CN"/>
        </w:rPr>
        <w:t>CIO</w:t>
      </w:r>
      <w:r w:rsidR="00C625EB">
        <w:rPr>
          <w:rFonts w:hint="eastAsia"/>
          <w:lang w:eastAsia="zh-CN"/>
        </w:rPr>
        <w:t>）</w:t>
      </w:r>
      <w:r w:rsidRPr="008A7250">
        <w:rPr>
          <w:rFonts w:hint="eastAsia"/>
          <w:lang w:eastAsia="zh-CN"/>
        </w:rPr>
        <w:t>、首席技术官</w:t>
      </w:r>
      <w:r w:rsidR="00C625EB">
        <w:rPr>
          <w:rFonts w:hint="eastAsia"/>
          <w:lang w:eastAsia="zh-CN"/>
        </w:rPr>
        <w:t>（</w:t>
      </w:r>
      <w:r w:rsidR="00C625EB">
        <w:rPr>
          <w:rFonts w:hint="eastAsia"/>
          <w:lang w:eastAsia="zh-CN"/>
        </w:rPr>
        <w:t>CTO</w:t>
      </w:r>
      <w:r w:rsidR="00C625EB">
        <w:rPr>
          <w:rFonts w:hint="eastAsia"/>
          <w:lang w:eastAsia="zh-CN"/>
        </w:rPr>
        <w:t>）</w:t>
      </w:r>
      <w:r w:rsidRPr="008A7250">
        <w:rPr>
          <w:rFonts w:hint="eastAsia"/>
          <w:lang w:eastAsia="zh-CN"/>
        </w:rPr>
        <w:t>和首席信息</w:t>
      </w:r>
      <w:r w:rsidRPr="008A7250">
        <w:rPr>
          <w:lang w:eastAsia="zh-CN"/>
        </w:rPr>
        <w:t>安全官</w:t>
      </w:r>
      <w:r w:rsidR="00C625EB">
        <w:rPr>
          <w:rFonts w:hint="eastAsia"/>
          <w:lang w:eastAsia="zh-CN"/>
        </w:rPr>
        <w:t>（</w:t>
      </w:r>
      <w:r w:rsidR="00C625EB">
        <w:rPr>
          <w:rFonts w:hint="eastAsia"/>
          <w:lang w:eastAsia="zh-CN"/>
        </w:rPr>
        <w:t>CISO</w:t>
      </w:r>
      <w:r w:rsidR="00C625EB">
        <w:rPr>
          <w:rFonts w:hint="eastAsia"/>
          <w:lang w:eastAsia="zh-CN"/>
        </w:rPr>
        <w:t>）等决策者</w:t>
      </w:r>
      <w:r w:rsidRPr="008A7250">
        <w:rPr>
          <w:rFonts w:hint="eastAsia"/>
          <w:lang w:eastAsia="zh-CN"/>
        </w:rPr>
        <w:t>，</w:t>
      </w:r>
      <w:r w:rsidR="00C625EB">
        <w:rPr>
          <w:rFonts w:hint="eastAsia"/>
          <w:lang w:eastAsia="zh-CN"/>
        </w:rPr>
        <w:t>与</w:t>
      </w:r>
      <w:r w:rsidRPr="008A7250">
        <w:rPr>
          <w:rFonts w:hint="eastAsia"/>
          <w:lang w:eastAsia="zh-CN"/>
        </w:rPr>
        <w:t>确认</w:t>
      </w:r>
      <w:r w:rsidR="00C625EB">
        <w:rPr>
          <w:rFonts w:hint="eastAsia"/>
          <w:lang w:eastAsia="zh-CN"/>
        </w:rPr>
        <w:t>的</w:t>
      </w:r>
      <w:r w:rsidRPr="008A7250">
        <w:rPr>
          <w:rFonts w:hint="eastAsia"/>
          <w:lang w:eastAsia="zh-CN"/>
        </w:rPr>
        <w:t>主题兴趣和即将召开的会议</w:t>
      </w:r>
      <w:r w:rsidR="00C625EB">
        <w:rPr>
          <w:rFonts w:hint="eastAsia"/>
          <w:lang w:eastAsia="zh-CN"/>
        </w:rPr>
        <w:t>有关</w:t>
      </w:r>
      <w:r w:rsidRPr="008A7250">
        <w:rPr>
          <w:rFonts w:hint="eastAsia"/>
          <w:lang w:eastAsia="zh-CN"/>
        </w:rPr>
        <w:t>。为了实现这一目标，已将</w:t>
      </w:r>
      <w:r w:rsidRPr="008A7250">
        <w:rPr>
          <w:lang w:eastAsia="zh-CN"/>
        </w:rPr>
        <w:t>含有</w:t>
      </w:r>
      <w:r w:rsidRPr="008A7250">
        <w:rPr>
          <w:rFonts w:hint="eastAsia"/>
          <w:lang w:eastAsia="zh-CN"/>
        </w:rPr>
        <w:t>近</w:t>
      </w:r>
      <w:r w:rsidRPr="008A7250">
        <w:rPr>
          <w:rFonts w:hint="eastAsia"/>
          <w:lang w:val="en-US" w:eastAsia="zh-CN"/>
        </w:rPr>
        <w:t>1</w:t>
      </w:r>
      <w:r w:rsidRPr="008A7250">
        <w:rPr>
          <w:lang w:val="en-US" w:eastAsia="zh-CN"/>
        </w:rPr>
        <w:t xml:space="preserve"> </w:t>
      </w:r>
      <w:r w:rsidRPr="008A7250">
        <w:rPr>
          <w:rFonts w:hint="eastAsia"/>
          <w:lang w:val="en-US" w:eastAsia="zh-CN"/>
        </w:rPr>
        <w:t>000</w:t>
      </w:r>
      <w:r w:rsidRPr="008A7250">
        <w:rPr>
          <w:rFonts w:hint="eastAsia"/>
          <w:lang w:val="en-US" w:eastAsia="zh-CN"/>
        </w:rPr>
        <w:t>家欧洲运营商联系方式的数据库与相关的</w:t>
      </w:r>
      <w:r w:rsidRPr="008A7250">
        <w:rPr>
          <w:lang w:eastAsia="zh-CN"/>
        </w:rPr>
        <w:t>ITU-T</w:t>
      </w:r>
      <w:r w:rsidR="00C625EB">
        <w:rPr>
          <w:rFonts w:hint="eastAsia"/>
          <w:lang w:eastAsia="zh-CN"/>
        </w:rPr>
        <w:t>研究组</w:t>
      </w:r>
      <w:r w:rsidRPr="008A7250">
        <w:rPr>
          <w:rFonts w:hint="eastAsia"/>
          <w:lang w:eastAsia="zh-CN"/>
        </w:rPr>
        <w:t>和活动联系在一起。</w:t>
      </w:r>
      <w:r w:rsidR="00C625EB">
        <w:rPr>
          <w:rFonts w:hint="eastAsia"/>
          <w:lang w:eastAsia="zh-CN"/>
        </w:rPr>
        <w:t>该计划已增加了</w:t>
      </w:r>
      <w:r w:rsidR="00C625EB" w:rsidRPr="00C625EB">
        <w:rPr>
          <w:rFonts w:hint="eastAsia"/>
          <w:lang w:eastAsia="zh-CN"/>
        </w:rPr>
        <w:t>欧盟运营商参与国际电联公开活动的</w:t>
      </w:r>
      <w:r w:rsidR="00C625EB">
        <w:rPr>
          <w:rFonts w:hint="eastAsia"/>
          <w:lang w:eastAsia="zh-CN"/>
        </w:rPr>
        <w:t>程度，作为发言者和与会者参加活动</w:t>
      </w:r>
      <w:r w:rsidR="00C625EB" w:rsidRPr="00C625EB">
        <w:rPr>
          <w:rFonts w:hint="eastAsia"/>
          <w:lang w:eastAsia="zh-CN"/>
        </w:rPr>
        <w:t>。</w:t>
      </w:r>
    </w:p>
    <w:p w:rsidR="005C570B" w:rsidRPr="008A7250" w:rsidRDefault="005C570B" w:rsidP="005C570B">
      <w:pPr>
        <w:spacing w:after="120"/>
        <w:ind w:firstLineChars="200" w:firstLine="480"/>
        <w:rPr>
          <w:bCs/>
          <w:lang w:eastAsia="zh-CN"/>
        </w:rPr>
      </w:pPr>
      <w:r w:rsidRPr="00191141">
        <w:rPr>
          <w:rFonts w:hint="eastAsia"/>
          <w:bCs/>
          <w:lang w:eastAsia="zh-CN"/>
        </w:rPr>
        <w:t>第一届</w:t>
      </w:r>
      <w:r w:rsidRPr="004B4679">
        <w:rPr>
          <w:rFonts w:hint="eastAsia"/>
          <w:b/>
          <w:bCs/>
          <w:lang w:eastAsia="zh-CN"/>
        </w:rPr>
        <w:t>妇女标准化专家（</w:t>
      </w:r>
      <w:r w:rsidRPr="004B4679">
        <w:rPr>
          <w:rFonts w:hint="eastAsia"/>
          <w:b/>
          <w:bCs/>
          <w:lang w:eastAsia="zh-CN"/>
        </w:rPr>
        <w:t>WISE</w:t>
      </w:r>
      <w:r w:rsidRPr="004B4679">
        <w:rPr>
          <w:rFonts w:hint="eastAsia"/>
          <w:b/>
          <w:bCs/>
          <w:lang w:eastAsia="zh-CN"/>
        </w:rPr>
        <w:t>）活动</w:t>
      </w:r>
      <w:r w:rsidRPr="00191141">
        <w:rPr>
          <w:rFonts w:hint="eastAsia"/>
          <w:bCs/>
          <w:lang w:eastAsia="zh-CN"/>
        </w:rPr>
        <w:t>于</w:t>
      </w:r>
      <w:r w:rsidRPr="00191141">
        <w:rPr>
          <w:rFonts w:hint="eastAsia"/>
          <w:bCs/>
          <w:lang w:eastAsia="zh-CN"/>
        </w:rPr>
        <w:t>2016</w:t>
      </w:r>
      <w:r w:rsidRPr="00191141">
        <w:rPr>
          <w:rFonts w:hint="eastAsia"/>
          <w:bCs/>
          <w:lang w:eastAsia="zh-CN"/>
        </w:rPr>
        <w:t>年</w:t>
      </w:r>
      <w:r w:rsidRPr="00191141">
        <w:rPr>
          <w:rFonts w:hint="eastAsia"/>
          <w:bCs/>
          <w:lang w:eastAsia="zh-CN"/>
        </w:rPr>
        <w:t>10</w:t>
      </w:r>
      <w:r w:rsidRPr="00191141">
        <w:rPr>
          <w:rFonts w:hint="eastAsia"/>
          <w:bCs/>
          <w:lang w:eastAsia="zh-CN"/>
        </w:rPr>
        <w:t>月</w:t>
      </w:r>
      <w:r w:rsidRPr="00191141">
        <w:rPr>
          <w:rFonts w:hint="eastAsia"/>
          <w:bCs/>
          <w:lang w:eastAsia="zh-CN"/>
        </w:rPr>
        <w:t>30</w:t>
      </w:r>
      <w:r w:rsidRPr="00191141">
        <w:rPr>
          <w:rFonts w:hint="eastAsia"/>
          <w:bCs/>
          <w:lang w:eastAsia="zh-CN"/>
        </w:rPr>
        <w:t>日在</w:t>
      </w:r>
      <w:r w:rsidRPr="00191141">
        <w:rPr>
          <w:rFonts w:hint="eastAsia"/>
          <w:bCs/>
          <w:lang w:eastAsia="zh-CN"/>
        </w:rPr>
        <w:t>WTSA-16</w:t>
      </w:r>
      <w:r>
        <w:rPr>
          <w:rFonts w:hint="eastAsia"/>
          <w:bCs/>
          <w:lang w:eastAsia="zh-CN"/>
        </w:rPr>
        <w:t>上举行。该活动包括一个关于成功谈判的实践技能讲习班</w:t>
      </w:r>
      <w:r w:rsidRPr="00191141">
        <w:rPr>
          <w:rFonts w:hint="eastAsia"/>
          <w:bCs/>
          <w:lang w:eastAsia="zh-CN"/>
        </w:rPr>
        <w:t>，作为</w:t>
      </w:r>
      <w:r w:rsidRPr="00191141">
        <w:rPr>
          <w:rFonts w:hint="eastAsia"/>
          <w:bCs/>
          <w:lang w:eastAsia="zh-CN"/>
        </w:rPr>
        <w:t>ITU-T</w:t>
      </w:r>
      <w:r w:rsidRPr="00191141">
        <w:rPr>
          <w:rFonts w:hint="eastAsia"/>
          <w:bCs/>
          <w:lang w:eastAsia="zh-CN"/>
        </w:rPr>
        <w:t>致力于促进</w:t>
      </w:r>
      <w:r>
        <w:rPr>
          <w:rFonts w:hint="eastAsia"/>
          <w:bCs/>
          <w:lang w:eastAsia="zh-CN"/>
        </w:rPr>
        <w:t>男女代表平等参与</w:t>
      </w:r>
      <w:r w:rsidRPr="00191141">
        <w:rPr>
          <w:rFonts w:hint="eastAsia"/>
          <w:bCs/>
          <w:lang w:eastAsia="zh-CN"/>
        </w:rPr>
        <w:t>其会议</w:t>
      </w:r>
      <w:r>
        <w:rPr>
          <w:rFonts w:hint="eastAsia"/>
          <w:bCs/>
          <w:lang w:eastAsia="zh-CN"/>
        </w:rPr>
        <w:t>和大会之工作的一部分；其次是小组讨论，重点是介绍信息通信技术</w:t>
      </w:r>
      <w:r w:rsidRPr="00191141">
        <w:rPr>
          <w:rFonts w:hint="eastAsia"/>
          <w:bCs/>
          <w:lang w:eastAsia="zh-CN"/>
        </w:rPr>
        <w:t>和标准化</w:t>
      </w:r>
      <w:r>
        <w:rPr>
          <w:rFonts w:hint="eastAsia"/>
          <w:bCs/>
          <w:lang w:eastAsia="zh-CN"/>
        </w:rPr>
        <w:t>领域</w:t>
      </w:r>
      <w:r w:rsidRPr="00191141">
        <w:rPr>
          <w:rFonts w:hint="eastAsia"/>
          <w:bCs/>
          <w:lang w:eastAsia="zh-CN"/>
        </w:rPr>
        <w:t>妇女</w:t>
      </w:r>
      <w:r>
        <w:rPr>
          <w:rFonts w:hint="eastAsia"/>
          <w:bCs/>
          <w:lang w:eastAsia="zh-CN"/>
        </w:rPr>
        <w:t>领袖们的经验</w:t>
      </w:r>
      <w:r w:rsidRPr="00191141">
        <w:rPr>
          <w:rFonts w:hint="eastAsia"/>
          <w:bCs/>
          <w:lang w:eastAsia="zh-CN"/>
        </w:rPr>
        <w:t>。</w:t>
      </w:r>
      <w:r w:rsidRPr="008A7250">
        <w:rPr>
          <w:rFonts w:hint="eastAsia"/>
          <w:bCs/>
          <w:lang w:eastAsia="zh-CN"/>
        </w:rPr>
        <w:t>目前，</w:t>
      </w:r>
      <w:r>
        <w:rPr>
          <w:rFonts w:hint="eastAsia"/>
          <w:bCs/>
          <w:lang w:eastAsia="zh-CN"/>
        </w:rPr>
        <w:t>在</w:t>
      </w:r>
      <w:r w:rsidRPr="008A7250">
        <w:rPr>
          <w:rFonts w:hint="eastAsia"/>
          <w:bCs/>
          <w:lang w:eastAsia="zh-CN"/>
        </w:rPr>
        <w:t>电信标准化局</w:t>
      </w:r>
      <w:r>
        <w:rPr>
          <w:rFonts w:hint="eastAsia"/>
          <w:bCs/>
          <w:lang w:eastAsia="zh-CN"/>
        </w:rPr>
        <w:t>（</w:t>
      </w:r>
      <w:r>
        <w:rPr>
          <w:rFonts w:hint="eastAsia"/>
          <w:bCs/>
          <w:lang w:eastAsia="zh-CN"/>
        </w:rPr>
        <w:t>TSB</w:t>
      </w:r>
      <w:r>
        <w:rPr>
          <w:rFonts w:hint="eastAsia"/>
          <w:bCs/>
          <w:lang w:eastAsia="zh-CN"/>
        </w:rPr>
        <w:t>）所有工作人员中，</w:t>
      </w:r>
      <w:r w:rsidRPr="008A7250">
        <w:rPr>
          <w:rFonts w:hint="eastAsia"/>
          <w:bCs/>
          <w:lang w:eastAsia="zh-CN"/>
        </w:rPr>
        <w:t>56%</w:t>
      </w:r>
      <w:r>
        <w:rPr>
          <w:rFonts w:hint="eastAsia"/>
          <w:bCs/>
          <w:lang w:eastAsia="zh-CN"/>
        </w:rPr>
        <w:t>的职员</w:t>
      </w:r>
      <w:r w:rsidRPr="008A7250">
        <w:rPr>
          <w:rFonts w:hint="eastAsia"/>
          <w:bCs/>
          <w:lang w:eastAsia="zh-CN"/>
        </w:rPr>
        <w:t>为女性。近十年来，专业职类的女性职员数量增加了三倍以上，</w:t>
      </w:r>
      <w:r>
        <w:rPr>
          <w:rFonts w:hint="eastAsia"/>
          <w:bCs/>
          <w:lang w:eastAsia="zh-CN"/>
        </w:rPr>
        <w:t>使专业职类的女性职员</w:t>
      </w:r>
      <w:r w:rsidRPr="008A7250">
        <w:rPr>
          <w:rFonts w:hint="eastAsia"/>
          <w:bCs/>
          <w:lang w:eastAsia="zh-CN"/>
        </w:rPr>
        <w:t>在总数中占比提高到</w:t>
      </w:r>
      <w:r>
        <w:rPr>
          <w:rFonts w:hint="eastAsia"/>
          <w:bCs/>
          <w:lang w:eastAsia="zh-CN"/>
        </w:rPr>
        <w:t>了</w:t>
      </w:r>
      <w:r w:rsidRPr="008A7250">
        <w:rPr>
          <w:rFonts w:hint="eastAsia"/>
          <w:bCs/>
          <w:lang w:eastAsia="zh-CN"/>
        </w:rPr>
        <w:t>39%</w:t>
      </w:r>
      <w:r w:rsidRPr="008A7250">
        <w:rPr>
          <w:rFonts w:hint="eastAsia"/>
          <w:bCs/>
          <w:lang w:eastAsia="zh-CN"/>
        </w:rPr>
        <w:t>。</w:t>
      </w:r>
      <w:r w:rsidRPr="008A7250">
        <w:rPr>
          <w:rFonts w:hint="eastAsia"/>
          <w:b/>
          <w:lang w:eastAsia="zh-CN"/>
        </w:rPr>
        <w:t>职员多样化、</w:t>
      </w:r>
      <w:r w:rsidRPr="008A7250">
        <w:rPr>
          <w:rFonts w:hint="eastAsia"/>
          <w:b/>
          <w:lang w:val="en-US" w:eastAsia="zh-CN"/>
        </w:rPr>
        <w:t>性别平等和女性赋能</w:t>
      </w:r>
      <w:r w:rsidRPr="008A7250">
        <w:rPr>
          <w:rFonts w:hint="eastAsia"/>
          <w:lang w:val="en-US" w:eastAsia="zh-CN"/>
        </w:rPr>
        <w:t>，依然是电信标准化局的一项重点工作</w:t>
      </w:r>
      <w:r w:rsidRPr="008A7250">
        <w:rPr>
          <w:rFonts w:hint="eastAsia"/>
          <w:bCs/>
          <w:lang w:eastAsia="zh-CN"/>
        </w:rPr>
        <w:t>。</w:t>
      </w:r>
    </w:p>
    <w:p w:rsidR="008F0C7E" w:rsidRPr="008A7250" w:rsidRDefault="005C570B" w:rsidP="005C570B">
      <w:pPr>
        <w:ind w:firstLineChars="196" w:firstLine="470"/>
        <w:rPr>
          <w:lang w:eastAsia="zh-CN"/>
        </w:rPr>
      </w:pPr>
      <w:r w:rsidRPr="005C570B">
        <w:rPr>
          <w:rFonts w:hint="eastAsia"/>
          <w:bCs/>
          <w:lang w:eastAsia="zh-CN"/>
        </w:rPr>
        <w:t>在几次国际和区域层面的</w:t>
      </w:r>
      <w:r>
        <w:rPr>
          <w:rFonts w:hint="eastAsia"/>
          <w:b/>
          <w:bCs/>
        </w:rPr>
        <w:t>首席技术官</w:t>
      </w:r>
      <w:r w:rsidR="00FF3CB5" w:rsidRPr="008A7250">
        <w:rPr>
          <w:rFonts w:hint="eastAsia"/>
          <w:b/>
          <w:bCs/>
        </w:rPr>
        <w:t>（</w:t>
      </w:r>
      <w:r w:rsidR="00FF3CB5" w:rsidRPr="008A7250">
        <w:rPr>
          <w:rFonts w:hint="eastAsia"/>
          <w:b/>
          <w:bCs/>
        </w:rPr>
        <w:t>CTO</w:t>
      </w:r>
      <w:r w:rsidR="00FF3CB5" w:rsidRPr="008A7250">
        <w:rPr>
          <w:rFonts w:hint="eastAsia"/>
          <w:b/>
          <w:bCs/>
        </w:rPr>
        <w:t>）</w:t>
      </w:r>
      <w:r>
        <w:rPr>
          <w:rFonts w:hint="eastAsia"/>
          <w:b/>
          <w:bCs/>
          <w:lang w:eastAsia="zh-CN"/>
        </w:rPr>
        <w:t>研究组</w:t>
      </w:r>
      <w:r w:rsidRPr="005C570B">
        <w:rPr>
          <w:rFonts w:hint="eastAsia"/>
          <w:bCs/>
          <w:lang w:eastAsia="zh-CN"/>
        </w:rPr>
        <w:t>会议上，</w:t>
      </w:r>
      <w:r>
        <w:rPr>
          <w:rFonts w:hint="eastAsia"/>
        </w:rPr>
        <w:t>汇集了行业管理人员，以突出</w:t>
      </w:r>
      <w:r>
        <w:rPr>
          <w:rFonts w:hint="eastAsia"/>
          <w:lang w:eastAsia="zh-CN"/>
        </w:rPr>
        <w:t>其</w:t>
      </w:r>
      <w:r w:rsidR="00FF3CB5" w:rsidRPr="008A7250">
        <w:rPr>
          <w:rFonts w:hint="eastAsia"/>
        </w:rPr>
        <w:t>业务重点和支持标准化战略。</w:t>
      </w:r>
    </w:p>
    <w:p w:rsidR="008F0C7E" w:rsidRPr="008A7250" w:rsidRDefault="005C570B" w:rsidP="009707FE">
      <w:pPr>
        <w:ind w:firstLineChars="200" w:firstLine="480"/>
        <w:rPr>
          <w:rFonts w:cstheme="minorBidi"/>
          <w:lang w:eastAsia="zh-CN"/>
        </w:rPr>
      </w:pPr>
      <w:r>
        <w:rPr>
          <w:rFonts w:hint="eastAsia"/>
          <w:lang w:eastAsia="zh-CN"/>
        </w:rPr>
        <w:t>在第三届</w:t>
      </w:r>
      <w:r w:rsidRPr="005C570B">
        <w:rPr>
          <w:rFonts w:hint="eastAsia"/>
          <w:b/>
          <w:lang w:eastAsia="zh-CN"/>
        </w:rPr>
        <w:t>全球标准专题研讨会（</w:t>
      </w:r>
      <w:r w:rsidRPr="005C570B">
        <w:rPr>
          <w:rFonts w:hint="eastAsia"/>
          <w:b/>
          <w:lang w:eastAsia="zh-CN"/>
        </w:rPr>
        <w:t>GSS</w:t>
      </w:r>
      <w:r w:rsidRPr="005C570B">
        <w:rPr>
          <w:rFonts w:hint="eastAsia"/>
          <w:b/>
          <w:lang w:eastAsia="zh-CN"/>
        </w:rPr>
        <w:t>）</w:t>
      </w:r>
      <w:r>
        <w:rPr>
          <w:rFonts w:hint="eastAsia"/>
          <w:lang w:eastAsia="zh-CN"/>
        </w:rPr>
        <w:t>上，</w:t>
      </w:r>
      <w:r w:rsidR="009707FE" w:rsidRPr="008A7250">
        <w:rPr>
          <w:rFonts w:hint="eastAsia"/>
        </w:rPr>
        <w:t>标准化领域的思想领袖汇聚一堂，就如何在标准工作中最好地顾及安全、隐私和诚信问题展开讨论。</w:t>
      </w:r>
      <w:r w:rsidR="009707FE" w:rsidRPr="008A7250">
        <w:rPr>
          <w:rFonts w:cstheme="minorBidi"/>
          <w:lang w:eastAsia="zh-CN"/>
        </w:rPr>
        <w:t>专题研讨会上的讨论将有助于国际电联履行</w:t>
      </w:r>
      <w:r>
        <w:rPr>
          <w:rFonts w:cstheme="minorBidi" w:hint="eastAsia"/>
          <w:lang w:eastAsia="zh-CN"/>
        </w:rPr>
        <w:t>其</w:t>
      </w:r>
      <w:r w:rsidR="009707FE" w:rsidRPr="008A7250">
        <w:rPr>
          <w:rFonts w:ascii="SimSun" w:hAnsi="SimSun" w:cstheme="minorBidi"/>
          <w:lang w:eastAsia="zh-CN"/>
        </w:rPr>
        <w:t>“</w:t>
      </w:r>
      <w:r w:rsidR="009707FE" w:rsidRPr="008A7250">
        <w:rPr>
          <w:rFonts w:cstheme="minorBidi"/>
          <w:lang w:eastAsia="zh-CN"/>
        </w:rPr>
        <w:t>树立使用</w:t>
      </w:r>
      <w:r>
        <w:rPr>
          <w:rFonts w:cstheme="minorBidi" w:hint="eastAsia"/>
          <w:lang w:eastAsia="zh-CN"/>
        </w:rPr>
        <w:t>信息通信技术</w:t>
      </w:r>
      <w:r w:rsidR="009707FE" w:rsidRPr="008A7250">
        <w:rPr>
          <w:rFonts w:cstheme="minorBidi"/>
          <w:lang w:eastAsia="zh-CN"/>
        </w:rPr>
        <w:t>的信心并提高其安全性</w:t>
      </w:r>
      <w:r w:rsidR="009707FE" w:rsidRPr="008A7250">
        <w:rPr>
          <w:rFonts w:ascii="SimSun" w:hAnsi="SimSun" w:cstheme="minorBidi"/>
          <w:lang w:eastAsia="zh-CN"/>
        </w:rPr>
        <w:t>”</w:t>
      </w:r>
      <w:r w:rsidR="009707FE" w:rsidRPr="008A7250">
        <w:rPr>
          <w:rFonts w:cstheme="minorBidi"/>
          <w:lang w:eastAsia="zh-CN"/>
        </w:rPr>
        <w:t>的职能，尤其是为</w:t>
      </w:r>
      <w:r>
        <w:rPr>
          <w:rFonts w:cstheme="minorBidi" w:hint="eastAsia"/>
          <w:lang w:eastAsia="zh-CN"/>
        </w:rPr>
        <w:t>发掘</w:t>
      </w:r>
      <w:r w:rsidR="009707FE" w:rsidRPr="008A7250">
        <w:rPr>
          <w:rFonts w:cstheme="minorBidi"/>
          <w:lang w:eastAsia="zh-CN"/>
        </w:rPr>
        <w:t>IMT-</w:t>
      </w:r>
      <w:r w:rsidR="009707FE" w:rsidRPr="008A7250">
        <w:rPr>
          <w:rFonts w:cstheme="minorBidi"/>
          <w:lang w:eastAsia="zh-CN"/>
        </w:rPr>
        <w:lastRenderedPageBreak/>
        <w:t>2020</w:t>
      </w:r>
      <w:r>
        <w:rPr>
          <w:rFonts w:cstheme="minorBidi" w:hint="eastAsia"/>
          <w:lang w:eastAsia="zh-CN"/>
        </w:rPr>
        <w:t>（</w:t>
      </w:r>
      <w:r>
        <w:rPr>
          <w:rFonts w:cstheme="minorBidi" w:hint="eastAsia"/>
          <w:lang w:eastAsia="zh-CN"/>
        </w:rPr>
        <w:t>5G</w:t>
      </w:r>
      <w:r>
        <w:rPr>
          <w:rFonts w:cstheme="minorBidi" w:hint="eastAsia"/>
          <w:lang w:eastAsia="zh-CN"/>
        </w:rPr>
        <w:t>）</w:t>
      </w:r>
      <w:r w:rsidR="009707FE" w:rsidRPr="008A7250">
        <w:rPr>
          <w:rFonts w:cstheme="minorBidi"/>
          <w:lang w:eastAsia="zh-CN"/>
        </w:rPr>
        <w:t>系统、物联网和智慧可持续城市巨大潜能所需的可信</w:t>
      </w:r>
      <w:r>
        <w:rPr>
          <w:rFonts w:cstheme="minorBidi" w:hint="eastAsia"/>
          <w:lang w:eastAsia="zh-CN"/>
        </w:rPr>
        <w:t>信息通信技术</w:t>
      </w:r>
      <w:r w:rsidR="009707FE" w:rsidRPr="008A7250">
        <w:rPr>
          <w:rFonts w:cstheme="minorBidi"/>
          <w:lang w:eastAsia="zh-CN"/>
        </w:rPr>
        <w:t>环境提供支持的职能。</w:t>
      </w:r>
    </w:p>
    <w:p w:rsidR="00360234" w:rsidRPr="00191141" w:rsidRDefault="00360234" w:rsidP="007F7BF8">
      <w:pPr>
        <w:ind w:firstLineChars="200" w:firstLine="482"/>
        <w:rPr>
          <w:lang w:eastAsia="zh-CN"/>
        </w:rPr>
      </w:pPr>
      <w:r w:rsidRPr="007F7BF8">
        <w:rPr>
          <w:b/>
          <w:lang w:eastAsia="zh-CN"/>
        </w:rPr>
        <w:t>国际电联和</w:t>
      </w:r>
      <w:r w:rsidRPr="007F7BF8">
        <w:rPr>
          <w:b/>
          <w:lang w:eastAsia="zh-CN"/>
        </w:rPr>
        <w:t>NGMN</w:t>
      </w:r>
      <w:r w:rsidRPr="007F7BF8">
        <w:rPr>
          <w:b/>
          <w:lang w:eastAsia="zh-CN"/>
        </w:rPr>
        <w:t>联盟</w:t>
      </w:r>
      <w:r w:rsidR="00323B20">
        <w:rPr>
          <w:lang w:eastAsia="zh-CN"/>
        </w:rPr>
        <w:t>签署了一项合作协议，正式确定</w:t>
      </w:r>
      <w:r w:rsidRPr="00191141">
        <w:rPr>
          <w:lang w:eastAsia="zh-CN"/>
        </w:rPr>
        <w:t>相互承诺开发下一代移动宽带技术，并确认</w:t>
      </w:r>
      <w:r w:rsidR="00323B20">
        <w:rPr>
          <w:lang w:eastAsia="zh-CN"/>
        </w:rPr>
        <w:t>NGMN</w:t>
      </w:r>
      <w:r w:rsidRPr="00191141">
        <w:rPr>
          <w:lang w:eastAsia="zh-CN"/>
        </w:rPr>
        <w:t>支持国际电联</w:t>
      </w:r>
      <w:r w:rsidR="00323B20">
        <w:rPr>
          <w:rFonts w:hint="eastAsia"/>
          <w:lang w:eastAsia="zh-CN"/>
        </w:rPr>
        <w:t>关于</w:t>
      </w:r>
      <w:r w:rsidRPr="00191141">
        <w:rPr>
          <w:lang w:eastAsia="zh-CN"/>
        </w:rPr>
        <w:t>5G</w:t>
      </w:r>
      <w:r w:rsidRPr="00191141">
        <w:rPr>
          <w:lang w:eastAsia="zh-CN"/>
        </w:rPr>
        <w:t>系统的国际标准化</w:t>
      </w:r>
      <w:r w:rsidR="00323B20">
        <w:rPr>
          <w:rFonts w:hint="eastAsia"/>
          <w:lang w:eastAsia="zh-CN"/>
        </w:rPr>
        <w:t>工作</w:t>
      </w:r>
      <w:r w:rsidRPr="00191141">
        <w:rPr>
          <w:lang w:eastAsia="zh-CN"/>
        </w:rPr>
        <w:t>。</w:t>
      </w:r>
    </w:p>
    <w:p w:rsidR="00323B20" w:rsidRDefault="00360234" w:rsidP="007F7BF8">
      <w:pPr>
        <w:ind w:firstLineChars="200" w:firstLine="482"/>
        <w:rPr>
          <w:lang w:eastAsia="zh-CN"/>
        </w:rPr>
      </w:pPr>
      <w:r w:rsidRPr="007F7BF8">
        <w:rPr>
          <w:b/>
          <w:lang w:eastAsia="zh-CN"/>
        </w:rPr>
        <w:t>ETSI</w:t>
      </w:r>
      <w:r w:rsidRPr="007F7BF8">
        <w:rPr>
          <w:b/>
          <w:lang w:eastAsia="zh-CN"/>
        </w:rPr>
        <w:t>和国际电联</w:t>
      </w:r>
      <w:r w:rsidR="00323B20">
        <w:rPr>
          <w:lang w:eastAsia="zh-CN"/>
        </w:rPr>
        <w:t>继续</w:t>
      </w:r>
      <w:r w:rsidR="00323B20">
        <w:rPr>
          <w:rFonts w:hint="eastAsia"/>
          <w:lang w:eastAsia="zh-CN"/>
        </w:rPr>
        <w:t>其</w:t>
      </w:r>
      <w:r w:rsidRPr="00191141">
        <w:rPr>
          <w:lang w:eastAsia="zh-CN"/>
        </w:rPr>
        <w:t>成功和强有力的合作，涉及</w:t>
      </w:r>
      <w:r w:rsidR="00323B20">
        <w:rPr>
          <w:rFonts w:hint="eastAsia"/>
          <w:lang w:eastAsia="zh-CN"/>
        </w:rPr>
        <w:t>第</w:t>
      </w:r>
      <w:r w:rsidR="00323B20">
        <w:rPr>
          <w:rFonts w:hint="eastAsia"/>
          <w:lang w:eastAsia="zh-CN"/>
        </w:rPr>
        <w:t>5</w:t>
      </w:r>
      <w:r w:rsidR="00323B20">
        <w:rPr>
          <w:rFonts w:hint="eastAsia"/>
          <w:lang w:eastAsia="zh-CN"/>
        </w:rPr>
        <w:t>研究组、第</w:t>
      </w:r>
      <w:r w:rsidR="00323B20">
        <w:rPr>
          <w:rFonts w:hint="eastAsia"/>
          <w:lang w:eastAsia="zh-CN"/>
        </w:rPr>
        <w:t>11</w:t>
      </w:r>
      <w:r w:rsidR="00323B20">
        <w:rPr>
          <w:rFonts w:hint="eastAsia"/>
          <w:lang w:eastAsia="zh-CN"/>
        </w:rPr>
        <w:t>研究组和第</w:t>
      </w:r>
      <w:r w:rsidR="00323B20">
        <w:rPr>
          <w:rFonts w:hint="eastAsia"/>
          <w:lang w:eastAsia="zh-CN"/>
        </w:rPr>
        <w:t>17</w:t>
      </w:r>
      <w:r w:rsidR="00323B20">
        <w:rPr>
          <w:rFonts w:hint="eastAsia"/>
          <w:lang w:eastAsia="zh-CN"/>
        </w:rPr>
        <w:t>研究组。</w:t>
      </w:r>
    </w:p>
    <w:p w:rsidR="001B7890" w:rsidRDefault="00CF3E89" w:rsidP="007F7BF8">
      <w:pPr>
        <w:ind w:firstLineChars="200" w:firstLine="480"/>
        <w:rPr>
          <w:rFonts w:asciiTheme="majorBidi" w:hAnsiTheme="majorBidi" w:cstheme="majorBidi"/>
          <w:color w:val="000000" w:themeColor="text1"/>
          <w:lang w:eastAsia="zh-CN"/>
        </w:rPr>
      </w:pPr>
      <w:r w:rsidRPr="00CF3E89">
        <w:rPr>
          <w:rFonts w:asciiTheme="majorBidi" w:hAnsiTheme="majorBidi" w:cstheme="majorBidi" w:hint="eastAsia"/>
          <w:color w:val="000000" w:themeColor="text1"/>
          <w:lang w:eastAsia="zh-CN"/>
        </w:rPr>
        <w:t>国际电</w:t>
      </w:r>
      <w:r w:rsidR="007A501F">
        <w:rPr>
          <w:rFonts w:asciiTheme="majorBidi" w:hAnsiTheme="majorBidi" w:cstheme="majorBidi" w:hint="eastAsia"/>
          <w:color w:val="000000" w:themeColor="text1"/>
          <w:lang w:eastAsia="zh-CN"/>
        </w:rPr>
        <w:t>联与世界银行和比尔·梅琳达·盖茨基金会合作，提出了一个新的、多方参与的</w:t>
      </w:r>
      <w:r w:rsidRPr="007A501F">
        <w:rPr>
          <w:rFonts w:asciiTheme="majorBidi" w:hAnsiTheme="majorBidi" w:cstheme="majorBidi" w:hint="eastAsia"/>
          <w:b/>
          <w:color w:val="000000" w:themeColor="text1"/>
          <w:lang w:eastAsia="zh-CN"/>
        </w:rPr>
        <w:t>金融包容性全球倡议（</w:t>
      </w:r>
      <w:r w:rsidRPr="007A501F">
        <w:rPr>
          <w:rFonts w:asciiTheme="majorBidi" w:hAnsiTheme="majorBidi" w:cstheme="majorBidi" w:hint="eastAsia"/>
          <w:b/>
          <w:color w:val="000000" w:themeColor="text1"/>
          <w:lang w:eastAsia="zh-CN"/>
        </w:rPr>
        <w:t>FIGI 3x3x3</w:t>
      </w:r>
      <w:r w:rsidRPr="007A501F">
        <w:rPr>
          <w:rFonts w:asciiTheme="majorBidi" w:hAnsiTheme="majorBidi" w:cstheme="majorBidi" w:hint="eastAsia"/>
          <w:b/>
          <w:color w:val="000000" w:themeColor="text1"/>
          <w:lang w:eastAsia="zh-CN"/>
        </w:rPr>
        <w:t>）</w:t>
      </w:r>
      <w:r w:rsidR="007A501F">
        <w:rPr>
          <w:rFonts w:asciiTheme="majorBidi" w:hAnsiTheme="majorBidi" w:cstheme="majorBidi" w:hint="eastAsia"/>
          <w:color w:val="000000" w:themeColor="text1"/>
          <w:lang w:eastAsia="zh-CN"/>
        </w:rPr>
        <w:t>，旨在加速推进</w:t>
      </w:r>
      <w:r w:rsidRPr="00CF3E89">
        <w:rPr>
          <w:rFonts w:asciiTheme="majorBidi" w:hAnsiTheme="majorBidi" w:cstheme="majorBidi" w:hint="eastAsia"/>
          <w:color w:val="000000" w:themeColor="text1"/>
          <w:lang w:eastAsia="zh-CN"/>
        </w:rPr>
        <w:t>金融服务</w:t>
      </w:r>
      <w:r w:rsidR="007A501F">
        <w:rPr>
          <w:rFonts w:asciiTheme="majorBidi" w:hAnsiTheme="majorBidi" w:cstheme="majorBidi" w:hint="eastAsia"/>
          <w:color w:val="000000" w:themeColor="text1"/>
          <w:lang w:eastAsia="zh-CN"/>
        </w:rPr>
        <w:t>的普遍接入</w:t>
      </w:r>
      <w:r w:rsidRPr="00CF3E89">
        <w:rPr>
          <w:rFonts w:asciiTheme="majorBidi" w:hAnsiTheme="majorBidi" w:cstheme="majorBidi" w:hint="eastAsia"/>
          <w:color w:val="000000" w:themeColor="text1"/>
          <w:lang w:eastAsia="zh-CN"/>
        </w:rPr>
        <w:t>，以实施</w:t>
      </w:r>
      <w:r w:rsidR="007A501F" w:rsidRPr="00CF3E89">
        <w:rPr>
          <w:rFonts w:asciiTheme="majorBidi" w:hAnsiTheme="majorBidi" w:cstheme="majorBidi" w:hint="eastAsia"/>
          <w:color w:val="000000" w:themeColor="text1"/>
          <w:lang w:eastAsia="zh-CN"/>
        </w:rPr>
        <w:t>数字金融服务</w:t>
      </w:r>
      <w:r w:rsidRPr="00CF3E89">
        <w:rPr>
          <w:rFonts w:asciiTheme="majorBidi" w:hAnsiTheme="majorBidi" w:cstheme="majorBidi" w:hint="eastAsia"/>
          <w:color w:val="000000" w:themeColor="text1"/>
          <w:lang w:eastAsia="zh-CN"/>
        </w:rPr>
        <w:t>焦点组的建议</w:t>
      </w:r>
      <w:r w:rsidR="007A501F">
        <w:rPr>
          <w:rFonts w:asciiTheme="majorBidi" w:hAnsiTheme="majorBidi" w:cstheme="majorBidi" w:hint="eastAsia"/>
          <w:color w:val="000000" w:themeColor="text1"/>
          <w:lang w:eastAsia="zh-CN"/>
        </w:rPr>
        <w:t>、世界银行和</w:t>
      </w:r>
      <w:r w:rsidRPr="00CF3E89">
        <w:rPr>
          <w:rFonts w:asciiTheme="majorBidi" w:hAnsiTheme="majorBidi" w:cstheme="majorBidi" w:hint="eastAsia"/>
          <w:color w:val="000000" w:themeColor="text1"/>
          <w:lang w:eastAsia="zh-CN"/>
        </w:rPr>
        <w:t>CPMI</w:t>
      </w:r>
      <w:r w:rsidR="007A501F">
        <w:rPr>
          <w:rFonts w:asciiTheme="majorBidi" w:hAnsiTheme="majorBidi" w:cstheme="majorBidi" w:hint="eastAsia"/>
          <w:color w:val="000000" w:themeColor="text1"/>
          <w:lang w:eastAsia="zh-CN"/>
        </w:rPr>
        <w:t>金融包容性支付问题的报告以及</w:t>
      </w:r>
      <w:r w:rsidRPr="00CF3E89">
        <w:rPr>
          <w:rFonts w:asciiTheme="majorBidi" w:hAnsiTheme="majorBidi" w:cstheme="majorBidi" w:hint="eastAsia"/>
          <w:color w:val="000000" w:themeColor="text1"/>
          <w:lang w:eastAsia="zh-CN"/>
        </w:rPr>
        <w:t>盖茨基金会</w:t>
      </w:r>
      <w:r w:rsidR="007A501F">
        <w:rPr>
          <w:rFonts w:asciiTheme="majorBidi" w:hAnsiTheme="majorBidi" w:cstheme="majorBidi" w:hint="eastAsia"/>
          <w:color w:val="000000" w:themeColor="text1"/>
          <w:lang w:eastAsia="zh-CN"/>
        </w:rPr>
        <w:t>的</w:t>
      </w:r>
      <w:r w:rsidRPr="00CF3E89">
        <w:rPr>
          <w:rFonts w:asciiTheme="majorBidi" w:hAnsiTheme="majorBidi" w:cstheme="majorBidi" w:hint="eastAsia"/>
          <w:color w:val="000000" w:themeColor="text1"/>
          <w:lang w:eastAsia="zh-CN"/>
        </w:rPr>
        <w:t>一级项目。</w:t>
      </w:r>
    </w:p>
    <w:p w:rsidR="00CF3E89" w:rsidRPr="00191141" w:rsidRDefault="007A501F" w:rsidP="007F7BF8">
      <w:pPr>
        <w:pStyle w:val="NormalWeb"/>
        <w:shd w:val="clear" w:color="auto" w:fill="FFFFFF"/>
        <w:spacing w:before="120"/>
        <w:ind w:firstLineChars="200" w:firstLine="480"/>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国际电联已</w:t>
      </w:r>
      <w:r w:rsidR="00CF3E89" w:rsidRPr="00191141">
        <w:rPr>
          <w:rFonts w:asciiTheme="majorBidi" w:hAnsiTheme="majorBidi" w:cstheme="majorBidi"/>
          <w:color w:val="000000" w:themeColor="text1"/>
          <w:sz w:val="24"/>
          <w:szCs w:val="24"/>
          <w:lang w:val="en-GB"/>
        </w:rPr>
        <w:t>与</w:t>
      </w:r>
      <w:r w:rsidR="00CF3E89" w:rsidRPr="007A501F">
        <w:rPr>
          <w:rFonts w:asciiTheme="majorBidi" w:hAnsiTheme="majorBidi" w:cstheme="majorBidi"/>
          <w:b/>
          <w:color w:val="000000" w:themeColor="text1"/>
          <w:sz w:val="24"/>
          <w:szCs w:val="24"/>
          <w:lang w:val="en-GB"/>
        </w:rPr>
        <w:t>欧洲电工技术标准化委员会（</w:t>
      </w:r>
      <w:r w:rsidR="00CF3E89" w:rsidRPr="007A501F">
        <w:rPr>
          <w:rFonts w:asciiTheme="majorBidi" w:hAnsiTheme="majorBidi" w:cstheme="majorBidi"/>
          <w:b/>
          <w:color w:val="000000" w:themeColor="text1"/>
          <w:sz w:val="24"/>
          <w:szCs w:val="24"/>
          <w:lang w:val="en-GB"/>
        </w:rPr>
        <w:t>CENELEC</w:t>
      </w:r>
      <w:r w:rsidR="00CF3E89" w:rsidRPr="007A501F">
        <w:rPr>
          <w:rFonts w:asciiTheme="majorBidi" w:hAnsiTheme="majorBidi" w:cstheme="majorBidi"/>
          <w:b/>
          <w:color w:val="000000" w:themeColor="text1"/>
          <w:sz w:val="24"/>
          <w:szCs w:val="24"/>
          <w:lang w:val="en-GB"/>
        </w:rPr>
        <w:t>）</w:t>
      </w:r>
      <w:r w:rsidR="00CF3E89" w:rsidRPr="00191141">
        <w:rPr>
          <w:rFonts w:asciiTheme="majorBidi" w:hAnsiTheme="majorBidi" w:cstheme="majorBidi"/>
          <w:color w:val="000000" w:themeColor="text1"/>
          <w:sz w:val="24"/>
          <w:szCs w:val="24"/>
          <w:lang w:val="en-GB"/>
        </w:rPr>
        <w:t>和</w:t>
      </w:r>
      <w:r w:rsidR="00CF3E89" w:rsidRPr="007A501F">
        <w:rPr>
          <w:rFonts w:asciiTheme="majorBidi" w:hAnsiTheme="majorBidi" w:cstheme="majorBidi"/>
          <w:b/>
          <w:color w:val="000000" w:themeColor="text1"/>
          <w:sz w:val="24"/>
          <w:szCs w:val="24"/>
          <w:lang w:val="en-GB"/>
        </w:rPr>
        <w:t>欧洲标准化委员会（</w:t>
      </w:r>
      <w:r w:rsidR="00CF3E89" w:rsidRPr="007A501F">
        <w:rPr>
          <w:rFonts w:asciiTheme="majorBidi" w:hAnsiTheme="majorBidi" w:cstheme="majorBidi"/>
          <w:b/>
          <w:color w:val="000000" w:themeColor="text1"/>
          <w:sz w:val="24"/>
          <w:szCs w:val="24"/>
          <w:lang w:val="en-GB"/>
        </w:rPr>
        <w:t>CEN</w:t>
      </w:r>
      <w:r w:rsidR="00CF3E89" w:rsidRPr="007A501F">
        <w:rPr>
          <w:rFonts w:asciiTheme="majorBidi" w:hAnsiTheme="majorBidi" w:cstheme="majorBidi"/>
          <w:b/>
          <w:color w:val="000000" w:themeColor="text1"/>
          <w:sz w:val="24"/>
          <w:szCs w:val="24"/>
          <w:lang w:val="en-GB"/>
        </w:rPr>
        <w:t>）</w:t>
      </w:r>
      <w:r>
        <w:rPr>
          <w:rFonts w:asciiTheme="majorBidi" w:hAnsiTheme="majorBidi" w:cstheme="majorBidi"/>
          <w:color w:val="000000" w:themeColor="text1"/>
          <w:sz w:val="24"/>
          <w:szCs w:val="24"/>
          <w:lang w:val="en-GB"/>
        </w:rPr>
        <w:t>签署一项合作协议，</w:t>
      </w:r>
      <w:r>
        <w:rPr>
          <w:rFonts w:asciiTheme="majorBidi" w:hAnsiTheme="majorBidi" w:cstheme="majorBidi" w:hint="eastAsia"/>
          <w:color w:val="000000" w:themeColor="text1"/>
          <w:sz w:val="24"/>
          <w:szCs w:val="24"/>
          <w:lang w:val="en-GB"/>
        </w:rPr>
        <w:t>当中的</w:t>
      </w:r>
      <w:r w:rsidR="00CF3E89" w:rsidRPr="00191141">
        <w:rPr>
          <w:rFonts w:asciiTheme="majorBidi" w:hAnsiTheme="majorBidi" w:cstheme="majorBidi"/>
          <w:color w:val="000000" w:themeColor="text1"/>
          <w:sz w:val="24"/>
          <w:szCs w:val="24"/>
          <w:lang w:val="en-GB"/>
        </w:rPr>
        <w:t>三个签署方</w:t>
      </w:r>
      <w:r>
        <w:rPr>
          <w:rFonts w:asciiTheme="majorBidi" w:hAnsiTheme="majorBidi" w:cstheme="majorBidi" w:hint="eastAsia"/>
          <w:color w:val="000000" w:themeColor="text1"/>
          <w:sz w:val="24"/>
          <w:szCs w:val="24"/>
          <w:lang w:val="en-GB"/>
        </w:rPr>
        <w:t>均</w:t>
      </w:r>
      <w:r w:rsidR="00CF3E89" w:rsidRPr="00191141">
        <w:rPr>
          <w:rFonts w:asciiTheme="majorBidi" w:hAnsiTheme="majorBidi" w:cstheme="majorBidi"/>
          <w:color w:val="000000" w:themeColor="text1"/>
          <w:sz w:val="24"/>
          <w:szCs w:val="24"/>
          <w:lang w:val="en-GB"/>
        </w:rPr>
        <w:t>表示有意在相互</w:t>
      </w:r>
      <w:r>
        <w:rPr>
          <w:rFonts w:asciiTheme="majorBidi" w:hAnsiTheme="majorBidi" w:cstheme="majorBidi" w:hint="eastAsia"/>
          <w:color w:val="000000" w:themeColor="text1"/>
          <w:sz w:val="24"/>
          <w:szCs w:val="24"/>
          <w:lang w:val="en-GB"/>
        </w:rPr>
        <w:t>感兴趣的</w:t>
      </w:r>
      <w:r w:rsidR="00CF3E89" w:rsidRPr="00191141">
        <w:rPr>
          <w:rFonts w:asciiTheme="majorBidi" w:hAnsiTheme="majorBidi" w:cstheme="majorBidi"/>
          <w:color w:val="000000" w:themeColor="text1"/>
          <w:sz w:val="24"/>
          <w:szCs w:val="24"/>
          <w:lang w:val="en-GB"/>
        </w:rPr>
        <w:t>领域</w:t>
      </w:r>
      <w:r>
        <w:rPr>
          <w:rFonts w:asciiTheme="majorBidi" w:hAnsiTheme="majorBidi" w:cstheme="majorBidi" w:hint="eastAsia"/>
          <w:color w:val="000000" w:themeColor="text1"/>
          <w:sz w:val="24"/>
          <w:szCs w:val="24"/>
          <w:lang w:val="en-GB"/>
        </w:rPr>
        <w:t>、在</w:t>
      </w:r>
      <w:r>
        <w:rPr>
          <w:rFonts w:asciiTheme="majorBidi" w:hAnsiTheme="majorBidi" w:cstheme="majorBidi"/>
          <w:color w:val="000000" w:themeColor="text1"/>
          <w:sz w:val="24"/>
          <w:szCs w:val="24"/>
          <w:lang w:val="en-GB"/>
        </w:rPr>
        <w:t>高层次，非排他框架内</w:t>
      </w:r>
      <w:r>
        <w:rPr>
          <w:rFonts w:asciiTheme="majorBidi" w:hAnsiTheme="majorBidi" w:cstheme="majorBidi" w:hint="eastAsia"/>
          <w:color w:val="000000" w:themeColor="text1"/>
          <w:sz w:val="24"/>
          <w:szCs w:val="24"/>
          <w:lang w:val="en-GB"/>
        </w:rPr>
        <w:t>开展</w:t>
      </w:r>
      <w:r w:rsidR="00CF3E89" w:rsidRPr="00191141">
        <w:rPr>
          <w:rFonts w:asciiTheme="majorBidi" w:hAnsiTheme="majorBidi" w:cstheme="majorBidi"/>
          <w:color w:val="000000" w:themeColor="text1"/>
          <w:sz w:val="24"/>
          <w:szCs w:val="24"/>
          <w:lang w:val="en-GB"/>
        </w:rPr>
        <w:t>合作</w:t>
      </w:r>
      <w:r>
        <w:rPr>
          <w:rFonts w:asciiTheme="majorBidi" w:hAnsiTheme="majorBidi" w:cstheme="majorBidi" w:hint="eastAsia"/>
          <w:color w:val="000000" w:themeColor="text1"/>
          <w:sz w:val="24"/>
          <w:szCs w:val="24"/>
          <w:lang w:val="en-GB"/>
        </w:rPr>
        <w:t>，如关于</w:t>
      </w:r>
      <w:r>
        <w:rPr>
          <w:rFonts w:asciiTheme="majorBidi" w:hAnsiTheme="majorBidi" w:cstheme="majorBidi"/>
          <w:color w:val="000000" w:themeColor="text1"/>
          <w:sz w:val="24"/>
          <w:szCs w:val="24"/>
          <w:lang w:val="en-GB"/>
        </w:rPr>
        <w:t>物联网和</w:t>
      </w:r>
      <w:r>
        <w:rPr>
          <w:rFonts w:asciiTheme="majorBidi" w:hAnsiTheme="majorBidi" w:cstheme="majorBidi" w:hint="eastAsia"/>
          <w:color w:val="000000" w:themeColor="text1"/>
          <w:sz w:val="24"/>
          <w:szCs w:val="24"/>
          <w:lang w:val="en-GB"/>
        </w:rPr>
        <w:t>智慧</w:t>
      </w:r>
      <w:r>
        <w:rPr>
          <w:rFonts w:asciiTheme="majorBidi" w:hAnsiTheme="majorBidi" w:cstheme="majorBidi"/>
          <w:color w:val="000000" w:themeColor="text1"/>
          <w:sz w:val="24"/>
          <w:szCs w:val="24"/>
          <w:lang w:val="en-GB"/>
        </w:rPr>
        <w:t>可持续城市的标准化活动</w:t>
      </w:r>
      <w:r>
        <w:rPr>
          <w:rFonts w:asciiTheme="majorBidi" w:hAnsiTheme="majorBidi" w:cstheme="majorBidi" w:hint="eastAsia"/>
          <w:color w:val="000000" w:themeColor="text1"/>
          <w:sz w:val="24"/>
          <w:szCs w:val="24"/>
          <w:lang w:val="en-GB"/>
        </w:rPr>
        <w:t>、</w:t>
      </w:r>
      <w:r>
        <w:rPr>
          <w:rFonts w:asciiTheme="majorBidi" w:hAnsiTheme="majorBidi" w:cstheme="majorBidi"/>
          <w:color w:val="000000" w:themeColor="text1"/>
          <w:sz w:val="24"/>
          <w:szCs w:val="24"/>
          <w:lang w:val="en-GB"/>
        </w:rPr>
        <w:t>信任</w:t>
      </w:r>
      <w:r>
        <w:rPr>
          <w:rFonts w:asciiTheme="majorBidi" w:hAnsiTheme="majorBidi" w:cstheme="majorBidi" w:hint="eastAsia"/>
          <w:color w:val="000000" w:themeColor="text1"/>
          <w:sz w:val="24"/>
          <w:szCs w:val="24"/>
          <w:lang w:val="en-GB"/>
        </w:rPr>
        <w:t>、</w:t>
      </w:r>
      <w:r w:rsidR="00CF3E89" w:rsidRPr="00191141">
        <w:rPr>
          <w:rFonts w:asciiTheme="majorBidi" w:hAnsiTheme="majorBidi" w:cstheme="majorBidi"/>
          <w:color w:val="000000" w:themeColor="text1"/>
          <w:sz w:val="24"/>
          <w:szCs w:val="24"/>
          <w:lang w:val="en-GB"/>
        </w:rPr>
        <w:t>技术标准隐私设计</w:t>
      </w:r>
      <w:r>
        <w:rPr>
          <w:rFonts w:asciiTheme="majorBidi" w:hAnsiTheme="majorBidi" w:cstheme="majorBidi" w:hint="eastAsia"/>
          <w:color w:val="000000" w:themeColor="text1"/>
          <w:sz w:val="24"/>
          <w:szCs w:val="24"/>
          <w:lang w:val="en-GB"/>
        </w:rPr>
        <w:t>、</w:t>
      </w:r>
      <w:r w:rsidR="00CF3E89" w:rsidRPr="00191141">
        <w:rPr>
          <w:rFonts w:asciiTheme="majorBidi" w:hAnsiTheme="majorBidi" w:cstheme="majorBidi"/>
          <w:color w:val="000000" w:themeColor="text1"/>
          <w:sz w:val="24"/>
          <w:szCs w:val="24"/>
          <w:lang w:val="en-GB"/>
        </w:rPr>
        <w:t>网络</w:t>
      </w:r>
      <w:r>
        <w:rPr>
          <w:rFonts w:asciiTheme="majorBidi" w:hAnsiTheme="majorBidi" w:cstheme="majorBidi" w:hint="eastAsia"/>
          <w:color w:val="000000" w:themeColor="text1"/>
          <w:sz w:val="24"/>
          <w:szCs w:val="24"/>
          <w:lang w:val="en-GB"/>
        </w:rPr>
        <w:t>空间</w:t>
      </w:r>
      <w:r w:rsidR="00CF3E89" w:rsidRPr="00191141">
        <w:rPr>
          <w:rFonts w:asciiTheme="majorBidi" w:hAnsiTheme="majorBidi" w:cstheme="majorBidi"/>
          <w:color w:val="000000" w:themeColor="text1"/>
          <w:sz w:val="24"/>
          <w:szCs w:val="24"/>
          <w:lang w:val="en-GB"/>
        </w:rPr>
        <w:t>安全以及移动性和智能交通系统（</w:t>
      </w:r>
      <w:r w:rsidR="00CF3E89" w:rsidRPr="00191141">
        <w:rPr>
          <w:rFonts w:asciiTheme="majorBidi" w:hAnsiTheme="majorBidi" w:cstheme="majorBidi"/>
          <w:color w:val="000000" w:themeColor="text1"/>
          <w:sz w:val="24"/>
          <w:szCs w:val="24"/>
          <w:lang w:val="en-GB"/>
        </w:rPr>
        <w:t>ITS</w:t>
      </w:r>
      <w:r w:rsidR="00CF3E89" w:rsidRPr="00191141">
        <w:rPr>
          <w:rFonts w:asciiTheme="majorBidi" w:hAnsiTheme="majorBidi" w:cstheme="majorBidi"/>
          <w:color w:val="000000" w:themeColor="text1"/>
          <w:sz w:val="24"/>
          <w:szCs w:val="24"/>
          <w:lang w:val="en-GB"/>
        </w:rPr>
        <w:t>）通信标准等</w:t>
      </w:r>
      <w:r>
        <w:rPr>
          <w:rFonts w:asciiTheme="majorBidi" w:hAnsiTheme="majorBidi" w:cstheme="majorBidi" w:hint="eastAsia"/>
          <w:color w:val="000000" w:themeColor="text1"/>
          <w:sz w:val="24"/>
          <w:szCs w:val="24"/>
          <w:lang w:val="en-GB"/>
        </w:rPr>
        <w:t>；</w:t>
      </w:r>
      <w:r>
        <w:rPr>
          <w:rFonts w:asciiTheme="majorBidi" w:hAnsiTheme="majorBidi" w:cstheme="majorBidi"/>
          <w:color w:val="000000" w:themeColor="text1"/>
          <w:sz w:val="24"/>
          <w:szCs w:val="24"/>
          <w:lang w:val="en-GB"/>
        </w:rPr>
        <w:t>并允许在三个组织</w:t>
      </w:r>
      <w:r w:rsidR="00CF3E89" w:rsidRPr="00191141">
        <w:rPr>
          <w:rFonts w:asciiTheme="majorBidi" w:hAnsiTheme="majorBidi" w:cstheme="majorBidi"/>
          <w:color w:val="000000" w:themeColor="text1"/>
          <w:sz w:val="24"/>
          <w:szCs w:val="24"/>
          <w:lang w:val="en-GB"/>
        </w:rPr>
        <w:t>间交换相关</w:t>
      </w:r>
      <w:r>
        <w:rPr>
          <w:rFonts w:asciiTheme="majorBidi" w:hAnsiTheme="majorBidi" w:cstheme="majorBidi" w:hint="eastAsia"/>
          <w:color w:val="000000" w:themeColor="text1"/>
          <w:sz w:val="24"/>
          <w:szCs w:val="24"/>
          <w:lang w:val="en-GB"/>
        </w:rPr>
        <w:t>的</w:t>
      </w:r>
      <w:r w:rsidR="00CF3E89" w:rsidRPr="00191141">
        <w:rPr>
          <w:rFonts w:asciiTheme="majorBidi" w:hAnsiTheme="majorBidi" w:cstheme="majorBidi"/>
          <w:color w:val="000000" w:themeColor="text1"/>
          <w:sz w:val="24"/>
          <w:szCs w:val="24"/>
          <w:lang w:val="en-GB"/>
        </w:rPr>
        <w:t>信息。</w:t>
      </w:r>
    </w:p>
    <w:p w:rsidR="008F0C7E" w:rsidRPr="008A7250" w:rsidRDefault="00CF3E89" w:rsidP="008F0C7E">
      <w:pPr>
        <w:spacing w:before="240"/>
        <w:rPr>
          <w:b/>
          <w:bCs/>
          <w:i/>
          <w:iCs/>
        </w:rPr>
      </w:pPr>
      <w:r>
        <w:rPr>
          <w:rFonts w:eastAsia="STKaiti" w:hint="eastAsia"/>
          <w:b/>
          <w:bCs/>
          <w:lang w:eastAsia="zh-CN"/>
        </w:rPr>
        <w:t>国际电联</w:t>
      </w:r>
      <w:r w:rsidR="004E7461" w:rsidRPr="008A7250">
        <w:rPr>
          <w:rFonts w:eastAsia="STKaiti" w:hint="eastAsia"/>
          <w:b/>
          <w:bCs/>
          <w:lang w:eastAsia="zh-CN"/>
        </w:rPr>
        <w:t>标准化平台</w:t>
      </w:r>
    </w:p>
    <w:p w:rsidR="00CF3E89" w:rsidRPr="00191141" w:rsidRDefault="00CF3E89" w:rsidP="00AB6E2A">
      <w:pPr>
        <w:ind w:firstLineChars="200" w:firstLine="480"/>
        <w:rPr>
          <w:lang w:val="en-US" w:eastAsia="zh-CN"/>
        </w:rPr>
      </w:pPr>
      <w:r w:rsidRPr="00191141">
        <w:rPr>
          <w:lang w:val="en-US" w:eastAsia="zh-CN"/>
        </w:rPr>
        <w:t>2011</w:t>
      </w:r>
      <w:r w:rsidRPr="00191141">
        <w:rPr>
          <w:lang w:val="en-US" w:eastAsia="zh-CN"/>
        </w:rPr>
        <w:t>年</w:t>
      </w:r>
      <w:r w:rsidRPr="00191141">
        <w:rPr>
          <w:lang w:val="en-US" w:eastAsia="zh-CN"/>
        </w:rPr>
        <w:t>2</w:t>
      </w:r>
      <w:r w:rsidRPr="00191141">
        <w:rPr>
          <w:lang w:val="en-US" w:eastAsia="zh-CN"/>
        </w:rPr>
        <w:t>月</w:t>
      </w:r>
      <w:r w:rsidRPr="00191141">
        <w:rPr>
          <w:lang w:val="en-US" w:eastAsia="zh-CN"/>
        </w:rPr>
        <w:t>28</w:t>
      </w:r>
      <w:r w:rsidRPr="00191141">
        <w:rPr>
          <w:lang w:val="en-US" w:eastAsia="zh-CN"/>
        </w:rPr>
        <w:t>日，</w:t>
      </w:r>
      <w:r w:rsidRPr="00A76EE6">
        <w:rPr>
          <w:b/>
          <w:bCs/>
          <w:lang w:val="en-US" w:eastAsia="zh-CN"/>
        </w:rPr>
        <w:t>ITU-T</w:t>
      </w:r>
      <w:r w:rsidR="00AB6E2A" w:rsidRPr="00A76EE6">
        <w:rPr>
          <w:b/>
          <w:bCs/>
          <w:lang w:val="en-US" w:eastAsia="zh-CN"/>
        </w:rPr>
        <w:t>成员</w:t>
      </w:r>
      <w:r w:rsidR="00AB6E2A" w:rsidRPr="00A76EE6">
        <w:rPr>
          <w:rFonts w:hint="eastAsia"/>
          <w:b/>
          <w:bCs/>
          <w:lang w:val="en-US" w:eastAsia="zh-CN"/>
        </w:rPr>
        <w:t>数量</w:t>
      </w:r>
      <w:r w:rsidRPr="00A76EE6">
        <w:rPr>
          <w:b/>
          <w:bCs/>
          <w:lang w:val="en-US" w:eastAsia="zh-CN"/>
        </w:rPr>
        <w:t>增长</w:t>
      </w:r>
      <w:r w:rsidR="00AB6E2A" w:rsidRPr="00A76EE6">
        <w:rPr>
          <w:rFonts w:hint="eastAsia"/>
          <w:lang w:val="en-US" w:eastAsia="zh-CN"/>
        </w:rPr>
        <w:t>势头</w:t>
      </w:r>
      <w:r w:rsidRPr="00A76EE6">
        <w:rPr>
          <w:lang w:val="en-US" w:eastAsia="zh-CN"/>
        </w:rPr>
        <w:t>保持良好</w:t>
      </w:r>
      <w:r w:rsidRPr="00191141">
        <w:rPr>
          <w:lang w:val="en-US" w:eastAsia="zh-CN"/>
        </w:rPr>
        <w:t>，</w:t>
      </w:r>
      <w:r w:rsidR="00AB6E2A">
        <w:rPr>
          <w:rFonts w:hint="eastAsia"/>
          <w:lang w:val="en-US" w:eastAsia="zh-CN"/>
        </w:rPr>
        <w:t>现</w:t>
      </w:r>
      <w:r w:rsidRPr="00191141">
        <w:rPr>
          <w:lang w:val="en-US" w:eastAsia="zh-CN"/>
        </w:rPr>
        <w:t>共有</w:t>
      </w:r>
      <w:r w:rsidRPr="00191141">
        <w:rPr>
          <w:lang w:val="en-US" w:eastAsia="zh-CN"/>
        </w:rPr>
        <w:t>536</w:t>
      </w:r>
      <w:r w:rsidR="00AB6E2A">
        <w:rPr>
          <w:lang w:val="en-US" w:eastAsia="zh-CN"/>
        </w:rPr>
        <w:t>名成员，</w:t>
      </w:r>
      <w:r w:rsidR="00AB6E2A">
        <w:rPr>
          <w:rFonts w:hint="eastAsia"/>
          <w:lang w:val="en-US" w:eastAsia="zh-CN"/>
        </w:rPr>
        <w:t>相比</w:t>
      </w:r>
      <w:r w:rsidRPr="00191141">
        <w:rPr>
          <w:lang w:val="en-US" w:eastAsia="zh-CN"/>
        </w:rPr>
        <w:t>2016</w:t>
      </w:r>
      <w:r w:rsidRPr="00191141">
        <w:rPr>
          <w:lang w:val="en-US" w:eastAsia="zh-CN"/>
        </w:rPr>
        <w:t>年</w:t>
      </w:r>
      <w:r w:rsidRPr="00191141">
        <w:rPr>
          <w:lang w:val="en-US" w:eastAsia="zh-CN"/>
        </w:rPr>
        <w:t>10</w:t>
      </w:r>
      <w:r w:rsidRPr="00191141">
        <w:rPr>
          <w:lang w:val="en-US" w:eastAsia="zh-CN"/>
        </w:rPr>
        <w:t>月</w:t>
      </w:r>
      <w:r w:rsidRPr="00191141">
        <w:rPr>
          <w:lang w:val="en-US" w:eastAsia="zh-CN"/>
        </w:rPr>
        <w:t>31</w:t>
      </w:r>
      <w:r w:rsidRPr="00191141">
        <w:rPr>
          <w:lang w:val="en-US" w:eastAsia="zh-CN"/>
        </w:rPr>
        <w:t>日</w:t>
      </w:r>
      <w:r w:rsidR="00AB6E2A">
        <w:rPr>
          <w:rFonts w:hint="eastAsia"/>
          <w:lang w:val="en-US" w:eastAsia="zh-CN"/>
        </w:rPr>
        <w:t>记录</w:t>
      </w:r>
      <w:r w:rsidRPr="00191141">
        <w:rPr>
          <w:lang w:val="en-US" w:eastAsia="zh-CN"/>
        </w:rPr>
        <w:t>的</w:t>
      </w:r>
      <w:r w:rsidRPr="00191141">
        <w:rPr>
          <w:lang w:val="en-US" w:eastAsia="zh-CN"/>
        </w:rPr>
        <w:t>531</w:t>
      </w:r>
      <w:r w:rsidR="00AB6E2A">
        <w:rPr>
          <w:lang w:val="en-US" w:eastAsia="zh-CN"/>
        </w:rPr>
        <w:t>名成员</w:t>
      </w:r>
      <w:r w:rsidR="00AB6E2A">
        <w:rPr>
          <w:rFonts w:hint="eastAsia"/>
          <w:lang w:val="en-US" w:eastAsia="zh-CN"/>
        </w:rPr>
        <w:t>有了新的增长</w:t>
      </w:r>
      <w:r w:rsidRPr="00191141">
        <w:rPr>
          <w:lang w:val="en-US" w:eastAsia="zh-CN"/>
        </w:rPr>
        <w:t>。总体而言，去年</w:t>
      </w:r>
      <w:r w:rsidRPr="00191141">
        <w:rPr>
          <w:lang w:val="en-US" w:eastAsia="zh-CN"/>
        </w:rPr>
        <w:t>10</w:t>
      </w:r>
      <w:r w:rsidRPr="00191141">
        <w:rPr>
          <w:lang w:val="en-US" w:eastAsia="zh-CN"/>
        </w:rPr>
        <w:t>月</w:t>
      </w:r>
      <w:r w:rsidRPr="00191141">
        <w:rPr>
          <w:lang w:val="en-US" w:eastAsia="zh-CN"/>
        </w:rPr>
        <w:t>31</w:t>
      </w:r>
      <w:r w:rsidRPr="00191141">
        <w:rPr>
          <w:lang w:val="en-US" w:eastAsia="zh-CN"/>
        </w:rPr>
        <w:t>日以来，</w:t>
      </w:r>
      <w:r w:rsidRPr="00191141">
        <w:rPr>
          <w:lang w:val="en-US" w:eastAsia="zh-CN"/>
        </w:rPr>
        <w:t>ITU-T</w:t>
      </w:r>
      <w:r w:rsidRPr="00191141">
        <w:rPr>
          <w:lang w:val="en-US" w:eastAsia="zh-CN"/>
        </w:rPr>
        <w:t>增加了</w:t>
      </w:r>
      <w:r w:rsidRPr="00AB6E2A">
        <w:rPr>
          <w:b/>
          <w:lang w:val="en-US" w:eastAsia="zh-CN"/>
        </w:rPr>
        <w:t>22</w:t>
      </w:r>
      <w:r w:rsidRPr="00AB6E2A">
        <w:rPr>
          <w:b/>
          <w:lang w:val="en-US" w:eastAsia="zh-CN"/>
        </w:rPr>
        <w:t>名新成员</w:t>
      </w:r>
      <w:r w:rsidR="00AB6E2A">
        <w:rPr>
          <w:lang w:val="en-US" w:eastAsia="zh-CN"/>
        </w:rPr>
        <w:t>。</w:t>
      </w:r>
      <w:r w:rsidR="00AB6E2A">
        <w:rPr>
          <w:rFonts w:hint="eastAsia"/>
          <w:lang w:val="en-US" w:eastAsia="zh-CN"/>
        </w:rPr>
        <w:t>当中</w:t>
      </w:r>
      <w:r w:rsidRPr="00191141">
        <w:rPr>
          <w:lang w:val="en-US" w:eastAsia="zh-CN"/>
        </w:rPr>
        <w:t>新增</w:t>
      </w:r>
      <w:r w:rsidRPr="00191141">
        <w:rPr>
          <w:lang w:val="en-US" w:eastAsia="zh-CN"/>
        </w:rPr>
        <w:t>4</w:t>
      </w:r>
      <w:r w:rsidRPr="00191141">
        <w:rPr>
          <w:lang w:val="en-US" w:eastAsia="zh-CN"/>
        </w:rPr>
        <w:t>个部门成员和</w:t>
      </w:r>
      <w:r w:rsidRPr="00191141">
        <w:rPr>
          <w:lang w:val="en-US" w:eastAsia="zh-CN"/>
        </w:rPr>
        <w:t>4</w:t>
      </w:r>
      <w:r w:rsidR="00AB6E2A">
        <w:rPr>
          <w:lang w:val="en-US" w:eastAsia="zh-CN"/>
        </w:rPr>
        <w:t>个</w:t>
      </w:r>
      <w:r w:rsidR="00AB6E2A">
        <w:rPr>
          <w:rFonts w:hint="eastAsia"/>
          <w:lang w:val="en-US" w:eastAsia="zh-CN"/>
        </w:rPr>
        <w:t>部门准成员</w:t>
      </w:r>
      <w:r w:rsidRPr="00191141">
        <w:rPr>
          <w:lang w:val="en-US" w:eastAsia="zh-CN"/>
        </w:rPr>
        <w:t>。在第</w:t>
      </w:r>
      <w:r w:rsidRPr="00191141">
        <w:rPr>
          <w:lang w:val="en-US" w:eastAsia="zh-CN"/>
        </w:rPr>
        <w:t>2</w:t>
      </w:r>
      <w:r w:rsidRPr="00191141">
        <w:rPr>
          <w:lang w:val="en-US" w:eastAsia="zh-CN"/>
        </w:rPr>
        <w:t>研究组：业务方面，第</w:t>
      </w:r>
      <w:r w:rsidRPr="00191141">
        <w:rPr>
          <w:lang w:val="en-US" w:eastAsia="zh-CN"/>
        </w:rPr>
        <w:t>5</w:t>
      </w:r>
      <w:r w:rsidRPr="00191141">
        <w:rPr>
          <w:lang w:val="en-US" w:eastAsia="zh-CN"/>
        </w:rPr>
        <w:t>研究组：环境与气候变化，第</w:t>
      </w:r>
      <w:r w:rsidRPr="00191141">
        <w:rPr>
          <w:lang w:val="en-US" w:eastAsia="zh-CN"/>
        </w:rPr>
        <w:t>15</w:t>
      </w:r>
      <w:r w:rsidR="00AB6E2A">
        <w:rPr>
          <w:lang w:val="en-US" w:eastAsia="zh-CN"/>
        </w:rPr>
        <w:t>研究组：</w:t>
      </w:r>
      <w:r w:rsidR="00AB6E2A">
        <w:rPr>
          <w:rFonts w:hint="eastAsia"/>
          <w:lang w:val="en-US" w:eastAsia="zh-CN"/>
        </w:rPr>
        <w:t>传输、</w:t>
      </w:r>
      <w:r w:rsidR="00AB6E2A">
        <w:rPr>
          <w:lang w:val="en-US" w:eastAsia="zh-CN"/>
        </w:rPr>
        <w:t>接入和家庭</w:t>
      </w:r>
      <w:r w:rsidR="00AB6E2A">
        <w:rPr>
          <w:rFonts w:hint="eastAsia"/>
          <w:lang w:val="en-US" w:eastAsia="zh-CN"/>
        </w:rPr>
        <w:t>和</w:t>
      </w:r>
      <w:r w:rsidRPr="00191141">
        <w:rPr>
          <w:lang w:val="en-US" w:eastAsia="zh-CN"/>
        </w:rPr>
        <w:t>第</w:t>
      </w:r>
      <w:r w:rsidRPr="00191141">
        <w:rPr>
          <w:lang w:val="en-US" w:eastAsia="zh-CN"/>
        </w:rPr>
        <w:t>17</w:t>
      </w:r>
      <w:r w:rsidR="00AB6E2A">
        <w:rPr>
          <w:lang w:val="en-US" w:eastAsia="zh-CN"/>
        </w:rPr>
        <w:t>研究组：安全性</w:t>
      </w:r>
      <w:r w:rsidR="00AB6E2A">
        <w:rPr>
          <w:rFonts w:hint="eastAsia"/>
          <w:lang w:val="en-US" w:eastAsia="zh-CN"/>
        </w:rPr>
        <w:t>各增加</w:t>
      </w:r>
      <w:r w:rsidR="00AB6E2A">
        <w:rPr>
          <w:rFonts w:hint="eastAsia"/>
          <w:lang w:val="en-US" w:eastAsia="zh-CN"/>
        </w:rPr>
        <w:t>1</w:t>
      </w:r>
      <w:r w:rsidR="00AB6E2A">
        <w:rPr>
          <w:rFonts w:hint="eastAsia"/>
          <w:lang w:val="en-US" w:eastAsia="zh-CN"/>
        </w:rPr>
        <w:t>个新的部门准成员</w:t>
      </w:r>
      <w:r w:rsidR="00AB6E2A">
        <w:rPr>
          <w:lang w:val="en-US" w:eastAsia="zh-CN"/>
        </w:rPr>
        <w:t>。</w:t>
      </w:r>
      <w:r w:rsidR="00AB6E2A" w:rsidRPr="00AB6E2A">
        <w:rPr>
          <w:b/>
          <w:lang w:val="en-US" w:eastAsia="zh-CN"/>
        </w:rPr>
        <w:t>学术</w:t>
      </w:r>
      <w:r w:rsidR="00AB6E2A" w:rsidRPr="00AB6E2A">
        <w:rPr>
          <w:rFonts w:hint="eastAsia"/>
          <w:b/>
          <w:lang w:val="en-US" w:eastAsia="zh-CN"/>
        </w:rPr>
        <w:t>成员</w:t>
      </w:r>
      <w:r w:rsidR="00AB6E2A">
        <w:rPr>
          <w:lang w:val="en-US" w:eastAsia="zh-CN"/>
        </w:rPr>
        <w:t>占新增</w:t>
      </w:r>
      <w:r w:rsidR="00AB6E2A">
        <w:rPr>
          <w:rFonts w:hint="eastAsia"/>
          <w:lang w:val="en-US" w:eastAsia="zh-CN"/>
        </w:rPr>
        <w:t>成员</w:t>
      </w:r>
      <w:r w:rsidRPr="00191141">
        <w:rPr>
          <w:lang w:val="en-US" w:eastAsia="zh-CN"/>
        </w:rPr>
        <w:t>的大部分，共</w:t>
      </w:r>
      <w:r w:rsidRPr="00191141">
        <w:rPr>
          <w:lang w:val="en-US" w:eastAsia="zh-CN"/>
        </w:rPr>
        <w:t>14</w:t>
      </w:r>
      <w:r w:rsidR="00AB6E2A">
        <w:rPr>
          <w:rFonts w:hint="eastAsia"/>
          <w:lang w:val="en-US" w:eastAsia="zh-CN"/>
        </w:rPr>
        <w:t>个</w:t>
      </w:r>
      <w:r w:rsidRPr="00191141">
        <w:rPr>
          <w:lang w:val="en-US" w:eastAsia="zh-CN"/>
        </w:rPr>
        <w:t>。总体而言，自</w:t>
      </w:r>
      <w:r w:rsidRPr="00191141">
        <w:rPr>
          <w:lang w:val="en-US" w:eastAsia="zh-CN"/>
        </w:rPr>
        <w:t>2016</w:t>
      </w:r>
      <w:r w:rsidRPr="00191141">
        <w:rPr>
          <w:lang w:val="en-US" w:eastAsia="zh-CN"/>
        </w:rPr>
        <w:t>年</w:t>
      </w:r>
      <w:r w:rsidRPr="00191141">
        <w:rPr>
          <w:lang w:val="en-US" w:eastAsia="zh-CN"/>
        </w:rPr>
        <w:t>10</w:t>
      </w:r>
      <w:r w:rsidRPr="00191141">
        <w:rPr>
          <w:lang w:val="en-US" w:eastAsia="zh-CN"/>
        </w:rPr>
        <w:t>月</w:t>
      </w:r>
      <w:r w:rsidRPr="00191141">
        <w:rPr>
          <w:lang w:val="en-US" w:eastAsia="zh-CN"/>
        </w:rPr>
        <w:t>31</w:t>
      </w:r>
      <w:r w:rsidR="00AB6E2A">
        <w:rPr>
          <w:lang w:val="en-US" w:eastAsia="zh-CN"/>
        </w:rPr>
        <w:t>日</w:t>
      </w:r>
      <w:r w:rsidR="00AB6E2A">
        <w:rPr>
          <w:rFonts w:hint="eastAsia"/>
          <w:lang w:val="en-US" w:eastAsia="zh-CN"/>
        </w:rPr>
        <w:t>以来，遭到了</w:t>
      </w:r>
      <w:r w:rsidRPr="00191141">
        <w:rPr>
          <w:lang w:val="en-US" w:eastAsia="zh-CN"/>
        </w:rPr>
        <w:t>17</w:t>
      </w:r>
      <w:r w:rsidR="00AB6E2A">
        <w:rPr>
          <w:lang w:val="en-US" w:eastAsia="zh-CN"/>
        </w:rPr>
        <w:t>次谴责。在国际电联性别</w:t>
      </w:r>
      <w:r w:rsidR="00AB6E2A">
        <w:rPr>
          <w:rFonts w:hint="eastAsia"/>
          <w:lang w:val="en-US" w:eastAsia="zh-CN"/>
        </w:rPr>
        <w:t>任务</w:t>
      </w:r>
      <w:r w:rsidR="00AB6E2A">
        <w:rPr>
          <w:lang w:val="en-US" w:eastAsia="zh-CN"/>
        </w:rPr>
        <w:t>组的</w:t>
      </w:r>
      <w:r w:rsidR="00AB6E2A">
        <w:rPr>
          <w:rFonts w:hint="eastAsia"/>
          <w:lang w:val="en-US" w:eastAsia="zh-CN"/>
        </w:rPr>
        <w:t>敦促和</w:t>
      </w:r>
      <w:r w:rsidR="00AB6E2A">
        <w:rPr>
          <w:lang w:val="en-US" w:eastAsia="zh-CN"/>
        </w:rPr>
        <w:t>管理下，电信标准化局继续</w:t>
      </w:r>
      <w:r w:rsidR="00AB6E2A">
        <w:rPr>
          <w:rFonts w:hint="eastAsia"/>
          <w:lang w:val="en-US" w:eastAsia="zh-CN"/>
        </w:rPr>
        <w:t>其努力，着力</w:t>
      </w:r>
      <w:r w:rsidR="00AB6E2A">
        <w:rPr>
          <w:lang w:val="en-US" w:eastAsia="zh-CN"/>
        </w:rPr>
        <w:t>将性别</w:t>
      </w:r>
      <w:r w:rsidR="00AB6E2A">
        <w:rPr>
          <w:rFonts w:hint="eastAsia"/>
          <w:lang w:val="en-US" w:eastAsia="zh-CN"/>
        </w:rPr>
        <w:t>问题</w:t>
      </w:r>
      <w:r w:rsidR="00AB6E2A">
        <w:rPr>
          <w:lang w:val="en-US" w:eastAsia="zh-CN"/>
        </w:rPr>
        <w:t>纳入其全部活动和项目中。</w:t>
      </w:r>
      <w:r w:rsidRPr="00191141">
        <w:rPr>
          <w:lang w:val="en-US" w:eastAsia="zh-CN"/>
        </w:rPr>
        <w:t>参见第</w:t>
      </w:r>
      <w:r w:rsidRPr="00191141">
        <w:rPr>
          <w:lang w:val="en-US" w:eastAsia="zh-CN"/>
        </w:rPr>
        <w:t>18</w:t>
      </w:r>
      <w:r w:rsidR="00AB6E2A">
        <w:rPr>
          <w:lang w:val="en-US" w:eastAsia="zh-CN"/>
        </w:rPr>
        <w:t>节</w:t>
      </w:r>
      <w:r w:rsidR="00AB6E2A">
        <w:rPr>
          <w:rFonts w:hint="eastAsia"/>
          <w:lang w:val="en-US" w:eastAsia="zh-CN"/>
        </w:rPr>
        <w:t>。</w:t>
      </w:r>
    </w:p>
    <w:p w:rsidR="00CF3E89" w:rsidRPr="00191141" w:rsidRDefault="007A501F" w:rsidP="00AB6E2A">
      <w:pPr>
        <w:ind w:firstLineChars="200" w:firstLine="480"/>
        <w:rPr>
          <w:lang w:eastAsia="zh-CN"/>
        </w:rPr>
      </w:pPr>
      <w:r w:rsidRPr="00191141">
        <w:rPr>
          <w:lang w:eastAsia="zh-CN"/>
        </w:rPr>
        <w:t>在</w:t>
      </w:r>
      <w:r w:rsidRPr="00191141">
        <w:rPr>
          <w:lang w:eastAsia="zh-CN"/>
        </w:rPr>
        <w:t>2016</w:t>
      </w:r>
      <w:r w:rsidRPr="00191141">
        <w:rPr>
          <w:lang w:eastAsia="zh-CN"/>
        </w:rPr>
        <w:t>年</w:t>
      </w:r>
      <w:r w:rsidRPr="00191141">
        <w:rPr>
          <w:lang w:eastAsia="zh-CN"/>
        </w:rPr>
        <w:t>10</w:t>
      </w:r>
      <w:r w:rsidRPr="00191141">
        <w:rPr>
          <w:lang w:eastAsia="zh-CN"/>
        </w:rPr>
        <w:t>月至</w:t>
      </w:r>
      <w:r w:rsidRPr="00191141">
        <w:rPr>
          <w:lang w:eastAsia="zh-CN"/>
        </w:rPr>
        <w:t>2017</w:t>
      </w:r>
      <w:r w:rsidRPr="00191141">
        <w:rPr>
          <w:lang w:eastAsia="zh-CN"/>
        </w:rPr>
        <w:t>年</w:t>
      </w:r>
      <w:r w:rsidRPr="00191141">
        <w:rPr>
          <w:lang w:eastAsia="zh-CN"/>
        </w:rPr>
        <w:t>2</w:t>
      </w:r>
      <w:r>
        <w:rPr>
          <w:lang w:eastAsia="zh-CN"/>
        </w:rPr>
        <w:t>月期间</w:t>
      </w:r>
      <w:r>
        <w:rPr>
          <w:rFonts w:hint="eastAsia"/>
          <w:lang w:eastAsia="zh-CN"/>
        </w:rPr>
        <w:t>，发布了</w:t>
      </w:r>
      <w:r w:rsidRPr="007A501F">
        <w:rPr>
          <w:b/>
          <w:lang w:eastAsia="zh-CN"/>
        </w:rPr>
        <w:t>7500</w:t>
      </w:r>
      <w:r w:rsidRPr="007A501F">
        <w:rPr>
          <w:rFonts w:hint="eastAsia"/>
          <w:b/>
          <w:lang w:eastAsia="zh-CN"/>
        </w:rPr>
        <w:t>多</w:t>
      </w:r>
      <w:r>
        <w:rPr>
          <w:rFonts w:hint="eastAsia"/>
          <w:b/>
          <w:lang w:eastAsia="zh-CN"/>
        </w:rPr>
        <w:t>页</w:t>
      </w:r>
      <w:r>
        <w:rPr>
          <w:rFonts w:hint="eastAsia"/>
          <w:lang w:eastAsia="zh-CN"/>
        </w:rPr>
        <w:t>的</w:t>
      </w:r>
      <w:r>
        <w:rPr>
          <w:rFonts w:hint="eastAsia"/>
          <w:lang w:eastAsia="zh-CN"/>
        </w:rPr>
        <w:t>I</w:t>
      </w:r>
      <w:r w:rsidR="00CF3E89" w:rsidRPr="00191141">
        <w:rPr>
          <w:lang w:eastAsia="zh-CN"/>
        </w:rPr>
        <w:t>TU-T</w:t>
      </w:r>
      <w:r>
        <w:rPr>
          <w:lang w:eastAsia="zh-CN"/>
        </w:rPr>
        <w:t>建议书和补充文件</w:t>
      </w:r>
      <w:r w:rsidR="00CF3E89" w:rsidRPr="00191141">
        <w:rPr>
          <w:lang w:eastAsia="zh-CN"/>
        </w:rPr>
        <w:t>。参见第</w:t>
      </w:r>
      <w:r w:rsidR="00CF3E89" w:rsidRPr="00191141">
        <w:rPr>
          <w:lang w:eastAsia="zh-CN"/>
        </w:rPr>
        <w:t>19</w:t>
      </w:r>
      <w:r w:rsidR="00CF3E89" w:rsidRPr="00191141">
        <w:rPr>
          <w:lang w:eastAsia="zh-CN"/>
        </w:rPr>
        <w:t>节。国际电联产品</w:t>
      </w:r>
      <w:r>
        <w:rPr>
          <w:rFonts w:hint="eastAsia"/>
          <w:lang w:eastAsia="zh-CN"/>
        </w:rPr>
        <w:t>“</w:t>
      </w:r>
      <w:r w:rsidR="00CF3E89" w:rsidRPr="00191141">
        <w:rPr>
          <w:lang w:eastAsia="zh-CN"/>
        </w:rPr>
        <w:t>ITU-T</w:t>
      </w:r>
      <w:r w:rsidR="00CF3E89" w:rsidRPr="00191141">
        <w:rPr>
          <w:lang w:eastAsia="zh-CN"/>
        </w:rPr>
        <w:t>建议书和选定的手册</w:t>
      </w:r>
      <w:r>
        <w:rPr>
          <w:rFonts w:hint="eastAsia"/>
          <w:lang w:eastAsia="zh-CN"/>
        </w:rPr>
        <w:t>”</w:t>
      </w:r>
      <w:r w:rsidR="00CF3E89" w:rsidRPr="00191141">
        <w:rPr>
          <w:lang w:eastAsia="zh-CN"/>
        </w:rPr>
        <w:t>继续每季度分发一次。由于双层</w:t>
      </w:r>
      <w:r w:rsidR="00CF3E89" w:rsidRPr="00191141">
        <w:rPr>
          <w:lang w:eastAsia="zh-CN"/>
        </w:rPr>
        <w:t>DVD</w:t>
      </w:r>
      <w:r w:rsidR="00CF3E89" w:rsidRPr="00191141">
        <w:rPr>
          <w:lang w:eastAsia="zh-CN"/>
        </w:rPr>
        <w:t>格式的空间限制，产品将从</w:t>
      </w:r>
      <w:r w:rsidR="00CF3E89" w:rsidRPr="00191141">
        <w:rPr>
          <w:lang w:eastAsia="zh-CN"/>
        </w:rPr>
        <w:t>2017</w:t>
      </w:r>
      <w:r w:rsidR="00CF3E89" w:rsidRPr="00191141">
        <w:rPr>
          <w:lang w:eastAsia="zh-CN"/>
        </w:rPr>
        <w:t>年</w:t>
      </w:r>
      <w:r w:rsidR="00CF3E89" w:rsidRPr="00191141">
        <w:rPr>
          <w:lang w:eastAsia="zh-CN"/>
        </w:rPr>
        <w:t>3</w:t>
      </w:r>
      <w:r w:rsidR="00CF3E89" w:rsidRPr="00191141">
        <w:rPr>
          <w:lang w:eastAsia="zh-CN"/>
        </w:rPr>
        <w:t>月版开始</w:t>
      </w:r>
      <w:r>
        <w:rPr>
          <w:rFonts w:hint="eastAsia"/>
          <w:lang w:eastAsia="zh-CN"/>
        </w:rPr>
        <w:t>，</w:t>
      </w:r>
      <w:r w:rsidR="00CF3E89" w:rsidRPr="00191141">
        <w:rPr>
          <w:lang w:eastAsia="zh-CN"/>
        </w:rPr>
        <w:t>以</w:t>
      </w:r>
      <w:r w:rsidR="00CF3E89" w:rsidRPr="007A501F">
        <w:rPr>
          <w:b/>
          <w:lang w:eastAsia="zh-CN"/>
        </w:rPr>
        <w:t>USB</w:t>
      </w:r>
      <w:r>
        <w:rPr>
          <w:rFonts w:hint="eastAsia"/>
          <w:b/>
          <w:lang w:eastAsia="zh-CN"/>
        </w:rPr>
        <w:t>密钥</w:t>
      </w:r>
      <w:r>
        <w:rPr>
          <w:rFonts w:hint="eastAsia"/>
          <w:lang w:eastAsia="zh-CN"/>
        </w:rPr>
        <w:t>的形式进行</w:t>
      </w:r>
      <w:r w:rsidR="00CF3E89" w:rsidRPr="00191141">
        <w:rPr>
          <w:lang w:eastAsia="zh-CN"/>
        </w:rPr>
        <w:t>分发。</w:t>
      </w:r>
    </w:p>
    <w:p w:rsidR="00CF3E89" w:rsidRDefault="00CF3E89" w:rsidP="00A76EE6">
      <w:pPr>
        <w:ind w:firstLineChars="200" w:firstLine="482"/>
        <w:rPr>
          <w:lang w:eastAsia="zh-CN"/>
        </w:rPr>
      </w:pPr>
      <w:r w:rsidRPr="00F97072">
        <w:rPr>
          <w:b/>
          <w:lang w:eastAsia="zh-CN"/>
        </w:rPr>
        <w:t>ITU-T</w:t>
      </w:r>
      <w:r w:rsidRPr="00F97072">
        <w:rPr>
          <w:b/>
          <w:lang w:eastAsia="zh-CN"/>
        </w:rPr>
        <w:t>新闻内容</w:t>
      </w:r>
      <w:r w:rsidRPr="00191141">
        <w:rPr>
          <w:lang w:eastAsia="zh-CN"/>
        </w:rPr>
        <w:t>的一致输出，加上国际电联总秘书处领导的</w:t>
      </w:r>
      <w:r w:rsidR="007A501F">
        <w:rPr>
          <w:rFonts w:hint="eastAsia"/>
          <w:lang w:eastAsia="zh-CN"/>
        </w:rPr>
        <w:t>、</w:t>
      </w:r>
      <w:r w:rsidRPr="00191141">
        <w:rPr>
          <w:lang w:eastAsia="zh-CN"/>
        </w:rPr>
        <w:t>协调一致的社交媒体战略，</w:t>
      </w:r>
      <w:r w:rsidR="00F97072">
        <w:rPr>
          <w:rFonts w:hint="eastAsia"/>
          <w:lang w:eastAsia="zh-CN"/>
        </w:rPr>
        <w:t>将使公众可以</w:t>
      </w:r>
      <w:r w:rsidRPr="00191141">
        <w:rPr>
          <w:lang w:eastAsia="zh-CN"/>
        </w:rPr>
        <w:t>继续在各种主流出版物中看到</w:t>
      </w:r>
      <w:r w:rsidR="00F97072">
        <w:rPr>
          <w:rFonts w:hint="eastAsia"/>
          <w:lang w:eastAsia="zh-CN"/>
        </w:rPr>
        <w:t>关于</w:t>
      </w:r>
      <w:r w:rsidRPr="00191141">
        <w:rPr>
          <w:lang w:eastAsia="zh-CN"/>
        </w:rPr>
        <w:t>ITU-T</w:t>
      </w:r>
      <w:r w:rsidRPr="00191141">
        <w:rPr>
          <w:lang w:eastAsia="zh-CN"/>
        </w:rPr>
        <w:t>工作</w:t>
      </w:r>
      <w:r w:rsidR="00F97072">
        <w:rPr>
          <w:rFonts w:hint="eastAsia"/>
          <w:lang w:eastAsia="zh-CN"/>
        </w:rPr>
        <w:t>特点的</w:t>
      </w:r>
      <w:r w:rsidRPr="00191141">
        <w:rPr>
          <w:lang w:eastAsia="zh-CN"/>
        </w:rPr>
        <w:t>消息。</w:t>
      </w:r>
      <w:r w:rsidRPr="00191141">
        <w:t>ITU-T</w:t>
      </w:r>
      <w:r w:rsidRPr="00191141">
        <w:t>在</w:t>
      </w:r>
      <w:r w:rsidR="00F97072">
        <w:rPr>
          <w:rFonts w:hint="eastAsia"/>
          <w:lang w:val="en-US" w:eastAsia="zh-CN"/>
        </w:rPr>
        <w:t>电信标准化局主任</w:t>
      </w:r>
      <w:r w:rsidR="00F97072">
        <w:rPr>
          <w:rFonts w:ascii="SimSun" w:hAnsi="SimSun" w:hint="eastAsia"/>
          <w:lang w:val="en-US" w:eastAsia="zh-CN"/>
        </w:rPr>
        <w:t>李在摄先生</w:t>
      </w:r>
      <w:r w:rsidRPr="00191141">
        <w:t>的领导下，</w:t>
      </w:r>
      <w:r w:rsidR="00F97072">
        <w:rPr>
          <w:rFonts w:hint="eastAsia"/>
          <w:lang w:eastAsia="zh-CN"/>
        </w:rPr>
        <w:t>举行了</w:t>
      </w:r>
      <w:r w:rsidRPr="00F97072">
        <w:rPr>
          <w:b/>
        </w:rPr>
        <w:t>CCITT/ITU-T</w:t>
      </w:r>
      <w:r w:rsidRPr="00F97072">
        <w:rPr>
          <w:b/>
        </w:rPr>
        <w:t>成立六十周年</w:t>
      </w:r>
      <w:r w:rsidR="00F97072">
        <w:rPr>
          <w:rFonts w:hint="eastAsia"/>
          <w:lang w:eastAsia="zh-CN"/>
        </w:rPr>
        <w:t>的庆祝活动</w:t>
      </w:r>
      <w:r w:rsidRPr="00191141">
        <w:t>，并于</w:t>
      </w:r>
      <w:r w:rsidRPr="00191141">
        <w:t>2016</w:t>
      </w:r>
      <w:r w:rsidRPr="00191141">
        <w:t>年</w:t>
      </w:r>
      <w:r w:rsidRPr="00191141">
        <w:t>10</w:t>
      </w:r>
      <w:r w:rsidRPr="00191141">
        <w:t>月</w:t>
      </w:r>
      <w:r w:rsidRPr="00191141">
        <w:t>26</w:t>
      </w:r>
      <w:r w:rsidR="00F97072">
        <w:t>日</w:t>
      </w:r>
      <w:r w:rsidR="00F97072">
        <w:rPr>
          <w:rFonts w:hint="eastAsia"/>
          <w:lang w:eastAsia="zh-CN"/>
        </w:rPr>
        <w:t>在</w:t>
      </w:r>
      <w:r w:rsidRPr="00191141">
        <w:t>WTSA-16</w:t>
      </w:r>
      <w:r w:rsidRPr="00191141">
        <w:t>全体会议</w:t>
      </w:r>
      <w:r w:rsidR="00F97072">
        <w:rPr>
          <w:rFonts w:hint="eastAsia"/>
          <w:lang w:eastAsia="zh-CN"/>
        </w:rPr>
        <w:t>召开</w:t>
      </w:r>
      <w:r w:rsidR="00F97072">
        <w:t>期间举行了一系列会谈。</w:t>
      </w:r>
      <w:r w:rsidR="00F97072">
        <w:rPr>
          <w:rFonts w:hint="eastAsia"/>
          <w:lang w:eastAsia="zh-CN"/>
        </w:rPr>
        <w:t>参见</w:t>
      </w:r>
      <w:r w:rsidRPr="00191141">
        <w:t>第</w:t>
      </w:r>
      <w:r w:rsidRPr="00191141">
        <w:t>20</w:t>
      </w:r>
      <w:r w:rsidRPr="00191141">
        <w:t>节。</w:t>
      </w:r>
    </w:p>
    <w:p w:rsidR="00AB6E2A" w:rsidRPr="00191141" w:rsidRDefault="00AB6E2A" w:rsidP="00AB6E2A">
      <w:pPr>
        <w:ind w:firstLineChars="196" w:firstLine="472"/>
        <w:rPr>
          <w:lang w:eastAsia="zh-CN"/>
        </w:rPr>
      </w:pPr>
      <w:r w:rsidRPr="00AB6E2A">
        <w:rPr>
          <w:b/>
          <w:lang w:eastAsia="zh-CN"/>
        </w:rPr>
        <w:t>电子工作方法</w:t>
      </w:r>
      <w:r>
        <w:rPr>
          <w:lang w:eastAsia="zh-CN"/>
        </w:rPr>
        <w:t>为参与国际电联标准</w:t>
      </w:r>
      <w:r>
        <w:rPr>
          <w:rFonts w:hint="eastAsia"/>
          <w:lang w:eastAsia="zh-CN"/>
        </w:rPr>
        <w:t>化</w:t>
      </w:r>
      <w:r w:rsidRPr="00191141">
        <w:rPr>
          <w:lang w:eastAsia="zh-CN"/>
        </w:rPr>
        <w:t>工作的各成员提供了重要支持。国际电联秘书处继续研发新</w:t>
      </w:r>
      <w:r>
        <w:rPr>
          <w:rFonts w:hint="eastAsia"/>
          <w:lang w:eastAsia="zh-CN"/>
        </w:rPr>
        <w:t>的</w:t>
      </w:r>
      <w:r w:rsidRPr="00191141">
        <w:rPr>
          <w:lang w:eastAsia="zh-CN"/>
        </w:rPr>
        <w:t>应用和服务，以便维护并扩展国际电联先进的电子工作环境；例如</w:t>
      </w:r>
      <w:r>
        <w:rPr>
          <w:rFonts w:hint="eastAsia"/>
          <w:lang w:eastAsia="zh-CN"/>
        </w:rPr>
        <w:t>，</w:t>
      </w:r>
      <w:r w:rsidRPr="00AB6E2A">
        <w:rPr>
          <w:b/>
          <w:lang w:eastAsia="zh-CN"/>
        </w:rPr>
        <w:t>新的</w:t>
      </w:r>
      <w:r w:rsidRPr="00AB6E2A">
        <w:rPr>
          <w:b/>
          <w:lang w:eastAsia="zh-CN"/>
        </w:rPr>
        <w:t>ITU-T</w:t>
      </w:r>
      <w:r w:rsidRPr="00AB6E2A">
        <w:rPr>
          <w:b/>
          <w:lang w:eastAsia="zh-CN"/>
        </w:rPr>
        <w:t>报告人组会议（</w:t>
      </w:r>
      <w:r w:rsidRPr="00AB6E2A">
        <w:rPr>
          <w:b/>
          <w:lang w:eastAsia="zh-CN"/>
        </w:rPr>
        <w:t>RGM</w:t>
      </w:r>
      <w:r w:rsidRPr="00AB6E2A">
        <w:rPr>
          <w:b/>
          <w:lang w:eastAsia="zh-CN"/>
        </w:rPr>
        <w:t>）系统</w:t>
      </w:r>
      <w:r w:rsidR="00087510">
        <w:rPr>
          <w:lang w:eastAsia="zh-CN"/>
        </w:rPr>
        <w:t>，</w:t>
      </w:r>
      <w:r w:rsidR="00087510">
        <w:rPr>
          <w:rFonts w:hint="eastAsia"/>
          <w:lang w:eastAsia="zh-CN"/>
        </w:rPr>
        <w:t>以及</w:t>
      </w:r>
      <w:r w:rsidRPr="00087510">
        <w:rPr>
          <w:b/>
          <w:lang w:eastAsia="zh-CN"/>
        </w:rPr>
        <w:t>ITU-T SharePoint</w:t>
      </w:r>
      <w:r w:rsidRPr="00087510">
        <w:rPr>
          <w:b/>
          <w:lang w:eastAsia="zh-CN"/>
        </w:rPr>
        <w:t>协作网站</w:t>
      </w:r>
      <w:r w:rsidRPr="00191141">
        <w:rPr>
          <w:lang w:eastAsia="zh-CN"/>
        </w:rPr>
        <w:t>，</w:t>
      </w:r>
      <w:r w:rsidR="00087510">
        <w:rPr>
          <w:lang w:eastAsia="zh-CN"/>
        </w:rPr>
        <w:t>希望利用</w:t>
      </w:r>
      <w:r w:rsidR="00087510">
        <w:rPr>
          <w:rFonts w:hint="eastAsia"/>
          <w:lang w:eastAsia="zh-CN"/>
        </w:rPr>
        <w:t>并发挥</w:t>
      </w:r>
      <w:r w:rsidRPr="00191141">
        <w:rPr>
          <w:lang w:eastAsia="zh-CN"/>
        </w:rPr>
        <w:t>其改进</w:t>
      </w:r>
      <w:r w:rsidR="00087510">
        <w:rPr>
          <w:rFonts w:hint="eastAsia"/>
          <w:lang w:eastAsia="zh-CN"/>
        </w:rPr>
        <w:t>性能的</w:t>
      </w:r>
      <w:r w:rsidR="00087510" w:rsidRPr="00191141">
        <w:rPr>
          <w:lang w:eastAsia="zh-CN"/>
        </w:rPr>
        <w:t>任何报告人组</w:t>
      </w:r>
      <w:r w:rsidR="00087510">
        <w:rPr>
          <w:rFonts w:hint="eastAsia"/>
          <w:lang w:eastAsia="zh-CN"/>
        </w:rPr>
        <w:t>均可得到这些新应用和新服务的支持</w:t>
      </w:r>
      <w:r w:rsidR="00087510">
        <w:rPr>
          <w:lang w:eastAsia="zh-CN"/>
        </w:rPr>
        <w:t>。</w:t>
      </w:r>
      <w:r w:rsidR="00087510">
        <w:rPr>
          <w:rFonts w:hint="eastAsia"/>
          <w:lang w:eastAsia="zh-CN"/>
        </w:rPr>
        <w:t>参见</w:t>
      </w:r>
      <w:r w:rsidRPr="00191141">
        <w:rPr>
          <w:lang w:eastAsia="zh-CN"/>
        </w:rPr>
        <w:t>第</w:t>
      </w:r>
      <w:r w:rsidRPr="00191141">
        <w:rPr>
          <w:lang w:eastAsia="zh-CN"/>
        </w:rPr>
        <w:t>21</w:t>
      </w:r>
      <w:r w:rsidRPr="00191141">
        <w:rPr>
          <w:lang w:eastAsia="zh-CN"/>
        </w:rPr>
        <w:t>节。</w:t>
      </w:r>
    </w:p>
    <w:p w:rsidR="00CF3E89" w:rsidRPr="008A7250" w:rsidRDefault="00F97072" w:rsidP="009707FE">
      <w:pPr>
        <w:ind w:firstLineChars="200" w:firstLine="480"/>
        <w:rPr>
          <w:lang w:eastAsia="zh-CN"/>
        </w:rPr>
      </w:pPr>
      <w:r w:rsidRPr="00F97072">
        <w:rPr>
          <w:rFonts w:hint="eastAsia"/>
          <w:lang w:eastAsia="zh-CN"/>
        </w:rPr>
        <w:t>电信标准化局</w:t>
      </w:r>
      <w:r w:rsidRPr="008A7250">
        <w:rPr>
          <w:rFonts w:hint="eastAsia"/>
          <w:lang w:eastAsia="zh-CN"/>
        </w:rPr>
        <w:t>将</w:t>
      </w:r>
      <w:r>
        <w:rPr>
          <w:rFonts w:hint="eastAsia"/>
          <w:lang w:eastAsia="zh-CN"/>
        </w:rPr>
        <w:t>继续</w:t>
      </w:r>
      <w:r w:rsidRPr="008A7250">
        <w:rPr>
          <w:rFonts w:hint="eastAsia"/>
          <w:lang w:eastAsia="zh-CN"/>
        </w:rPr>
        <w:t>以</w:t>
      </w:r>
      <w:r w:rsidRPr="008A7250">
        <w:rPr>
          <w:rFonts w:hint="eastAsia"/>
          <w:lang w:val="en-US" w:eastAsia="zh-CN"/>
        </w:rPr>
        <w:t>国际电联</w:t>
      </w:r>
      <w:r>
        <w:rPr>
          <w:rFonts w:hint="eastAsia"/>
          <w:lang w:val="en-US" w:eastAsia="zh-CN"/>
        </w:rPr>
        <w:t>的所有工作语言，</w:t>
      </w:r>
      <w:r w:rsidRPr="00F97072">
        <w:rPr>
          <w:rFonts w:hint="eastAsia"/>
          <w:lang w:eastAsia="zh-CN"/>
        </w:rPr>
        <w:t>翻译</w:t>
      </w:r>
      <w:r>
        <w:rPr>
          <w:rFonts w:hint="eastAsia"/>
          <w:lang w:eastAsia="zh-CN"/>
        </w:rPr>
        <w:t>依照</w:t>
      </w:r>
      <w:r w:rsidRPr="00F97072">
        <w:rPr>
          <w:rFonts w:hint="eastAsia"/>
          <w:lang w:eastAsia="zh-CN"/>
        </w:rPr>
        <w:t>传统审批流程（</w:t>
      </w:r>
      <w:r w:rsidRPr="00F97072">
        <w:rPr>
          <w:rFonts w:hint="eastAsia"/>
          <w:lang w:eastAsia="zh-CN"/>
        </w:rPr>
        <w:t>TAP</w:t>
      </w:r>
      <w:r>
        <w:rPr>
          <w:rFonts w:hint="eastAsia"/>
          <w:lang w:eastAsia="zh-CN"/>
        </w:rPr>
        <w:t>）</w:t>
      </w:r>
      <w:r w:rsidRPr="00F97072">
        <w:rPr>
          <w:rFonts w:hint="eastAsia"/>
          <w:lang w:eastAsia="zh-CN"/>
        </w:rPr>
        <w:t>批准的所有建议书以及</w:t>
      </w:r>
      <w:r w:rsidRPr="00F97072">
        <w:rPr>
          <w:rFonts w:hint="eastAsia"/>
          <w:lang w:eastAsia="zh-CN"/>
        </w:rPr>
        <w:t>TSAG</w:t>
      </w:r>
      <w:r w:rsidRPr="00F97072">
        <w:rPr>
          <w:rFonts w:hint="eastAsia"/>
          <w:lang w:eastAsia="zh-CN"/>
        </w:rPr>
        <w:t>报告。</w:t>
      </w:r>
      <w:r>
        <w:rPr>
          <w:rFonts w:hint="eastAsia"/>
          <w:lang w:eastAsia="zh-CN"/>
        </w:rPr>
        <w:t>在本报告所述期间，电信标准化局按照之前</w:t>
      </w:r>
      <w:r w:rsidRPr="00F97072">
        <w:rPr>
          <w:rFonts w:hint="eastAsia"/>
          <w:lang w:eastAsia="zh-CN"/>
        </w:rPr>
        <w:t>从</w:t>
      </w:r>
      <w:r w:rsidRPr="00F97072">
        <w:rPr>
          <w:rFonts w:hint="eastAsia"/>
          <w:lang w:eastAsia="zh-CN"/>
        </w:rPr>
        <w:t>ITU-T</w:t>
      </w:r>
      <w:r>
        <w:rPr>
          <w:rFonts w:hint="eastAsia"/>
          <w:lang w:eastAsia="zh-CN"/>
        </w:rPr>
        <w:t>研究组和语言组</w:t>
      </w:r>
      <w:r w:rsidRPr="00F97072">
        <w:rPr>
          <w:rFonts w:hint="eastAsia"/>
          <w:lang w:eastAsia="zh-CN"/>
        </w:rPr>
        <w:t>收到的要求，在分配的翻译预算中</w:t>
      </w:r>
      <w:r>
        <w:rPr>
          <w:rFonts w:hint="eastAsia"/>
          <w:lang w:eastAsia="zh-CN"/>
        </w:rPr>
        <w:t>，</w:t>
      </w:r>
      <w:r w:rsidRPr="00F97072">
        <w:rPr>
          <w:rFonts w:hint="eastAsia"/>
          <w:b/>
          <w:lang w:eastAsia="zh-CN"/>
        </w:rPr>
        <w:t>翻译了两份</w:t>
      </w:r>
      <w:r w:rsidRPr="00F97072">
        <w:rPr>
          <w:rFonts w:hint="eastAsia"/>
          <w:b/>
          <w:lang w:eastAsia="zh-CN"/>
        </w:rPr>
        <w:t>AAP</w:t>
      </w:r>
      <w:r w:rsidRPr="00F97072">
        <w:rPr>
          <w:rFonts w:hint="eastAsia"/>
          <w:b/>
          <w:lang w:eastAsia="zh-CN"/>
        </w:rPr>
        <w:t>建议书</w:t>
      </w:r>
      <w:r w:rsidRPr="00F97072">
        <w:rPr>
          <w:rFonts w:hint="eastAsia"/>
          <w:lang w:eastAsia="zh-CN"/>
        </w:rPr>
        <w:t>（</w:t>
      </w:r>
      <w:r w:rsidRPr="00F97072">
        <w:rPr>
          <w:rFonts w:hint="eastAsia"/>
          <w:lang w:eastAsia="zh-CN"/>
        </w:rPr>
        <w:t>128</w:t>
      </w:r>
      <w:r w:rsidRPr="00F97072">
        <w:rPr>
          <w:rFonts w:hint="eastAsia"/>
          <w:lang w:eastAsia="zh-CN"/>
        </w:rPr>
        <w:t>英文页）。</w:t>
      </w:r>
    </w:p>
    <w:p w:rsidR="008F0C7E" w:rsidRPr="008A7250" w:rsidRDefault="001351B9" w:rsidP="00AB6E2A">
      <w:pPr>
        <w:ind w:firstLineChars="200" w:firstLine="480"/>
        <w:rPr>
          <w:lang w:val="en-US" w:eastAsia="zh-CN"/>
        </w:rPr>
      </w:pPr>
      <w:r w:rsidRPr="008A7250">
        <w:rPr>
          <w:lang w:val="en-US" w:eastAsia="zh-CN"/>
        </w:rPr>
        <w:t>ITU-T</w:t>
      </w:r>
      <w:r w:rsidR="00F97072">
        <w:rPr>
          <w:lang w:val="en-US" w:eastAsia="zh-CN"/>
        </w:rPr>
        <w:t>的工作有助于</w:t>
      </w:r>
      <w:r w:rsidR="00F97072">
        <w:rPr>
          <w:rFonts w:hint="eastAsia"/>
          <w:lang w:val="en-US" w:eastAsia="zh-CN"/>
        </w:rPr>
        <w:t>执行</w:t>
      </w:r>
      <w:r w:rsidRPr="008A7250">
        <w:rPr>
          <w:b/>
          <w:bCs/>
          <w:lang w:val="en-US" w:eastAsia="zh-CN"/>
        </w:rPr>
        <w:t>信息社会世界峰会（</w:t>
      </w:r>
      <w:r w:rsidRPr="008A7250">
        <w:rPr>
          <w:b/>
          <w:bCs/>
          <w:lang w:val="en-US" w:eastAsia="zh-CN"/>
        </w:rPr>
        <w:t>WSIS</w:t>
      </w:r>
      <w:r w:rsidRPr="008A7250">
        <w:rPr>
          <w:b/>
          <w:bCs/>
          <w:lang w:val="en-US" w:eastAsia="zh-CN"/>
        </w:rPr>
        <w:t>）</w:t>
      </w:r>
      <w:r w:rsidRPr="008A7250">
        <w:rPr>
          <w:lang w:val="en-US" w:eastAsia="zh-CN"/>
        </w:rPr>
        <w:t>对</w:t>
      </w:r>
      <w:r w:rsidR="008726D9">
        <w:rPr>
          <w:rFonts w:hint="eastAsia"/>
          <w:lang w:val="en-US" w:eastAsia="zh-CN"/>
        </w:rPr>
        <w:t>国际电联</w:t>
      </w:r>
      <w:r w:rsidRPr="008A7250">
        <w:rPr>
          <w:lang w:val="en-US" w:eastAsia="zh-CN"/>
        </w:rPr>
        <w:t>下达的</w:t>
      </w:r>
      <w:r w:rsidR="008726D9">
        <w:rPr>
          <w:rFonts w:hint="eastAsia"/>
          <w:lang w:val="en-US" w:eastAsia="zh-CN"/>
        </w:rPr>
        <w:t>任务</w:t>
      </w:r>
      <w:r w:rsidRPr="008A7250">
        <w:rPr>
          <w:lang w:val="en-US" w:eastAsia="zh-CN"/>
        </w:rPr>
        <w:t>指令。为与</w:t>
      </w:r>
      <w:r w:rsidRPr="008A7250">
        <w:rPr>
          <w:lang w:val="en-US" w:eastAsia="zh-CN"/>
        </w:rPr>
        <w:t>WSIS</w:t>
      </w:r>
      <w:r w:rsidRPr="008A7250">
        <w:rPr>
          <w:lang w:val="en-US" w:eastAsia="zh-CN"/>
        </w:rPr>
        <w:t>追求</w:t>
      </w:r>
      <w:r w:rsidR="008726D9">
        <w:rPr>
          <w:rFonts w:hint="eastAsia"/>
          <w:lang w:val="en-US" w:eastAsia="zh-CN"/>
        </w:rPr>
        <w:t>联合国</w:t>
      </w:r>
      <w:r w:rsidRPr="008A7250">
        <w:rPr>
          <w:b/>
          <w:bCs/>
          <w:lang w:val="en-US" w:eastAsia="zh-CN"/>
        </w:rPr>
        <w:t>可持续发展目标（</w:t>
      </w:r>
      <w:r w:rsidR="008726D9">
        <w:rPr>
          <w:b/>
          <w:bCs/>
          <w:lang w:val="en-US" w:eastAsia="zh-CN"/>
        </w:rPr>
        <w:t>SDG</w:t>
      </w:r>
      <w:r w:rsidRPr="008A7250">
        <w:rPr>
          <w:b/>
          <w:bCs/>
          <w:lang w:val="en-US" w:eastAsia="zh-CN"/>
        </w:rPr>
        <w:t>）</w:t>
      </w:r>
      <w:r w:rsidRPr="008A7250">
        <w:rPr>
          <w:lang w:val="en-US" w:eastAsia="zh-CN"/>
        </w:rPr>
        <w:t>的努力</w:t>
      </w:r>
      <w:r w:rsidR="008726D9">
        <w:rPr>
          <w:rFonts w:hint="eastAsia"/>
          <w:lang w:val="en-US" w:eastAsia="zh-CN"/>
        </w:rPr>
        <w:t>和工作</w:t>
      </w:r>
      <w:r w:rsidRPr="008A7250">
        <w:rPr>
          <w:lang w:val="en-US" w:eastAsia="zh-CN"/>
        </w:rPr>
        <w:t>相一致，</w:t>
      </w:r>
      <w:r w:rsidRPr="008A7250">
        <w:rPr>
          <w:lang w:val="en-US" w:eastAsia="zh-CN"/>
        </w:rPr>
        <w:t>ITU-T</w:t>
      </w:r>
      <w:r w:rsidRPr="008A7250">
        <w:rPr>
          <w:lang w:val="en-US" w:eastAsia="zh-CN"/>
        </w:rPr>
        <w:t>制定了大量工作</w:t>
      </w:r>
      <w:r w:rsidRPr="008A7250">
        <w:rPr>
          <w:lang w:val="en-US" w:eastAsia="zh-CN"/>
        </w:rPr>
        <w:lastRenderedPageBreak/>
        <w:t>计划，以期达成可持续发展目标，这突出体现了</w:t>
      </w:r>
      <w:r w:rsidRPr="008A7250">
        <w:rPr>
          <w:lang w:val="en-US" w:eastAsia="zh-CN"/>
        </w:rPr>
        <w:t>ITU-I</w:t>
      </w:r>
      <w:r w:rsidRPr="008A7250">
        <w:rPr>
          <w:lang w:val="en-US" w:eastAsia="zh-CN"/>
        </w:rPr>
        <w:t>的工作</w:t>
      </w:r>
      <w:r w:rsidR="008726D9">
        <w:rPr>
          <w:rFonts w:hint="eastAsia"/>
          <w:lang w:val="en-US" w:eastAsia="zh-CN"/>
        </w:rPr>
        <w:t>和活动</w:t>
      </w:r>
      <w:r w:rsidRPr="008A7250">
        <w:rPr>
          <w:lang w:val="en-US" w:eastAsia="zh-CN"/>
        </w:rPr>
        <w:t>完全是针对</w:t>
      </w:r>
      <w:r w:rsidR="008726D9">
        <w:rPr>
          <w:rFonts w:hint="eastAsia"/>
          <w:lang w:val="en-US" w:eastAsia="zh-CN"/>
        </w:rPr>
        <w:t>可持续发展目标</w:t>
      </w:r>
      <w:r w:rsidRPr="008A7250">
        <w:rPr>
          <w:lang w:val="en-US" w:eastAsia="zh-CN"/>
        </w:rPr>
        <w:t>展开的，这些计划还</w:t>
      </w:r>
      <w:r w:rsidR="008726D9">
        <w:rPr>
          <w:lang w:val="en-US" w:eastAsia="zh-CN"/>
        </w:rPr>
        <w:t>提议</w:t>
      </w:r>
      <w:r w:rsidR="008726D9">
        <w:rPr>
          <w:rFonts w:hint="eastAsia"/>
          <w:lang w:val="en-US" w:eastAsia="zh-CN"/>
        </w:rPr>
        <w:t>ITU-T</w:t>
      </w:r>
      <w:r w:rsidR="008726D9">
        <w:rPr>
          <w:lang w:val="en-US" w:eastAsia="zh-CN"/>
        </w:rPr>
        <w:t>增强完成</w:t>
      </w:r>
      <w:r w:rsidR="008726D9">
        <w:rPr>
          <w:rFonts w:hint="eastAsia"/>
          <w:lang w:val="en-US" w:eastAsia="zh-CN"/>
        </w:rPr>
        <w:t>这些</w:t>
      </w:r>
      <w:r w:rsidRPr="008A7250">
        <w:rPr>
          <w:lang w:val="en-US" w:eastAsia="zh-CN"/>
        </w:rPr>
        <w:t>目标的</w:t>
      </w:r>
      <w:r w:rsidR="008726D9">
        <w:rPr>
          <w:rFonts w:hint="eastAsia"/>
          <w:lang w:val="en-US" w:eastAsia="zh-CN"/>
        </w:rPr>
        <w:t>工作</w:t>
      </w:r>
      <w:r w:rsidR="008726D9">
        <w:rPr>
          <w:lang w:val="en-US" w:eastAsia="zh-CN"/>
        </w:rPr>
        <w:t>力度。</w:t>
      </w:r>
      <w:r w:rsidRPr="008A7250">
        <w:rPr>
          <w:lang w:val="en-US" w:eastAsia="zh-CN"/>
        </w:rPr>
        <w:t>参见第</w:t>
      </w:r>
      <w:r w:rsidRPr="008A7250">
        <w:rPr>
          <w:lang w:val="en-US" w:eastAsia="zh-CN"/>
        </w:rPr>
        <w:t>22</w:t>
      </w:r>
      <w:r w:rsidR="008726D9">
        <w:rPr>
          <w:lang w:val="en-US" w:eastAsia="zh-CN"/>
        </w:rPr>
        <w:t>节</w:t>
      </w:r>
      <w:r w:rsidR="008726D9">
        <w:rPr>
          <w:rFonts w:hint="eastAsia"/>
          <w:lang w:val="en-US" w:eastAsia="zh-CN"/>
        </w:rPr>
        <w:t>。</w:t>
      </w:r>
    </w:p>
    <w:p w:rsidR="00CF3E89" w:rsidRPr="00191141" w:rsidRDefault="00CF3E89" w:rsidP="00AB6E2A">
      <w:pPr>
        <w:ind w:firstLineChars="200" w:firstLine="480"/>
        <w:rPr>
          <w:lang w:eastAsia="zh-CN"/>
        </w:rPr>
      </w:pPr>
      <w:r w:rsidRPr="00191141">
        <w:rPr>
          <w:lang w:eastAsia="zh-CN"/>
        </w:rPr>
        <w:t>作为</w:t>
      </w:r>
      <w:r w:rsidR="008726D9" w:rsidRPr="008726D9">
        <w:rPr>
          <w:rFonts w:hint="eastAsia"/>
          <w:b/>
          <w:lang w:eastAsia="zh-CN"/>
        </w:rPr>
        <w:t>电信标准化局</w:t>
      </w:r>
      <w:r w:rsidRPr="008726D9">
        <w:rPr>
          <w:b/>
          <w:lang w:eastAsia="zh-CN"/>
        </w:rPr>
        <w:t>实施</w:t>
      </w:r>
      <w:r w:rsidRPr="008726D9">
        <w:rPr>
          <w:b/>
          <w:lang w:eastAsia="zh-CN"/>
        </w:rPr>
        <w:t>ITU-T A</w:t>
      </w:r>
      <w:r w:rsidR="008726D9" w:rsidRPr="008726D9">
        <w:rPr>
          <w:b/>
          <w:lang w:eastAsia="zh-CN"/>
        </w:rPr>
        <w:t>系列建议书</w:t>
      </w:r>
      <w:r w:rsidR="008726D9">
        <w:rPr>
          <w:rFonts w:hint="eastAsia"/>
          <w:lang w:eastAsia="zh-CN"/>
        </w:rPr>
        <w:t>的</w:t>
      </w:r>
      <w:r w:rsidR="008726D9" w:rsidRPr="00191141">
        <w:rPr>
          <w:lang w:eastAsia="zh-CN"/>
        </w:rPr>
        <w:t>一部分</w:t>
      </w:r>
      <w:r w:rsidRPr="00191141">
        <w:rPr>
          <w:lang w:eastAsia="zh-CN"/>
        </w:rPr>
        <w:t>，</w:t>
      </w:r>
      <w:r w:rsidR="008726D9">
        <w:rPr>
          <w:rFonts w:hint="eastAsia"/>
          <w:lang w:eastAsia="zh-CN"/>
        </w:rPr>
        <w:t>电信标准化局</w:t>
      </w:r>
      <w:r w:rsidRPr="00191141">
        <w:rPr>
          <w:lang w:eastAsia="zh-CN"/>
        </w:rPr>
        <w:t>注意到，</w:t>
      </w:r>
      <w:r w:rsidR="008726D9">
        <w:rPr>
          <w:rFonts w:hint="eastAsia"/>
          <w:lang w:eastAsia="zh-CN"/>
        </w:rPr>
        <w:t>经</w:t>
      </w:r>
      <w:r w:rsidR="008726D9" w:rsidRPr="00191141">
        <w:rPr>
          <w:lang w:eastAsia="zh-CN"/>
        </w:rPr>
        <w:t>TSAG 2016</w:t>
      </w:r>
      <w:r w:rsidR="008726D9">
        <w:rPr>
          <w:rFonts w:hint="eastAsia"/>
          <w:lang w:eastAsia="zh-CN"/>
        </w:rPr>
        <w:t>批准，</w:t>
      </w:r>
      <w:r w:rsidR="008726D9" w:rsidRPr="00191141">
        <w:rPr>
          <w:lang w:eastAsia="zh-CN"/>
        </w:rPr>
        <w:t>应在</w:t>
      </w:r>
      <w:r w:rsidR="008726D9" w:rsidRPr="00191141">
        <w:rPr>
          <w:lang w:eastAsia="zh-CN"/>
        </w:rPr>
        <w:t xml:space="preserve"> ITU-T A.1</w:t>
      </w:r>
      <w:r w:rsidR="008726D9">
        <w:rPr>
          <w:rFonts w:hint="eastAsia"/>
          <w:lang w:eastAsia="zh-CN"/>
        </w:rPr>
        <w:t>建议书中停止使用</w:t>
      </w:r>
      <w:r w:rsidRPr="00191141">
        <w:rPr>
          <w:lang w:eastAsia="zh-CN"/>
        </w:rPr>
        <w:t>联络声明模板中的</w:t>
      </w:r>
      <w:r w:rsidR="008726D9">
        <w:rPr>
          <w:rFonts w:hint="eastAsia"/>
          <w:lang w:eastAsia="zh-CN"/>
        </w:rPr>
        <w:t>“</w:t>
      </w:r>
      <w:r w:rsidRPr="00191141">
        <w:rPr>
          <w:lang w:eastAsia="zh-CN"/>
        </w:rPr>
        <w:t>评论</w:t>
      </w:r>
      <w:r w:rsidR="008726D9">
        <w:rPr>
          <w:rFonts w:hint="eastAsia"/>
          <w:lang w:eastAsia="zh-CN"/>
        </w:rPr>
        <w:t>”</w:t>
      </w:r>
      <w:r w:rsidRPr="00191141">
        <w:rPr>
          <w:lang w:eastAsia="zh-CN"/>
        </w:rPr>
        <w:t>字段</w:t>
      </w:r>
      <w:r w:rsidR="008726D9">
        <w:rPr>
          <w:rFonts w:hint="eastAsia"/>
          <w:lang w:eastAsia="zh-CN"/>
        </w:rPr>
        <w:t>；不过</w:t>
      </w:r>
      <w:r w:rsidR="008726D9">
        <w:rPr>
          <w:lang w:eastAsia="zh-CN"/>
        </w:rPr>
        <w:t>，这些</w:t>
      </w:r>
      <w:r w:rsidR="008726D9">
        <w:rPr>
          <w:rFonts w:hint="eastAsia"/>
          <w:lang w:eastAsia="zh-CN"/>
        </w:rPr>
        <w:t>改动未能赶上</w:t>
      </w:r>
      <w:r w:rsidRPr="00191141">
        <w:rPr>
          <w:lang w:eastAsia="zh-CN"/>
        </w:rPr>
        <w:t>WTSA-16</w:t>
      </w:r>
      <w:r w:rsidRPr="00191141">
        <w:rPr>
          <w:lang w:eastAsia="zh-CN"/>
        </w:rPr>
        <w:t>。</w:t>
      </w:r>
      <w:r w:rsidR="008726D9">
        <w:t>因此，需要</w:t>
      </w:r>
      <w:r w:rsidR="008726D9">
        <w:rPr>
          <w:rFonts w:hint="eastAsia"/>
          <w:lang w:eastAsia="zh-CN"/>
        </w:rPr>
        <w:t>对</w:t>
      </w:r>
      <w:r w:rsidR="008726D9" w:rsidRPr="00191141">
        <w:rPr>
          <w:lang w:eastAsia="zh-CN"/>
        </w:rPr>
        <w:t>ITU-T A.1</w:t>
      </w:r>
      <w:r w:rsidR="008726D9">
        <w:rPr>
          <w:rFonts w:hint="eastAsia"/>
          <w:lang w:eastAsia="zh-CN"/>
        </w:rPr>
        <w:t>建议书做相应的修正</w:t>
      </w:r>
      <w:r w:rsidRPr="00191141">
        <w:t>。</w:t>
      </w:r>
    </w:p>
    <w:p w:rsidR="001B654A" w:rsidRDefault="001B654A" w:rsidP="008F0C7E">
      <w:pPr>
        <w:jc w:val="both"/>
        <w:rPr>
          <w:lang w:eastAsia="zh-CN"/>
        </w:rPr>
      </w:pPr>
    </w:p>
    <w:p w:rsidR="001B654A" w:rsidRPr="001B654A" w:rsidRDefault="00F27AED" w:rsidP="00C4682D">
      <w:pPr>
        <w:spacing w:after="120"/>
        <w:ind w:firstLineChars="200" w:firstLine="480"/>
        <w:jc w:val="center"/>
        <w:rPr>
          <w:lang w:val="en-US" w:eastAsia="zh-CN"/>
        </w:rPr>
      </w:pPr>
      <w:r>
        <w:t>_</w:t>
      </w:r>
      <w:bookmarkStart w:id="17" w:name="_GoBack"/>
      <w:bookmarkEnd w:id="17"/>
      <w:r w:rsidR="001B654A">
        <w:t>________________</w:t>
      </w:r>
    </w:p>
    <w:sectPr w:rsidR="001B654A" w:rsidRPr="001B654A">
      <w:headerReference w:type="default" r:id="rId9"/>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A5D" w:rsidRDefault="00EC3A5D">
      <w:r>
        <w:separator/>
      </w:r>
    </w:p>
  </w:endnote>
  <w:endnote w:type="continuationSeparator" w:id="0">
    <w:p w:rsidR="00EC3A5D" w:rsidRDefault="00EC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charset w:val="00"/>
    <w:family w:val="swiss"/>
    <w:pitch w:val="variable"/>
    <w:sig w:usb0="00000007"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CG Times">
    <w:altName w:val="Times New Roman"/>
    <w:charset w:val="00"/>
    <w:family w:val="roman"/>
    <w:pitch w:val="variable"/>
    <w:sig w:usb0="00000007" w:usb1="00000000" w:usb2="00000000" w:usb3="00000000" w:csb0="00000093" w:csb1="00000000"/>
  </w:font>
  <w:font w:name="STKaiti">
    <w:altName w:val="Arial Unicode MS"/>
    <w:charset w:val="86"/>
    <w:family w:val="auto"/>
    <w:pitch w:val="variable"/>
    <w:sig w:usb0="00000000"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A5D" w:rsidRDefault="00EC3A5D">
      <w:r>
        <w:separator/>
      </w:r>
    </w:p>
  </w:footnote>
  <w:footnote w:type="continuationSeparator" w:id="0">
    <w:p w:rsidR="00EC3A5D" w:rsidRDefault="00EC3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87" w:rsidRDefault="00223487">
    <w:pPr>
      <w:pStyle w:val="Header"/>
      <w:rPr>
        <w:sz w:val="18"/>
        <w:szCs w:val="18"/>
        <w:lang w:eastAsia="zh-CN"/>
      </w:rPr>
    </w:pPr>
    <w:r>
      <w:rPr>
        <w:sz w:val="18"/>
        <w:szCs w:val="18"/>
      </w:rPr>
      <w:t xml:space="preserve">- </w:t>
    </w:r>
    <w:r>
      <w:rPr>
        <w:sz w:val="18"/>
        <w:szCs w:val="18"/>
      </w:rPr>
      <w:fldChar w:fldCharType="begin"/>
    </w:r>
    <w:r>
      <w:rPr>
        <w:sz w:val="18"/>
        <w:szCs w:val="18"/>
      </w:rPr>
      <w:instrText>PAGE</w:instrText>
    </w:r>
    <w:r>
      <w:rPr>
        <w:sz w:val="18"/>
        <w:szCs w:val="18"/>
      </w:rPr>
      <w:fldChar w:fldCharType="separate"/>
    </w:r>
    <w:r w:rsidR="00F27AED">
      <w:rPr>
        <w:noProof/>
        <w:sz w:val="18"/>
        <w:szCs w:val="18"/>
      </w:rPr>
      <w:t>6</w:t>
    </w:r>
    <w:r>
      <w:rPr>
        <w:sz w:val="18"/>
        <w:szCs w:val="18"/>
      </w:rPr>
      <w:fldChar w:fldCharType="end"/>
    </w:r>
    <w:r>
      <w:rPr>
        <w:sz w:val="18"/>
        <w:szCs w:val="18"/>
      </w:rPr>
      <w:t xml:space="preserve"> -</w:t>
    </w:r>
  </w:p>
  <w:p w:rsidR="00223487" w:rsidRDefault="00223487" w:rsidP="008F0C7E">
    <w:pPr>
      <w:pStyle w:val="Header"/>
      <w:rPr>
        <w:sz w:val="18"/>
        <w:szCs w:val="18"/>
      </w:rPr>
    </w:pPr>
    <w:r>
      <w:rPr>
        <w:rFonts w:hint="eastAsia"/>
        <w:sz w:val="18"/>
        <w:szCs w:val="18"/>
        <w:lang w:eastAsia="zh-CN"/>
      </w:rPr>
      <w:t>TD</w:t>
    </w:r>
    <w:r>
      <w:rPr>
        <w:sz w:val="18"/>
        <w:szCs w:val="18"/>
        <w:lang w:eastAsia="zh-CN"/>
      </w:rPr>
      <w:t xml:space="preserve"> </w:t>
    </w:r>
    <w:r w:rsidR="008F0C7E">
      <w:rPr>
        <w:sz w:val="18"/>
        <w:szCs w:val="18"/>
        <w:lang w:eastAsia="zh-CN"/>
      </w:rP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466000"/>
    <w:lvl w:ilvl="0">
      <w:start w:val="1"/>
      <w:numFmt w:val="bullet"/>
      <w:pStyle w:val="ListBullet2"/>
      <w:lvlText w:val=""/>
      <w:lvlJc w:val="left"/>
      <w:pPr>
        <w:ind w:left="845" w:hanging="420"/>
      </w:pPr>
      <w:rPr>
        <w:rFonts w:ascii="Symbol" w:hAnsi="Symbol" w:hint="default"/>
      </w:rPr>
    </w:lvl>
  </w:abstractNum>
  <w:abstractNum w:abstractNumId="1" w15:restartNumberingAfterBreak="0">
    <w:nsid w:val="FFFFFF89"/>
    <w:multiLevelType w:val="singleLevel"/>
    <w:tmpl w:val="32F2B366"/>
    <w:lvl w:ilvl="0">
      <w:start w:val="1"/>
      <w:numFmt w:val="bullet"/>
      <w:pStyle w:val="ListBullet"/>
      <w:lvlText w:val=""/>
      <w:lvlJc w:val="left"/>
      <w:pPr>
        <w:ind w:left="420" w:hanging="420"/>
      </w:pPr>
      <w:rPr>
        <w:rFonts w:ascii="Symbol" w:hAnsi="Symbol" w:hint="default"/>
      </w:rPr>
    </w:lvl>
  </w:abstractNum>
  <w:abstractNum w:abstractNumId="2" w15:restartNumberingAfterBreak="0">
    <w:nsid w:val="02B80879"/>
    <w:multiLevelType w:val="hybridMultilevel"/>
    <w:tmpl w:val="78B06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96774C"/>
    <w:multiLevelType w:val="hybridMultilevel"/>
    <w:tmpl w:val="E9842268"/>
    <w:lvl w:ilvl="0" w:tplc="02B0826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15:restartNumberingAfterBreak="0">
    <w:nsid w:val="11687B68"/>
    <w:multiLevelType w:val="hybridMultilevel"/>
    <w:tmpl w:val="46522372"/>
    <w:lvl w:ilvl="0" w:tplc="0D502A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15:restartNumberingAfterBreak="0">
    <w:nsid w:val="54410951"/>
    <w:multiLevelType w:val="hybridMultilevel"/>
    <w:tmpl w:val="3DCAE012"/>
    <w:lvl w:ilvl="0" w:tplc="0D502A60">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b w:val="0"/>
        <w:bCs w:val="0"/>
        <w:sz w:val="22"/>
        <w:szCs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1E83D37"/>
    <w:multiLevelType w:val="hybridMultilevel"/>
    <w:tmpl w:val="4118A078"/>
    <w:lvl w:ilvl="0" w:tplc="02B0826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15:restartNumberingAfterBreak="0">
    <w:nsid w:val="6793374B"/>
    <w:multiLevelType w:val="multilevel"/>
    <w:tmpl w:val="C4244C12"/>
    <w:lvl w:ilvl="0">
      <w:start w:val="1"/>
      <w:numFmt w:val="bullet"/>
      <w:lvlText w:val=""/>
      <w:lvlJc w:val="left"/>
      <w:pPr>
        <w:tabs>
          <w:tab w:val="num" w:pos="360"/>
        </w:tabs>
        <w:ind w:left="360" w:hanging="360"/>
      </w:pPr>
      <w:rPr>
        <w:rFonts w:ascii="Symbol" w:hAnsi="Symbol"/>
        <w:sz w:val="2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3"/>
  </w:num>
  <w:num w:numId="7">
    <w:abstractNumId w:val="6"/>
  </w:num>
  <w:num w:numId="8">
    <w:abstractNumId w:val="5"/>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4EC"/>
    <w:rsid w:val="00000647"/>
    <w:rsid w:val="00004BB4"/>
    <w:rsid w:val="00010B08"/>
    <w:rsid w:val="00010D2C"/>
    <w:rsid w:val="00013975"/>
    <w:rsid w:val="000146A3"/>
    <w:rsid w:val="000179D5"/>
    <w:rsid w:val="00017E6C"/>
    <w:rsid w:val="000235EF"/>
    <w:rsid w:val="00026FED"/>
    <w:rsid w:val="00031788"/>
    <w:rsid w:val="00032CF2"/>
    <w:rsid w:val="00033105"/>
    <w:rsid w:val="000357F7"/>
    <w:rsid w:val="00042710"/>
    <w:rsid w:val="00042CBD"/>
    <w:rsid w:val="00050AA7"/>
    <w:rsid w:val="0005699C"/>
    <w:rsid w:val="00062690"/>
    <w:rsid w:val="000738EF"/>
    <w:rsid w:val="00075824"/>
    <w:rsid w:val="00080B64"/>
    <w:rsid w:val="00087510"/>
    <w:rsid w:val="00093F0C"/>
    <w:rsid w:val="00096305"/>
    <w:rsid w:val="000B15C3"/>
    <w:rsid w:val="000C1336"/>
    <w:rsid w:val="000C4113"/>
    <w:rsid w:val="000D0D6C"/>
    <w:rsid w:val="000E1C57"/>
    <w:rsid w:val="000F210B"/>
    <w:rsid w:val="000F655C"/>
    <w:rsid w:val="00100018"/>
    <w:rsid w:val="00110708"/>
    <w:rsid w:val="00111906"/>
    <w:rsid w:val="001124EE"/>
    <w:rsid w:val="00116446"/>
    <w:rsid w:val="001351B9"/>
    <w:rsid w:val="00141162"/>
    <w:rsid w:val="001418EF"/>
    <w:rsid w:val="00142DA8"/>
    <w:rsid w:val="00143C51"/>
    <w:rsid w:val="00145A25"/>
    <w:rsid w:val="00145CC0"/>
    <w:rsid w:val="00145FCE"/>
    <w:rsid w:val="00147649"/>
    <w:rsid w:val="001559A5"/>
    <w:rsid w:val="001648C1"/>
    <w:rsid w:val="00164FCC"/>
    <w:rsid w:val="00171180"/>
    <w:rsid w:val="00182509"/>
    <w:rsid w:val="00182D47"/>
    <w:rsid w:val="00184391"/>
    <w:rsid w:val="00186D5B"/>
    <w:rsid w:val="001873F6"/>
    <w:rsid w:val="001B6153"/>
    <w:rsid w:val="001B654A"/>
    <w:rsid w:val="001B7890"/>
    <w:rsid w:val="001C50E9"/>
    <w:rsid w:val="001C6AD8"/>
    <w:rsid w:val="001D1529"/>
    <w:rsid w:val="001D1D4E"/>
    <w:rsid w:val="001E6390"/>
    <w:rsid w:val="001E7792"/>
    <w:rsid w:val="001F3D37"/>
    <w:rsid w:val="001F4519"/>
    <w:rsid w:val="001F7A45"/>
    <w:rsid w:val="001F7C21"/>
    <w:rsid w:val="00214450"/>
    <w:rsid w:val="002179E6"/>
    <w:rsid w:val="00223487"/>
    <w:rsid w:val="00224E75"/>
    <w:rsid w:val="002323E3"/>
    <w:rsid w:val="00240246"/>
    <w:rsid w:val="00244D6B"/>
    <w:rsid w:val="00245842"/>
    <w:rsid w:val="00246ECB"/>
    <w:rsid w:val="0025619F"/>
    <w:rsid w:val="00256A1A"/>
    <w:rsid w:val="00275B77"/>
    <w:rsid w:val="00276A77"/>
    <w:rsid w:val="00286C5C"/>
    <w:rsid w:val="00286C7F"/>
    <w:rsid w:val="002926B6"/>
    <w:rsid w:val="00293829"/>
    <w:rsid w:val="00293FC6"/>
    <w:rsid w:val="00295768"/>
    <w:rsid w:val="00296A3D"/>
    <w:rsid w:val="002A0FF3"/>
    <w:rsid w:val="002A4303"/>
    <w:rsid w:val="002A5500"/>
    <w:rsid w:val="002A7FC2"/>
    <w:rsid w:val="002B05FD"/>
    <w:rsid w:val="002B357F"/>
    <w:rsid w:val="002B5A01"/>
    <w:rsid w:val="002B5F4A"/>
    <w:rsid w:val="002C19C7"/>
    <w:rsid w:val="002C7D88"/>
    <w:rsid w:val="002D4040"/>
    <w:rsid w:val="002E785A"/>
    <w:rsid w:val="002E7940"/>
    <w:rsid w:val="002F0C2D"/>
    <w:rsid w:val="002F360E"/>
    <w:rsid w:val="002F6111"/>
    <w:rsid w:val="00307B5D"/>
    <w:rsid w:val="00313DBF"/>
    <w:rsid w:val="00316DA6"/>
    <w:rsid w:val="0032293D"/>
    <w:rsid w:val="00323B20"/>
    <w:rsid w:val="0033083A"/>
    <w:rsid w:val="00332767"/>
    <w:rsid w:val="00334BB2"/>
    <w:rsid w:val="00343007"/>
    <w:rsid w:val="00343181"/>
    <w:rsid w:val="00343524"/>
    <w:rsid w:val="003448A5"/>
    <w:rsid w:val="0034633B"/>
    <w:rsid w:val="00346A70"/>
    <w:rsid w:val="00350707"/>
    <w:rsid w:val="00355344"/>
    <w:rsid w:val="00360234"/>
    <w:rsid w:val="00364C4E"/>
    <w:rsid w:val="003658D1"/>
    <w:rsid w:val="00365EB6"/>
    <w:rsid w:val="003704B4"/>
    <w:rsid w:val="0037224A"/>
    <w:rsid w:val="003730C3"/>
    <w:rsid w:val="003805EF"/>
    <w:rsid w:val="0038340D"/>
    <w:rsid w:val="00384D15"/>
    <w:rsid w:val="00390D53"/>
    <w:rsid w:val="00394AF8"/>
    <w:rsid w:val="00395871"/>
    <w:rsid w:val="00397E85"/>
    <w:rsid w:val="003A08D5"/>
    <w:rsid w:val="003A62AB"/>
    <w:rsid w:val="003A6464"/>
    <w:rsid w:val="003B2900"/>
    <w:rsid w:val="003B2960"/>
    <w:rsid w:val="003C1E22"/>
    <w:rsid w:val="003C6B99"/>
    <w:rsid w:val="003C7C4B"/>
    <w:rsid w:val="003D3A49"/>
    <w:rsid w:val="003E238A"/>
    <w:rsid w:val="003E7FDE"/>
    <w:rsid w:val="003F155A"/>
    <w:rsid w:val="003F20E0"/>
    <w:rsid w:val="003F5DB5"/>
    <w:rsid w:val="004000C4"/>
    <w:rsid w:val="0040243B"/>
    <w:rsid w:val="0040313D"/>
    <w:rsid w:val="00411B24"/>
    <w:rsid w:val="00412D7E"/>
    <w:rsid w:val="00413566"/>
    <w:rsid w:val="00415488"/>
    <w:rsid w:val="00426AB1"/>
    <w:rsid w:val="004270FF"/>
    <w:rsid w:val="00435C71"/>
    <w:rsid w:val="0045053A"/>
    <w:rsid w:val="00453E08"/>
    <w:rsid w:val="00457702"/>
    <w:rsid w:val="004668E9"/>
    <w:rsid w:val="00472C6E"/>
    <w:rsid w:val="00473BDA"/>
    <w:rsid w:val="00480F41"/>
    <w:rsid w:val="004840C7"/>
    <w:rsid w:val="0049241F"/>
    <w:rsid w:val="0049331A"/>
    <w:rsid w:val="004942F8"/>
    <w:rsid w:val="004A4C12"/>
    <w:rsid w:val="004A5ADB"/>
    <w:rsid w:val="004B4679"/>
    <w:rsid w:val="004D0D55"/>
    <w:rsid w:val="004D680A"/>
    <w:rsid w:val="004E15D1"/>
    <w:rsid w:val="004E3F35"/>
    <w:rsid w:val="004E7461"/>
    <w:rsid w:val="004F0DDA"/>
    <w:rsid w:val="00502547"/>
    <w:rsid w:val="0050687F"/>
    <w:rsid w:val="005136E0"/>
    <w:rsid w:val="00513C4E"/>
    <w:rsid w:val="00517399"/>
    <w:rsid w:val="00520BD7"/>
    <w:rsid w:val="00522397"/>
    <w:rsid w:val="005224F9"/>
    <w:rsid w:val="00523175"/>
    <w:rsid w:val="005262AD"/>
    <w:rsid w:val="005316DF"/>
    <w:rsid w:val="0053302D"/>
    <w:rsid w:val="005345CE"/>
    <w:rsid w:val="00534A76"/>
    <w:rsid w:val="0054754B"/>
    <w:rsid w:val="00550EBC"/>
    <w:rsid w:val="00551D60"/>
    <w:rsid w:val="00560B47"/>
    <w:rsid w:val="00560F93"/>
    <w:rsid w:val="00563682"/>
    <w:rsid w:val="0057037E"/>
    <w:rsid w:val="0057051D"/>
    <w:rsid w:val="00575428"/>
    <w:rsid w:val="00580C52"/>
    <w:rsid w:val="005815D2"/>
    <w:rsid w:val="00583EF3"/>
    <w:rsid w:val="00592D5C"/>
    <w:rsid w:val="00593E22"/>
    <w:rsid w:val="005A1271"/>
    <w:rsid w:val="005A61EE"/>
    <w:rsid w:val="005B1B69"/>
    <w:rsid w:val="005B60C3"/>
    <w:rsid w:val="005C4FF2"/>
    <w:rsid w:val="005C570B"/>
    <w:rsid w:val="005D4945"/>
    <w:rsid w:val="005E06CF"/>
    <w:rsid w:val="005F6395"/>
    <w:rsid w:val="005F72BD"/>
    <w:rsid w:val="005F74CD"/>
    <w:rsid w:val="005F7586"/>
    <w:rsid w:val="006001E4"/>
    <w:rsid w:val="00613B18"/>
    <w:rsid w:val="0061713F"/>
    <w:rsid w:val="006201D6"/>
    <w:rsid w:val="00636FEB"/>
    <w:rsid w:val="006448B3"/>
    <w:rsid w:val="0064736F"/>
    <w:rsid w:val="00652F6E"/>
    <w:rsid w:val="00666BE8"/>
    <w:rsid w:val="006768C1"/>
    <w:rsid w:val="006774D9"/>
    <w:rsid w:val="006805D0"/>
    <w:rsid w:val="00681129"/>
    <w:rsid w:val="00681BBC"/>
    <w:rsid w:val="00686B2E"/>
    <w:rsid w:val="00687734"/>
    <w:rsid w:val="00691F3C"/>
    <w:rsid w:val="0069374F"/>
    <w:rsid w:val="006A1172"/>
    <w:rsid w:val="006A42F4"/>
    <w:rsid w:val="006A7536"/>
    <w:rsid w:val="006B20C2"/>
    <w:rsid w:val="006B22BA"/>
    <w:rsid w:val="006B5658"/>
    <w:rsid w:val="006C4FEF"/>
    <w:rsid w:val="006E5B74"/>
    <w:rsid w:val="006F4892"/>
    <w:rsid w:val="006F5AEE"/>
    <w:rsid w:val="00713AE1"/>
    <w:rsid w:val="007207E6"/>
    <w:rsid w:val="007256A1"/>
    <w:rsid w:val="00726F2F"/>
    <w:rsid w:val="007273EF"/>
    <w:rsid w:val="00732AB3"/>
    <w:rsid w:val="00735E73"/>
    <w:rsid w:val="00736E64"/>
    <w:rsid w:val="00740367"/>
    <w:rsid w:val="007544EC"/>
    <w:rsid w:val="0075510D"/>
    <w:rsid w:val="00755BF9"/>
    <w:rsid w:val="0075752B"/>
    <w:rsid w:val="00767EFE"/>
    <w:rsid w:val="00773C5C"/>
    <w:rsid w:val="00774B6F"/>
    <w:rsid w:val="0078461D"/>
    <w:rsid w:val="007869AE"/>
    <w:rsid w:val="00791FB0"/>
    <w:rsid w:val="00796B85"/>
    <w:rsid w:val="007A1771"/>
    <w:rsid w:val="007A4906"/>
    <w:rsid w:val="007A501F"/>
    <w:rsid w:val="007C1458"/>
    <w:rsid w:val="007C2DBD"/>
    <w:rsid w:val="007C7492"/>
    <w:rsid w:val="007D1297"/>
    <w:rsid w:val="007D2F55"/>
    <w:rsid w:val="007E46CB"/>
    <w:rsid w:val="007F2656"/>
    <w:rsid w:val="007F5761"/>
    <w:rsid w:val="007F5D86"/>
    <w:rsid w:val="007F7952"/>
    <w:rsid w:val="007F7BF8"/>
    <w:rsid w:val="00806503"/>
    <w:rsid w:val="0080735A"/>
    <w:rsid w:val="00813748"/>
    <w:rsid w:val="00831EDE"/>
    <w:rsid w:val="00843103"/>
    <w:rsid w:val="00845327"/>
    <w:rsid w:val="00871428"/>
    <w:rsid w:val="00871744"/>
    <w:rsid w:val="008726D9"/>
    <w:rsid w:val="008739BD"/>
    <w:rsid w:val="008748E3"/>
    <w:rsid w:val="00881824"/>
    <w:rsid w:val="008871B1"/>
    <w:rsid w:val="00893FE7"/>
    <w:rsid w:val="00896AA0"/>
    <w:rsid w:val="008A4BD4"/>
    <w:rsid w:val="008A7250"/>
    <w:rsid w:val="008A7975"/>
    <w:rsid w:val="008B49E7"/>
    <w:rsid w:val="008B65FC"/>
    <w:rsid w:val="008C2352"/>
    <w:rsid w:val="008C4BC9"/>
    <w:rsid w:val="008D5623"/>
    <w:rsid w:val="008E0769"/>
    <w:rsid w:val="008E243B"/>
    <w:rsid w:val="008F0A4A"/>
    <w:rsid w:val="008F0C53"/>
    <w:rsid w:val="008F0C7E"/>
    <w:rsid w:val="008F4A81"/>
    <w:rsid w:val="00905DEA"/>
    <w:rsid w:val="009264AA"/>
    <w:rsid w:val="00927200"/>
    <w:rsid w:val="00930235"/>
    <w:rsid w:val="00933BDB"/>
    <w:rsid w:val="00936717"/>
    <w:rsid w:val="009430DA"/>
    <w:rsid w:val="00945468"/>
    <w:rsid w:val="00950F1F"/>
    <w:rsid w:val="00957280"/>
    <w:rsid w:val="00957AE9"/>
    <w:rsid w:val="00964898"/>
    <w:rsid w:val="009707FE"/>
    <w:rsid w:val="00976803"/>
    <w:rsid w:val="00977908"/>
    <w:rsid w:val="0098501C"/>
    <w:rsid w:val="00987ED9"/>
    <w:rsid w:val="0099367E"/>
    <w:rsid w:val="00995913"/>
    <w:rsid w:val="009A0333"/>
    <w:rsid w:val="009A07F6"/>
    <w:rsid w:val="009B157F"/>
    <w:rsid w:val="009B2D80"/>
    <w:rsid w:val="009B3958"/>
    <w:rsid w:val="009C2ED2"/>
    <w:rsid w:val="009D48A1"/>
    <w:rsid w:val="009D61C6"/>
    <w:rsid w:val="009D6397"/>
    <w:rsid w:val="009E2653"/>
    <w:rsid w:val="009E479B"/>
    <w:rsid w:val="009E5BB6"/>
    <w:rsid w:val="009E7AFC"/>
    <w:rsid w:val="009F1E90"/>
    <w:rsid w:val="009F7133"/>
    <w:rsid w:val="00A01CF8"/>
    <w:rsid w:val="00A0442F"/>
    <w:rsid w:val="00A04FD5"/>
    <w:rsid w:val="00A11AF3"/>
    <w:rsid w:val="00A17D9E"/>
    <w:rsid w:val="00A20325"/>
    <w:rsid w:val="00A21631"/>
    <w:rsid w:val="00A2714D"/>
    <w:rsid w:val="00A34019"/>
    <w:rsid w:val="00A34E4A"/>
    <w:rsid w:val="00A446C4"/>
    <w:rsid w:val="00A468E6"/>
    <w:rsid w:val="00A512D0"/>
    <w:rsid w:val="00A52BCC"/>
    <w:rsid w:val="00A54319"/>
    <w:rsid w:val="00A557BC"/>
    <w:rsid w:val="00A57ED6"/>
    <w:rsid w:val="00A609AD"/>
    <w:rsid w:val="00A60F34"/>
    <w:rsid w:val="00A625B9"/>
    <w:rsid w:val="00A701AB"/>
    <w:rsid w:val="00A76EE6"/>
    <w:rsid w:val="00A85A20"/>
    <w:rsid w:val="00A91104"/>
    <w:rsid w:val="00A977BF"/>
    <w:rsid w:val="00AA29E6"/>
    <w:rsid w:val="00AA6A61"/>
    <w:rsid w:val="00AB6E2A"/>
    <w:rsid w:val="00AD2224"/>
    <w:rsid w:val="00AD2E53"/>
    <w:rsid w:val="00AD3A66"/>
    <w:rsid w:val="00AE50BA"/>
    <w:rsid w:val="00AE719B"/>
    <w:rsid w:val="00AF6100"/>
    <w:rsid w:val="00B00FCA"/>
    <w:rsid w:val="00B01BED"/>
    <w:rsid w:val="00B03AE2"/>
    <w:rsid w:val="00B043C6"/>
    <w:rsid w:val="00B07FC7"/>
    <w:rsid w:val="00B1411E"/>
    <w:rsid w:val="00B17D0A"/>
    <w:rsid w:val="00B2065B"/>
    <w:rsid w:val="00B26133"/>
    <w:rsid w:val="00B33963"/>
    <w:rsid w:val="00B3521B"/>
    <w:rsid w:val="00B433B2"/>
    <w:rsid w:val="00B45637"/>
    <w:rsid w:val="00B54471"/>
    <w:rsid w:val="00B6325C"/>
    <w:rsid w:val="00B672F4"/>
    <w:rsid w:val="00B73F8F"/>
    <w:rsid w:val="00B750C3"/>
    <w:rsid w:val="00B80216"/>
    <w:rsid w:val="00B81494"/>
    <w:rsid w:val="00B822DD"/>
    <w:rsid w:val="00B82B28"/>
    <w:rsid w:val="00BA15FD"/>
    <w:rsid w:val="00BA21D7"/>
    <w:rsid w:val="00BA2A20"/>
    <w:rsid w:val="00BA2D05"/>
    <w:rsid w:val="00BA41AE"/>
    <w:rsid w:val="00BA7EED"/>
    <w:rsid w:val="00BB100D"/>
    <w:rsid w:val="00BB3976"/>
    <w:rsid w:val="00BB4705"/>
    <w:rsid w:val="00BB68B0"/>
    <w:rsid w:val="00BC5F27"/>
    <w:rsid w:val="00BD1227"/>
    <w:rsid w:val="00BD4BC9"/>
    <w:rsid w:val="00BE2FAD"/>
    <w:rsid w:val="00BF2A9E"/>
    <w:rsid w:val="00C00B6D"/>
    <w:rsid w:val="00C04513"/>
    <w:rsid w:val="00C05042"/>
    <w:rsid w:val="00C0718C"/>
    <w:rsid w:val="00C1687C"/>
    <w:rsid w:val="00C3778F"/>
    <w:rsid w:val="00C4682D"/>
    <w:rsid w:val="00C46F87"/>
    <w:rsid w:val="00C625EB"/>
    <w:rsid w:val="00C65505"/>
    <w:rsid w:val="00C65A49"/>
    <w:rsid w:val="00C70E03"/>
    <w:rsid w:val="00C72256"/>
    <w:rsid w:val="00C726A5"/>
    <w:rsid w:val="00C75A7B"/>
    <w:rsid w:val="00C760F3"/>
    <w:rsid w:val="00C76A42"/>
    <w:rsid w:val="00C820B8"/>
    <w:rsid w:val="00C863FD"/>
    <w:rsid w:val="00C969A9"/>
    <w:rsid w:val="00CA0BA9"/>
    <w:rsid w:val="00CA1D8A"/>
    <w:rsid w:val="00CA3E41"/>
    <w:rsid w:val="00CA58AE"/>
    <w:rsid w:val="00CB290D"/>
    <w:rsid w:val="00CC01BD"/>
    <w:rsid w:val="00CC1A1D"/>
    <w:rsid w:val="00CD0E23"/>
    <w:rsid w:val="00CD4176"/>
    <w:rsid w:val="00CD5223"/>
    <w:rsid w:val="00CE10D4"/>
    <w:rsid w:val="00CE3FEE"/>
    <w:rsid w:val="00CE6510"/>
    <w:rsid w:val="00CF3E89"/>
    <w:rsid w:val="00CF40A6"/>
    <w:rsid w:val="00D000A8"/>
    <w:rsid w:val="00D011DA"/>
    <w:rsid w:val="00D01F0D"/>
    <w:rsid w:val="00D159DD"/>
    <w:rsid w:val="00D22F33"/>
    <w:rsid w:val="00D232A2"/>
    <w:rsid w:val="00D236FD"/>
    <w:rsid w:val="00D27B2A"/>
    <w:rsid w:val="00D34B95"/>
    <w:rsid w:val="00D4183D"/>
    <w:rsid w:val="00D42BCA"/>
    <w:rsid w:val="00D55ED6"/>
    <w:rsid w:val="00D61830"/>
    <w:rsid w:val="00D638CB"/>
    <w:rsid w:val="00D63C2B"/>
    <w:rsid w:val="00D66994"/>
    <w:rsid w:val="00D67957"/>
    <w:rsid w:val="00D750E2"/>
    <w:rsid w:val="00D760D4"/>
    <w:rsid w:val="00D81059"/>
    <w:rsid w:val="00D8188C"/>
    <w:rsid w:val="00D8572B"/>
    <w:rsid w:val="00D918BE"/>
    <w:rsid w:val="00D94DA4"/>
    <w:rsid w:val="00DA0874"/>
    <w:rsid w:val="00DA39D0"/>
    <w:rsid w:val="00DB096F"/>
    <w:rsid w:val="00DB219A"/>
    <w:rsid w:val="00DB2CDF"/>
    <w:rsid w:val="00DC3FED"/>
    <w:rsid w:val="00DC5834"/>
    <w:rsid w:val="00DC59F8"/>
    <w:rsid w:val="00DC6695"/>
    <w:rsid w:val="00DD3DCB"/>
    <w:rsid w:val="00DD53BE"/>
    <w:rsid w:val="00DF0E1F"/>
    <w:rsid w:val="00DF6F6A"/>
    <w:rsid w:val="00E04071"/>
    <w:rsid w:val="00E05AE4"/>
    <w:rsid w:val="00E06658"/>
    <w:rsid w:val="00E066AE"/>
    <w:rsid w:val="00E068ED"/>
    <w:rsid w:val="00E0759D"/>
    <w:rsid w:val="00E11158"/>
    <w:rsid w:val="00E1345F"/>
    <w:rsid w:val="00E14220"/>
    <w:rsid w:val="00E15EDF"/>
    <w:rsid w:val="00E327C1"/>
    <w:rsid w:val="00E34C87"/>
    <w:rsid w:val="00E35331"/>
    <w:rsid w:val="00E35C12"/>
    <w:rsid w:val="00E4398A"/>
    <w:rsid w:val="00E46968"/>
    <w:rsid w:val="00E57F83"/>
    <w:rsid w:val="00E63F09"/>
    <w:rsid w:val="00E640B6"/>
    <w:rsid w:val="00E70065"/>
    <w:rsid w:val="00E728D4"/>
    <w:rsid w:val="00E81958"/>
    <w:rsid w:val="00E82B7A"/>
    <w:rsid w:val="00E85FE2"/>
    <w:rsid w:val="00EA2D71"/>
    <w:rsid w:val="00EA4F30"/>
    <w:rsid w:val="00EA7852"/>
    <w:rsid w:val="00EC0A80"/>
    <w:rsid w:val="00EC3A5D"/>
    <w:rsid w:val="00EC67B8"/>
    <w:rsid w:val="00ED2031"/>
    <w:rsid w:val="00ED3C05"/>
    <w:rsid w:val="00ED3F8C"/>
    <w:rsid w:val="00ED5D70"/>
    <w:rsid w:val="00EE2173"/>
    <w:rsid w:val="00EE4034"/>
    <w:rsid w:val="00EE760B"/>
    <w:rsid w:val="00EF5E5B"/>
    <w:rsid w:val="00EF7036"/>
    <w:rsid w:val="00F057C1"/>
    <w:rsid w:val="00F25118"/>
    <w:rsid w:val="00F27AED"/>
    <w:rsid w:val="00F30128"/>
    <w:rsid w:val="00F31FCE"/>
    <w:rsid w:val="00F355AE"/>
    <w:rsid w:val="00F433FB"/>
    <w:rsid w:val="00F4567B"/>
    <w:rsid w:val="00F4576C"/>
    <w:rsid w:val="00F56633"/>
    <w:rsid w:val="00F56AA5"/>
    <w:rsid w:val="00F665FC"/>
    <w:rsid w:val="00F73BDC"/>
    <w:rsid w:val="00F744A4"/>
    <w:rsid w:val="00F77898"/>
    <w:rsid w:val="00F82644"/>
    <w:rsid w:val="00F86903"/>
    <w:rsid w:val="00F92B4A"/>
    <w:rsid w:val="00F92CCC"/>
    <w:rsid w:val="00F97072"/>
    <w:rsid w:val="00FA089C"/>
    <w:rsid w:val="00FA1021"/>
    <w:rsid w:val="00FA13C2"/>
    <w:rsid w:val="00FB1804"/>
    <w:rsid w:val="00FB2C36"/>
    <w:rsid w:val="00FB3030"/>
    <w:rsid w:val="00FB5F8C"/>
    <w:rsid w:val="00FD02EA"/>
    <w:rsid w:val="00FD0A5F"/>
    <w:rsid w:val="00FD4D52"/>
    <w:rsid w:val="00FE166D"/>
    <w:rsid w:val="00FE4033"/>
    <w:rsid w:val="00FE60CC"/>
    <w:rsid w:val="00FF2D48"/>
    <w:rsid w:val="00FF3CB5"/>
    <w:rsid w:val="00FF5C80"/>
    <w:rsid w:val="00FF6F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B903753-58EF-4BB2-972C-5D7F2324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4"/>
      <w:szCs w:val="24"/>
      <w:lang w:val="en-GB" w:eastAsia="ja-JP"/>
    </w:rPr>
  </w:style>
  <w:style w:type="paragraph" w:styleId="Heading1">
    <w:name w:val="heading 1"/>
    <w:aliases w:val="l1,h1,1st level,MyHeading 1,HHeading 1,H1,numreq,H1-Heading 1,1,Header 1,Legal Line 1,head 1,II+,I,Heading1,a,título 1,Huvudrubrik,h11,h12,h13,h14,h15,h16,h17,h111,h121,h131,h141,h151,h161,h18,h112,h122,h132,h142,h152,h162,h19,h113,h123,h133"/>
    <w:basedOn w:val="Normal"/>
    <w:next w:val="Normal"/>
    <w:qFormat/>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style>
  <w:style w:type="paragraph" w:styleId="Footer">
    <w:name w:val="footer"/>
    <w:basedOn w:val="Normal"/>
    <w:pPr>
      <w:tabs>
        <w:tab w:val="left" w:pos="5954"/>
        <w:tab w:val="right" w:pos="9639"/>
      </w:tabs>
      <w:spacing w:before="0"/>
    </w:pPr>
    <w:rPr>
      <w:caps/>
      <w:sz w:val="18"/>
    </w:rPr>
  </w:style>
  <w:style w:type="paragraph" w:styleId="Header">
    <w:name w:val="header"/>
    <w:basedOn w:val="Normal"/>
    <w:semiHidden/>
    <w:pPr>
      <w:spacing w:before="0"/>
      <w:jc w:val="center"/>
    </w:pPr>
    <w:rPr>
      <w:sz w:val="22"/>
    </w:rPr>
  </w:style>
  <w:style w:type="paragraph" w:customStyle="1" w:styleId="FigureLegend">
    <w:name w:val="Figure_Legend"/>
    <w:basedOn w:val="Normal"/>
    <w:pPr>
      <w:keepNext/>
      <w:keepLines/>
      <w:spacing w:before="20" w:after="20"/>
    </w:pPr>
    <w:rPr>
      <w:sz w:val="18"/>
    </w:rPr>
  </w:style>
  <w:style w:type="paragraph" w:styleId="BodyText">
    <w:name w:val="Body Text"/>
    <w:basedOn w:val="Normal"/>
    <w:semiHidden/>
    <w:pPr>
      <w:pBdr>
        <w:top w:val="single" w:sz="4" w:space="5" w:color="auto"/>
      </w:pBdr>
      <w:tabs>
        <w:tab w:val="left" w:pos="2693"/>
        <w:tab w:val="left" w:pos="3261"/>
        <w:tab w:val="left" w:pos="5387"/>
        <w:tab w:val="left" w:pos="7655"/>
        <w:tab w:val="left" w:pos="8789"/>
        <w:tab w:val="left" w:pos="9072"/>
        <w:tab w:val="right" w:pos="10858"/>
      </w:tabs>
    </w:pPr>
    <w:rPr>
      <w:rFonts w:ascii="Futura Lt BT" w:hAnsi="Futura Lt BT"/>
      <w:sz w:val="18"/>
      <w:lang w:val="fr-FR"/>
    </w:rPr>
  </w:style>
  <w:style w:type="character" w:styleId="Hyperlink">
    <w:name w:val="Hyperlink"/>
    <w:aliases w:val="超级链接,CEO_Hyperlink"/>
    <w:uiPriority w:val="99"/>
    <w:rPr>
      <w:color w:val="0000FF"/>
      <w:u w:val="single"/>
    </w:rPr>
  </w:style>
  <w:style w:type="paragraph" w:customStyle="1" w:styleId="DefaultParagraphFontParaChar">
    <w:name w:val="Default Paragraph Font Para Char"/>
    <w:basedOn w:val="Normal"/>
    <w:pPr>
      <w:spacing w:before="0" w:after="160" w:line="240" w:lineRule="exact"/>
    </w:pPr>
    <w:rPr>
      <w:rFonts w:ascii="Tahoma" w:hAnsi="Tahoma"/>
      <w:sz w:val="20"/>
      <w:lang w:val="en-US"/>
    </w:rPr>
  </w:style>
  <w:style w:type="character" w:styleId="FootnoteReference">
    <w:name w:val="footnote reference"/>
    <w:aliases w:val="Appel note de bas de p"/>
    <w:semiHidden/>
    <w:rPr>
      <w:bCs/>
      <w:position w:val="6"/>
      <w:sz w:val="16"/>
    </w:rPr>
  </w:style>
  <w:style w:type="paragraph" w:customStyle="1" w:styleId="CharChar">
    <w:name w:val="Char Char"/>
    <w:basedOn w:val="Normal"/>
    <w:pPr>
      <w:spacing w:before="0" w:after="160" w:line="240" w:lineRule="exact"/>
    </w:pPr>
    <w:rPr>
      <w:rFonts w:ascii="Arial" w:eastAsia="Times New Roman" w:hAnsi="Arial"/>
      <w:kern w:val="16"/>
      <w:sz w:val="20"/>
      <w:lang w:val="tr-TR"/>
    </w:rPr>
  </w:style>
  <w:style w:type="character" w:customStyle="1" w:styleId="1Char">
    <w:name w:val="标题 1 Char"/>
    <w:aliases w:val="l1 Char,h1 Char,1st level Char,MyHeading 1 Char,HHeading 1 Char,H1 Char,numreq Char,H1-Heading 1 Char,1 Char,Header 1 Char,Legal Line 1 Char,head 1 Char,II+ Char,I Char,Heading1 Char,a Char,título 1 Char,Huvudrubrik Char,h11 Char,h12 Char"/>
    <w:rPr>
      <w:rFonts w:eastAsia="Times New Roman"/>
      <w:b/>
      <w:sz w:val="24"/>
      <w:lang w:val="en-GB" w:eastAsia="en-US"/>
    </w:rPr>
  </w:style>
  <w:style w:type="character" w:customStyle="1" w:styleId="2Char">
    <w:name w:val="标题 2 Char"/>
    <w:rPr>
      <w:rFonts w:eastAsia="Times New Roman"/>
      <w:b/>
      <w:sz w:val="24"/>
      <w:lang w:val="en-GB" w:eastAsia="en-US"/>
    </w:rPr>
  </w:style>
  <w:style w:type="character" w:customStyle="1" w:styleId="3Char">
    <w:name w:val="标题 3 Char"/>
    <w:rPr>
      <w:rFonts w:eastAsia="Times New Roman"/>
      <w:b/>
      <w:sz w:val="24"/>
      <w:lang w:val="en-GB" w:eastAsia="en-US"/>
    </w:rPr>
  </w:style>
  <w:style w:type="character" w:customStyle="1" w:styleId="4Char">
    <w:name w:val="标题 4 Char"/>
    <w:rPr>
      <w:rFonts w:eastAsia="Times New Roman"/>
      <w:b/>
      <w:sz w:val="24"/>
      <w:lang w:val="en-GB" w:eastAsia="en-US"/>
    </w:rPr>
  </w:style>
  <w:style w:type="character" w:customStyle="1" w:styleId="5Char">
    <w:name w:val="标题 5 Char"/>
    <w:rPr>
      <w:rFonts w:eastAsia="Times New Roman"/>
      <w:b/>
      <w:sz w:val="24"/>
      <w:lang w:val="en-GB" w:eastAsia="en-US"/>
    </w:rPr>
  </w:style>
  <w:style w:type="character" w:customStyle="1" w:styleId="6Char">
    <w:name w:val="标题 6 Char"/>
    <w:rPr>
      <w:rFonts w:eastAsia="Times New Roman"/>
      <w:b/>
      <w:sz w:val="24"/>
      <w:lang w:val="en-GB" w:eastAsia="en-US"/>
    </w:rPr>
  </w:style>
  <w:style w:type="character" w:customStyle="1" w:styleId="7Char">
    <w:name w:val="标题 7 Char"/>
    <w:rPr>
      <w:rFonts w:eastAsia="Times New Roman"/>
      <w:b/>
      <w:sz w:val="24"/>
      <w:lang w:val="en-GB" w:eastAsia="en-US"/>
    </w:rPr>
  </w:style>
  <w:style w:type="character" w:customStyle="1" w:styleId="8Char">
    <w:name w:val="标题 8 Char"/>
    <w:rPr>
      <w:rFonts w:eastAsia="Times New Roman"/>
      <w:b/>
      <w:sz w:val="24"/>
      <w:lang w:val="en-GB" w:eastAsia="en-US"/>
    </w:rPr>
  </w:style>
  <w:style w:type="character" w:customStyle="1" w:styleId="9Char">
    <w:name w:val="标题 9 Char"/>
    <w:rPr>
      <w:rFonts w:eastAsia="Times New Roman"/>
      <w:b/>
      <w:sz w:val="24"/>
      <w:lang w:val="en-GB" w:eastAsia="en-US"/>
    </w:rPr>
  </w:style>
  <w:style w:type="paragraph" w:styleId="BalloonText">
    <w:name w:val="Balloon Text"/>
    <w:basedOn w:val="Normal"/>
    <w:pPr>
      <w:spacing w:before="0"/>
    </w:pPr>
    <w:rPr>
      <w:rFonts w:ascii="Tahoma" w:hAnsi="Tahoma" w:cs="Tahoma"/>
      <w:sz w:val="16"/>
      <w:szCs w:val="16"/>
    </w:rPr>
  </w:style>
  <w:style w:type="character" w:customStyle="1" w:styleId="Char">
    <w:name w:val="批注框文本 Char"/>
    <w:rPr>
      <w:rFonts w:ascii="Tahoma" w:eastAsia="SimSun" w:hAnsi="Tahoma" w:cs="Tahoma"/>
      <w:sz w:val="16"/>
      <w:szCs w:val="16"/>
      <w:lang w:val="en-GB" w:eastAsia="ja-JP"/>
    </w:rPr>
  </w:style>
  <w:style w:type="paragraph" w:customStyle="1" w:styleId="Agendaitem">
    <w:name w:val="Agenda_item"/>
    <w:basedOn w:val="Normal"/>
    <w:next w:val="Normal"/>
    <w:qFormat/>
    <w:pPr>
      <w:spacing w:before="240"/>
      <w:jc w:val="center"/>
    </w:pPr>
    <w:rPr>
      <w:sz w:val="28"/>
      <w:lang w:val="es-ES_tradnl"/>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
    <w:name w:val="Appendix_No"/>
    <w:basedOn w:val="AnnexNo"/>
    <w:next w:val="Annexref"/>
  </w:style>
  <w:style w:type="paragraph" w:customStyle="1" w:styleId="ApptoAnnex">
    <w:name w:val="App_to_Annex"/>
    <w:basedOn w:val="AppendixNo"/>
    <w:next w:val="Normal"/>
    <w:qFormat/>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Border">
    <w:name w:val="Border"/>
    <w:basedOn w:val="Normal"/>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pPr>
      <w:keepNext/>
      <w:keepLines/>
      <w:spacing w:before="160"/>
      <w:ind w:left="1134"/>
    </w:pPr>
    <w:rPr>
      <w:i/>
    </w:rPr>
  </w:style>
  <w:style w:type="character" w:customStyle="1" w:styleId="CallChar">
    <w:name w:val="Call Char"/>
    <w:rPr>
      <w:rFonts w:eastAsia="SimSun"/>
      <w:i/>
      <w:sz w:val="24"/>
      <w:szCs w:val="24"/>
      <w:lang w:val="en-GB" w:eastAsia="ja-JP"/>
    </w:rPr>
  </w:style>
  <w:style w:type="paragraph" w:customStyle="1" w:styleId="ChapNo">
    <w:name w:val="Chap_No"/>
    <w:basedOn w:val="ArtNo"/>
    <w:next w:val="Normal"/>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semiHidden/>
    <w:rPr>
      <w:vertAlign w:val="superscript"/>
    </w:rPr>
  </w:style>
  <w:style w:type="paragraph" w:customStyle="1" w:styleId="enumlev1">
    <w:name w:val="enumlev1"/>
    <w:basedOn w:val="Normal"/>
    <w:pPr>
      <w:tabs>
        <w:tab w:val="left" w:pos="2608"/>
        <w:tab w:val="left" w:pos="3345"/>
      </w:tabs>
      <w:spacing w:before="80"/>
      <w:ind w:left="1134" w:hanging="1134"/>
    </w:pPr>
  </w:style>
  <w:style w:type="character" w:customStyle="1" w:styleId="enumlev1Char">
    <w:name w:val="enumlev1 Char"/>
    <w:locked/>
    <w:rPr>
      <w:rFonts w:eastAsia="SimSun"/>
      <w:sz w:val="24"/>
      <w:szCs w:val="24"/>
      <w:lang w:val="en-GB" w:eastAsia="ja-JP"/>
    </w:r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Indent"/>
    <w:pPr>
      <w:tabs>
        <w:tab w:val="right" w:pos="1871"/>
        <w:tab w:val="left" w:pos="2041"/>
      </w:tabs>
      <w:spacing w:before="80"/>
      <w:ind w:left="2041" w:hanging="2041"/>
    </w:pPr>
  </w:style>
  <w:style w:type="paragraph" w:styleId="NormalIndent">
    <w:name w:val="Normal Indent"/>
    <w:basedOn w:val="Normal"/>
    <w:semiHidden/>
    <w:pPr>
      <w:ind w:left="1134"/>
    </w:pPr>
  </w:style>
  <w:style w:type="paragraph" w:customStyle="1" w:styleId="Figure">
    <w:name w:val="Figure"/>
    <w:basedOn w:val="Normal"/>
    <w:next w:val="Normal"/>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0">
    <w:name w:val="Figure_legend"/>
    <w:basedOn w:val="Normal"/>
    <w:pPr>
      <w:keepNext/>
      <w:keepLines/>
      <w:spacing w:before="20" w:after="20"/>
    </w:pPr>
    <w:rPr>
      <w:sz w:val="18"/>
    </w:rPr>
  </w:style>
  <w:style w:type="paragraph" w:customStyle="1" w:styleId="FigureNo">
    <w:name w:val="Figure_No"/>
    <w:basedOn w:val="Normal"/>
    <w:next w:val="Normal"/>
    <w:pPr>
      <w:keepNext/>
      <w:keepLines/>
      <w:spacing w:before="480" w:after="120"/>
      <w:jc w:val="center"/>
    </w:pPr>
    <w:rPr>
      <w:caps/>
      <w:sz w:val="20"/>
    </w:rPr>
  </w:style>
  <w:style w:type="paragraph" w:customStyle="1" w:styleId="Figuretitle">
    <w:name w:val="Figure_title"/>
    <w:basedOn w:val="Normal"/>
    <w:next w:val="Normal"/>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pPr>
      <w:keepNext w:val="0"/>
    </w:pPr>
  </w:style>
  <w:style w:type="character" w:customStyle="1" w:styleId="Char0">
    <w:name w:val="页脚 Char"/>
    <w:rPr>
      <w:caps/>
      <w:sz w:val="18"/>
      <w:lang w:val="en-GB" w:eastAsia="en-US"/>
    </w:rPr>
  </w:style>
  <w:style w:type="paragraph" w:customStyle="1" w:styleId="FirstFooter">
    <w:name w:val="FirstFooter"/>
    <w:basedOn w:val="Footer"/>
    <w:pPr>
      <w:tabs>
        <w:tab w:val="clear" w:pos="5954"/>
        <w:tab w:val="clear" w:pos="9639"/>
      </w:tabs>
      <w:spacing w:before="40"/>
    </w:pPr>
    <w:rPr>
      <w:caps w:val="0"/>
      <w:sz w:val="16"/>
    </w:rPr>
  </w:style>
  <w:style w:type="paragraph" w:styleId="FootnoteText">
    <w:name w:val="footnote text"/>
    <w:basedOn w:val="Normal"/>
    <w:semiHidden/>
    <w:pPr>
      <w:spacing w:before="0"/>
    </w:pPr>
    <w:rPr>
      <w:sz w:val="20"/>
      <w:szCs w:val="20"/>
    </w:rPr>
  </w:style>
  <w:style w:type="character" w:customStyle="1" w:styleId="Char1">
    <w:name w:val="脚注文本 Char"/>
    <w:rPr>
      <w:rFonts w:eastAsia="SimSun"/>
      <w:lang w:val="en-GB" w:eastAsia="ja-JP"/>
    </w:rPr>
  </w:style>
  <w:style w:type="character" w:customStyle="1" w:styleId="Char2">
    <w:name w:val="页眉 Char"/>
    <w:rPr>
      <w:sz w:val="22"/>
      <w:lang w:val="en-GB" w:eastAsia="en-US"/>
    </w:rPr>
  </w:style>
  <w:style w:type="paragraph" w:customStyle="1" w:styleId="Normalaftertitle">
    <w:name w:val="Normal after title"/>
    <w:basedOn w:val="Normal"/>
    <w:next w:val="Normal"/>
    <w:pPr>
      <w:spacing w:before="280"/>
    </w:pPr>
  </w:style>
  <w:style w:type="paragraph" w:customStyle="1" w:styleId="Section1">
    <w:name w:val="Section_1"/>
    <w:basedOn w:val="Normal"/>
    <w:pPr>
      <w:tabs>
        <w:tab w:val="center" w:pos="4820"/>
      </w:tabs>
      <w:spacing w:before="360"/>
      <w:jc w:val="center"/>
    </w:pPr>
    <w:rPr>
      <w:b/>
    </w:rPr>
  </w:style>
  <w:style w:type="paragraph" w:customStyle="1" w:styleId="Section2">
    <w:name w:val="Section_2"/>
    <w:basedOn w:val="Section1"/>
    <w:rPr>
      <w:b w:val="0"/>
      <w:i/>
    </w:rPr>
  </w:style>
  <w:style w:type="paragraph" w:customStyle="1" w:styleId="Section3">
    <w:name w:val="Section_3"/>
    <w:basedOn w:val="Section1"/>
    <w:rPr>
      <w:b w:val="0"/>
    </w:rPr>
  </w:style>
  <w:style w:type="paragraph" w:customStyle="1" w:styleId="SectionNo">
    <w:name w:val="Section_No"/>
    <w:basedOn w:val="AnnexNo"/>
    <w:next w:val="Normal"/>
  </w:style>
  <w:style w:type="paragraph" w:customStyle="1" w:styleId="Sectiontitle">
    <w:name w:val="Section_title"/>
    <w:basedOn w:val="Annextitle"/>
    <w:next w:val="Normalaftertitle"/>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sz w:val="16"/>
    </w:rPr>
  </w:style>
  <w:style w:type="paragraph" w:customStyle="1" w:styleId="Subsection1">
    <w:name w:val="Subsection_1"/>
    <w:basedOn w:val="Section1"/>
    <w:next w:val="Normalaftertitle"/>
    <w:qFormat/>
  </w:style>
  <w:style w:type="character" w:customStyle="1" w:styleId="Tablefreq">
    <w:name w:val="Table_freq"/>
    <w:rPr>
      <w:b/>
      <w:color w:val="auto"/>
      <w:sz w:val="20"/>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
    <w:name w:val="Table_No"/>
    <w:basedOn w:val="Normal"/>
    <w:next w:val="Normal"/>
    <w:pPr>
      <w:keepNext/>
      <w:spacing w:before="560" w:after="120"/>
      <w:jc w:val="center"/>
    </w:pPr>
    <w:rPr>
      <w:caps/>
      <w:sz w:val="20"/>
    </w:rPr>
  </w:style>
  <w:style w:type="paragraph" w:customStyle="1" w:styleId="Tableref">
    <w:name w:val="Table_ref"/>
    <w:basedOn w:val="Normal"/>
    <w:next w:val="Normal"/>
    <w:pPr>
      <w:keepNext/>
      <w:spacing w:before="560"/>
      <w:jc w:val="center"/>
    </w:pPr>
    <w:rPr>
      <w:sz w:val="20"/>
    </w:rPr>
  </w:style>
  <w:style w:type="paragraph" w:customStyle="1" w:styleId="Normalend">
    <w:name w:val="Normal_end"/>
    <w:basedOn w:val="Normal"/>
    <w:next w:val="Normal"/>
    <w:qFormat/>
    <w:rPr>
      <w:lang w:val="en-US"/>
    </w:rPr>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qFormat/>
    <w:pPr>
      <w:tabs>
        <w:tab w:val="left" w:pos="1588"/>
        <w:tab w:val="left" w:pos="1985"/>
      </w:tabs>
    </w:pPr>
  </w:style>
  <w:style w:type="paragraph" w:customStyle="1" w:styleId="Questiondate">
    <w:name w:val="Question_date"/>
    <w:basedOn w:val="Normal"/>
    <w:next w:val="Normalaftertitle"/>
    <w:pPr>
      <w:keepNext/>
      <w:keepLines/>
      <w:jc w:val="right"/>
    </w:pPr>
    <w:rPr>
      <w:sz w:val="22"/>
    </w:rPr>
  </w:style>
  <w:style w:type="paragraph" w:customStyle="1" w:styleId="QuestionNo">
    <w:name w:val="Question_No"/>
    <w:basedOn w:val="Normal"/>
    <w:next w:val="Normal"/>
    <w:pPr>
      <w:keepNext/>
      <w:keepLines/>
      <w:spacing w:before="480"/>
      <w:jc w:val="center"/>
    </w:pPr>
    <w:rPr>
      <w:caps/>
      <w:sz w:val="28"/>
    </w:rPr>
  </w:style>
  <w:style w:type="paragraph" w:customStyle="1" w:styleId="Questiontitle">
    <w:name w:val="Question_title"/>
    <w:basedOn w:val="Normal"/>
    <w:next w:val="Normal"/>
    <w:pPr>
      <w:keepNext/>
      <w:keepLines/>
      <w:spacing w:before="240"/>
      <w:jc w:val="center"/>
    </w:pPr>
    <w:rPr>
      <w:rFonts w:ascii="Times New Roman Bold" w:hAnsi="Times New Roman Bold"/>
      <w:b/>
      <w:sz w:val="28"/>
    </w:rPr>
  </w:style>
  <w:style w:type="paragraph" w:styleId="TOC1">
    <w:name w:val="toc 1"/>
    <w:basedOn w:val="Normal"/>
    <w:uiPriority w:val="39"/>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pPr>
      <w:tabs>
        <w:tab w:val="clear" w:pos="964"/>
      </w:tabs>
      <w:spacing w:before="80"/>
      <w:ind w:left="1531" w:hanging="851"/>
    </w:pPr>
  </w:style>
  <w:style w:type="paragraph" w:styleId="TOC3">
    <w:name w:val="toc 3"/>
    <w:basedOn w:val="TOC2"/>
    <w:semiHidden/>
    <w:pPr>
      <w:ind w:left="2269"/>
    </w:pPr>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Title1">
    <w:name w:val="Title 1"/>
    <w:basedOn w:val="Source"/>
    <w:next w:val="Normal"/>
    <w:pPr>
      <w:tabs>
        <w:tab w:val="left" w:pos="567"/>
        <w:tab w:val="left" w:pos="1701"/>
        <w:tab w:val="left" w:pos="2835"/>
      </w:tabs>
      <w:spacing w:before="240"/>
    </w:pPr>
    <w:rPr>
      <w:b w:val="0"/>
      <w:caps/>
    </w:rPr>
  </w:style>
  <w:style w:type="paragraph" w:customStyle="1" w:styleId="Title2">
    <w:name w:val="Title 2"/>
    <w:basedOn w:val="Source"/>
    <w:next w:val="Normal"/>
    <w:pPr>
      <w:spacing w:before="480"/>
    </w:pPr>
    <w:rPr>
      <w:b w:val="0"/>
      <w:caps/>
    </w:rPr>
  </w:style>
  <w:style w:type="paragraph" w:customStyle="1" w:styleId="Title3">
    <w:name w:val="Title 3"/>
    <w:basedOn w:val="Title2"/>
    <w:next w:val="Normal"/>
    <w:pPr>
      <w:spacing w:before="240"/>
    </w:pPr>
    <w:rPr>
      <w:caps w:val="0"/>
    </w:rPr>
  </w:style>
  <w:style w:type="paragraph" w:customStyle="1" w:styleId="Title4">
    <w:name w:val="Title 4"/>
    <w:basedOn w:val="Title3"/>
    <w:next w:val="Heading1"/>
    <w:rPr>
      <w:b/>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ableTextS5">
    <w:name w:val="Table_TextS5"/>
    <w:basedOn w:val="Normal"/>
    <w:pPr>
      <w:tabs>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Headingi">
    <w:name w:val="Heading_i"/>
    <w:basedOn w:val="Normal"/>
    <w:next w:val="Normal"/>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b">
    <w:name w:val="Heading_b"/>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Note">
    <w:name w:val="Note"/>
    <w:basedOn w:val="Normal"/>
    <w:next w:val="Normal"/>
    <w:pPr>
      <w:tabs>
        <w:tab w:val="left" w:pos="284"/>
      </w:tabs>
      <w:spacing w:before="80"/>
    </w:pPr>
  </w:style>
  <w:style w:type="paragraph" w:customStyle="1" w:styleId="Part1">
    <w:name w:val="Part_1"/>
    <w:basedOn w:val="Section1"/>
    <w:next w:val="Section1"/>
    <w:qFormat/>
  </w:style>
  <w:style w:type="paragraph" w:customStyle="1" w:styleId="PartNo">
    <w:name w:val="Part_No"/>
    <w:basedOn w:val="AnnexNo"/>
    <w:next w:val="Normal"/>
  </w:style>
  <w:style w:type="paragraph" w:customStyle="1" w:styleId="Partref">
    <w:name w:val="Part_ref"/>
    <w:basedOn w:val="Annexref"/>
    <w:next w:val="Normal"/>
  </w:style>
  <w:style w:type="paragraph" w:customStyle="1" w:styleId="Parttitle">
    <w:name w:val="Part_title"/>
    <w:basedOn w:val="Annextitle"/>
    <w:next w:val="Normalaftertitle"/>
  </w:style>
  <w:style w:type="paragraph" w:customStyle="1" w:styleId="Recdate">
    <w:name w:val="Rec_date"/>
    <w:basedOn w:val="Normal"/>
    <w:next w:val="Normalaftertitle"/>
    <w:pPr>
      <w:keepNext/>
      <w:keepLines/>
      <w:jc w:val="right"/>
    </w:pPr>
    <w:rPr>
      <w:sz w:val="22"/>
    </w:rPr>
  </w:style>
  <w:style w:type="paragraph" w:customStyle="1" w:styleId="RecNo">
    <w:name w:val="Rec_No"/>
    <w:basedOn w:val="Normal"/>
    <w:next w:val="Normal"/>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sNo">
    <w:name w:val="Res_No"/>
    <w:basedOn w:val="RecNo"/>
    <w:next w:val="Normal"/>
  </w:style>
  <w:style w:type="paragraph" w:customStyle="1" w:styleId="Restitle">
    <w:name w:val="Res_title"/>
    <w:basedOn w:val="Rectitle"/>
    <w:next w:val="Normal"/>
  </w:style>
  <w:style w:type="paragraph" w:customStyle="1" w:styleId="AppArtNo">
    <w:name w:val="App_Art_No"/>
    <w:basedOn w:val="ArtNo"/>
    <w:qFormat/>
  </w:style>
  <w:style w:type="paragraph" w:customStyle="1" w:styleId="AppArttitle">
    <w:name w:val="App_Art_title"/>
    <w:basedOn w:val="Arttitle"/>
    <w:qFormat/>
  </w:style>
  <w:style w:type="paragraph" w:styleId="Index7">
    <w:name w:val="index 7"/>
    <w:basedOn w:val="Normal"/>
    <w:next w:val="Normal"/>
    <w:semiHidden/>
    <w:pPr>
      <w:tabs>
        <w:tab w:val="left" w:pos="794"/>
        <w:tab w:val="left" w:pos="1191"/>
        <w:tab w:val="left" w:pos="1588"/>
        <w:tab w:val="left" w:pos="1985"/>
      </w:tabs>
      <w:ind w:left="1698"/>
    </w:pPr>
  </w:style>
  <w:style w:type="paragraph" w:styleId="Index6">
    <w:name w:val="index 6"/>
    <w:basedOn w:val="Normal"/>
    <w:next w:val="Normal"/>
    <w:semiHidden/>
    <w:pPr>
      <w:tabs>
        <w:tab w:val="left" w:pos="794"/>
        <w:tab w:val="left" w:pos="1191"/>
        <w:tab w:val="left" w:pos="1588"/>
        <w:tab w:val="left" w:pos="1985"/>
      </w:tabs>
      <w:ind w:left="1415"/>
    </w:pPr>
  </w:style>
  <w:style w:type="paragraph" w:styleId="Index5">
    <w:name w:val="index 5"/>
    <w:basedOn w:val="Normal"/>
    <w:next w:val="Normal"/>
    <w:semiHidden/>
    <w:pPr>
      <w:tabs>
        <w:tab w:val="left" w:pos="794"/>
        <w:tab w:val="left" w:pos="1191"/>
        <w:tab w:val="left" w:pos="1588"/>
        <w:tab w:val="left" w:pos="1985"/>
      </w:tabs>
      <w:ind w:left="1132"/>
    </w:pPr>
  </w:style>
  <w:style w:type="paragraph" w:styleId="Index4">
    <w:name w:val="index 4"/>
    <w:basedOn w:val="Normal"/>
    <w:next w:val="Normal"/>
    <w:semiHidden/>
    <w:pPr>
      <w:tabs>
        <w:tab w:val="left" w:pos="794"/>
        <w:tab w:val="left" w:pos="1191"/>
        <w:tab w:val="left" w:pos="1588"/>
        <w:tab w:val="left" w:pos="1985"/>
      </w:tabs>
      <w:ind w:left="849"/>
    </w:pPr>
  </w:style>
  <w:style w:type="paragraph" w:styleId="Index3">
    <w:name w:val="index 3"/>
    <w:basedOn w:val="Normal"/>
    <w:next w:val="Normal"/>
    <w:semiHidden/>
    <w:pPr>
      <w:tabs>
        <w:tab w:val="left" w:pos="794"/>
        <w:tab w:val="left" w:pos="1191"/>
        <w:tab w:val="left" w:pos="1588"/>
        <w:tab w:val="left" w:pos="1985"/>
      </w:tabs>
      <w:ind w:left="566"/>
    </w:pPr>
  </w:style>
  <w:style w:type="paragraph" w:styleId="Index2">
    <w:name w:val="index 2"/>
    <w:basedOn w:val="Normal"/>
    <w:next w:val="Normal"/>
    <w:semiHidden/>
    <w:pPr>
      <w:tabs>
        <w:tab w:val="left" w:pos="794"/>
        <w:tab w:val="left" w:pos="1191"/>
        <w:tab w:val="left" w:pos="1588"/>
        <w:tab w:val="left" w:pos="1985"/>
      </w:tabs>
      <w:ind w:left="283"/>
    </w:pPr>
  </w:style>
  <w:style w:type="character" w:styleId="LineNumber">
    <w:name w:val="line number"/>
    <w:basedOn w:val="DefaultParagraphFont"/>
    <w:semiHidden/>
  </w:style>
  <w:style w:type="paragraph" w:styleId="IndexHeading">
    <w:name w:val="index heading"/>
    <w:basedOn w:val="Normal"/>
    <w:next w:val="Index1"/>
    <w:semiHidden/>
    <w:pPr>
      <w:tabs>
        <w:tab w:val="left" w:pos="794"/>
        <w:tab w:val="left" w:pos="1191"/>
        <w:tab w:val="left" w:pos="1588"/>
        <w:tab w:val="left" w:pos="1985"/>
      </w:tabs>
    </w:pPr>
  </w:style>
  <w:style w:type="paragraph" w:customStyle="1" w:styleId="toc0">
    <w:name w:val="toc 0"/>
    <w:basedOn w:val="Normal"/>
    <w:next w:val="TOC1"/>
    <w:pPr>
      <w:tabs>
        <w:tab w:val="right" w:pos="9781"/>
      </w:tabs>
    </w:pPr>
    <w:rPr>
      <w:b/>
    </w:rPr>
  </w:style>
  <w:style w:type="character" w:customStyle="1" w:styleId="toc0Char">
    <w:name w:val="toc 0 Char"/>
    <w:locked/>
    <w:rPr>
      <w:rFonts w:eastAsia="SimSun"/>
      <w:b/>
      <w:sz w:val="24"/>
      <w:szCs w:val="24"/>
      <w:lang w:val="en-GB" w:eastAsia="ja-JP"/>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character" w:customStyle="1" w:styleId="ASN1Char">
    <w:name w:val="ASN.1 Char"/>
    <w:locked/>
    <w:rPr>
      <w:rFonts w:ascii="Times New Roman Bold" w:eastAsia="SimSun" w:hAnsi="Times New Roman Bold"/>
      <w:b/>
      <w:noProof/>
      <w:szCs w:val="24"/>
      <w:lang w:val="en-GB" w:eastAsia="ja-JP"/>
    </w:rPr>
  </w:style>
  <w:style w:type="paragraph" w:customStyle="1" w:styleId="Recref">
    <w:name w:val="Rec_ref"/>
    <w:basedOn w:val="Rectitle"/>
    <w:next w:val="Recdate"/>
    <w:pPr>
      <w:spacing w:before="120"/>
    </w:pPr>
    <w:rPr>
      <w:b w:val="0"/>
      <w:i/>
      <w:sz w:val="24"/>
    </w:rPr>
  </w:style>
  <w:style w:type="paragraph" w:customStyle="1" w:styleId="Questionref">
    <w:name w:val="Question_ref"/>
    <w:basedOn w:val="Recref"/>
    <w:next w:val="Questiondate"/>
  </w:style>
  <w:style w:type="paragraph" w:customStyle="1" w:styleId="Reftext">
    <w:name w:val="Ref_text"/>
    <w:basedOn w:val="Normal"/>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tabs>
        <w:tab w:val="left" w:pos="794"/>
        <w:tab w:val="left" w:pos="1191"/>
        <w:tab w:val="left" w:pos="1588"/>
        <w:tab w:val="left" w:pos="1985"/>
      </w:tabs>
      <w:spacing w:before="480"/>
      <w:jc w:val="center"/>
    </w:pPr>
    <w:rPr>
      <w:caps/>
    </w:rPr>
  </w:style>
  <w:style w:type="paragraph" w:customStyle="1" w:styleId="Repdate">
    <w:name w:val="Rep_date"/>
    <w:basedOn w:val="Recdate"/>
    <w:next w:val="Normalaftertitle"/>
    <w:rPr>
      <w:i/>
    </w:rPr>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rPr>
      <w:i/>
    </w:rPr>
  </w:style>
  <w:style w:type="paragraph" w:customStyle="1" w:styleId="Resref">
    <w:name w:val="Res_ref"/>
    <w:basedOn w:val="Recref"/>
    <w:next w:val="Resdat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customStyle="1" w:styleId="Recdef">
    <w:name w:val="Rec_def"/>
    <w:rPr>
      <w:b/>
    </w:rPr>
  </w:style>
  <w:style w:type="character" w:customStyle="1" w:styleId="Resdef">
    <w:name w:val="Res_def"/>
    <w:rPr>
      <w:rFonts w:ascii="Times New Roman" w:hAnsi="Times New Roman"/>
      <w:b/>
    </w:rPr>
  </w:style>
  <w:style w:type="paragraph" w:customStyle="1" w:styleId="headingb0">
    <w:name w:val="heading_b"/>
    <w:basedOn w:val="Heading3"/>
    <w:next w:val="Normal"/>
    <w:pPr>
      <w:tabs>
        <w:tab w:val="left" w:pos="2127"/>
        <w:tab w:val="left" w:pos="2410"/>
        <w:tab w:val="left" w:pos="2921"/>
        <w:tab w:val="left" w:pos="3261"/>
      </w:tabs>
      <w:outlineLvl w:val="9"/>
    </w:pPr>
    <w:rPr>
      <w:bC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Head">
    <w:name w:val="Head"/>
    <w:basedOn w:val="Normal"/>
    <w:pPr>
      <w:tabs>
        <w:tab w:val="left" w:pos="794"/>
        <w:tab w:val="left" w:pos="1191"/>
        <w:tab w:val="left" w:pos="1588"/>
        <w:tab w:val="left" w:pos="1985"/>
        <w:tab w:val="left" w:pos="6663"/>
      </w:tabs>
      <w:spacing w:before="0"/>
    </w:pPr>
  </w:style>
  <w:style w:type="paragraph" w:customStyle="1" w:styleId="TableTitle0">
    <w:name w:val="Table_Title"/>
    <w:basedOn w:val="Table"/>
    <w:next w:val="Normal"/>
    <w:pPr>
      <w:keepLines/>
      <w:spacing w:before="0"/>
    </w:pPr>
    <w:rPr>
      <w:b/>
      <w:caps w:val="0"/>
    </w:rPr>
  </w:style>
  <w:style w:type="paragraph" w:customStyle="1" w:styleId="Table">
    <w:name w:val="Table_#"/>
    <w:basedOn w:val="Normal"/>
    <w:next w:val="TableTitle0"/>
    <w:pPr>
      <w:keepNext/>
      <w:tabs>
        <w:tab w:val="left" w:pos="794"/>
        <w:tab w:val="left" w:pos="1191"/>
        <w:tab w:val="left" w:pos="1588"/>
        <w:tab w:val="left" w:pos="1985"/>
      </w:tabs>
      <w:spacing w:before="560" w:after="120"/>
      <w:jc w:val="center"/>
    </w:pPr>
    <w:rPr>
      <w:caps/>
    </w:rPr>
  </w:style>
  <w:style w:type="character" w:customStyle="1" w:styleId="Symbol">
    <w:name w:val="Symbol"/>
    <w:rPr>
      <w:rFonts w:ascii="Symbol" w:hAnsi="Symbol"/>
      <w:i/>
    </w:rPr>
  </w:style>
  <w:style w:type="paragraph" w:customStyle="1" w:styleId="listitem">
    <w:name w:val="listitem"/>
    <w:basedOn w:val="Normal"/>
    <w:pPr>
      <w:tabs>
        <w:tab w:val="left" w:pos="794"/>
        <w:tab w:val="left" w:pos="1191"/>
        <w:tab w:val="left" w:pos="1588"/>
        <w:tab w:val="left" w:pos="1985"/>
      </w:tabs>
      <w:spacing w:before="0"/>
    </w:pPr>
  </w:style>
  <w:style w:type="paragraph" w:customStyle="1" w:styleId="TableText0">
    <w:name w:val="Table_Text"/>
    <w:basedOn w:val="Normal"/>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TableHead0">
    <w:name w:val="Table_Head"/>
    <w:basedOn w:val="TableText0"/>
    <w:pPr>
      <w:keepNext/>
      <w:spacing w:before="80" w:after="80"/>
      <w:jc w:val="center"/>
    </w:pPr>
    <w:rPr>
      <w:b/>
    </w:rPr>
  </w:style>
  <w:style w:type="paragraph" w:customStyle="1" w:styleId="AnnexNotitle">
    <w:name w:val="Annex_No &amp; title"/>
    <w:basedOn w:val="Normal"/>
    <w:next w:val="Normal"/>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style>
  <w:style w:type="paragraph" w:customStyle="1" w:styleId="FigureNotitle">
    <w:name w:val="Figure_No &amp; title"/>
    <w:basedOn w:val="Normal"/>
    <w:next w:val="Normal"/>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tabs>
        <w:tab w:val="left" w:pos="794"/>
        <w:tab w:val="left" w:pos="1191"/>
        <w:tab w:val="left" w:pos="1588"/>
        <w:tab w:val="left" w:pos="1985"/>
      </w:tabs>
      <w:spacing w:before="480" w:after="120"/>
      <w:jc w:val="center"/>
    </w:pPr>
    <w:rPr>
      <w:caps/>
    </w:rPr>
  </w:style>
  <w:style w:type="paragraph" w:customStyle="1" w:styleId="TabletitleBR">
    <w:name w:val="Table_title_BR"/>
    <w:basedOn w:val="Normal"/>
    <w:next w:val="Normal"/>
    <w:pPr>
      <w:keepNext/>
      <w:keepLines/>
      <w:tabs>
        <w:tab w:val="left" w:pos="794"/>
        <w:tab w:val="left" w:pos="1191"/>
        <w:tab w:val="left" w:pos="1588"/>
        <w:tab w:val="left" w:pos="1985"/>
      </w:tab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ooterQP">
    <w:name w:val="Footer_QP"/>
    <w:basedOn w:val="Normal"/>
    <w:pPr>
      <w:tabs>
        <w:tab w:val="left" w:pos="907"/>
        <w:tab w:val="right" w:pos="8789"/>
        <w:tab w:val="right" w:pos="9639"/>
      </w:tabs>
      <w:spacing w:before="0"/>
    </w:pPr>
    <w:rPr>
      <w:b/>
      <w:sz w:val="22"/>
    </w:rPr>
  </w:style>
  <w:style w:type="paragraph" w:customStyle="1" w:styleId="Formal">
    <w:name w:val="Formal"/>
    <w:basedOn w:val="ASN1"/>
    <w:rPr>
      <w:rFonts w:ascii="Courier New" w:hAnsi="Courier New"/>
      <w:b w:val="0"/>
    </w:rPr>
  </w:style>
  <w:style w:type="character" w:customStyle="1" w:styleId="FormalChar">
    <w:name w:val="Formal Char"/>
    <w:locked/>
    <w:rPr>
      <w:rFonts w:ascii="Courier New" w:eastAsia="SimSun" w:hAnsi="Courier New"/>
      <w:b/>
      <w:noProof/>
      <w:szCs w:val="24"/>
      <w:lang w:val="en-GB" w:eastAsia="ja-JP"/>
    </w:rPr>
  </w:style>
  <w:style w:type="paragraph" w:customStyle="1" w:styleId="Normalaftertitle0">
    <w:name w:val="Normal_after_title"/>
    <w:basedOn w:val="Normal"/>
    <w:next w:val="Normal"/>
    <w:pPr>
      <w:tabs>
        <w:tab w:val="left" w:pos="794"/>
        <w:tab w:val="left" w:pos="1191"/>
        <w:tab w:val="left" w:pos="1588"/>
        <w:tab w:val="left" w:pos="1985"/>
      </w:tabs>
      <w:spacing w:before="360"/>
    </w:pPr>
  </w:style>
  <w:style w:type="character" w:styleId="PageNumber">
    <w:name w:val="page number"/>
    <w:basedOn w:val="DefaultParagraphFont"/>
    <w:semiHidden/>
  </w:style>
  <w:style w:type="paragraph" w:customStyle="1" w:styleId="RecNoBR">
    <w:name w:val="Rec_No_BR"/>
    <w:basedOn w:val="Normal"/>
    <w:next w:val="Normal"/>
    <w:pPr>
      <w:keepNext/>
      <w:keepLines/>
      <w:tabs>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Normal"/>
  </w:style>
  <w:style w:type="paragraph" w:customStyle="1" w:styleId="RepNoBR">
    <w:name w:val="Rep_No_BR"/>
    <w:basedOn w:val="RecNoBR"/>
    <w:next w:val="Normal"/>
  </w:style>
  <w:style w:type="paragraph" w:customStyle="1" w:styleId="ResNoBR">
    <w:name w:val="Res_No_BR"/>
    <w:basedOn w:val="RecNoBR"/>
    <w:next w:val="Normal"/>
  </w:style>
  <w:style w:type="paragraph" w:customStyle="1" w:styleId="TableNotitle">
    <w:name w:val="Table_No &amp; title"/>
    <w:basedOn w:val="Normal"/>
    <w:next w:val="Normal"/>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pPr>
      <w:keepNext/>
      <w:tabs>
        <w:tab w:val="left" w:pos="794"/>
        <w:tab w:val="left" w:pos="1191"/>
        <w:tab w:val="left" w:pos="1588"/>
        <w:tab w:val="left" w:pos="1985"/>
      </w:tabs>
      <w:spacing w:before="560" w:after="120"/>
      <w:jc w:val="center"/>
    </w:pPr>
    <w:rPr>
      <w:caps/>
    </w:rPr>
  </w:style>
  <w:style w:type="paragraph" w:styleId="BodyTextIndent2">
    <w:name w:val="Body Text Indent 2"/>
    <w:basedOn w:val="Normal"/>
    <w:semiHidden/>
    <w:pPr>
      <w:tabs>
        <w:tab w:val="left" w:pos="1440"/>
      </w:tabs>
      <w:ind w:left="630" w:hanging="630"/>
    </w:pPr>
    <w:rPr>
      <w:lang w:val="en-US"/>
    </w:rPr>
  </w:style>
  <w:style w:type="character" w:customStyle="1" w:styleId="2Char0">
    <w:name w:val="正文文本缩进 2 Char"/>
    <w:rPr>
      <w:rFonts w:eastAsia="SimSun"/>
      <w:sz w:val="24"/>
      <w:szCs w:val="24"/>
      <w:lang w:eastAsia="ja-JP"/>
    </w:rPr>
  </w:style>
  <w:style w:type="paragraph" w:styleId="BodyTextIndent">
    <w:name w:val="Body Text Indent"/>
    <w:basedOn w:val="Normal"/>
    <w:semiHidden/>
    <w:pPr>
      <w:ind w:left="540" w:hanging="540"/>
    </w:pPr>
    <w:rPr>
      <w:lang w:val="en-US"/>
    </w:rPr>
  </w:style>
  <w:style w:type="character" w:customStyle="1" w:styleId="Char3">
    <w:name w:val="正文文本缩进 Char"/>
    <w:rPr>
      <w:rFonts w:eastAsia="SimSun"/>
      <w:sz w:val="24"/>
      <w:szCs w:val="24"/>
      <w:lang w:eastAsia="ja-JP"/>
    </w:rPr>
  </w:style>
  <w:style w:type="paragraph" w:styleId="BodyText2">
    <w:name w:val="Body Text 2"/>
    <w:basedOn w:val="Normal"/>
    <w:semiHidden/>
    <w:pPr>
      <w:tabs>
        <w:tab w:val="left" w:pos="794"/>
        <w:tab w:val="left" w:pos="1191"/>
        <w:tab w:val="left" w:pos="1588"/>
        <w:tab w:val="left" w:pos="1985"/>
      </w:tabs>
      <w:spacing w:after="120" w:line="480" w:lineRule="auto"/>
    </w:pPr>
  </w:style>
  <w:style w:type="character" w:customStyle="1" w:styleId="2Char1">
    <w:name w:val="正文文本 2 Char"/>
    <w:rPr>
      <w:rFonts w:eastAsia="SimSun"/>
      <w:sz w:val="24"/>
      <w:szCs w:val="24"/>
      <w:lang w:val="en-GB" w:eastAsia="ja-JP"/>
    </w:rPr>
  </w:style>
  <w:style w:type="character" w:customStyle="1" w:styleId="Char4">
    <w:name w:val="正文文本 Char"/>
    <w:rPr>
      <w:rFonts w:ascii="Futura Lt BT" w:hAnsi="Futura Lt BT"/>
      <w:sz w:val="18"/>
      <w:lang w:val="fr-FR" w:eastAsia="en-US"/>
    </w:rPr>
  </w:style>
  <w:style w:type="paragraph" w:customStyle="1" w:styleId="Rec">
    <w:name w:val="Rec_#"/>
    <w:basedOn w:val="Normal"/>
    <w:next w:val="Normal"/>
    <w:pPr>
      <w:keepNext/>
      <w:keepLines/>
      <w:tabs>
        <w:tab w:val="left" w:pos="794"/>
        <w:tab w:val="left" w:pos="1191"/>
        <w:tab w:val="left" w:pos="1588"/>
        <w:tab w:val="left" w:pos="1985"/>
      </w:tabs>
      <w:spacing w:before="480"/>
    </w:pPr>
    <w:rPr>
      <w:b/>
    </w:rPr>
  </w:style>
  <w:style w:type="paragraph" w:customStyle="1" w:styleId="LetterEnd">
    <w:name w:val="Letter_End"/>
    <w:basedOn w:val="Normal"/>
    <w:pPr>
      <w:tabs>
        <w:tab w:val="left" w:pos="1361"/>
        <w:tab w:val="left" w:pos="1758"/>
        <w:tab w:val="left" w:pos="2155"/>
        <w:tab w:val="left" w:pos="2552"/>
      </w:tabs>
      <w:spacing w:before="284"/>
      <w:ind w:left="567" w:firstLine="851"/>
    </w:pPr>
  </w:style>
  <w:style w:type="character" w:styleId="FollowedHyperlink">
    <w:name w:val="FollowedHyperlink"/>
    <w:semiHidden/>
    <w:rPr>
      <w:color w:val="800080"/>
      <w:u w:val="single"/>
    </w:rPr>
  </w:style>
  <w:style w:type="paragraph" w:styleId="Date">
    <w:name w:val="Date"/>
    <w:basedOn w:val="Normal"/>
    <w:next w:val="Normal"/>
    <w:semiHidden/>
    <w:pPr>
      <w:tabs>
        <w:tab w:val="left" w:pos="794"/>
        <w:tab w:val="left" w:pos="1191"/>
        <w:tab w:val="left" w:pos="1588"/>
        <w:tab w:val="left" w:pos="1985"/>
      </w:tabs>
    </w:pPr>
  </w:style>
  <w:style w:type="character" w:customStyle="1" w:styleId="Char5">
    <w:name w:val="日期 Char"/>
    <w:rPr>
      <w:rFonts w:eastAsia="SimSun"/>
      <w:sz w:val="24"/>
      <w:szCs w:val="24"/>
      <w:lang w:val="en-GB" w:eastAsia="ja-JP"/>
    </w:rPr>
  </w:style>
  <w:style w:type="paragraph" w:styleId="PlainText">
    <w:name w:val="Plain Text"/>
    <w:basedOn w:val="Normal"/>
    <w:semiHidden/>
    <w:pPr>
      <w:spacing w:before="0"/>
    </w:pPr>
    <w:rPr>
      <w:rFonts w:ascii="Courier New" w:hAnsi="Courier New"/>
      <w:sz w:val="20"/>
      <w:lang w:val="en-US"/>
    </w:rPr>
  </w:style>
  <w:style w:type="character" w:customStyle="1" w:styleId="Char6">
    <w:name w:val="纯文本 Char"/>
    <w:rPr>
      <w:rFonts w:ascii="Courier New" w:eastAsia="SimSun" w:hAnsi="Courier New"/>
      <w:szCs w:val="24"/>
      <w:lang w:eastAsia="ja-JP"/>
    </w:rPr>
  </w:style>
  <w:style w:type="paragraph" w:styleId="NormalWeb">
    <w:name w:val="Normal (Web)"/>
    <w:basedOn w:val="Normal"/>
    <w:link w:val="NormalWebChar"/>
    <w:uiPriority w:val="99"/>
    <w:pPr>
      <w:spacing w:before="100" w:after="100" w:line="240" w:lineRule="atLeast"/>
    </w:pPr>
    <w:rPr>
      <w:rFonts w:ascii="Verdana" w:hAnsi="Verdana"/>
      <w:sz w:val="18"/>
      <w:szCs w:val="18"/>
      <w:lang w:val="en-US" w:eastAsia="zh-CN"/>
    </w:rPr>
  </w:style>
  <w:style w:type="character" w:customStyle="1" w:styleId="Char7">
    <w:name w:val="普通(网站) Char"/>
    <w:uiPriority w:val="99"/>
    <w:locked/>
    <w:rPr>
      <w:rFonts w:ascii="Verdana" w:hAnsi="Verdana"/>
      <w:sz w:val="18"/>
      <w:szCs w:val="18"/>
    </w:rPr>
  </w:style>
  <w:style w:type="paragraph" w:styleId="ListBullet">
    <w:name w:val="List Bullet"/>
    <w:basedOn w:val="Normal"/>
    <w:semiHidden/>
    <w:pPr>
      <w:numPr>
        <w:numId w:val="1"/>
      </w:numPr>
      <w:tabs>
        <w:tab w:val="left" w:pos="480"/>
      </w:tabs>
      <w:ind w:left="200" w:hangingChars="200" w:hanging="200"/>
    </w:pPr>
    <w:rPr>
      <w:rFonts w:eastAsia="MS Mincho"/>
    </w:rPr>
  </w:style>
  <w:style w:type="paragraph" w:styleId="ListBullet2">
    <w:name w:val="List Bullet 2"/>
    <w:basedOn w:val="Normal"/>
    <w:semiHidden/>
    <w:pPr>
      <w:numPr>
        <w:numId w:val="2"/>
      </w:numPr>
      <w:tabs>
        <w:tab w:val="left" w:pos="960"/>
      </w:tabs>
      <w:ind w:leftChars="200" w:left="400" w:hangingChars="200" w:hanging="200"/>
      <w:contextualSpacing/>
    </w:pPr>
    <w:rPr>
      <w:rFonts w:eastAsia="MS Mincho"/>
    </w:rPr>
  </w:style>
  <w:style w:type="paragraph" w:customStyle="1" w:styleId="StyleTOC1Before0pt">
    <w:name w:val="Style TOC 1 + Before:  0 pt"/>
    <w:basedOn w:val="TOC1"/>
    <w:pPr>
      <w:tabs>
        <w:tab w:val="left" w:leader="dot" w:pos="8647"/>
      </w:tabs>
      <w:spacing w:before="0"/>
      <w:ind w:left="965" w:hanging="965"/>
    </w:pPr>
  </w:style>
  <w:style w:type="paragraph" w:customStyle="1" w:styleId="AnnexNoTitle0">
    <w:name w:val="Annex_NoTitle"/>
    <w:basedOn w:val="Normal"/>
    <w:next w:val="Normalaftertitle0"/>
    <w:pPr>
      <w:keepNext/>
      <w:keepLines/>
      <w:tabs>
        <w:tab w:val="left" w:pos="794"/>
        <w:tab w:val="left" w:pos="1191"/>
        <w:tab w:val="left" w:pos="1588"/>
        <w:tab w:val="left" w:pos="1985"/>
      </w:tabs>
      <w:spacing w:before="720"/>
      <w:jc w:val="center"/>
    </w:pPr>
    <w:rPr>
      <w:b/>
      <w:sz w:val="28"/>
    </w:rPr>
  </w:style>
  <w:style w:type="paragraph" w:styleId="ListParagraph">
    <w:name w:val="List Paragraph"/>
    <w:basedOn w:val="Normal"/>
    <w:link w:val="ListParagraphChar"/>
    <w:uiPriority w:val="34"/>
    <w:qFormat/>
    <w:pPr>
      <w:tabs>
        <w:tab w:val="left" w:pos="794"/>
        <w:tab w:val="left" w:pos="1191"/>
        <w:tab w:val="left" w:pos="1588"/>
        <w:tab w:val="left" w:pos="1985"/>
      </w:tabs>
      <w:ind w:left="720"/>
      <w:contextualSpacing/>
      <w:jc w:val="both"/>
    </w:pPr>
  </w:style>
  <w:style w:type="character" w:customStyle="1" w:styleId="Char8">
    <w:name w:val="列出段落 Char"/>
    <w:locked/>
    <w:rPr>
      <w:rFonts w:eastAsia="SimSun"/>
      <w:sz w:val="24"/>
      <w:szCs w:val="24"/>
      <w:lang w:val="en-GB" w:eastAsia="ja-JP"/>
    </w:rPr>
  </w:style>
  <w:style w:type="character" w:styleId="Strong">
    <w:name w:val="Strong"/>
    <w:uiPriority w:val="22"/>
    <w:qFormat/>
    <w:rPr>
      <w:b/>
      <w:bCs/>
    </w:rPr>
  </w:style>
  <w:style w:type="character" w:customStyle="1" w:styleId="msoins0">
    <w:name w:val="msoins0"/>
    <w:rPr>
      <w:rFonts w:cs="Times New Roman"/>
    </w:rPr>
  </w:style>
  <w:style w:type="paragraph" w:customStyle="1" w:styleId="Default">
    <w:name w:val="Default"/>
    <w:pPr>
      <w:autoSpaceDE w:val="0"/>
      <w:autoSpaceDN w:val="0"/>
      <w:adjustRightInd w:val="0"/>
    </w:pPr>
    <w:rPr>
      <w:rFonts w:ascii="Calibri" w:eastAsia="Times New Roman" w:hAnsi="Calibri" w:cs="Calibri"/>
      <w:color w:val="000000"/>
      <w:sz w:val="24"/>
      <w:szCs w:val="24"/>
    </w:rPr>
  </w:style>
  <w:style w:type="character" w:customStyle="1" w:styleId="href">
    <w:name w:val="href"/>
    <w:rPr>
      <w:color w:val="auto"/>
    </w:rPr>
  </w:style>
  <w:style w:type="paragraph" w:styleId="TOCHeading">
    <w:name w:val="TOC Heading"/>
    <w:basedOn w:val="Heading1"/>
    <w:next w:val="Normal"/>
    <w:qFormat/>
    <w:pPr>
      <w:overflowPunct/>
      <w:autoSpaceDE/>
      <w:autoSpaceDN/>
      <w:adjustRightInd/>
      <w:spacing w:before="480" w:line="276" w:lineRule="auto"/>
      <w:ind w:left="0" w:firstLine="0"/>
      <w:textAlignment w:val="auto"/>
      <w:outlineLvl w:val="9"/>
    </w:pPr>
    <w:rPr>
      <w:rFonts w:ascii="Cambria" w:eastAsia="SimSun" w:hAnsi="Cambria"/>
      <w:bCs/>
      <w:color w:val="365F91"/>
      <w:szCs w:val="28"/>
      <w:lang w:val="en-US"/>
    </w:rPr>
  </w:style>
  <w:style w:type="paragraph" w:customStyle="1" w:styleId="plist2">
    <w:name w:val="plist2"/>
    <w:basedOn w:val="Normal"/>
    <w:pPr>
      <w:spacing w:before="0"/>
    </w:pPr>
    <w:rPr>
      <w:lang w:val="en-US" w:eastAsia="zh-CN"/>
    </w:rPr>
  </w:style>
  <w:style w:type="paragraph" w:customStyle="1" w:styleId="plist">
    <w:name w:val="plist"/>
    <w:basedOn w:val="Normal"/>
    <w:pPr>
      <w:spacing w:before="100" w:beforeAutospacing="1" w:after="100" w:afterAutospacing="1"/>
    </w:pPr>
    <w:rPr>
      <w:lang w:val="en-US" w:eastAsia="zh-CN"/>
    </w:rPr>
  </w:style>
  <w:style w:type="character" w:styleId="Emphasis">
    <w:name w:val="Emphasis"/>
    <w:uiPriority w:val="20"/>
    <w:qFormat/>
    <w:rPr>
      <w:rFonts w:cs="Times New Roman"/>
      <w:b/>
      <w:bCs/>
    </w:rPr>
  </w:style>
  <w:style w:type="paragraph" w:customStyle="1" w:styleId="style106">
    <w:name w:val="style106"/>
    <w:basedOn w:val="Normal"/>
    <w:pPr>
      <w:spacing w:before="100" w:after="100" w:line="240" w:lineRule="atLeast"/>
    </w:pPr>
    <w:rPr>
      <w:rFonts w:ascii="Verdana" w:hAnsi="Verdana"/>
      <w:sz w:val="18"/>
      <w:szCs w:val="18"/>
      <w:lang w:val="en-US" w:eastAsia="zh-CN"/>
    </w:rPr>
  </w:style>
  <w:style w:type="paragraph" w:customStyle="1" w:styleId="style108">
    <w:name w:val="style108"/>
    <w:basedOn w:val="Normal"/>
    <w:pPr>
      <w:spacing w:before="100" w:after="100" w:line="240" w:lineRule="atLeast"/>
    </w:pPr>
    <w:rPr>
      <w:rFonts w:ascii="Verdana" w:hAnsi="Verdana"/>
      <w:sz w:val="18"/>
      <w:szCs w:val="18"/>
      <w:lang w:val="en-US" w:eastAsia="zh-CN"/>
    </w:rPr>
  </w:style>
  <w:style w:type="character" w:customStyle="1" w:styleId="style112">
    <w:name w:val="style112"/>
    <w:basedOn w:val="DefaultParagraphFont"/>
  </w:style>
  <w:style w:type="paragraph" w:customStyle="1" w:styleId="style110">
    <w:name w:val="style110"/>
    <w:basedOn w:val="Normal"/>
    <w:pPr>
      <w:spacing w:before="100" w:after="100" w:line="240" w:lineRule="atLeast"/>
    </w:pPr>
    <w:rPr>
      <w:rFonts w:ascii="Verdana" w:hAnsi="Verdana"/>
      <w:sz w:val="18"/>
      <w:szCs w:val="18"/>
      <w:lang w:val="en-US" w:eastAsia="zh-CN"/>
    </w:rPr>
  </w:style>
  <w:style w:type="character" w:styleId="CommentReference">
    <w:name w:val="annotation reference"/>
    <w:semiHidden/>
    <w:unhideWhenUsed/>
    <w:rPr>
      <w:sz w:val="16"/>
      <w:szCs w:val="16"/>
    </w:rPr>
  </w:style>
  <w:style w:type="paragraph" w:styleId="CommentText">
    <w:name w:val="annotation text"/>
    <w:basedOn w:val="Normal"/>
    <w:semiHidden/>
    <w:unhideWhenUsed/>
    <w:pPr>
      <w:tabs>
        <w:tab w:val="left" w:pos="794"/>
        <w:tab w:val="left" w:pos="1191"/>
        <w:tab w:val="left" w:pos="1588"/>
        <w:tab w:val="left" w:pos="1985"/>
      </w:tabs>
      <w:jc w:val="both"/>
    </w:pPr>
    <w:rPr>
      <w:sz w:val="20"/>
    </w:rPr>
  </w:style>
  <w:style w:type="character" w:customStyle="1" w:styleId="Char9">
    <w:name w:val="批注文字 Char"/>
    <w:rPr>
      <w:rFonts w:eastAsia="SimSun"/>
      <w:szCs w:val="24"/>
      <w:lang w:val="en-GB" w:eastAsia="ja-JP"/>
    </w:rPr>
  </w:style>
  <w:style w:type="character" w:customStyle="1" w:styleId="googqs-tidbit">
    <w:name w:val="goog_qs-tidbit"/>
    <w:basedOn w:val="DefaultParagraphFont"/>
  </w:style>
  <w:style w:type="character" w:customStyle="1" w:styleId="st">
    <w:name w:val="st"/>
    <w:basedOn w:val="DefaultParagraphFont"/>
  </w:style>
  <w:style w:type="paragraph" w:customStyle="1" w:styleId="headingb1">
    <w:name w:val="headingb"/>
    <w:basedOn w:val="Normal"/>
    <w:semiHidden/>
    <w:pPr>
      <w:keepNext/>
      <w:spacing w:before="160"/>
      <w:jc w:val="both"/>
    </w:pPr>
    <w:rPr>
      <w:b/>
      <w:bCs/>
      <w:lang w:val="en-US" w:eastAsia="zh-CN"/>
    </w:rPr>
  </w:style>
  <w:style w:type="paragraph" w:styleId="EndnoteText">
    <w:name w:val="endnote text"/>
    <w:basedOn w:val="Normal"/>
    <w:semiHidden/>
    <w:unhideWhenUsed/>
    <w:pPr>
      <w:tabs>
        <w:tab w:val="left" w:pos="794"/>
        <w:tab w:val="left" w:pos="1191"/>
        <w:tab w:val="left" w:pos="1588"/>
        <w:tab w:val="left" w:pos="1985"/>
      </w:tabs>
      <w:spacing w:before="0"/>
      <w:jc w:val="both"/>
    </w:pPr>
    <w:rPr>
      <w:sz w:val="20"/>
    </w:rPr>
  </w:style>
  <w:style w:type="character" w:customStyle="1" w:styleId="Chara">
    <w:name w:val="尾注文本 Char"/>
    <w:rPr>
      <w:rFonts w:eastAsia="SimSun"/>
      <w:szCs w:val="24"/>
      <w:lang w:val="en-GB" w:eastAsia="ja-JP"/>
    </w:rPr>
  </w:style>
  <w:style w:type="paragraph" w:styleId="TOC9">
    <w:name w:val="toc 9"/>
    <w:basedOn w:val="Normal"/>
    <w:next w:val="Normal"/>
    <w:autoRedefine/>
    <w:semiHidden/>
    <w:unhideWhenUsed/>
    <w:pPr>
      <w:spacing w:before="0" w:after="100" w:line="276" w:lineRule="auto"/>
      <w:ind w:left="1760"/>
    </w:pPr>
    <w:rPr>
      <w:rFonts w:ascii="Calibri" w:hAnsi="Calibri"/>
      <w:sz w:val="22"/>
      <w:szCs w:val="22"/>
      <w:lang w:val="en-US" w:eastAsia="zh-CN"/>
    </w:rPr>
  </w:style>
  <w:style w:type="character" w:customStyle="1" w:styleId="Normal2Char">
    <w:name w:val="Normal2 Char"/>
    <w:locked/>
    <w:rPr>
      <w:rFonts w:ascii="Gill Sans MT" w:eastAsia="Batang" w:hAnsi="Gill Sans MT"/>
      <w:sz w:val="24"/>
      <w:lang w:eastAsia="en-US"/>
    </w:rPr>
  </w:style>
  <w:style w:type="paragraph" w:customStyle="1" w:styleId="Normal2">
    <w:name w:val="Normal2"/>
    <w:basedOn w:val="Normal"/>
    <w:pPr>
      <w:widowControl w:val="0"/>
      <w:tabs>
        <w:tab w:val="left" w:pos="567"/>
      </w:tabs>
      <w:spacing w:before="160"/>
      <w:ind w:left="902"/>
      <w:jc w:val="both"/>
    </w:pPr>
    <w:rPr>
      <w:rFonts w:ascii="Gill Sans MT" w:eastAsia="Batang" w:hAnsi="Gill Sans MT"/>
      <w:szCs w:val="20"/>
      <w:lang w:val="en-US" w:eastAsia="en-US"/>
    </w:rPr>
  </w:style>
  <w:style w:type="paragraph" w:customStyle="1" w:styleId="WSIS-SG-Report">
    <w:name w:val="WSIS-SG-Report"/>
    <w:basedOn w:val="Normal"/>
    <w:pPr>
      <w:numPr>
        <w:numId w:val="3"/>
      </w:numPr>
      <w:spacing w:after="120"/>
      <w:jc w:val="both"/>
    </w:pPr>
    <w:rPr>
      <w:color w:val="000000"/>
      <w:sz w:val="22"/>
      <w:szCs w:val="22"/>
      <w:lang w:val="en-US"/>
    </w:rPr>
  </w:style>
  <w:style w:type="character" w:customStyle="1" w:styleId="wcm-region">
    <w:name w:val="wcm-region"/>
    <w:basedOn w:val="DefaultParagraphFont"/>
  </w:style>
  <w:style w:type="paragraph" w:customStyle="1" w:styleId="Docnumber">
    <w:name w:val="Docnumber"/>
    <w:basedOn w:val="Normal"/>
    <w:pPr>
      <w:tabs>
        <w:tab w:val="left" w:pos="794"/>
        <w:tab w:val="left" w:pos="1191"/>
        <w:tab w:val="left" w:pos="1588"/>
        <w:tab w:val="left" w:pos="1985"/>
      </w:tabs>
      <w:overflowPunct w:val="0"/>
      <w:autoSpaceDE w:val="0"/>
      <w:autoSpaceDN w:val="0"/>
      <w:adjustRightInd w:val="0"/>
      <w:jc w:val="right"/>
      <w:textAlignment w:val="baseline"/>
    </w:pPr>
    <w:rPr>
      <w:b/>
      <w:sz w:val="40"/>
      <w:szCs w:val="20"/>
      <w:lang w:eastAsia="en-US"/>
    </w:rPr>
  </w:style>
  <w:style w:type="character" w:customStyle="1" w:styleId="DocnumberChar">
    <w:name w:val="Docnumber Char"/>
    <w:rPr>
      <w:b/>
      <w:sz w:val="40"/>
      <w:lang w:val="en-GB" w:eastAsia="en-US"/>
    </w:rPr>
  </w:style>
  <w:style w:type="paragraph" w:customStyle="1" w:styleId="headingitalic">
    <w:name w:val="headingitalic"/>
    <w:basedOn w:val="Normal"/>
    <w:pPr>
      <w:spacing w:before="100" w:beforeAutospacing="1" w:after="100" w:afterAutospacing="1"/>
    </w:pPr>
    <w:rPr>
      <w:rFonts w:ascii="Times" w:hAnsi="Times"/>
      <w:sz w:val="20"/>
      <w:lang w:val="en-US"/>
    </w:rPr>
  </w:style>
  <w:style w:type="character" w:customStyle="1" w:styleId="spelle">
    <w:name w:val="spelle"/>
    <w:basedOn w:val="DefaultParagraphFont"/>
  </w:style>
  <w:style w:type="paragraph" w:styleId="HTMLPreformatted">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en-US" w:eastAsia="zh-CN"/>
    </w:rPr>
  </w:style>
  <w:style w:type="character" w:customStyle="1" w:styleId="HTMLChar">
    <w:name w:val="HTML 预设格式 Char"/>
    <w:rPr>
      <w:rFonts w:ascii="Courier New" w:eastAsia="SimSun" w:hAnsi="Courier New" w:cs="Courier New"/>
      <w:szCs w:val="24"/>
    </w:rPr>
  </w:style>
  <w:style w:type="paragraph" w:customStyle="1" w:styleId="CorrectionSeparatorBegin">
    <w:name w:val="Correction Separator Begin"/>
    <w:basedOn w:val="Normal"/>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Pr>
      <w:b/>
      <w:bCs/>
    </w:rPr>
  </w:style>
  <w:style w:type="paragraph" w:customStyle="1" w:styleId="Normalbeforetable">
    <w:name w:val="Normal before table"/>
    <w:basedOn w:val="Normal"/>
    <w:pPr>
      <w:keepNext/>
      <w:spacing w:after="120"/>
    </w:pPr>
    <w:rPr>
      <w:rFonts w:eastAsia="????"/>
      <w:lang w:eastAsia="en-US"/>
    </w:rPr>
  </w:style>
  <w:style w:type="paragraph" w:styleId="TableofFigures">
    <w:name w:val="table of figures"/>
    <w:basedOn w:val="Normal"/>
    <w:next w:val="Normal"/>
    <w:semiHidden/>
    <w:pPr>
      <w:tabs>
        <w:tab w:val="right" w:leader="dot" w:pos="9639"/>
      </w:tabs>
    </w:pPr>
    <w:rPr>
      <w:rFonts w:eastAsia="MS Mincho"/>
    </w:rPr>
  </w:style>
  <w:style w:type="character" w:customStyle="1" w:styleId="apple-converted-space">
    <w:name w:val="apple-converted-space"/>
    <w:basedOn w:val="DefaultParagraphFont"/>
  </w:style>
  <w:style w:type="paragraph" w:styleId="CommentSubject">
    <w:name w:val="annotation subject"/>
    <w:basedOn w:val="CommentText"/>
    <w:next w:val="CommentText"/>
    <w:pPr>
      <w:tabs>
        <w:tab w:val="clear" w:pos="794"/>
        <w:tab w:val="clear" w:pos="1191"/>
        <w:tab w:val="clear" w:pos="1588"/>
        <w:tab w:val="clear" w:pos="1985"/>
      </w:tabs>
      <w:jc w:val="left"/>
    </w:pPr>
    <w:rPr>
      <w:b/>
      <w:bCs/>
      <w:szCs w:val="20"/>
    </w:rPr>
  </w:style>
  <w:style w:type="character" w:customStyle="1" w:styleId="Charb">
    <w:name w:val="批注主题 Char"/>
    <w:rPr>
      <w:rFonts w:eastAsia="SimSun"/>
      <w:b/>
      <w:bCs/>
      <w:szCs w:val="24"/>
      <w:lang w:val="en-GB" w:eastAsia="ja-JP"/>
    </w:rPr>
  </w:style>
  <w:style w:type="paragraph" w:styleId="List">
    <w:name w:val="List"/>
    <w:basedOn w:val="Normal"/>
    <w:semiHidden/>
    <w:pPr>
      <w:ind w:left="283" w:hanging="283"/>
      <w:contextualSpacing/>
    </w:pPr>
  </w:style>
  <w:style w:type="paragraph" w:styleId="Revision">
    <w:name w:val="Revision"/>
    <w:hidden/>
    <w:semiHidden/>
    <w:rPr>
      <w:sz w:val="24"/>
      <w:szCs w:val="24"/>
      <w:lang w:val="en-GB" w:eastAsia="ja-JP"/>
    </w:rPr>
  </w:style>
  <w:style w:type="paragraph" w:customStyle="1" w:styleId="Textbodyindent">
    <w:name w:val="Text body indent"/>
    <w:basedOn w:val="Normal"/>
    <w:pPr>
      <w:suppressAutoHyphens/>
      <w:spacing w:before="0"/>
      <w:ind w:firstLine="360"/>
      <w:jc w:val="both"/>
    </w:pPr>
    <w:rPr>
      <w:rFonts w:eastAsia="Times New Roman"/>
      <w:sz w:val="18"/>
      <w:lang w:val="en-US" w:eastAsia="ar-SA"/>
    </w:rPr>
  </w:style>
  <w:style w:type="paragraph" w:customStyle="1" w:styleId="NormalITU">
    <w:name w:val="Normal_ITU"/>
    <w:basedOn w:val="Normal"/>
    <w:pPr>
      <w:autoSpaceDE w:val="0"/>
      <w:autoSpaceDN w:val="0"/>
      <w:adjustRightInd w:val="0"/>
    </w:pPr>
    <w:rPr>
      <w:rFonts w:eastAsia="MS Mincho" w:cs="Arial"/>
      <w:szCs w:val="20"/>
      <w:lang w:val="en-US" w:eastAsia="en-US"/>
    </w:rPr>
  </w:style>
  <w:style w:type="paragraph" w:styleId="Caption">
    <w:name w:val="caption"/>
    <w:basedOn w:val="Normal"/>
    <w:next w:val="Normal"/>
    <w:qFormat/>
    <w:pPr>
      <w:spacing w:before="0" w:after="200"/>
    </w:pPr>
    <w:rPr>
      <w:i/>
      <w:iCs/>
      <w:color w:val="1F497D"/>
      <w:sz w:val="18"/>
      <w:szCs w:val="18"/>
    </w:rPr>
  </w:style>
  <w:style w:type="paragraph" w:customStyle="1" w:styleId="RecNoTSB">
    <w:name w:val="Rec_No_TSB"/>
    <w:basedOn w:val="Normal"/>
    <w:next w:val="Normal"/>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lang w:eastAsia="en-US"/>
    </w:rPr>
  </w:style>
  <w:style w:type="character" w:customStyle="1" w:styleId="shorttext">
    <w:name w:val="short_text"/>
    <w:basedOn w:val="DefaultParagraphFont"/>
    <w:rsid w:val="00C76A42"/>
  </w:style>
  <w:style w:type="character" w:customStyle="1" w:styleId="ms-rtefontsize-1">
    <w:name w:val="ms-rtefontsize-1"/>
    <w:basedOn w:val="DefaultParagraphFont"/>
    <w:rsid w:val="005E06CF"/>
  </w:style>
  <w:style w:type="table" w:styleId="TableGrid">
    <w:name w:val="Table Grid"/>
    <w:basedOn w:val="TableNormal"/>
    <w:uiPriority w:val="59"/>
    <w:rsid w:val="001B654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1B654A"/>
    <w:rPr>
      <w:sz w:val="24"/>
      <w:szCs w:val="24"/>
      <w:lang w:val="en-GB" w:eastAsia="ja-JP"/>
    </w:rPr>
  </w:style>
  <w:style w:type="character" w:customStyle="1" w:styleId="NormalWebChar">
    <w:name w:val="Normal (Web) Char"/>
    <w:link w:val="NormalWeb"/>
    <w:uiPriority w:val="99"/>
    <w:locked/>
    <w:rsid w:val="008F0C7E"/>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254041">
      <w:bodyDiv w:val="1"/>
      <w:marLeft w:val="0"/>
      <w:marRight w:val="0"/>
      <w:marTop w:val="0"/>
      <w:marBottom w:val="0"/>
      <w:divBdr>
        <w:top w:val="none" w:sz="0" w:space="0" w:color="auto"/>
        <w:left w:val="none" w:sz="0" w:space="0" w:color="auto"/>
        <w:bottom w:val="none" w:sz="0" w:space="0" w:color="auto"/>
        <w:right w:val="none" w:sz="0" w:space="0" w:color="auto"/>
      </w:divBdr>
    </w:div>
    <w:div w:id="301546057">
      <w:bodyDiv w:val="1"/>
      <w:marLeft w:val="0"/>
      <w:marRight w:val="0"/>
      <w:marTop w:val="0"/>
      <w:marBottom w:val="0"/>
      <w:divBdr>
        <w:top w:val="none" w:sz="0" w:space="0" w:color="auto"/>
        <w:left w:val="none" w:sz="0" w:space="0" w:color="auto"/>
        <w:bottom w:val="none" w:sz="0" w:space="0" w:color="auto"/>
        <w:right w:val="none" w:sz="0" w:space="0" w:color="auto"/>
      </w:divBdr>
      <w:divsChild>
        <w:div w:id="149910073">
          <w:marLeft w:val="0"/>
          <w:marRight w:val="0"/>
          <w:marTop w:val="0"/>
          <w:marBottom w:val="0"/>
          <w:divBdr>
            <w:top w:val="none" w:sz="0" w:space="0" w:color="auto"/>
            <w:left w:val="none" w:sz="0" w:space="0" w:color="auto"/>
            <w:bottom w:val="none" w:sz="0" w:space="0" w:color="auto"/>
            <w:right w:val="none" w:sz="0" w:space="0" w:color="auto"/>
          </w:divBdr>
          <w:divsChild>
            <w:div w:id="1221287155">
              <w:marLeft w:val="0"/>
              <w:marRight w:val="0"/>
              <w:marTop w:val="0"/>
              <w:marBottom w:val="0"/>
              <w:divBdr>
                <w:top w:val="none" w:sz="0" w:space="0" w:color="auto"/>
                <w:left w:val="none" w:sz="0" w:space="0" w:color="auto"/>
                <w:bottom w:val="none" w:sz="0" w:space="0" w:color="auto"/>
                <w:right w:val="none" w:sz="0" w:space="0" w:color="auto"/>
              </w:divBdr>
              <w:divsChild>
                <w:div w:id="856311615">
                  <w:marLeft w:val="0"/>
                  <w:marRight w:val="0"/>
                  <w:marTop w:val="0"/>
                  <w:marBottom w:val="0"/>
                  <w:divBdr>
                    <w:top w:val="none" w:sz="0" w:space="0" w:color="auto"/>
                    <w:left w:val="none" w:sz="0" w:space="0" w:color="auto"/>
                    <w:bottom w:val="none" w:sz="0" w:space="0" w:color="auto"/>
                    <w:right w:val="none" w:sz="0" w:space="0" w:color="auto"/>
                  </w:divBdr>
                  <w:divsChild>
                    <w:div w:id="1743335512">
                      <w:marLeft w:val="0"/>
                      <w:marRight w:val="0"/>
                      <w:marTop w:val="0"/>
                      <w:marBottom w:val="0"/>
                      <w:divBdr>
                        <w:top w:val="none" w:sz="0" w:space="0" w:color="auto"/>
                        <w:left w:val="none" w:sz="0" w:space="0" w:color="auto"/>
                        <w:bottom w:val="none" w:sz="0" w:space="0" w:color="auto"/>
                        <w:right w:val="none" w:sz="0" w:space="0" w:color="auto"/>
                      </w:divBdr>
                      <w:divsChild>
                        <w:div w:id="1696997050">
                          <w:marLeft w:val="0"/>
                          <w:marRight w:val="0"/>
                          <w:marTop w:val="0"/>
                          <w:marBottom w:val="0"/>
                          <w:divBdr>
                            <w:top w:val="none" w:sz="0" w:space="0" w:color="auto"/>
                            <w:left w:val="none" w:sz="0" w:space="0" w:color="auto"/>
                            <w:bottom w:val="none" w:sz="0" w:space="0" w:color="auto"/>
                            <w:right w:val="none" w:sz="0" w:space="0" w:color="auto"/>
                          </w:divBdr>
                          <w:divsChild>
                            <w:div w:id="1056205187">
                              <w:marLeft w:val="0"/>
                              <w:marRight w:val="0"/>
                              <w:marTop w:val="0"/>
                              <w:marBottom w:val="0"/>
                              <w:divBdr>
                                <w:top w:val="none" w:sz="0" w:space="0" w:color="auto"/>
                                <w:left w:val="none" w:sz="0" w:space="0" w:color="auto"/>
                                <w:bottom w:val="none" w:sz="0" w:space="0" w:color="auto"/>
                                <w:right w:val="none" w:sz="0" w:space="0" w:color="auto"/>
                              </w:divBdr>
                              <w:divsChild>
                                <w:div w:id="471599823">
                                  <w:marLeft w:val="0"/>
                                  <w:marRight w:val="0"/>
                                  <w:marTop w:val="0"/>
                                  <w:marBottom w:val="0"/>
                                  <w:divBdr>
                                    <w:top w:val="none" w:sz="0" w:space="0" w:color="auto"/>
                                    <w:left w:val="none" w:sz="0" w:space="0" w:color="auto"/>
                                    <w:bottom w:val="none" w:sz="0" w:space="0" w:color="auto"/>
                                    <w:right w:val="none" w:sz="0" w:space="0" w:color="auto"/>
                                  </w:divBdr>
                                  <w:divsChild>
                                    <w:div w:id="2058357414">
                                      <w:marLeft w:val="0"/>
                                      <w:marRight w:val="0"/>
                                      <w:marTop w:val="0"/>
                                      <w:marBottom w:val="0"/>
                                      <w:divBdr>
                                        <w:top w:val="none" w:sz="0" w:space="0" w:color="auto"/>
                                        <w:left w:val="none" w:sz="0" w:space="0" w:color="auto"/>
                                        <w:bottom w:val="none" w:sz="0" w:space="0" w:color="auto"/>
                                        <w:right w:val="none" w:sz="0" w:space="0" w:color="auto"/>
                                      </w:divBdr>
                                      <w:divsChild>
                                        <w:div w:id="1031609699">
                                          <w:marLeft w:val="0"/>
                                          <w:marRight w:val="0"/>
                                          <w:marTop w:val="0"/>
                                          <w:marBottom w:val="0"/>
                                          <w:divBdr>
                                            <w:top w:val="none" w:sz="0" w:space="0" w:color="auto"/>
                                            <w:left w:val="none" w:sz="0" w:space="0" w:color="auto"/>
                                            <w:bottom w:val="none" w:sz="0" w:space="0" w:color="auto"/>
                                            <w:right w:val="none" w:sz="0" w:space="0" w:color="auto"/>
                                          </w:divBdr>
                                          <w:divsChild>
                                            <w:div w:id="1570964819">
                                              <w:marLeft w:val="0"/>
                                              <w:marRight w:val="0"/>
                                              <w:marTop w:val="0"/>
                                              <w:marBottom w:val="0"/>
                                              <w:divBdr>
                                                <w:top w:val="none" w:sz="0" w:space="0" w:color="auto"/>
                                                <w:left w:val="none" w:sz="0" w:space="0" w:color="auto"/>
                                                <w:bottom w:val="none" w:sz="0" w:space="0" w:color="auto"/>
                                                <w:right w:val="none" w:sz="0" w:space="0" w:color="auto"/>
                                              </w:divBdr>
                                              <w:divsChild>
                                                <w:div w:id="686559793">
                                                  <w:marLeft w:val="0"/>
                                                  <w:marRight w:val="0"/>
                                                  <w:marTop w:val="0"/>
                                                  <w:marBottom w:val="0"/>
                                                  <w:divBdr>
                                                    <w:top w:val="none" w:sz="0" w:space="0" w:color="auto"/>
                                                    <w:left w:val="none" w:sz="0" w:space="0" w:color="auto"/>
                                                    <w:bottom w:val="none" w:sz="0" w:space="0" w:color="auto"/>
                                                    <w:right w:val="none" w:sz="0" w:space="0" w:color="auto"/>
                                                  </w:divBdr>
                                                  <w:divsChild>
                                                    <w:div w:id="722410643">
                                                      <w:marLeft w:val="0"/>
                                                      <w:marRight w:val="0"/>
                                                      <w:marTop w:val="0"/>
                                                      <w:marBottom w:val="0"/>
                                                      <w:divBdr>
                                                        <w:top w:val="none" w:sz="0" w:space="0" w:color="auto"/>
                                                        <w:left w:val="none" w:sz="0" w:space="0" w:color="auto"/>
                                                        <w:bottom w:val="none" w:sz="0" w:space="0" w:color="auto"/>
                                                        <w:right w:val="none" w:sz="0" w:space="0" w:color="auto"/>
                                                      </w:divBdr>
                                                    </w:div>
                                                    <w:div w:id="831682338">
                                                      <w:marLeft w:val="0"/>
                                                      <w:marRight w:val="0"/>
                                                      <w:marTop w:val="0"/>
                                                      <w:marBottom w:val="0"/>
                                                      <w:divBdr>
                                                        <w:top w:val="none" w:sz="0" w:space="0" w:color="auto"/>
                                                        <w:left w:val="none" w:sz="0" w:space="0" w:color="auto"/>
                                                        <w:bottom w:val="none" w:sz="0" w:space="0" w:color="auto"/>
                                                        <w:right w:val="none" w:sz="0" w:space="0" w:color="auto"/>
                                                      </w:divBdr>
                                                    </w:div>
                                                    <w:div w:id="1965235715">
                                                      <w:marLeft w:val="0"/>
                                                      <w:marRight w:val="0"/>
                                                      <w:marTop w:val="0"/>
                                                      <w:marBottom w:val="0"/>
                                                      <w:divBdr>
                                                        <w:top w:val="none" w:sz="0" w:space="0" w:color="auto"/>
                                                        <w:left w:val="none" w:sz="0" w:space="0" w:color="auto"/>
                                                        <w:bottom w:val="none" w:sz="0" w:space="0" w:color="auto"/>
                                                        <w:right w:val="none" w:sz="0" w:space="0" w:color="auto"/>
                                                      </w:divBdr>
                                                    </w:div>
                                                    <w:div w:id="15279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89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tsag@itu.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DELR-RES1-2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CEB65AAC224A569CFF7019908D5D4E"/>
        <w:category>
          <w:name w:val="General"/>
          <w:gallery w:val="placeholder"/>
        </w:category>
        <w:types>
          <w:type w:val="bbPlcHdr"/>
        </w:types>
        <w:behaviors>
          <w:behavior w:val="content"/>
        </w:behaviors>
        <w:guid w:val="{3DDA8521-EC1A-4513-8D42-C7250F410768}"/>
      </w:docPartPr>
      <w:docPartBody>
        <w:p w:rsidR="002043BE" w:rsidRDefault="000644F7" w:rsidP="000644F7">
          <w:pPr>
            <w:pStyle w:val="3FCEB65AAC224A569CFF7019908D5D4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charset w:val="00"/>
    <w:family w:val="swiss"/>
    <w:pitch w:val="variable"/>
    <w:sig w:usb0="00000007"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CG Times">
    <w:altName w:val="Times New Roman"/>
    <w:charset w:val="00"/>
    <w:family w:val="roman"/>
    <w:pitch w:val="variable"/>
    <w:sig w:usb0="00000007" w:usb1="00000000" w:usb2="00000000" w:usb3="00000000" w:csb0="00000093" w:csb1="00000000"/>
  </w:font>
  <w:font w:name="STKaiti">
    <w:altName w:val="Arial Unicode MS"/>
    <w:charset w:val="86"/>
    <w:family w:val="auto"/>
    <w:pitch w:val="variable"/>
    <w:sig w:usb0="00000000"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4F7"/>
    <w:rsid w:val="000644F7"/>
    <w:rsid w:val="002043BE"/>
    <w:rsid w:val="003E046E"/>
    <w:rsid w:val="004F4CD3"/>
    <w:rsid w:val="008310E8"/>
    <w:rsid w:val="00965DB2"/>
    <w:rsid w:val="00F13B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4F7"/>
    <w:rPr>
      <w:color w:val="808080"/>
    </w:rPr>
  </w:style>
  <w:style w:type="paragraph" w:customStyle="1" w:styleId="3FCEB65AAC224A569CFF7019908D5D4E">
    <w:name w:val="3FCEB65AAC224A569CFF7019908D5D4E"/>
    <w:rsid w:val="000644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5980A-5356-44FB-A54A-6BAA10D0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PC_TSBDELR-RES1-2C.dotx</Template>
  <TotalTime>1</TotalTime>
  <Pages>7</Pages>
  <Words>6661</Words>
  <Characters>991</Characters>
  <Application>Microsoft Office Word</Application>
  <DocSecurity>0</DocSecurity>
  <Lines>8</Lines>
  <Paragraphs>15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7637</CharactersWithSpaces>
  <SharedDoc>false</SharedDoc>
  <HLinks>
    <vt:vector size="780" baseType="variant">
      <vt:variant>
        <vt:i4>6357033</vt:i4>
      </vt:variant>
      <vt:variant>
        <vt:i4>555</vt:i4>
      </vt:variant>
      <vt:variant>
        <vt:i4>0</vt:i4>
      </vt:variant>
      <vt:variant>
        <vt:i4>5</vt:i4>
      </vt:variant>
      <vt:variant>
        <vt:lpwstr>http://www.itu.int/en/ITU-T/focusgroups/ssc/Pages/default.aspx</vt:lpwstr>
      </vt:variant>
      <vt:variant>
        <vt:lpwstr/>
      </vt:variant>
      <vt:variant>
        <vt:i4>6357052</vt:i4>
      </vt:variant>
      <vt:variant>
        <vt:i4>552</vt:i4>
      </vt:variant>
      <vt:variant>
        <vt:i4>0</vt:i4>
      </vt:variant>
      <vt:variant>
        <vt:i4>5</vt:i4>
      </vt:variant>
      <vt:variant>
        <vt:lpwstr>http://ifa.itu.int/t/2013/revcom/exchange/rg-restruct/1504-GVA</vt:lpwstr>
      </vt:variant>
      <vt:variant>
        <vt:lpwstr/>
      </vt:variant>
      <vt:variant>
        <vt:i4>6553661</vt:i4>
      </vt:variant>
      <vt:variant>
        <vt:i4>549</vt:i4>
      </vt:variant>
      <vt:variant>
        <vt:i4>0</vt:i4>
      </vt:variant>
      <vt:variant>
        <vt:i4>5</vt:i4>
      </vt:variant>
      <vt:variant>
        <vt:lpwstr>http://ifa.itu.int/t/2013/revcom/exchange/rg-restruct/1410-GVA/</vt:lpwstr>
      </vt:variant>
      <vt:variant>
        <vt:lpwstr/>
      </vt:variant>
      <vt:variant>
        <vt:i4>3211383</vt:i4>
      </vt:variant>
      <vt:variant>
        <vt:i4>546</vt:i4>
      </vt:variant>
      <vt:variant>
        <vt:i4>0</vt:i4>
      </vt:variant>
      <vt:variant>
        <vt:i4>5</vt:i4>
      </vt:variant>
      <vt:variant>
        <vt:lpwstr>http://tsbtech.itu.int/</vt:lpwstr>
      </vt:variant>
      <vt:variant>
        <vt:lpwstr/>
      </vt:variant>
      <vt:variant>
        <vt:i4>4718661</vt:i4>
      </vt:variant>
      <vt:variant>
        <vt:i4>543</vt:i4>
      </vt:variant>
      <vt:variant>
        <vt:i4>0</vt:i4>
      </vt:variant>
      <vt:variant>
        <vt:i4>5</vt:i4>
      </vt:variant>
      <vt:variant>
        <vt:lpwstr>http://www.itu.int/ITU-R/go/terminology-database</vt:lpwstr>
      </vt:variant>
      <vt:variant>
        <vt:lpwstr/>
      </vt:variant>
      <vt:variant>
        <vt:i4>1769476</vt:i4>
      </vt:variant>
      <vt:variant>
        <vt:i4>540</vt:i4>
      </vt:variant>
      <vt:variant>
        <vt:i4>0</vt:i4>
      </vt:variant>
      <vt:variant>
        <vt:i4>5</vt:i4>
      </vt:variant>
      <vt:variant>
        <vt:lpwstr>http://www.itu.int/net/itu-t/ls/</vt:lpwstr>
      </vt:variant>
      <vt:variant>
        <vt:lpwstr/>
      </vt:variant>
      <vt:variant>
        <vt:i4>5767243</vt:i4>
      </vt:variant>
      <vt:variant>
        <vt:i4>537</vt:i4>
      </vt:variant>
      <vt:variant>
        <vt:i4>0</vt:i4>
      </vt:variant>
      <vt:variant>
        <vt:i4>5</vt:i4>
      </vt:variant>
      <vt:variant>
        <vt:lpwstr>http://www.itu.int/ITU-T/workprog</vt:lpwstr>
      </vt:variant>
      <vt:variant>
        <vt:lpwstr/>
      </vt:variant>
      <vt:variant>
        <vt:i4>7798829</vt:i4>
      </vt:variant>
      <vt:variant>
        <vt:i4>534</vt:i4>
      </vt:variant>
      <vt:variant>
        <vt:i4>0</vt:i4>
      </vt:variant>
      <vt:variant>
        <vt:i4>5</vt:i4>
      </vt:variant>
      <vt:variant>
        <vt:lpwstr>http://www.itu.int/net/itu-t/sigdb/menu.htm</vt:lpwstr>
      </vt:variant>
      <vt:variant>
        <vt:lpwstr/>
      </vt:variant>
      <vt:variant>
        <vt:i4>6815805</vt:i4>
      </vt:variant>
      <vt:variant>
        <vt:i4>531</vt:i4>
      </vt:variant>
      <vt:variant>
        <vt:i4>0</vt:i4>
      </vt:variant>
      <vt:variant>
        <vt:i4>5</vt:i4>
      </vt:variant>
      <vt:variant>
        <vt:lpwstr>http://www.itu.int/ITU-T/formal-language/index.html</vt:lpwstr>
      </vt:variant>
      <vt:variant>
        <vt:lpwstr/>
      </vt:variant>
      <vt:variant>
        <vt:i4>3211323</vt:i4>
      </vt:variant>
      <vt:variant>
        <vt:i4>528</vt:i4>
      </vt:variant>
      <vt:variant>
        <vt:i4>0</vt:i4>
      </vt:variant>
      <vt:variant>
        <vt:i4>5</vt:i4>
      </vt:variant>
      <vt:variant>
        <vt:lpwstr>http://www.itu.int/ipr</vt:lpwstr>
      </vt:variant>
      <vt:variant>
        <vt:lpwstr/>
      </vt:variant>
      <vt:variant>
        <vt:i4>6488100</vt:i4>
      </vt:variant>
      <vt:variant>
        <vt:i4>525</vt:i4>
      </vt:variant>
      <vt:variant>
        <vt:i4>0</vt:i4>
      </vt:variant>
      <vt:variant>
        <vt:i4>5</vt:i4>
      </vt:variant>
      <vt:variant>
        <vt:lpwstr>http://www.itu.int/net/itu-t/cdb/ConformityDB.aspx</vt:lpwstr>
      </vt:variant>
      <vt:variant>
        <vt:lpwstr/>
      </vt:variant>
      <vt:variant>
        <vt:i4>2687021</vt:i4>
      </vt:variant>
      <vt:variant>
        <vt:i4>522</vt:i4>
      </vt:variant>
      <vt:variant>
        <vt:i4>0</vt:i4>
      </vt:variant>
      <vt:variant>
        <vt:i4>5</vt:i4>
      </vt:variant>
      <vt:variant>
        <vt:lpwstr>http://www.itu.int/ITU-T/inr/index.html</vt:lpwstr>
      </vt:variant>
      <vt:variant>
        <vt:lpwstr/>
      </vt:variant>
      <vt:variant>
        <vt:i4>5701714</vt:i4>
      </vt:variant>
      <vt:variant>
        <vt:i4>519</vt:i4>
      </vt:variant>
      <vt:variant>
        <vt:i4>0</vt:i4>
      </vt:variant>
      <vt:variant>
        <vt:i4>5</vt:i4>
      </vt:variant>
      <vt:variant>
        <vt:lpwstr>http://www.itu.int/itu-t/recommendations</vt:lpwstr>
      </vt:variant>
      <vt:variant>
        <vt:lpwstr/>
      </vt:variant>
      <vt:variant>
        <vt:i4>3932286</vt:i4>
      </vt:variant>
      <vt:variant>
        <vt:i4>516</vt:i4>
      </vt:variant>
      <vt:variant>
        <vt:i4>0</vt:i4>
      </vt:variant>
      <vt:variant>
        <vt:i4>5</vt:i4>
      </vt:variant>
      <vt:variant>
        <vt:lpwstr>http://www.scoop.it/t/itu-t-in-the-news</vt:lpwstr>
      </vt:variant>
      <vt:variant>
        <vt:lpwstr/>
      </vt:variant>
      <vt:variant>
        <vt:i4>6291552</vt:i4>
      </vt:variant>
      <vt:variant>
        <vt:i4>513</vt:i4>
      </vt:variant>
      <vt:variant>
        <vt:i4>0</vt:i4>
      </vt:variant>
      <vt:variant>
        <vt:i4>5</vt:i4>
      </vt:variant>
      <vt:variant>
        <vt:lpwstr>http://www.theregister.co.uk/2014/07/03/bill_gates_wants_itu_to_define_future_of_money/</vt:lpwstr>
      </vt:variant>
      <vt:variant>
        <vt:lpwstr/>
      </vt:variant>
      <vt:variant>
        <vt:i4>1441877</vt:i4>
      </vt:variant>
      <vt:variant>
        <vt:i4>510</vt:i4>
      </vt:variant>
      <vt:variant>
        <vt:i4>0</vt:i4>
      </vt:variant>
      <vt:variant>
        <vt:i4>5</vt:i4>
      </vt:variant>
      <vt:variant>
        <vt:lpwstr>http://www.lightreading.com/gigabit/dsl-vectoring-gfast/gfast-gets-green-light/d/d-id/712447</vt:lpwstr>
      </vt:variant>
      <vt:variant>
        <vt:lpwstr/>
      </vt:variant>
      <vt:variant>
        <vt:i4>6029343</vt:i4>
      </vt:variant>
      <vt:variant>
        <vt:i4>507</vt:i4>
      </vt:variant>
      <vt:variant>
        <vt:i4>0</vt:i4>
      </vt:variant>
      <vt:variant>
        <vt:i4>5</vt:i4>
      </vt:variant>
      <vt:variant>
        <vt:lpwstr>http://arstechnica.com/information-technology/2014/12/gigabit-dsl-with-a-fiber-boost-to-hit-market-next-year/</vt:lpwstr>
      </vt:variant>
      <vt:variant>
        <vt:lpwstr/>
      </vt:variant>
      <vt:variant>
        <vt:i4>3080236</vt:i4>
      </vt:variant>
      <vt:variant>
        <vt:i4>504</vt:i4>
      </vt:variant>
      <vt:variant>
        <vt:i4>0</vt:i4>
      </vt:variant>
      <vt:variant>
        <vt:i4>5</vt:i4>
      </vt:variant>
      <vt:variant>
        <vt:lpwstr>http://itu4u.wordpress.com/</vt:lpwstr>
      </vt:variant>
      <vt:variant>
        <vt:lpwstr/>
      </vt:variant>
      <vt:variant>
        <vt:i4>3670122</vt:i4>
      </vt:variant>
      <vt:variant>
        <vt:i4>501</vt:i4>
      </vt:variant>
      <vt:variant>
        <vt:i4>0</vt:i4>
      </vt:variant>
      <vt:variant>
        <vt:i4>5</vt:i4>
      </vt:variant>
      <vt:variant>
        <vt:lpwstr>http://newslog.itu.int/</vt:lpwstr>
      </vt:variant>
      <vt:variant>
        <vt:lpwstr/>
      </vt:variant>
      <vt:variant>
        <vt:i4>6160416</vt:i4>
      </vt:variant>
      <vt:variant>
        <vt:i4>498</vt:i4>
      </vt:variant>
      <vt:variant>
        <vt:i4>0</vt:i4>
      </vt:variant>
      <vt:variant>
        <vt:i4>5</vt:i4>
      </vt:variant>
      <vt:variant>
        <vt:lpwstr/>
      </vt:variant>
      <vt:variant>
        <vt:lpwstr>_3.6_Aviation_applications</vt:lpwstr>
      </vt:variant>
      <vt:variant>
        <vt:i4>3342454</vt:i4>
      </vt:variant>
      <vt:variant>
        <vt:i4>495</vt:i4>
      </vt:variant>
      <vt:variant>
        <vt:i4>0</vt:i4>
      </vt:variant>
      <vt:variant>
        <vt:i4>5</vt:i4>
      </vt:variant>
      <vt:variant>
        <vt:lpwstr>http://accessibility.worldstandardscooperation.org/</vt:lpwstr>
      </vt:variant>
      <vt:variant>
        <vt:lpwstr/>
      </vt:variant>
      <vt:variant>
        <vt:i4>3801199</vt:i4>
      </vt:variant>
      <vt:variant>
        <vt:i4>492</vt:i4>
      </vt:variant>
      <vt:variant>
        <vt:i4>0</vt:i4>
      </vt:variant>
      <vt:variant>
        <vt:i4>5</vt:i4>
      </vt:variant>
      <vt:variant>
        <vt:lpwstr>http://www.itu.int/en/ITU-T/studygroups/2013-2016/02/Pages/default.aspx</vt:lpwstr>
      </vt:variant>
      <vt:variant>
        <vt:lpwstr/>
      </vt:variant>
      <vt:variant>
        <vt:i4>3997806</vt:i4>
      </vt:variant>
      <vt:variant>
        <vt:i4>489</vt:i4>
      </vt:variant>
      <vt:variant>
        <vt:i4>0</vt:i4>
      </vt:variant>
      <vt:variant>
        <vt:i4>5</vt:i4>
      </vt:variant>
      <vt:variant>
        <vt:lpwstr>http://www.itu.int/en/ITU-T/studygroups/2013-2016/15/Pages/default.aspx</vt:lpwstr>
      </vt:variant>
      <vt:variant>
        <vt:lpwstr/>
      </vt:variant>
      <vt:variant>
        <vt:i4>7405627</vt:i4>
      </vt:variant>
      <vt:variant>
        <vt:i4>486</vt:i4>
      </vt:variant>
      <vt:variant>
        <vt:i4>0</vt:i4>
      </vt:variant>
      <vt:variant>
        <vt:i4>5</vt:i4>
      </vt:variant>
      <vt:variant>
        <vt:lpwstr>http://www.itu.int/en/ITU-T/focusgroups/innovation/Documents/Deliverable 2 - New Standardization Activities for ITU-T Study Groups and ICT Innovation Panel.pdf</vt:lpwstr>
      </vt:variant>
      <vt:variant>
        <vt:lpwstr/>
      </vt:variant>
      <vt:variant>
        <vt:i4>3997745</vt:i4>
      </vt:variant>
      <vt:variant>
        <vt:i4>483</vt:i4>
      </vt:variant>
      <vt:variant>
        <vt:i4>0</vt:i4>
      </vt:variant>
      <vt:variant>
        <vt:i4>5</vt:i4>
      </vt:variant>
      <vt:variant>
        <vt:lpwstr>http://www.itu.int/en/ITU-T/focusgroups/innovation/Documents/Deliverable 1 - Successful cases of ICT innovations for developing countries .pdf</vt:lpwstr>
      </vt:variant>
      <vt:variant>
        <vt:lpwstr/>
      </vt:variant>
      <vt:variant>
        <vt:i4>4849684</vt:i4>
      </vt:variant>
      <vt:variant>
        <vt:i4>480</vt:i4>
      </vt:variant>
      <vt:variant>
        <vt:i4>0</vt:i4>
      </vt:variant>
      <vt:variant>
        <vt:i4>5</vt:i4>
      </vt:variant>
      <vt:variant>
        <vt:lpwstr>http://www.itu.int/en/ITU-T/focusgroups/innovation/Pages/default.aspx</vt:lpwstr>
      </vt:variant>
      <vt:variant>
        <vt:lpwstr/>
      </vt:variant>
      <vt:variant>
        <vt:i4>3211385</vt:i4>
      </vt:variant>
      <vt:variant>
        <vt:i4>477</vt:i4>
      </vt:variant>
      <vt:variant>
        <vt:i4>0</vt:i4>
      </vt:variant>
      <vt:variant>
        <vt:i4>5</vt:i4>
      </vt:variant>
      <vt:variant>
        <vt:lpwstr>http://www.itu.int/pub/T-TUT-CCICT-2014</vt:lpwstr>
      </vt:variant>
      <vt:variant>
        <vt:lpwstr/>
      </vt:variant>
      <vt:variant>
        <vt:i4>2883669</vt:i4>
      </vt:variant>
      <vt:variant>
        <vt:i4>474</vt:i4>
      </vt:variant>
      <vt:variant>
        <vt:i4>0</vt:i4>
      </vt:variant>
      <vt:variant>
        <vt:i4>5</vt:i4>
      </vt:variant>
      <vt:variant>
        <vt:lpwstr>http://www.itu.int/en/ITU-T/C-I/Pages/WSHP_counterfeit.aspx</vt:lpwstr>
      </vt:variant>
      <vt:variant>
        <vt:lpwstr/>
      </vt:variant>
      <vt:variant>
        <vt:i4>4325405</vt:i4>
      </vt:variant>
      <vt:variant>
        <vt:i4>471</vt:i4>
      </vt:variant>
      <vt:variant>
        <vt:i4>0</vt:i4>
      </vt:variant>
      <vt:variant>
        <vt:i4>5</vt:i4>
      </vt:variant>
      <vt:variant>
        <vt:lpwstr>http://www.itu.int/en/ITU-T/ipr/Pages/Understanding-patents,-competition-and-standardization-in-an-interconnected-world.aspx</vt:lpwstr>
      </vt:variant>
      <vt:variant>
        <vt:lpwstr/>
      </vt:variant>
      <vt:variant>
        <vt:i4>4980809</vt:i4>
      </vt:variant>
      <vt:variant>
        <vt:i4>468</vt:i4>
      </vt:variant>
      <vt:variant>
        <vt:i4>0</vt:i4>
      </vt:variant>
      <vt:variant>
        <vt:i4>5</vt:i4>
      </vt:variant>
      <vt:variant>
        <vt:lpwstr>http://www.itu.int/en/ITU-T/ipr/Pages/adhoc.aspx</vt:lpwstr>
      </vt:variant>
      <vt:variant>
        <vt:lpwstr/>
      </vt:variant>
      <vt:variant>
        <vt:i4>8060981</vt:i4>
      </vt:variant>
      <vt:variant>
        <vt:i4>465</vt:i4>
      </vt:variant>
      <vt:variant>
        <vt:i4>0</vt:i4>
      </vt:variant>
      <vt:variant>
        <vt:i4>5</vt:i4>
      </vt:variant>
      <vt:variant>
        <vt:lpwstr>http://www.itu.int/en/ITU-T/C-I/Pages/test_event_Feb14.aspx</vt:lpwstr>
      </vt:variant>
      <vt:variant>
        <vt:lpwstr/>
      </vt:variant>
      <vt:variant>
        <vt:i4>6750292</vt:i4>
      </vt:variant>
      <vt:variant>
        <vt:i4>462</vt:i4>
      </vt:variant>
      <vt:variant>
        <vt:i4>0</vt:i4>
      </vt:variant>
      <vt:variant>
        <vt:i4>5</vt:i4>
      </vt:variant>
      <vt:variant>
        <vt:lpwstr>http://www.itu.int/en/ITU-T/C-I/Pages/HFT-mobile-tests/HFT_testing.aspx</vt:lpwstr>
      </vt:variant>
      <vt:variant>
        <vt:lpwstr/>
      </vt:variant>
      <vt:variant>
        <vt:i4>6488100</vt:i4>
      </vt:variant>
      <vt:variant>
        <vt:i4>459</vt:i4>
      </vt:variant>
      <vt:variant>
        <vt:i4>0</vt:i4>
      </vt:variant>
      <vt:variant>
        <vt:i4>5</vt:i4>
      </vt:variant>
      <vt:variant>
        <vt:lpwstr>http://www.itu.int/net/itu-t/cdb/ConformityDB.aspx</vt:lpwstr>
      </vt:variant>
      <vt:variant>
        <vt:lpwstr/>
      </vt:variant>
      <vt:variant>
        <vt:i4>1179726</vt:i4>
      </vt:variant>
      <vt:variant>
        <vt:i4>456</vt:i4>
      </vt:variant>
      <vt:variant>
        <vt:i4>0</vt:i4>
      </vt:variant>
      <vt:variant>
        <vt:i4>5</vt:i4>
      </vt:variant>
      <vt:variant>
        <vt:lpwstr>http://www.itu.int/md/T13-SG11-150422-TD-GEN-0729/en</vt:lpwstr>
      </vt:variant>
      <vt:variant>
        <vt:lpwstr/>
      </vt:variant>
      <vt:variant>
        <vt:i4>262229</vt:i4>
      </vt:variant>
      <vt:variant>
        <vt:i4>453</vt:i4>
      </vt:variant>
      <vt:variant>
        <vt:i4>0</vt:i4>
      </vt:variant>
      <vt:variant>
        <vt:i4>5</vt:i4>
      </vt:variant>
      <vt:variant>
        <vt:lpwstr>http://www.en.rcc.org.ru/</vt:lpwstr>
      </vt:variant>
      <vt:variant>
        <vt:lpwstr/>
      </vt:variant>
      <vt:variant>
        <vt:i4>2293857</vt:i4>
      </vt:variant>
      <vt:variant>
        <vt:i4>450</vt:i4>
      </vt:variant>
      <vt:variant>
        <vt:i4>0</vt:i4>
      </vt:variant>
      <vt:variant>
        <vt:i4>5</vt:i4>
      </vt:variant>
      <vt:variant>
        <vt:lpwstr>http://www.itu.int/rec/T-REC-E.156-200605-I</vt:lpwstr>
      </vt:variant>
      <vt:variant>
        <vt:lpwstr/>
      </vt:variant>
      <vt:variant>
        <vt:i4>8192055</vt:i4>
      </vt:variant>
      <vt:variant>
        <vt:i4>447</vt:i4>
      </vt:variant>
      <vt:variant>
        <vt:i4>0</vt:i4>
      </vt:variant>
      <vt:variant>
        <vt:i4>5</vt:i4>
      </vt:variant>
      <vt:variant>
        <vt:lpwstr>http://www.itu.int/ITU-T/secured/misuse/tables.html</vt:lpwstr>
      </vt:variant>
      <vt:variant>
        <vt:lpwstr/>
      </vt:variant>
      <vt:variant>
        <vt:i4>5701633</vt:i4>
      </vt:variant>
      <vt:variant>
        <vt:i4>444</vt:i4>
      </vt:variant>
      <vt:variant>
        <vt:i4>0</vt:i4>
      </vt:variant>
      <vt:variant>
        <vt:i4>5</vt:i4>
      </vt:variant>
      <vt:variant>
        <vt:lpwstr>http://www.itu.int/md/S15-CL-INF-0010/en</vt:lpwstr>
      </vt:variant>
      <vt:variant>
        <vt:lpwstr/>
      </vt:variant>
      <vt:variant>
        <vt:i4>8323130</vt:i4>
      </vt:variant>
      <vt:variant>
        <vt:i4>441</vt:i4>
      </vt:variant>
      <vt:variant>
        <vt:i4>0</vt:i4>
      </vt:variant>
      <vt:variant>
        <vt:i4>5</vt:i4>
      </vt:variant>
      <vt:variant>
        <vt:lpwstr>http://www.itu.int/md/S15-CL-C-0048</vt:lpwstr>
      </vt:variant>
      <vt:variant>
        <vt:lpwstr/>
      </vt:variant>
      <vt:variant>
        <vt:i4>1179713</vt:i4>
      </vt:variant>
      <vt:variant>
        <vt:i4>438</vt:i4>
      </vt:variant>
      <vt:variant>
        <vt:i4>0</vt:i4>
      </vt:variant>
      <vt:variant>
        <vt:i4>5</vt:i4>
      </vt:variant>
      <vt:variant>
        <vt:lpwstr>http://www.itu.int/en/ITU-T/focusgroups/drnrr/Pages/default.aspx</vt:lpwstr>
      </vt:variant>
      <vt:variant>
        <vt:lpwstr/>
      </vt:variant>
      <vt:variant>
        <vt:i4>6029346</vt:i4>
      </vt:variant>
      <vt:variant>
        <vt:i4>435</vt:i4>
      </vt:variant>
      <vt:variant>
        <vt:i4>0</vt:i4>
      </vt:variant>
      <vt:variant>
        <vt:i4>5</vt:i4>
      </vt:variant>
      <vt:variant>
        <vt:lpwstr>http://www.itu.int/en/ITU-T/climatechange/task-force-sc/Documents/JTF_2014_Annual_Report.pdf</vt:lpwstr>
      </vt:variant>
      <vt:variant>
        <vt:lpwstr/>
      </vt:variant>
      <vt:variant>
        <vt:i4>983110</vt:i4>
      </vt:variant>
      <vt:variant>
        <vt:i4>432</vt:i4>
      </vt:variant>
      <vt:variant>
        <vt:i4>0</vt:i4>
      </vt:variant>
      <vt:variant>
        <vt:i4>5</vt:i4>
      </vt:variant>
      <vt:variant>
        <vt:lpwstr>http://emfguide.itu.int/emfguide.html</vt:lpwstr>
      </vt:variant>
      <vt:variant>
        <vt:lpwstr/>
      </vt:variant>
      <vt:variant>
        <vt:i4>4784215</vt:i4>
      </vt:variant>
      <vt:variant>
        <vt:i4>429</vt:i4>
      </vt:variant>
      <vt:variant>
        <vt:i4>0</vt:i4>
      </vt:variant>
      <vt:variant>
        <vt:i4>5</vt:i4>
      </vt:variant>
      <vt:variant>
        <vt:lpwstr>http://www.itu.int/en/ITU-T/climatechange/symposia/201412/Pages/default.aspx</vt:lpwstr>
      </vt:variant>
      <vt:variant>
        <vt:lpwstr/>
      </vt:variant>
      <vt:variant>
        <vt:i4>4784215</vt:i4>
      </vt:variant>
      <vt:variant>
        <vt:i4>426</vt:i4>
      </vt:variant>
      <vt:variant>
        <vt:i4>0</vt:i4>
      </vt:variant>
      <vt:variant>
        <vt:i4>5</vt:i4>
      </vt:variant>
      <vt:variant>
        <vt:lpwstr>http://www.itu.int/en/ITU-T/climatechange/symposia/201412/Pages/default.aspx</vt:lpwstr>
      </vt:variant>
      <vt:variant>
        <vt:lpwstr/>
      </vt:variant>
      <vt:variant>
        <vt:i4>1048607</vt:i4>
      </vt:variant>
      <vt:variant>
        <vt:i4>423</vt:i4>
      </vt:variant>
      <vt:variant>
        <vt:i4>0</vt:i4>
      </vt:variant>
      <vt:variant>
        <vt:i4>5</vt:i4>
      </vt:variant>
      <vt:variant>
        <vt:lpwstr>http://www.itu.int/en/ITU-T/Workshops-and-Seminars/gsw/201309/Pages/default.aspx</vt:lpwstr>
      </vt:variant>
      <vt:variant>
        <vt:lpwstr/>
      </vt:variant>
      <vt:variant>
        <vt:i4>1048599</vt:i4>
      </vt:variant>
      <vt:variant>
        <vt:i4>420</vt:i4>
      </vt:variant>
      <vt:variant>
        <vt:i4>0</vt:i4>
      </vt:variant>
      <vt:variant>
        <vt:i4>5</vt:i4>
      </vt:variant>
      <vt:variant>
        <vt:lpwstr>http://www.itu.int/en/ITU-T/Workshops-and-Seminars/gsw/201406/Pages/default.aspx</vt:lpwstr>
      </vt:variant>
      <vt:variant>
        <vt:lpwstr/>
      </vt:variant>
      <vt:variant>
        <vt:i4>4784153</vt:i4>
      </vt:variant>
      <vt:variant>
        <vt:i4>417</vt:i4>
      </vt:variant>
      <vt:variant>
        <vt:i4>0</vt:i4>
      </vt:variant>
      <vt:variant>
        <vt:i4>5</vt:i4>
      </vt:variant>
      <vt:variant>
        <vt:lpwstr>http://www.itu.int/en/ITU-T/techwatch/Pages/tactile-internet.aspx</vt:lpwstr>
      </vt:variant>
      <vt:variant>
        <vt:lpwstr/>
      </vt:variant>
      <vt:variant>
        <vt:i4>2031626</vt:i4>
      </vt:variant>
      <vt:variant>
        <vt:i4>414</vt:i4>
      </vt:variant>
      <vt:variant>
        <vt:i4>0</vt:i4>
      </vt:variant>
      <vt:variant>
        <vt:i4>5</vt:i4>
      </vt:variant>
      <vt:variant>
        <vt:lpwstr/>
      </vt:variant>
      <vt:variant>
        <vt:lpwstr>_3.4_e-Health</vt:lpwstr>
      </vt:variant>
      <vt:variant>
        <vt:i4>5111839</vt:i4>
      </vt:variant>
      <vt:variant>
        <vt:i4>411</vt:i4>
      </vt:variant>
      <vt:variant>
        <vt:i4>0</vt:i4>
      </vt:variant>
      <vt:variant>
        <vt:i4>5</vt:i4>
      </vt:variant>
      <vt:variant>
        <vt:lpwstr>http://www.itu.int/en/ITU-T/focusgroups/ac/Pages/default.aspx</vt:lpwstr>
      </vt:variant>
      <vt:variant>
        <vt:lpwstr/>
      </vt:variant>
      <vt:variant>
        <vt:i4>7405677</vt:i4>
      </vt:variant>
      <vt:variant>
        <vt:i4>408</vt:i4>
      </vt:variant>
      <vt:variant>
        <vt:i4>0</vt:i4>
      </vt:variant>
      <vt:variant>
        <vt:i4>5</vt:i4>
      </vt:variant>
      <vt:variant>
        <vt:lpwstr>http://www.itu.int/en/ITU-T/Workshops-and-Seminars/ccsg/expdial/Pages/default.aspx</vt:lpwstr>
      </vt:variant>
      <vt:variant>
        <vt:lpwstr/>
      </vt:variant>
      <vt:variant>
        <vt:i4>5373970</vt:i4>
      </vt:variant>
      <vt:variant>
        <vt:i4>405</vt:i4>
      </vt:variant>
      <vt:variant>
        <vt:i4>0</vt:i4>
      </vt:variant>
      <vt:variant>
        <vt:i4>5</vt:i4>
      </vt:variant>
      <vt:variant>
        <vt:lpwstr>http://www.itu.int/en/fnc/2015/Pages/default.aspx</vt:lpwstr>
      </vt:variant>
      <vt:variant>
        <vt:lpwstr/>
      </vt:variant>
      <vt:variant>
        <vt:i4>1900666</vt:i4>
      </vt:variant>
      <vt:variant>
        <vt:i4>402</vt:i4>
      </vt:variant>
      <vt:variant>
        <vt:i4>0</vt:i4>
      </vt:variant>
      <vt:variant>
        <vt:i4>5</vt:i4>
      </vt:variant>
      <vt:variant>
        <vt:lpwstr>http://www.itu.int/itu-t/workprog/wp_item.aspx?isn=10277</vt:lpwstr>
      </vt:variant>
      <vt:variant>
        <vt:lpwstr/>
      </vt:variant>
      <vt:variant>
        <vt:i4>8192019</vt:i4>
      </vt:variant>
      <vt:variant>
        <vt:i4>399</vt:i4>
      </vt:variant>
      <vt:variant>
        <vt:i4>0</vt:i4>
      </vt:variant>
      <vt:variant>
        <vt:i4>5</vt:i4>
      </vt:variant>
      <vt:variant>
        <vt:lpwstr>http://www.itu.int/net/pressoffice/press_releases/2014/35.aspx</vt:lpwstr>
      </vt:variant>
      <vt:variant>
        <vt:lpwstr/>
      </vt:variant>
      <vt:variant>
        <vt:i4>1900661</vt:i4>
      </vt:variant>
      <vt:variant>
        <vt:i4>396</vt:i4>
      </vt:variant>
      <vt:variant>
        <vt:i4>0</vt:i4>
      </vt:variant>
      <vt:variant>
        <vt:i4>5</vt:i4>
      </vt:variant>
      <vt:variant>
        <vt:lpwstr>http://www.itu.int/ITU-T/workprog/wp_item.aspx?isn=10287</vt:lpwstr>
      </vt:variant>
      <vt:variant>
        <vt:lpwstr/>
      </vt:variant>
      <vt:variant>
        <vt:i4>1704062</vt:i4>
      </vt:variant>
      <vt:variant>
        <vt:i4>393</vt:i4>
      </vt:variant>
      <vt:variant>
        <vt:i4>0</vt:i4>
      </vt:variant>
      <vt:variant>
        <vt:i4>5</vt:i4>
      </vt:variant>
      <vt:variant>
        <vt:lpwstr>http://www.itu.int/itu-t/workprog/wp_item.aspx?isn=10436</vt:lpwstr>
      </vt:variant>
      <vt:variant>
        <vt:lpwstr/>
      </vt:variant>
      <vt:variant>
        <vt:i4>1835130</vt:i4>
      </vt:variant>
      <vt:variant>
        <vt:i4>390</vt:i4>
      </vt:variant>
      <vt:variant>
        <vt:i4>0</vt:i4>
      </vt:variant>
      <vt:variant>
        <vt:i4>5</vt:i4>
      </vt:variant>
      <vt:variant>
        <vt:lpwstr>http://www.itu.int/itu-t/workprog/wp_item.aspx?isn=10276</vt:lpwstr>
      </vt:variant>
      <vt:variant>
        <vt:lpwstr/>
      </vt:variant>
      <vt:variant>
        <vt:i4>7536650</vt:i4>
      </vt:variant>
      <vt:variant>
        <vt:i4>387</vt:i4>
      </vt:variant>
      <vt:variant>
        <vt:i4>0</vt:i4>
      </vt:variant>
      <vt:variant>
        <vt:i4>5</vt:i4>
      </vt:variant>
      <vt:variant>
        <vt:lpwstr/>
      </vt:variant>
      <vt:variant>
        <vt:lpwstr>_9_Conformity_and</vt:lpwstr>
      </vt:variant>
      <vt:variant>
        <vt:i4>6488100</vt:i4>
      </vt:variant>
      <vt:variant>
        <vt:i4>384</vt:i4>
      </vt:variant>
      <vt:variant>
        <vt:i4>0</vt:i4>
      </vt:variant>
      <vt:variant>
        <vt:i4>5</vt:i4>
      </vt:variant>
      <vt:variant>
        <vt:lpwstr>http://www.itu.int/net/itu-t/cdb/ConformityDB.aspx</vt:lpwstr>
      </vt:variant>
      <vt:variant>
        <vt:lpwstr/>
      </vt:variant>
      <vt:variant>
        <vt:i4>6881310</vt:i4>
      </vt:variant>
      <vt:variant>
        <vt:i4>381</vt:i4>
      </vt:variant>
      <vt:variant>
        <vt:i4>0</vt:i4>
      </vt:variant>
      <vt:variant>
        <vt:i4>5</vt:i4>
      </vt:variant>
      <vt:variant>
        <vt:lpwstr>http://www.itu.int/dms_pub/itu-t/oth/0b/11/T0B110000253301PDFE.pdf</vt:lpwstr>
      </vt:variant>
      <vt:variant>
        <vt:lpwstr/>
      </vt:variant>
      <vt:variant>
        <vt:i4>6619175</vt:i4>
      </vt:variant>
      <vt:variant>
        <vt:i4>378</vt:i4>
      </vt:variant>
      <vt:variant>
        <vt:i4>0</vt:i4>
      </vt:variant>
      <vt:variant>
        <vt:i4>5</vt:i4>
      </vt:variant>
      <vt:variant>
        <vt:lpwstr>http://www.itu.int/en/ITU-T/focusgroups/swm/Pages/default.aspx</vt:lpwstr>
      </vt:variant>
      <vt:variant>
        <vt:lpwstr/>
      </vt:variant>
      <vt:variant>
        <vt:i4>6029342</vt:i4>
      </vt:variant>
      <vt:variant>
        <vt:i4>375</vt:i4>
      </vt:variant>
      <vt:variant>
        <vt:i4>0</vt:i4>
      </vt:variant>
      <vt:variant>
        <vt:i4>5</vt:i4>
      </vt:variant>
      <vt:variant>
        <vt:lpwstr>http://www.itu.int/en/ITU-T/tsbdir/cto/Documents/150414/Final-communique.pdf</vt:lpwstr>
      </vt:variant>
      <vt:variant>
        <vt:lpwstr/>
      </vt:variant>
      <vt:variant>
        <vt:i4>3735661</vt:i4>
      </vt:variant>
      <vt:variant>
        <vt:i4>372</vt:i4>
      </vt:variant>
      <vt:variant>
        <vt:i4>0</vt:i4>
      </vt:variant>
      <vt:variant>
        <vt:i4>5</vt:i4>
      </vt:variant>
      <vt:variant>
        <vt:lpwstr>http://www.itu.int/md/S15-CL-C-0032/en</vt:lpwstr>
      </vt:variant>
      <vt:variant>
        <vt:lpwstr/>
      </vt:variant>
      <vt:variant>
        <vt:i4>1638469</vt:i4>
      </vt:variant>
      <vt:variant>
        <vt:i4>369</vt:i4>
      </vt:variant>
      <vt:variant>
        <vt:i4>0</vt:i4>
      </vt:variant>
      <vt:variant>
        <vt:i4>5</vt:i4>
      </vt:variant>
      <vt:variant>
        <vt:lpwstr>http://www.itu.int/en/ITU-T/jca/iot/Documents/deliverables/Free-download-IoT-roadmap.doc</vt:lpwstr>
      </vt:variant>
      <vt:variant>
        <vt:lpwstr/>
      </vt:variant>
      <vt:variant>
        <vt:i4>7209063</vt:i4>
      </vt:variant>
      <vt:variant>
        <vt:i4>366</vt:i4>
      </vt:variant>
      <vt:variant>
        <vt:i4>0</vt:i4>
      </vt:variant>
      <vt:variant>
        <vt:i4>5</vt:i4>
      </vt:variant>
      <vt:variant>
        <vt:lpwstr>http://www.itu.int/en/ITU-T/C-I/interop/I3GT/Pages/default.aspx</vt:lpwstr>
      </vt:variant>
      <vt:variant>
        <vt:lpwstr/>
      </vt:variant>
      <vt:variant>
        <vt:i4>131168</vt:i4>
      </vt:variant>
      <vt:variant>
        <vt:i4>363</vt:i4>
      </vt:variant>
      <vt:variant>
        <vt:i4>0</vt:i4>
      </vt:variant>
      <vt:variant>
        <vt:i4>5</vt:i4>
      </vt:variant>
      <vt:variant>
        <vt:lpwstr>http://www.itu.int/dms_pub/itu-t/opb/fg/T-FG-SMART-2013-PDF-E.pdf</vt:lpwstr>
      </vt:variant>
      <vt:variant>
        <vt:lpwstr/>
      </vt:variant>
      <vt:variant>
        <vt:i4>2949227</vt:i4>
      </vt:variant>
      <vt:variant>
        <vt:i4>360</vt:i4>
      </vt:variant>
      <vt:variant>
        <vt:i4>0</vt:i4>
      </vt:variant>
      <vt:variant>
        <vt:i4>5</vt:i4>
      </vt:variant>
      <vt:variant>
        <vt:lpwstr>http://www.itu.int/en/ITU-T/C-I/interop/13022015/Pages/default.aspx</vt:lpwstr>
      </vt:variant>
      <vt:variant>
        <vt:lpwstr/>
      </vt:variant>
      <vt:variant>
        <vt:i4>2818105</vt:i4>
      </vt:variant>
      <vt:variant>
        <vt:i4>357</vt:i4>
      </vt:variant>
      <vt:variant>
        <vt:i4>0</vt:i4>
      </vt:variant>
      <vt:variant>
        <vt:i4>5</vt:i4>
      </vt:variant>
      <vt:variant>
        <vt:lpwstr>http://www.iso.org/iso/jtc1_sc38_home</vt:lpwstr>
      </vt:variant>
      <vt:variant>
        <vt:lpwstr/>
      </vt:variant>
      <vt:variant>
        <vt:i4>6160453</vt:i4>
      </vt:variant>
      <vt:variant>
        <vt:i4>354</vt:i4>
      </vt:variant>
      <vt:variant>
        <vt:i4>0</vt:i4>
      </vt:variant>
      <vt:variant>
        <vt:i4>5</vt:i4>
      </vt:variant>
      <vt:variant>
        <vt:lpwstr>http://jtc1info.org/</vt:lpwstr>
      </vt:variant>
      <vt:variant>
        <vt:lpwstr/>
      </vt:variant>
      <vt:variant>
        <vt:i4>5832718</vt:i4>
      </vt:variant>
      <vt:variant>
        <vt:i4>351</vt:i4>
      </vt:variant>
      <vt:variant>
        <vt:i4>0</vt:i4>
      </vt:variant>
      <vt:variant>
        <vt:i4>5</vt:i4>
      </vt:variant>
      <vt:variant>
        <vt:lpwstr>http://www.itu.int/en/ITU-T/about/groups/Pages/sg13.aspx</vt:lpwstr>
      </vt:variant>
      <vt:variant>
        <vt:lpwstr/>
      </vt:variant>
      <vt:variant>
        <vt:i4>7798829</vt:i4>
      </vt:variant>
      <vt:variant>
        <vt:i4>347</vt:i4>
      </vt:variant>
      <vt:variant>
        <vt:i4>0</vt:i4>
      </vt:variant>
      <vt:variant>
        <vt:i4>5</vt:i4>
      </vt:variant>
      <vt:variant>
        <vt:lpwstr>http://www.itu.int/en/ITU-T/jca/sdn/Pages/default.aspx</vt:lpwstr>
      </vt:variant>
      <vt:variant>
        <vt:lpwstr/>
      </vt:variant>
      <vt:variant>
        <vt:i4>7798829</vt:i4>
      </vt:variant>
      <vt:variant>
        <vt:i4>345</vt:i4>
      </vt:variant>
      <vt:variant>
        <vt:i4>0</vt:i4>
      </vt:variant>
      <vt:variant>
        <vt:i4>5</vt:i4>
      </vt:variant>
      <vt:variant>
        <vt:lpwstr>http://www.itu.int/en/ITU-T/jca/sdn/Pages/default.aspx</vt:lpwstr>
      </vt:variant>
      <vt:variant>
        <vt:lpwstr/>
      </vt:variant>
      <vt:variant>
        <vt:i4>1638469</vt:i4>
      </vt:variant>
      <vt:variant>
        <vt:i4>342</vt:i4>
      </vt:variant>
      <vt:variant>
        <vt:i4>0</vt:i4>
      </vt:variant>
      <vt:variant>
        <vt:i4>5</vt:i4>
      </vt:variant>
      <vt:variant>
        <vt:lpwstr>http://www.itu.int/en/ITU-T/jca/iot/Documents/deliverables/Free-download-IoT-roadmap.doc</vt:lpwstr>
      </vt:variant>
      <vt:variant>
        <vt:lpwstr/>
      </vt:variant>
      <vt:variant>
        <vt:i4>5177438</vt:i4>
      </vt:variant>
      <vt:variant>
        <vt:i4>339</vt:i4>
      </vt:variant>
      <vt:variant>
        <vt:i4>0</vt:i4>
      </vt:variant>
      <vt:variant>
        <vt:i4>5</vt:i4>
      </vt:variant>
      <vt:variant>
        <vt:lpwstr>http://eu.vocuspr.com/Tracking.aspx?Data=HHL%3d%3d%2f41A%26JDG%3c%3d2%3f27%2f.LP%3f%40185%3e&amp;RE=IN&amp;RI=740110&amp;Preview=False&amp;DistributionActionID=26957&amp;Action=Follow+Link</vt:lpwstr>
      </vt:variant>
      <vt:variant>
        <vt:lpwstr/>
      </vt:variant>
      <vt:variant>
        <vt:i4>1245239</vt:i4>
      </vt:variant>
      <vt:variant>
        <vt:i4>332</vt:i4>
      </vt:variant>
      <vt:variant>
        <vt:i4>0</vt:i4>
      </vt:variant>
      <vt:variant>
        <vt:i4>5</vt:i4>
      </vt:variant>
      <vt:variant>
        <vt:lpwstr/>
      </vt:variant>
      <vt:variant>
        <vt:lpwstr>_Toc420336036</vt:lpwstr>
      </vt:variant>
      <vt:variant>
        <vt:i4>1245239</vt:i4>
      </vt:variant>
      <vt:variant>
        <vt:i4>326</vt:i4>
      </vt:variant>
      <vt:variant>
        <vt:i4>0</vt:i4>
      </vt:variant>
      <vt:variant>
        <vt:i4>5</vt:i4>
      </vt:variant>
      <vt:variant>
        <vt:lpwstr/>
      </vt:variant>
      <vt:variant>
        <vt:lpwstr>_Toc420336035</vt:lpwstr>
      </vt:variant>
      <vt:variant>
        <vt:i4>1245239</vt:i4>
      </vt:variant>
      <vt:variant>
        <vt:i4>320</vt:i4>
      </vt:variant>
      <vt:variant>
        <vt:i4>0</vt:i4>
      </vt:variant>
      <vt:variant>
        <vt:i4>5</vt:i4>
      </vt:variant>
      <vt:variant>
        <vt:lpwstr/>
      </vt:variant>
      <vt:variant>
        <vt:lpwstr>_Toc420336034</vt:lpwstr>
      </vt:variant>
      <vt:variant>
        <vt:i4>1245239</vt:i4>
      </vt:variant>
      <vt:variant>
        <vt:i4>314</vt:i4>
      </vt:variant>
      <vt:variant>
        <vt:i4>0</vt:i4>
      </vt:variant>
      <vt:variant>
        <vt:i4>5</vt:i4>
      </vt:variant>
      <vt:variant>
        <vt:lpwstr/>
      </vt:variant>
      <vt:variant>
        <vt:lpwstr>_Toc420336033</vt:lpwstr>
      </vt:variant>
      <vt:variant>
        <vt:i4>1245239</vt:i4>
      </vt:variant>
      <vt:variant>
        <vt:i4>308</vt:i4>
      </vt:variant>
      <vt:variant>
        <vt:i4>0</vt:i4>
      </vt:variant>
      <vt:variant>
        <vt:i4>5</vt:i4>
      </vt:variant>
      <vt:variant>
        <vt:lpwstr/>
      </vt:variant>
      <vt:variant>
        <vt:lpwstr>_Toc420336032</vt:lpwstr>
      </vt:variant>
      <vt:variant>
        <vt:i4>1245239</vt:i4>
      </vt:variant>
      <vt:variant>
        <vt:i4>302</vt:i4>
      </vt:variant>
      <vt:variant>
        <vt:i4>0</vt:i4>
      </vt:variant>
      <vt:variant>
        <vt:i4>5</vt:i4>
      </vt:variant>
      <vt:variant>
        <vt:lpwstr/>
      </vt:variant>
      <vt:variant>
        <vt:lpwstr>_Toc420336031</vt:lpwstr>
      </vt:variant>
      <vt:variant>
        <vt:i4>1245239</vt:i4>
      </vt:variant>
      <vt:variant>
        <vt:i4>296</vt:i4>
      </vt:variant>
      <vt:variant>
        <vt:i4>0</vt:i4>
      </vt:variant>
      <vt:variant>
        <vt:i4>5</vt:i4>
      </vt:variant>
      <vt:variant>
        <vt:lpwstr/>
      </vt:variant>
      <vt:variant>
        <vt:lpwstr>_Toc420336030</vt:lpwstr>
      </vt:variant>
      <vt:variant>
        <vt:i4>1179703</vt:i4>
      </vt:variant>
      <vt:variant>
        <vt:i4>290</vt:i4>
      </vt:variant>
      <vt:variant>
        <vt:i4>0</vt:i4>
      </vt:variant>
      <vt:variant>
        <vt:i4>5</vt:i4>
      </vt:variant>
      <vt:variant>
        <vt:lpwstr/>
      </vt:variant>
      <vt:variant>
        <vt:lpwstr>_Toc420336029</vt:lpwstr>
      </vt:variant>
      <vt:variant>
        <vt:i4>1179703</vt:i4>
      </vt:variant>
      <vt:variant>
        <vt:i4>284</vt:i4>
      </vt:variant>
      <vt:variant>
        <vt:i4>0</vt:i4>
      </vt:variant>
      <vt:variant>
        <vt:i4>5</vt:i4>
      </vt:variant>
      <vt:variant>
        <vt:lpwstr/>
      </vt:variant>
      <vt:variant>
        <vt:lpwstr>_Toc420336028</vt:lpwstr>
      </vt:variant>
      <vt:variant>
        <vt:i4>1179703</vt:i4>
      </vt:variant>
      <vt:variant>
        <vt:i4>278</vt:i4>
      </vt:variant>
      <vt:variant>
        <vt:i4>0</vt:i4>
      </vt:variant>
      <vt:variant>
        <vt:i4>5</vt:i4>
      </vt:variant>
      <vt:variant>
        <vt:lpwstr/>
      </vt:variant>
      <vt:variant>
        <vt:lpwstr>_Toc420336027</vt:lpwstr>
      </vt:variant>
      <vt:variant>
        <vt:i4>1179703</vt:i4>
      </vt:variant>
      <vt:variant>
        <vt:i4>272</vt:i4>
      </vt:variant>
      <vt:variant>
        <vt:i4>0</vt:i4>
      </vt:variant>
      <vt:variant>
        <vt:i4>5</vt:i4>
      </vt:variant>
      <vt:variant>
        <vt:lpwstr/>
      </vt:variant>
      <vt:variant>
        <vt:lpwstr>_Toc420336026</vt:lpwstr>
      </vt:variant>
      <vt:variant>
        <vt:i4>1179703</vt:i4>
      </vt:variant>
      <vt:variant>
        <vt:i4>266</vt:i4>
      </vt:variant>
      <vt:variant>
        <vt:i4>0</vt:i4>
      </vt:variant>
      <vt:variant>
        <vt:i4>5</vt:i4>
      </vt:variant>
      <vt:variant>
        <vt:lpwstr/>
      </vt:variant>
      <vt:variant>
        <vt:lpwstr>_Toc420336025</vt:lpwstr>
      </vt:variant>
      <vt:variant>
        <vt:i4>1179703</vt:i4>
      </vt:variant>
      <vt:variant>
        <vt:i4>260</vt:i4>
      </vt:variant>
      <vt:variant>
        <vt:i4>0</vt:i4>
      </vt:variant>
      <vt:variant>
        <vt:i4>5</vt:i4>
      </vt:variant>
      <vt:variant>
        <vt:lpwstr/>
      </vt:variant>
      <vt:variant>
        <vt:lpwstr>_Toc420336024</vt:lpwstr>
      </vt:variant>
      <vt:variant>
        <vt:i4>1179703</vt:i4>
      </vt:variant>
      <vt:variant>
        <vt:i4>254</vt:i4>
      </vt:variant>
      <vt:variant>
        <vt:i4>0</vt:i4>
      </vt:variant>
      <vt:variant>
        <vt:i4>5</vt:i4>
      </vt:variant>
      <vt:variant>
        <vt:lpwstr/>
      </vt:variant>
      <vt:variant>
        <vt:lpwstr>_Toc420336023</vt:lpwstr>
      </vt:variant>
      <vt:variant>
        <vt:i4>1179703</vt:i4>
      </vt:variant>
      <vt:variant>
        <vt:i4>248</vt:i4>
      </vt:variant>
      <vt:variant>
        <vt:i4>0</vt:i4>
      </vt:variant>
      <vt:variant>
        <vt:i4>5</vt:i4>
      </vt:variant>
      <vt:variant>
        <vt:lpwstr/>
      </vt:variant>
      <vt:variant>
        <vt:lpwstr>_Toc420336022</vt:lpwstr>
      </vt:variant>
      <vt:variant>
        <vt:i4>1179703</vt:i4>
      </vt:variant>
      <vt:variant>
        <vt:i4>242</vt:i4>
      </vt:variant>
      <vt:variant>
        <vt:i4>0</vt:i4>
      </vt:variant>
      <vt:variant>
        <vt:i4>5</vt:i4>
      </vt:variant>
      <vt:variant>
        <vt:lpwstr/>
      </vt:variant>
      <vt:variant>
        <vt:lpwstr>_Toc420336021</vt:lpwstr>
      </vt:variant>
      <vt:variant>
        <vt:i4>1179703</vt:i4>
      </vt:variant>
      <vt:variant>
        <vt:i4>236</vt:i4>
      </vt:variant>
      <vt:variant>
        <vt:i4>0</vt:i4>
      </vt:variant>
      <vt:variant>
        <vt:i4>5</vt:i4>
      </vt:variant>
      <vt:variant>
        <vt:lpwstr/>
      </vt:variant>
      <vt:variant>
        <vt:lpwstr>_Toc420336020</vt:lpwstr>
      </vt:variant>
      <vt:variant>
        <vt:i4>1114167</vt:i4>
      </vt:variant>
      <vt:variant>
        <vt:i4>230</vt:i4>
      </vt:variant>
      <vt:variant>
        <vt:i4>0</vt:i4>
      </vt:variant>
      <vt:variant>
        <vt:i4>5</vt:i4>
      </vt:variant>
      <vt:variant>
        <vt:lpwstr/>
      </vt:variant>
      <vt:variant>
        <vt:lpwstr>_Toc420336019</vt:lpwstr>
      </vt:variant>
      <vt:variant>
        <vt:i4>1114167</vt:i4>
      </vt:variant>
      <vt:variant>
        <vt:i4>224</vt:i4>
      </vt:variant>
      <vt:variant>
        <vt:i4>0</vt:i4>
      </vt:variant>
      <vt:variant>
        <vt:i4>5</vt:i4>
      </vt:variant>
      <vt:variant>
        <vt:lpwstr/>
      </vt:variant>
      <vt:variant>
        <vt:lpwstr>_Toc420336018</vt:lpwstr>
      </vt:variant>
      <vt:variant>
        <vt:i4>1114167</vt:i4>
      </vt:variant>
      <vt:variant>
        <vt:i4>218</vt:i4>
      </vt:variant>
      <vt:variant>
        <vt:i4>0</vt:i4>
      </vt:variant>
      <vt:variant>
        <vt:i4>5</vt:i4>
      </vt:variant>
      <vt:variant>
        <vt:lpwstr/>
      </vt:variant>
      <vt:variant>
        <vt:lpwstr>_Toc420336017</vt:lpwstr>
      </vt:variant>
      <vt:variant>
        <vt:i4>1114167</vt:i4>
      </vt:variant>
      <vt:variant>
        <vt:i4>212</vt:i4>
      </vt:variant>
      <vt:variant>
        <vt:i4>0</vt:i4>
      </vt:variant>
      <vt:variant>
        <vt:i4>5</vt:i4>
      </vt:variant>
      <vt:variant>
        <vt:lpwstr/>
      </vt:variant>
      <vt:variant>
        <vt:lpwstr>_Toc420336016</vt:lpwstr>
      </vt:variant>
      <vt:variant>
        <vt:i4>1114167</vt:i4>
      </vt:variant>
      <vt:variant>
        <vt:i4>206</vt:i4>
      </vt:variant>
      <vt:variant>
        <vt:i4>0</vt:i4>
      </vt:variant>
      <vt:variant>
        <vt:i4>5</vt:i4>
      </vt:variant>
      <vt:variant>
        <vt:lpwstr/>
      </vt:variant>
      <vt:variant>
        <vt:lpwstr>_Toc420336015</vt:lpwstr>
      </vt:variant>
      <vt:variant>
        <vt:i4>1114167</vt:i4>
      </vt:variant>
      <vt:variant>
        <vt:i4>200</vt:i4>
      </vt:variant>
      <vt:variant>
        <vt:i4>0</vt:i4>
      </vt:variant>
      <vt:variant>
        <vt:i4>5</vt:i4>
      </vt:variant>
      <vt:variant>
        <vt:lpwstr/>
      </vt:variant>
      <vt:variant>
        <vt:lpwstr>_Toc420336014</vt:lpwstr>
      </vt:variant>
      <vt:variant>
        <vt:i4>1114167</vt:i4>
      </vt:variant>
      <vt:variant>
        <vt:i4>194</vt:i4>
      </vt:variant>
      <vt:variant>
        <vt:i4>0</vt:i4>
      </vt:variant>
      <vt:variant>
        <vt:i4>5</vt:i4>
      </vt:variant>
      <vt:variant>
        <vt:lpwstr/>
      </vt:variant>
      <vt:variant>
        <vt:lpwstr>_Toc420336013</vt:lpwstr>
      </vt:variant>
      <vt:variant>
        <vt:i4>1114167</vt:i4>
      </vt:variant>
      <vt:variant>
        <vt:i4>188</vt:i4>
      </vt:variant>
      <vt:variant>
        <vt:i4>0</vt:i4>
      </vt:variant>
      <vt:variant>
        <vt:i4>5</vt:i4>
      </vt:variant>
      <vt:variant>
        <vt:lpwstr/>
      </vt:variant>
      <vt:variant>
        <vt:lpwstr>_Toc420336012</vt:lpwstr>
      </vt:variant>
      <vt:variant>
        <vt:i4>1114167</vt:i4>
      </vt:variant>
      <vt:variant>
        <vt:i4>182</vt:i4>
      </vt:variant>
      <vt:variant>
        <vt:i4>0</vt:i4>
      </vt:variant>
      <vt:variant>
        <vt:i4>5</vt:i4>
      </vt:variant>
      <vt:variant>
        <vt:lpwstr/>
      </vt:variant>
      <vt:variant>
        <vt:lpwstr>_Toc420336011</vt:lpwstr>
      </vt:variant>
      <vt:variant>
        <vt:i4>1114167</vt:i4>
      </vt:variant>
      <vt:variant>
        <vt:i4>176</vt:i4>
      </vt:variant>
      <vt:variant>
        <vt:i4>0</vt:i4>
      </vt:variant>
      <vt:variant>
        <vt:i4>5</vt:i4>
      </vt:variant>
      <vt:variant>
        <vt:lpwstr/>
      </vt:variant>
      <vt:variant>
        <vt:lpwstr>_Toc420336010</vt:lpwstr>
      </vt:variant>
      <vt:variant>
        <vt:i4>1048631</vt:i4>
      </vt:variant>
      <vt:variant>
        <vt:i4>170</vt:i4>
      </vt:variant>
      <vt:variant>
        <vt:i4>0</vt:i4>
      </vt:variant>
      <vt:variant>
        <vt:i4>5</vt:i4>
      </vt:variant>
      <vt:variant>
        <vt:lpwstr/>
      </vt:variant>
      <vt:variant>
        <vt:lpwstr>_Toc420336009</vt:lpwstr>
      </vt:variant>
      <vt:variant>
        <vt:i4>1048631</vt:i4>
      </vt:variant>
      <vt:variant>
        <vt:i4>164</vt:i4>
      </vt:variant>
      <vt:variant>
        <vt:i4>0</vt:i4>
      </vt:variant>
      <vt:variant>
        <vt:i4>5</vt:i4>
      </vt:variant>
      <vt:variant>
        <vt:lpwstr/>
      </vt:variant>
      <vt:variant>
        <vt:lpwstr>_Toc420336008</vt:lpwstr>
      </vt:variant>
      <vt:variant>
        <vt:i4>1048631</vt:i4>
      </vt:variant>
      <vt:variant>
        <vt:i4>158</vt:i4>
      </vt:variant>
      <vt:variant>
        <vt:i4>0</vt:i4>
      </vt:variant>
      <vt:variant>
        <vt:i4>5</vt:i4>
      </vt:variant>
      <vt:variant>
        <vt:lpwstr/>
      </vt:variant>
      <vt:variant>
        <vt:lpwstr>_Toc420336007</vt:lpwstr>
      </vt:variant>
      <vt:variant>
        <vt:i4>1048631</vt:i4>
      </vt:variant>
      <vt:variant>
        <vt:i4>152</vt:i4>
      </vt:variant>
      <vt:variant>
        <vt:i4>0</vt:i4>
      </vt:variant>
      <vt:variant>
        <vt:i4>5</vt:i4>
      </vt:variant>
      <vt:variant>
        <vt:lpwstr/>
      </vt:variant>
      <vt:variant>
        <vt:lpwstr>_Toc420336006</vt:lpwstr>
      </vt:variant>
      <vt:variant>
        <vt:i4>1048631</vt:i4>
      </vt:variant>
      <vt:variant>
        <vt:i4>146</vt:i4>
      </vt:variant>
      <vt:variant>
        <vt:i4>0</vt:i4>
      </vt:variant>
      <vt:variant>
        <vt:i4>5</vt:i4>
      </vt:variant>
      <vt:variant>
        <vt:lpwstr/>
      </vt:variant>
      <vt:variant>
        <vt:lpwstr>_Toc420336005</vt:lpwstr>
      </vt:variant>
      <vt:variant>
        <vt:i4>1048631</vt:i4>
      </vt:variant>
      <vt:variant>
        <vt:i4>140</vt:i4>
      </vt:variant>
      <vt:variant>
        <vt:i4>0</vt:i4>
      </vt:variant>
      <vt:variant>
        <vt:i4>5</vt:i4>
      </vt:variant>
      <vt:variant>
        <vt:lpwstr/>
      </vt:variant>
      <vt:variant>
        <vt:lpwstr>_Toc420336004</vt:lpwstr>
      </vt:variant>
      <vt:variant>
        <vt:i4>1048631</vt:i4>
      </vt:variant>
      <vt:variant>
        <vt:i4>134</vt:i4>
      </vt:variant>
      <vt:variant>
        <vt:i4>0</vt:i4>
      </vt:variant>
      <vt:variant>
        <vt:i4>5</vt:i4>
      </vt:variant>
      <vt:variant>
        <vt:lpwstr/>
      </vt:variant>
      <vt:variant>
        <vt:lpwstr>_Toc420336003</vt:lpwstr>
      </vt:variant>
      <vt:variant>
        <vt:i4>1048631</vt:i4>
      </vt:variant>
      <vt:variant>
        <vt:i4>128</vt:i4>
      </vt:variant>
      <vt:variant>
        <vt:i4>0</vt:i4>
      </vt:variant>
      <vt:variant>
        <vt:i4>5</vt:i4>
      </vt:variant>
      <vt:variant>
        <vt:lpwstr/>
      </vt:variant>
      <vt:variant>
        <vt:lpwstr>_Toc420336002</vt:lpwstr>
      </vt:variant>
      <vt:variant>
        <vt:i4>1048631</vt:i4>
      </vt:variant>
      <vt:variant>
        <vt:i4>122</vt:i4>
      </vt:variant>
      <vt:variant>
        <vt:i4>0</vt:i4>
      </vt:variant>
      <vt:variant>
        <vt:i4>5</vt:i4>
      </vt:variant>
      <vt:variant>
        <vt:lpwstr/>
      </vt:variant>
      <vt:variant>
        <vt:lpwstr>_Toc420336001</vt:lpwstr>
      </vt:variant>
      <vt:variant>
        <vt:i4>1048631</vt:i4>
      </vt:variant>
      <vt:variant>
        <vt:i4>116</vt:i4>
      </vt:variant>
      <vt:variant>
        <vt:i4>0</vt:i4>
      </vt:variant>
      <vt:variant>
        <vt:i4>5</vt:i4>
      </vt:variant>
      <vt:variant>
        <vt:lpwstr/>
      </vt:variant>
      <vt:variant>
        <vt:lpwstr>_Toc420336000</vt:lpwstr>
      </vt:variant>
      <vt:variant>
        <vt:i4>1703998</vt:i4>
      </vt:variant>
      <vt:variant>
        <vt:i4>110</vt:i4>
      </vt:variant>
      <vt:variant>
        <vt:i4>0</vt:i4>
      </vt:variant>
      <vt:variant>
        <vt:i4>5</vt:i4>
      </vt:variant>
      <vt:variant>
        <vt:lpwstr/>
      </vt:variant>
      <vt:variant>
        <vt:lpwstr>_Toc420335999</vt:lpwstr>
      </vt:variant>
      <vt:variant>
        <vt:i4>1703998</vt:i4>
      </vt:variant>
      <vt:variant>
        <vt:i4>104</vt:i4>
      </vt:variant>
      <vt:variant>
        <vt:i4>0</vt:i4>
      </vt:variant>
      <vt:variant>
        <vt:i4>5</vt:i4>
      </vt:variant>
      <vt:variant>
        <vt:lpwstr/>
      </vt:variant>
      <vt:variant>
        <vt:lpwstr>_Toc420335998</vt:lpwstr>
      </vt:variant>
      <vt:variant>
        <vt:i4>1703998</vt:i4>
      </vt:variant>
      <vt:variant>
        <vt:i4>98</vt:i4>
      </vt:variant>
      <vt:variant>
        <vt:i4>0</vt:i4>
      </vt:variant>
      <vt:variant>
        <vt:i4>5</vt:i4>
      </vt:variant>
      <vt:variant>
        <vt:lpwstr/>
      </vt:variant>
      <vt:variant>
        <vt:lpwstr>_Toc420335997</vt:lpwstr>
      </vt:variant>
      <vt:variant>
        <vt:i4>1703998</vt:i4>
      </vt:variant>
      <vt:variant>
        <vt:i4>92</vt:i4>
      </vt:variant>
      <vt:variant>
        <vt:i4>0</vt:i4>
      </vt:variant>
      <vt:variant>
        <vt:i4>5</vt:i4>
      </vt:variant>
      <vt:variant>
        <vt:lpwstr/>
      </vt:variant>
      <vt:variant>
        <vt:lpwstr>_Toc420335996</vt:lpwstr>
      </vt:variant>
      <vt:variant>
        <vt:i4>1703998</vt:i4>
      </vt:variant>
      <vt:variant>
        <vt:i4>86</vt:i4>
      </vt:variant>
      <vt:variant>
        <vt:i4>0</vt:i4>
      </vt:variant>
      <vt:variant>
        <vt:i4>5</vt:i4>
      </vt:variant>
      <vt:variant>
        <vt:lpwstr/>
      </vt:variant>
      <vt:variant>
        <vt:lpwstr>_Toc420335995</vt:lpwstr>
      </vt:variant>
      <vt:variant>
        <vt:i4>1703998</vt:i4>
      </vt:variant>
      <vt:variant>
        <vt:i4>80</vt:i4>
      </vt:variant>
      <vt:variant>
        <vt:i4>0</vt:i4>
      </vt:variant>
      <vt:variant>
        <vt:i4>5</vt:i4>
      </vt:variant>
      <vt:variant>
        <vt:lpwstr/>
      </vt:variant>
      <vt:variant>
        <vt:lpwstr>_Toc420335994</vt:lpwstr>
      </vt:variant>
      <vt:variant>
        <vt:i4>1703998</vt:i4>
      </vt:variant>
      <vt:variant>
        <vt:i4>74</vt:i4>
      </vt:variant>
      <vt:variant>
        <vt:i4>0</vt:i4>
      </vt:variant>
      <vt:variant>
        <vt:i4>5</vt:i4>
      </vt:variant>
      <vt:variant>
        <vt:lpwstr/>
      </vt:variant>
      <vt:variant>
        <vt:lpwstr>_Toc420335993</vt:lpwstr>
      </vt:variant>
      <vt:variant>
        <vt:i4>1703998</vt:i4>
      </vt:variant>
      <vt:variant>
        <vt:i4>68</vt:i4>
      </vt:variant>
      <vt:variant>
        <vt:i4>0</vt:i4>
      </vt:variant>
      <vt:variant>
        <vt:i4>5</vt:i4>
      </vt:variant>
      <vt:variant>
        <vt:lpwstr/>
      </vt:variant>
      <vt:variant>
        <vt:lpwstr>_Toc420335992</vt:lpwstr>
      </vt:variant>
      <vt:variant>
        <vt:i4>1703998</vt:i4>
      </vt:variant>
      <vt:variant>
        <vt:i4>62</vt:i4>
      </vt:variant>
      <vt:variant>
        <vt:i4>0</vt:i4>
      </vt:variant>
      <vt:variant>
        <vt:i4>5</vt:i4>
      </vt:variant>
      <vt:variant>
        <vt:lpwstr/>
      </vt:variant>
      <vt:variant>
        <vt:lpwstr>_Toc420335991</vt:lpwstr>
      </vt:variant>
      <vt:variant>
        <vt:i4>1703998</vt:i4>
      </vt:variant>
      <vt:variant>
        <vt:i4>56</vt:i4>
      </vt:variant>
      <vt:variant>
        <vt:i4>0</vt:i4>
      </vt:variant>
      <vt:variant>
        <vt:i4>5</vt:i4>
      </vt:variant>
      <vt:variant>
        <vt:lpwstr/>
      </vt:variant>
      <vt:variant>
        <vt:lpwstr>_Toc420335990</vt:lpwstr>
      </vt:variant>
      <vt:variant>
        <vt:i4>1769534</vt:i4>
      </vt:variant>
      <vt:variant>
        <vt:i4>50</vt:i4>
      </vt:variant>
      <vt:variant>
        <vt:i4>0</vt:i4>
      </vt:variant>
      <vt:variant>
        <vt:i4>5</vt:i4>
      </vt:variant>
      <vt:variant>
        <vt:lpwstr/>
      </vt:variant>
      <vt:variant>
        <vt:lpwstr>_Toc420335989</vt:lpwstr>
      </vt:variant>
      <vt:variant>
        <vt:i4>1769534</vt:i4>
      </vt:variant>
      <vt:variant>
        <vt:i4>44</vt:i4>
      </vt:variant>
      <vt:variant>
        <vt:i4>0</vt:i4>
      </vt:variant>
      <vt:variant>
        <vt:i4>5</vt:i4>
      </vt:variant>
      <vt:variant>
        <vt:lpwstr/>
      </vt:variant>
      <vt:variant>
        <vt:lpwstr>_Toc420335988</vt:lpwstr>
      </vt:variant>
      <vt:variant>
        <vt:i4>1769534</vt:i4>
      </vt:variant>
      <vt:variant>
        <vt:i4>38</vt:i4>
      </vt:variant>
      <vt:variant>
        <vt:i4>0</vt:i4>
      </vt:variant>
      <vt:variant>
        <vt:i4>5</vt:i4>
      </vt:variant>
      <vt:variant>
        <vt:lpwstr/>
      </vt:variant>
      <vt:variant>
        <vt:lpwstr>_Toc420335987</vt:lpwstr>
      </vt:variant>
      <vt:variant>
        <vt:i4>1769534</vt:i4>
      </vt:variant>
      <vt:variant>
        <vt:i4>32</vt:i4>
      </vt:variant>
      <vt:variant>
        <vt:i4>0</vt:i4>
      </vt:variant>
      <vt:variant>
        <vt:i4>5</vt:i4>
      </vt:variant>
      <vt:variant>
        <vt:lpwstr/>
      </vt:variant>
      <vt:variant>
        <vt:lpwstr>_Toc420335986</vt:lpwstr>
      </vt:variant>
      <vt:variant>
        <vt:i4>1769534</vt:i4>
      </vt:variant>
      <vt:variant>
        <vt:i4>26</vt:i4>
      </vt:variant>
      <vt:variant>
        <vt:i4>0</vt:i4>
      </vt:variant>
      <vt:variant>
        <vt:i4>5</vt:i4>
      </vt:variant>
      <vt:variant>
        <vt:lpwstr/>
      </vt:variant>
      <vt:variant>
        <vt:lpwstr>_Toc420335985</vt:lpwstr>
      </vt:variant>
      <vt:variant>
        <vt:i4>1769534</vt:i4>
      </vt:variant>
      <vt:variant>
        <vt:i4>20</vt:i4>
      </vt:variant>
      <vt:variant>
        <vt:i4>0</vt:i4>
      </vt:variant>
      <vt:variant>
        <vt:i4>5</vt:i4>
      </vt:variant>
      <vt:variant>
        <vt:lpwstr/>
      </vt:variant>
      <vt:variant>
        <vt:lpwstr>_Toc420335984</vt:lpwstr>
      </vt:variant>
      <vt:variant>
        <vt:i4>1769534</vt:i4>
      </vt:variant>
      <vt:variant>
        <vt:i4>14</vt:i4>
      </vt:variant>
      <vt:variant>
        <vt:i4>0</vt:i4>
      </vt:variant>
      <vt:variant>
        <vt:i4>5</vt:i4>
      </vt:variant>
      <vt:variant>
        <vt:lpwstr/>
      </vt:variant>
      <vt:variant>
        <vt:lpwstr>_Toc420335983</vt:lpwstr>
      </vt:variant>
      <vt:variant>
        <vt:i4>1769534</vt:i4>
      </vt:variant>
      <vt:variant>
        <vt:i4>8</vt:i4>
      </vt:variant>
      <vt:variant>
        <vt:i4>0</vt:i4>
      </vt:variant>
      <vt:variant>
        <vt:i4>5</vt:i4>
      </vt:variant>
      <vt:variant>
        <vt:lpwstr/>
      </vt:variant>
      <vt:variant>
        <vt:lpwstr>_Toc420335982</vt:lpwstr>
      </vt:variant>
      <vt:variant>
        <vt:i4>1769534</vt:i4>
      </vt:variant>
      <vt:variant>
        <vt:i4>2</vt:i4>
      </vt:variant>
      <vt:variant>
        <vt:i4>0</vt:i4>
      </vt:variant>
      <vt:variant>
        <vt:i4>5</vt:i4>
      </vt:variant>
      <vt:variant>
        <vt:lpwstr/>
      </vt:variant>
      <vt:variant>
        <vt:lpwstr>_Toc420335981</vt:lpwstr>
      </vt:variant>
      <vt:variant>
        <vt:i4>6881370</vt:i4>
      </vt:variant>
      <vt:variant>
        <vt:i4>3</vt:i4>
      </vt:variant>
      <vt:variant>
        <vt:i4>0</vt:i4>
      </vt:variant>
      <vt:variant>
        <vt:i4>5</vt:i4>
      </vt:variant>
      <vt:variant>
        <vt:lpwstr>mailto:tsbdir@itu.int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Xu, Hui</dc:creator>
  <cp:lastModifiedBy>Al-Mnini, Lara</cp:lastModifiedBy>
  <cp:revision>3</cp:revision>
  <cp:lastPrinted>2015-05-25T21:48:00Z</cp:lastPrinted>
  <dcterms:created xsi:type="dcterms:W3CDTF">2017-04-26T08:27:00Z</dcterms:created>
  <dcterms:modified xsi:type="dcterms:W3CDTF">2017-04-26T08:28:00Z</dcterms:modified>
</cp:coreProperties>
</file>