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445"/>
        <w:gridCol w:w="3114"/>
        <w:gridCol w:w="22"/>
        <w:gridCol w:w="819"/>
        <w:gridCol w:w="1080"/>
        <w:gridCol w:w="3028"/>
      </w:tblGrid>
      <w:tr w:rsidR="003030E1" w:rsidRPr="00BA1A84" w:rsidTr="00106D66">
        <w:trPr>
          <w:cantSplit/>
        </w:trPr>
        <w:tc>
          <w:tcPr>
            <w:tcW w:w="1417" w:type="dxa"/>
            <w:vMerge w:val="restart"/>
          </w:tcPr>
          <w:p w:rsidR="003030E1" w:rsidRPr="002C6D18" w:rsidRDefault="003030E1" w:rsidP="00565771">
            <w:pPr>
              <w:rPr>
                <w:lang w:val="es-ES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2829B4">
              <w:rPr>
                <w:noProof/>
                <w:lang w:val="en-GB" w:eastAsia="zh-CN"/>
              </w:rPr>
              <w:drawing>
                <wp:inline distT="0" distB="0" distL="0" distR="0" wp14:anchorId="44FFCE25" wp14:editId="249436C9">
                  <wp:extent cx="771166" cy="876300"/>
                  <wp:effectExtent l="0" t="0" r="0" b="0"/>
                  <wp:docPr id="973" name="Picture 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879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gridSpan w:val="5"/>
          </w:tcPr>
          <w:p w:rsidR="003030E1" w:rsidRPr="002C6D18" w:rsidRDefault="003030E1" w:rsidP="00565771">
            <w:pPr>
              <w:rPr>
                <w:sz w:val="20"/>
                <w:lang w:val="es-ES"/>
              </w:rPr>
            </w:pPr>
            <w:r w:rsidRPr="002C6D18">
              <w:rPr>
                <w:sz w:val="20"/>
                <w:lang w:val="es-ES"/>
              </w:rPr>
              <w:t>UNIÓN INTERNACIONAL DE TELECOMUNICACIONES</w:t>
            </w:r>
          </w:p>
        </w:tc>
        <w:tc>
          <w:tcPr>
            <w:tcW w:w="3028" w:type="dxa"/>
          </w:tcPr>
          <w:p w:rsidR="003030E1" w:rsidRPr="002C6D18" w:rsidRDefault="00722D5A" w:rsidP="00565771">
            <w:pPr>
              <w:jc w:val="right"/>
              <w:rPr>
                <w:b/>
                <w:sz w:val="28"/>
                <w:lang w:val="es-ES"/>
              </w:rPr>
            </w:pPr>
            <w:r w:rsidRPr="002C6D18">
              <w:rPr>
                <w:b/>
                <w:sz w:val="28"/>
                <w:lang w:val="es-ES"/>
              </w:rPr>
              <w:t>TSAG – R 6</w:t>
            </w:r>
            <w:r w:rsidR="003030E1" w:rsidRPr="002C6D18">
              <w:rPr>
                <w:b/>
                <w:sz w:val="28"/>
                <w:lang w:val="es-ES"/>
              </w:rPr>
              <w:t xml:space="preserve"> – S</w:t>
            </w:r>
          </w:p>
        </w:tc>
      </w:tr>
      <w:tr w:rsidR="003030E1" w:rsidRPr="00BA1A84" w:rsidTr="00106D66">
        <w:trPr>
          <w:cantSplit/>
          <w:trHeight w:val="355"/>
        </w:trPr>
        <w:tc>
          <w:tcPr>
            <w:tcW w:w="1417" w:type="dxa"/>
            <w:vMerge/>
          </w:tcPr>
          <w:p w:rsidR="003030E1" w:rsidRPr="002C6D18" w:rsidRDefault="003030E1" w:rsidP="00565771">
            <w:pPr>
              <w:rPr>
                <w:lang w:val="es-ES"/>
              </w:rPr>
            </w:pPr>
            <w:bookmarkStart w:id="3" w:name="ddate" w:colFirst="2" w:colLast="2"/>
            <w:bookmarkEnd w:id="0"/>
          </w:p>
        </w:tc>
        <w:tc>
          <w:tcPr>
            <w:tcW w:w="4400" w:type="dxa"/>
            <w:gridSpan w:val="4"/>
            <w:vMerge w:val="restart"/>
          </w:tcPr>
          <w:p w:rsidR="003030E1" w:rsidRPr="002C6D18" w:rsidRDefault="003030E1" w:rsidP="00565771">
            <w:pPr>
              <w:rPr>
                <w:b/>
                <w:bCs/>
                <w:sz w:val="26"/>
                <w:lang w:val="es-ES"/>
              </w:rPr>
            </w:pPr>
            <w:r w:rsidRPr="002C6D18">
              <w:rPr>
                <w:b/>
                <w:bCs/>
                <w:sz w:val="26"/>
                <w:lang w:val="es-ES"/>
              </w:rPr>
              <w:t>OFICINA DE NORMALIZACIÓN DE LAS TELECOMUNICACIONES</w:t>
            </w:r>
          </w:p>
          <w:p w:rsidR="003030E1" w:rsidRPr="002C6D18" w:rsidRDefault="003030E1" w:rsidP="003468F9">
            <w:pPr>
              <w:rPr>
                <w:smallCaps/>
                <w:sz w:val="20"/>
                <w:lang w:val="es-ES"/>
              </w:rPr>
            </w:pPr>
            <w:r w:rsidRPr="002C6D18">
              <w:rPr>
                <w:sz w:val="20"/>
                <w:lang w:val="es-ES"/>
              </w:rPr>
              <w:t>PERIODO DE ESTUDIOS 201</w:t>
            </w:r>
            <w:r w:rsidR="003468F9" w:rsidRPr="002C6D18">
              <w:rPr>
                <w:sz w:val="20"/>
                <w:lang w:val="es-ES"/>
              </w:rPr>
              <w:t>7</w:t>
            </w:r>
            <w:r w:rsidRPr="002C6D18">
              <w:rPr>
                <w:sz w:val="20"/>
                <w:lang w:val="es-ES"/>
              </w:rPr>
              <w:t>-20</w:t>
            </w:r>
            <w:r w:rsidR="003468F9" w:rsidRPr="002C6D18">
              <w:rPr>
                <w:sz w:val="20"/>
                <w:lang w:val="es-ES"/>
              </w:rPr>
              <w:t>20</w:t>
            </w:r>
          </w:p>
        </w:tc>
        <w:tc>
          <w:tcPr>
            <w:tcW w:w="4108" w:type="dxa"/>
            <w:gridSpan w:val="2"/>
            <w:vAlign w:val="center"/>
          </w:tcPr>
          <w:p w:rsidR="003030E1" w:rsidRPr="002C6D18" w:rsidRDefault="003468F9" w:rsidP="00974FEC">
            <w:pPr>
              <w:jc w:val="right"/>
              <w:rPr>
                <w:b/>
                <w:bCs/>
                <w:sz w:val="28"/>
                <w:lang w:val="es-ES"/>
              </w:rPr>
            </w:pPr>
            <w:r w:rsidRPr="002C6D18">
              <w:rPr>
                <w:b/>
                <w:bCs/>
                <w:sz w:val="28"/>
                <w:lang w:val="es-ES"/>
              </w:rPr>
              <w:t>DICIEMBRE</w:t>
            </w:r>
            <w:r w:rsidR="003030E1" w:rsidRPr="002C6D18">
              <w:rPr>
                <w:b/>
                <w:bCs/>
                <w:sz w:val="28"/>
                <w:lang w:val="es-ES"/>
              </w:rPr>
              <w:t xml:space="preserve"> 201</w:t>
            </w:r>
            <w:r w:rsidR="00974FEC">
              <w:rPr>
                <w:b/>
                <w:bCs/>
                <w:sz w:val="28"/>
                <w:lang w:val="es-ES"/>
              </w:rPr>
              <w:t>8</w:t>
            </w:r>
          </w:p>
        </w:tc>
      </w:tr>
      <w:tr w:rsidR="003030E1" w:rsidRPr="00BA1A84" w:rsidTr="00106D66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3030E1" w:rsidRPr="002C6D18" w:rsidRDefault="003030E1" w:rsidP="00565771">
            <w:pPr>
              <w:rPr>
                <w:lang w:val="es-ES"/>
              </w:rPr>
            </w:pPr>
            <w:bookmarkStart w:id="4" w:name="dorlang" w:colFirst="2" w:colLast="2"/>
            <w:bookmarkEnd w:id="3"/>
          </w:p>
        </w:tc>
        <w:tc>
          <w:tcPr>
            <w:tcW w:w="4400" w:type="dxa"/>
            <w:gridSpan w:val="4"/>
            <w:vMerge/>
            <w:tcBorders>
              <w:bottom w:val="single" w:sz="12" w:space="0" w:color="auto"/>
            </w:tcBorders>
          </w:tcPr>
          <w:p w:rsidR="003030E1" w:rsidRPr="002C6D18" w:rsidRDefault="003030E1" w:rsidP="00565771">
            <w:pPr>
              <w:rPr>
                <w:b/>
                <w:bCs/>
                <w:sz w:val="26"/>
                <w:lang w:val="es-ES"/>
              </w:rPr>
            </w:pPr>
          </w:p>
        </w:tc>
        <w:tc>
          <w:tcPr>
            <w:tcW w:w="4108" w:type="dxa"/>
            <w:gridSpan w:val="2"/>
            <w:tcBorders>
              <w:bottom w:val="single" w:sz="12" w:space="0" w:color="auto"/>
            </w:tcBorders>
            <w:vAlign w:val="center"/>
          </w:tcPr>
          <w:p w:rsidR="003030E1" w:rsidRPr="002C6D18" w:rsidRDefault="003030E1" w:rsidP="00565771">
            <w:pPr>
              <w:jc w:val="right"/>
              <w:rPr>
                <w:b/>
                <w:bCs/>
                <w:sz w:val="28"/>
                <w:lang w:val="es-ES"/>
              </w:rPr>
            </w:pPr>
            <w:r w:rsidRPr="002C6D18">
              <w:rPr>
                <w:b/>
                <w:bCs/>
                <w:sz w:val="28"/>
                <w:lang w:val="es-ES"/>
              </w:rPr>
              <w:t>Original: inglés</w:t>
            </w:r>
          </w:p>
        </w:tc>
      </w:tr>
      <w:tr w:rsidR="003030E1" w:rsidRPr="00BA1A84" w:rsidTr="00106D66">
        <w:trPr>
          <w:cantSplit/>
          <w:trHeight w:val="357"/>
        </w:trPr>
        <w:tc>
          <w:tcPr>
            <w:tcW w:w="1862" w:type="dxa"/>
            <w:gridSpan w:val="2"/>
          </w:tcPr>
          <w:p w:rsidR="003030E1" w:rsidRPr="002C6D18" w:rsidRDefault="003030E1" w:rsidP="00565771">
            <w:pPr>
              <w:rPr>
                <w:b/>
                <w:bCs/>
                <w:lang w:val="es-ES"/>
              </w:rPr>
            </w:pPr>
            <w:bookmarkStart w:id="5" w:name="dbluepink" w:colFirst="1" w:colLast="1"/>
            <w:bookmarkStart w:id="6" w:name="dmeeting" w:colFirst="2" w:colLast="2"/>
            <w:bookmarkEnd w:id="4"/>
            <w:r w:rsidRPr="002C6D18">
              <w:rPr>
                <w:b/>
                <w:bCs/>
                <w:lang w:val="es-ES"/>
              </w:rPr>
              <w:t>Cuestión:</w:t>
            </w:r>
          </w:p>
        </w:tc>
        <w:tc>
          <w:tcPr>
            <w:tcW w:w="3114" w:type="dxa"/>
          </w:tcPr>
          <w:p w:rsidR="003030E1" w:rsidRPr="002C6D18" w:rsidRDefault="003030E1" w:rsidP="00565771">
            <w:pPr>
              <w:rPr>
                <w:lang w:val="es-ES"/>
              </w:rPr>
            </w:pPr>
          </w:p>
        </w:tc>
        <w:tc>
          <w:tcPr>
            <w:tcW w:w="4949" w:type="dxa"/>
            <w:gridSpan w:val="4"/>
          </w:tcPr>
          <w:p w:rsidR="003030E1" w:rsidRPr="002C6D18" w:rsidRDefault="003030E1" w:rsidP="00565771">
            <w:pPr>
              <w:jc w:val="right"/>
              <w:rPr>
                <w:lang w:val="es-ES"/>
              </w:rPr>
            </w:pPr>
          </w:p>
        </w:tc>
      </w:tr>
      <w:tr w:rsidR="003030E1" w:rsidRPr="00BA1A84" w:rsidTr="00106D66">
        <w:trPr>
          <w:cantSplit/>
          <w:trHeight w:val="357"/>
        </w:trPr>
        <w:tc>
          <w:tcPr>
            <w:tcW w:w="9925" w:type="dxa"/>
            <w:gridSpan w:val="7"/>
          </w:tcPr>
          <w:p w:rsidR="003030E1" w:rsidRPr="002C6D18" w:rsidRDefault="003030E1" w:rsidP="00974FEC">
            <w:pPr>
              <w:spacing w:before="240"/>
              <w:jc w:val="center"/>
              <w:rPr>
                <w:b/>
                <w:bCs/>
                <w:lang w:val="es-ES"/>
              </w:rPr>
            </w:pPr>
            <w:bookmarkStart w:id="7" w:name="dtitle" w:colFirst="0" w:colLast="0"/>
            <w:bookmarkEnd w:id="5"/>
            <w:bookmarkEnd w:id="6"/>
            <w:r w:rsidRPr="002C6D18">
              <w:rPr>
                <w:b/>
                <w:bCs/>
                <w:lang w:val="es-ES"/>
              </w:rPr>
              <w:t>GRUPO ASESOR DE NORMALIZACIÓN DE LAS TELECOMUNICACIONES</w:t>
            </w:r>
          </w:p>
          <w:p w:rsidR="003030E1" w:rsidRPr="002C6D18" w:rsidRDefault="003030E1" w:rsidP="00974FEC">
            <w:pPr>
              <w:spacing w:after="240"/>
              <w:jc w:val="center"/>
              <w:rPr>
                <w:b/>
                <w:bCs/>
                <w:lang w:val="es-ES"/>
              </w:rPr>
            </w:pPr>
            <w:r w:rsidRPr="002C6D18">
              <w:rPr>
                <w:b/>
                <w:bCs/>
                <w:lang w:val="es-ES"/>
              </w:rPr>
              <w:t xml:space="preserve">INFORME </w:t>
            </w:r>
            <w:r w:rsidR="00722D5A" w:rsidRPr="002C6D18">
              <w:rPr>
                <w:b/>
                <w:bCs/>
                <w:lang w:val="es-ES"/>
              </w:rPr>
              <w:t>6</w:t>
            </w:r>
          </w:p>
        </w:tc>
      </w:tr>
      <w:tr w:rsidR="003030E1" w:rsidRPr="00BA1A84" w:rsidTr="00106D66">
        <w:trPr>
          <w:cantSplit/>
          <w:trHeight w:val="357"/>
        </w:trPr>
        <w:tc>
          <w:tcPr>
            <w:tcW w:w="1862" w:type="dxa"/>
            <w:gridSpan w:val="2"/>
          </w:tcPr>
          <w:p w:rsidR="003030E1" w:rsidRPr="002C6D18" w:rsidRDefault="003030E1" w:rsidP="00565771">
            <w:pPr>
              <w:rPr>
                <w:b/>
                <w:bCs/>
                <w:lang w:val="es-ES"/>
              </w:rPr>
            </w:pPr>
            <w:bookmarkStart w:id="8" w:name="dsource" w:colFirst="1" w:colLast="1"/>
            <w:bookmarkEnd w:id="7"/>
            <w:r w:rsidRPr="002C6D18">
              <w:rPr>
                <w:b/>
                <w:bCs/>
                <w:lang w:val="es-ES"/>
              </w:rPr>
              <w:t>Origen:</w:t>
            </w:r>
          </w:p>
        </w:tc>
        <w:tc>
          <w:tcPr>
            <w:tcW w:w="8063" w:type="dxa"/>
            <w:gridSpan w:val="5"/>
          </w:tcPr>
          <w:p w:rsidR="003030E1" w:rsidRPr="002C6D18" w:rsidRDefault="00DF5F5A" w:rsidP="003468F9">
            <w:pPr>
              <w:rPr>
                <w:lang w:val="es-ES"/>
              </w:rPr>
            </w:pPr>
            <w:r w:rsidRPr="002C6D18">
              <w:rPr>
                <w:lang w:val="es-ES"/>
              </w:rPr>
              <w:t xml:space="preserve">Grupo </w:t>
            </w:r>
            <w:r w:rsidR="003468F9" w:rsidRPr="002C6D18">
              <w:rPr>
                <w:lang w:val="es-ES"/>
              </w:rPr>
              <w:t>A</w:t>
            </w:r>
            <w:r w:rsidRPr="002C6D18">
              <w:rPr>
                <w:lang w:val="es-ES"/>
              </w:rPr>
              <w:t xml:space="preserve">sesor de </w:t>
            </w:r>
            <w:r w:rsidR="003468F9" w:rsidRPr="002C6D18">
              <w:rPr>
                <w:lang w:val="es-ES"/>
              </w:rPr>
              <w:t>n</w:t>
            </w:r>
            <w:r w:rsidRPr="002C6D18">
              <w:rPr>
                <w:lang w:val="es-ES"/>
              </w:rPr>
              <w:t xml:space="preserve">ormalización de las </w:t>
            </w:r>
            <w:r w:rsidR="003468F9" w:rsidRPr="002C6D18">
              <w:rPr>
                <w:lang w:val="es-ES"/>
              </w:rPr>
              <w:t>t</w:t>
            </w:r>
            <w:r w:rsidRPr="002C6D18">
              <w:rPr>
                <w:lang w:val="es-ES"/>
              </w:rPr>
              <w:t>elecomunicaciones</w:t>
            </w:r>
          </w:p>
        </w:tc>
      </w:tr>
      <w:tr w:rsidR="003030E1" w:rsidRPr="00BA1A84" w:rsidTr="00106D66">
        <w:trPr>
          <w:cantSplit/>
          <w:trHeight w:val="357"/>
        </w:trPr>
        <w:tc>
          <w:tcPr>
            <w:tcW w:w="1862" w:type="dxa"/>
            <w:gridSpan w:val="2"/>
            <w:tcBorders>
              <w:bottom w:val="single" w:sz="12" w:space="0" w:color="auto"/>
            </w:tcBorders>
          </w:tcPr>
          <w:p w:rsidR="003030E1" w:rsidRPr="002C6D18" w:rsidRDefault="003030E1" w:rsidP="00565771">
            <w:pPr>
              <w:spacing w:after="120"/>
              <w:rPr>
                <w:b/>
                <w:bCs/>
                <w:lang w:val="es-ES"/>
              </w:rPr>
            </w:pPr>
            <w:bookmarkStart w:id="9" w:name="dtitle1" w:colFirst="1" w:colLast="1"/>
            <w:bookmarkEnd w:id="8"/>
            <w:r w:rsidRPr="002C6D18">
              <w:rPr>
                <w:b/>
                <w:bCs/>
                <w:lang w:val="es-ES"/>
              </w:rPr>
              <w:t>Título:</w:t>
            </w:r>
          </w:p>
        </w:tc>
        <w:tc>
          <w:tcPr>
            <w:tcW w:w="8063" w:type="dxa"/>
            <w:gridSpan w:val="5"/>
            <w:tcBorders>
              <w:bottom w:val="single" w:sz="12" w:space="0" w:color="auto"/>
            </w:tcBorders>
          </w:tcPr>
          <w:p w:rsidR="003030E1" w:rsidRPr="002C6D18" w:rsidRDefault="00722D5A" w:rsidP="00974FEC">
            <w:pPr>
              <w:spacing w:after="120"/>
              <w:rPr>
                <w:lang w:val="es-ES"/>
              </w:rPr>
            </w:pPr>
            <w:bookmarkStart w:id="10" w:name="lt_pId068"/>
            <w:r w:rsidRPr="002C6D18">
              <w:rPr>
                <w:lang w:val="es-ES"/>
              </w:rPr>
              <w:t>Proyecto de nueva Recomendación UIT-T A.</w:t>
            </w:r>
            <w:r w:rsidR="003468F9" w:rsidRPr="002C6D18">
              <w:rPr>
                <w:lang w:val="es-ES"/>
              </w:rPr>
              <w:t>13</w:t>
            </w:r>
            <w:r w:rsidRPr="002C6D18">
              <w:rPr>
                <w:lang w:val="es-ES"/>
              </w:rPr>
              <w:t xml:space="preserve"> (A.incorp), </w:t>
            </w:r>
            <w:r w:rsidR="003468F9" w:rsidRPr="002C6D18">
              <w:rPr>
                <w:lang w:val="es-ES"/>
              </w:rPr>
              <w:t>Publicaciones del</w:t>
            </w:r>
            <w:r w:rsidR="00974FEC">
              <w:rPr>
                <w:lang w:val="es-ES"/>
              </w:rPr>
              <w:t> </w:t>
            </w:r>
            <w:r w:rsidR="003468F9" w:rsidRPr="002C6D18">
              <w:rPr>
                <w:lang w:val="es-ES"/>
              </w:rPr>
              <w:t>UIT-T de carácter no normativo, incluidos los Suplementos a las Recomendaciones del UIT</w:t>
            </w:r>
            <w:bookmarkEnd w:id="10"/>
            <w:r w:rsidR="003468F9" w:rsidRPr="002C6D18">
              <w:rPr>
                <w:lang w:val="es-ES"/>
              </w:rPr>
              <w:t>-T</w:t>
            </w:r>
          </w:p>
        </w:tc>
      </w:tr>
      <w:tr w:rsidR="003468F9" w:rsidRPr="00BA1A84" w:rsidTr="00106D6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468F9" w:rsidRPr="002C6D18" w:rsidRDefault="000B7ED4" w:rsidP="000B7ED4">
            <w:pPr>
              <w:spacing w:after="120"/>
              <w:rPr>
                <w:b/>
                <w:bCs/>
                <w:szCs w:val="24"/>
                <w:lang w:val="es-ES"/>
              </w:rPr>
            </w:pPr>
            <w:bookmarkStart w:id="11" w:name="dpurpose" w:colFirst="1" w:colLast="1"/>
            <w:bookmarkEnd w:id="1"/>
            <w:bookmarkEnd w:id="9"/>
            <w:r>
              <w:rPr>
                <w:b/>
                <w:bCs/>
                <w:szCs w:val="24"/>
                <w:lang w:val="es-ES"/>
              </w:rPr>
              <w:t>Objeto</w:t>
            </w:r>
            <w:r w:rsidR="003468F9" w:rsidRPr="002C6D18">
              <w:rPr>
                <w:b/>
                <w:bCs/>
                <w:szCs w:val="24"/>
                <w:lang w:val="es-ES"/>
              </w:rPr>
              <w:t>:</w:t>
            </w:r>
          </w:p>
        </w:tc>
        <w:tc>
          <w:tcPr>
            <w:tcW w:w="80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468F9" w:rsidRPr="002C6D18" w:rsidRDefault="003468F9" w:rsidP="000B7ED4">
            <w:pPr>
              <w:spacing w:after="120"/>
              <w:rPr>
                <w:szCs w:val="24"/>
                <w:lang w:val="es-ES"/>
              </w:rPr>
            </w:pPr>
            <w:r w:rsidRPr="002C6D18">
              <w:rPr>
                <w:lang w:val="es-ES"/>
              </w:rPr>
              <w:t>Admin</w:t>
            </w:r>
          </w:p>
        </w:tc>
      </w:tr>
      <w:bookmarkEnd w:id="11"/>
      <w:tr w:rsidR="003468F9" w:rsidRPr="00BA1A84" w:rsidTr="00DE087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468F9" w:rsidRPr="002C6D18" w:rsidRDefault="003468F9">
            <w:pPr>
              <w:rPr>
                <w:rFonts w:eastAsia="SimSun"/>
                <w:b/>
                <w:bCs/>
                <w:szCs w:val="24"/>
                <w:lang w:val="es-ES" w:eastAsia="ja-JP"/>
              </w:rPr>
            </w:pPr>
            <w:r w:rsidRPr="002C6D18">
              <w:rPr>
                <w:rFonts w:eastAsia="SimSun"/>
                <w:b/>
                <w:bCs/>
                <w:szCs w:val="24"/>
                <w:lang w:val="es-ES" w:eastAsia="ja-JP"/>
              </w:rPr>
              <w:t>Contact</w:t>
            </w:r>
            <w:r w:rsidR="000B7ED4">
              <w:rPr>
                <w:rFonts w:eastAsia="SimSun"/>
                <w:b/>
                <w:bCs/>
                <w:szCs w:val="24"/>
                <w:lang w:val="es-ES" w:eastAsia="ja-JP"/>
              </w:rPr>
              <w:t>o</w:t>
            </w:r>
            <w:r w:rsidRPr="002C6D18">
              <w:rPr>
                <w:rFonts w:eastAsia="SimSun"/>
                <w:b/>
                <w:bCs/>
                <w:szCs w:val="24"/>
                <w:lang w:val="es-ES" w:eastAsia="ja-JP"/>
              </w:rPr>
              <w:t>:</w:t>
            </w: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468F9" w:rsidRPr="002C6D18" w:rsidRDefault="007D1153">
            <w:pPr>
              <w:rPr>
                <w:rFonts w:eastAsia="SimSun"/>
                <w:szCs w:val="24"/>
                <w:lang w:val="es-ES" w:eastAsia="ja-JP"/>
              </w:rPr>
            </w:pPr>
            <w:sdt>
              <w:sdtPr>
                <w:rPr>
                  <w:rFonts w:eastAsia="SimSun"/>
                  <w:szCs w:val="24"/>
                  <w:lang w:val="es-ES" w:eastAsia="ja-JP"/>
                </w:rPr>
                <w:alias w:val="ContactNameOrgCountry"/>
                <w:tag w:val="ContactNameOrgCountry"/>
                <w:id w:val="-1970426812"/>
                <w:placeholder>
                  <w:docPart w:val="D10BA813B25F406C979EE43D41020C42"/>
                </w:placeholder>
                <w:text w:multiLine="1"/>
              </w:sdtPr>
              <w:sdtEndPr/>
              <w:sdtContent>
                <w:r w:rsidR="003468F9" w:rsidRPr="002C6D18">
                  <w:rPr>
                    <w:rFonts w:eastAsia="SimSun"/>
                    <w:szCs w:val="24"/>
                    <w:lang w:val="es-ES" w:eastAsia="ja-JP"/>
                  </w:rPr>
                  <w:t>TSB</w:t>
                </w:r>
              </w:sdtContent>
            </w:sdt>
          </w:p>
        </w:tc>
        <w:sdt>
          <w:sdtPr>
            <w:rPr>
              <w:rFonts w:eastAsia="SimSun"/>
              <w:szCs w:val="24"/>
              <w:lang w:val="es-ES" w:eastAsia="ja-JP"/>
            </w:rPr>
            <w:alias w:val="ContactTelFaxEmail"/>
            <w:tag w:val="ContactTelFaxEmail"/>
            <w:id w:val="76489145"/>
            <w:placeholder>
              <w:docPart w:val="DC637D19C344449EBC18F7B3FDD19AE6"/>
            </w:placeholder>
          </w:sdtPr>
          <w:sdtEndPr/>
          <w:sdtContent>
            <w:tc>
              <w:tcPr>
                <w:tcW w:w="4927" w:type="dxa"/>
                <w:gridSpan w:val="3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hideMark/>
              </w:tcPr>
              <w:p w:rsidR="003468F9" w:rsidRPr="002C6D18" w:rsidRDefault="007D1153" w:rsidP="00106D66">
                <w:pPr>
                  <w:spacing w:after="120"/>
                  <w:rPr>
                    <w:rFonts w:eastAsia="SimSun"/>
                    <w:szCs w:val="24"/>
                    <w:lang w:val="es-ES" w:eastAsia="ja-JP"/>
                  </w:rPr>
                </w:pPr>
                <w:sdt>
                  <w:sdtPr>
                    <w:rPr>
                      <w:szCs w:val="24"/>
                      <w:lang w:val="es-ES"/>
                    </w:rPr>
                    <w:alias w:val="ContactTelFaxEmail"/>
                    <w:tag w:val="ContactTelFaxEmail"/>
                    <w:id w:val="719797225"/>
                    <w:placeholder>
                      <w:docPart w:val="5EE2E795027E40C186849C791248DD80"/>
                    </w:placeholder>
                  </w:sdtPr>
                  <w:sdtEndPr/>
                  <w:sdtContent>
                    <w:r w:rsidR="003468F9" w:rsidRPr="002C6D18">
                      <w:rPr>
                        <w:szCs w:val="24"/>
                        <w:lang w:val="es-ES"/>
                      </w:rPr>
                      <w:t>Tel:</w:t>
                    </w:r>
                    <w:r w:rsidR="003468F9" w:rsidRPr="002C6D18">
                      <w:rPr>
                        <w:szCs w:val="24"/>
                        <w:lang w:val="es-ES"/>
                      </w:rPr>
                      <w:tab/>
                      <w:t>+41 22 730 5860</w:t>
                    </w:r>
                    <w:r w:rsidR="003468F9" w:rsidRPr="002C6D18">
                      <w:rPr>
                        <w:szCs w:val="24"/>
                        <w:lang w:val="es-ES"/>
                      </w:rPr>
                      <w:br/>
                      <w:t>Fax:</w:t>
                    </w:r>
                    <w:r w:rsidR="003468F9" w:rsidRPr="002C6D18">
                      <w:rPr>
                        <w:szCs w:val="24"/>
                        <w:lang w:val="es-ES"/>
                      </w:rPr>
                      <w:tab/>
                      <w:t>+41 22 730 5853</w:t>
                    </w:r>
                    <w:r w:rsidR="003468F9" w:rsidRPr="002C6D18">
                      <w:rPr>
                        <w:szCs w:val="24"/>
                        <w:lang w:val="es-ES"/>
                      </w:rPr>
                      <w:br/>
                      <w:t>E-mail:</w:t>
                    </w:r>
                    <w:r w:rsidR="003468F9" w:rsidRPr="002C6D18">
                      <w:rPr>
                        <w:szCs w:val="24"/>
                        <w:lang w:val="es-ES"/>
                      </w:rPr>
                      <w:tab/>
                    </w:r>
                    <w:hyperlink r:id="rId9" w:history="1">
                      <w:r w:rsidR="003468F9" w:rsidRPr="002C6D18">
                        <w:rPr>
                          <w:rStyle w:val="Hyperlink"/>
                          <w:szCs w:val="24"/>
                          <w:lang w:val="es-ES"/>
                        </w:rPr>
                        <w:t>tsbtsag@itu.int</w:t>
                      </w:r>
                    </w:hyperlink>
                  </w:sdtContent>
                </w:sdt>
              </w:p>
            </w:tc>
          </w:sdtContent>
        </w:sdt>
      </w:tr>
      <w:tr w:rsidR="00106D66" w:rsidRPr="00BA1A84" w:rsidTr="00DE087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6D66" w:rsidRPr="002C6D18" w:rsidRDefault="00106D66">
            <w:pPr>
              <w:rPr>
                <w:rFonts w:eastAsia="SimSun"/>
                <w:b/>
                <w:bCs/>
                <w:szCs w:val="24"/>
                <w:lang w:val="es-ES" w:eastAsia="ja-JP"/>
              </w:rPr>
            </w:pP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6D66" w:rsidRDefault="00106D66">
            <w:pPr>
              <w:rPr>
                <w:rFonts w:eastAsia="SimSun"/>
                <w:szCs w:val="24"/>
                <w:lang w:val="es-ES" w:eastAsia="ja-JP"/>
              </w:rPr>
            </w:pPr>
          </w:p>
        </w:tc>
        <w:tc>
          <w:tcPr>
            <w:tcW w:w="49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6D66" w:rsidRDefault="00106D66" w:rsidP="00106D66">
            <w:pPr>
              <w:spacing w:after="120"/>
              <w:rPr>
                <w:rFonts w:eastAsia="SimSun"/>
                <w:szCs w:val="24"/>
                <w:lang w:val="es-ES" w:eastAsia="ja-JP"/>
              </w:rPr>
            </w:pPr>
          </w:p>
        </w:tc>
      </w:tr>
      <w:tr w:rsidR="003468F9" w:rsidRPr="00BA1A84" w:rsidTr="00106D66">
        <w:tblPrEx>
          <w:jc w:val="center"/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862" w:type="dxa"/>
            <w:gridSpan w:val="2"/>
            <w:hideMark/>
          </w:tcPr>
          <w:p w:rsidR="003468F9" w:rsidRPr="002C6D18" w:rsidRDefault="003468F9">
            <w:pPr>
              <w:tabs>
                <w:tab w:val="left" w:pos="720"/>
              </w:tabs>
              <w:overflowPunct/>
              <w:autoSpaceDE/>
              <w:adjustRightInd/>
              <w:rPr>
                <w:rFonts w:eastAsia="SimSun"/>
                <w:b/>
                <w:bCs/>
                <w:szCs w:val="24"/>
                <w:lang w:val="es-ES" w:eastAsia="ja-JP"/>
              </w:rPr>
            </w:pPr>
            <w:r w:rsidRPr="002C6D18">
              <w:rPr>
                <w:rFonts w:eastAsia="SimSun"/>
                <w:b/>
                <w:bCs/>
                <w:szCs w:val="24"/>
                <w:lang w:val="es-ES" w:eastAsia="ja-JP"/>
              </w:rPr>
              <w:t>Palabras clave:</w:t>
            </w:r>
          </w:p>
        </w:tc>
        <w:tc>
          <w:tcPr>
            <w:tcW w:w="8063" w:type="dxa"/>
            <w:gridSpan w:val="5"/>
            <w:hideMark/>
          </w:tcPr>
          <w:p w:rsidR="003468F9" w:rsidRPr="002C6D18" w:rsidRDefault="003468F9" w:rsidP="003468F9">
            <w:pPr>
              <w:tabs>
                <w:tab w:val="left" w:pos="720"/>
              </w:tabs>
              <w:overflowPunct/>
              <w:autoSpaceDE/>
              <w:adjustRightInd/>
              <w:rPr>
                <w:rFonts w:eastAsia="SimSun"/>
                <w:szCs w:val="24"/>
                <w:lang w:val="es-ES" w:eastAsia="ja-JP"/>
              </w:rPr>
            </w:pPr>
            <w:r w:rsidRPr="002C6D18">
              <w:rPr>
                <w:rFonts w:eastAsia="SimSun"/>
                <w:szCs w:val="24"/>
                <w:lang w:val="es-ES" w:eastAsia="ja-JP"/>
              </w:rPr>
              <w:t>Suplementos; no normativo; informes técnicos; A.13;</w:t>
            </w:r>
          </w:p>
        </w:tc>
      </w:tr>
      <w:tr w:rsidR="003468F9" w:rsidRPr="00BA1A84" w:rsidTr="00106D66">
        <w:tblPrEx>
          <w:jc w:val="center"/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862" w:type="dxa"/>
            <w:gridSpan w:val="2"/>
            <w:hideMark/>
          </w:tcPr>
          <w:p w:rsidR="003468F9" w:rsidRPr="002C6D18" w:rsidRDefault="003468F9">
            <w:pPr>
              <w:tabs>
                <w:tab w:val="left" w:pos="720"/>
              </w:tabs>
              <w:overflowPunct/>
              <w:autoSpaceDE/>
              <w:adjustRightInd/>
              <w:rPr>
                <w:rFonts w:eastAsia="SimSun"/>
                <w:b/>
                <w:bCs/>
                <w:szCs w:val="24"/>
                <w:lang w:val="es-ES" w:eastAsia="ja-JP"/>
              </w:rPr>
            </w:pPr>
            <w:r w:rsidRPr="002C6D18">
              <w:rPr>
                <w:rFonts w:eastAsia="SimSun"/>
                <w:b/>
                <w:bCs/>
                <w:szCs w:val="24"/>
                <w:lang w:val="es-ES" w:eastAsia="ja-JP"/>
              </w:rPr>
              <w:t>Resumen:</w:t>
            </w:r>
          </w:p>
        </w:tc>
        <w:tc>
          <w:tcPr>
            <w:tcW w:w="8063" w:type="dxa"/>
            <w:gridSpan w:val="5"/>
            <w:hideMark/>
          </w:tcPr>
          <w:p w:rsidR="003468F9" w:rsidRPr="002C6D18" w:rsidRDefault="003468F9" w:rsidP="00106D66">
            <w:pPr>
              <w:tabs>
                <w:tab w:val="left" w:pos="720"/>
              </w:tabs>
              <w:overflowPunct/>
              <w:autoSpaceDE/>
              <w:adjustRightInd/>
              <w:rPr>
                <w:rFonts w:eastAsia="SimSun"/>
                <w:szCs w:val="24"/>
                <w:lang w:val="es-ES" w:eastAsia="ja-JP"/>
              </w:rPr>
            </w:pPr>
            <w:r w:rsidRPr="002C6D18">
              <w:rPr>
                <w:rFonts w:eastAsia="SimSun"/>
                <w:szCs w:val="24"/>
                <w:lang w:val="es-ES" w:eastAsia="ja-JP"/>
              </w:rPr>
              <w:t xml:space="preserve">Proyecto de </w:t>
            </w:r>
            <w:r w:rsidR="00BA1A84" w:rsidRPr="00BA1A84">
              <w:rPr>
                <w:rFonts w:eastAsia="SimSun"/>
                <w:szCs w:val="24"/>
                <w:lang w:val="es-ES" w:eastAsia="ja-JP"/>
              </w:rPr>
              <w:t>revisión</w:t>
            </w:r>
            <w:r w:rsidRPr="002C6D18">
              <w:rPr>
                <w:rFonts w:eastAsia="SimSun"/>
                <w:szCs w:val="24"/>
                <w:lang w:val="es-ES" w:eastAsia="ja-JP"/>
              </w:rPr>
              <w:t xml:space="preserve"> de la Recomendación UIT-T A.13, Publicaciones del UIT</w:t>
            </w:r>
            <w:r w:rsidR="00106D66">
              <w:rPr>
                <w:rFonts w:eastAsia="SimSun"/>
                <w:szCs w:val="24"/>
                <w:lang w:val="es-ES" w:eastAsia="ja-JP"/>
              </w:rPr>
              <w:noBreakHyphen/>
            </w:r>
            <w:r w:rsidRPr="002C6D18">
              <w:rPr>
                <w:rFonts w:eastAsia="SimSun"/>
                <w:szCs w:val="24"/>
                <w:lang w:val="es-ES" w:eastAsia="ja-JP"/>
              </w:rPr>
              <w:t>T de carácter no normativo, incluidos los Suplementos a las Recomendaciones del</w:t>
            </w:r>
            <w:r w:rsidR="00106D66">
              <w:rPr>
                <w:rFonts w:eastAsia="SimSun"/>
                <w:szCs w:val="24"/>
                <w:lang w:val="es-ES" w:eastAsia="ja-JP"/>
              </w:rPr>
              <w:t> </w:t>
            </w:r>
            <w:r w:rsidRPr="002C6D18">
              <w:rPr>
                <w:rFonts w:eastAsia="SimSun"/>
                <w:szCs w:val="24"/>
                <w:lang w:val="es-ES" w:eastAsia="ja-JP"/>
              </w:rPr>
              <w:t>UIT-T.</w:t>
            </w:r>
          </w:p>
        </w:tc>
      </w:tr>
    </w:tbl>
    <w:p w:rsidR="009004EA" w:rsidRPr="002C6D18" w:rsidRDefault="003468F9" w:rsidP="003666F1">
      <w:pPr>
        <w:pStyle w:val="Normalaftertitle"/>
        <w:spacing w:before="240"/>
        <w:rPr>
          <w:highlight w:val="cyan"/>
          <w:lang w:val="es-ES"/>
        </w:rPr>
      </w:pPr>
      <w:r w:rsidRPr="002C6D18">
        <w:rPr>
          <w:lang w:val="es-ES"/>
        </w:rPr>
        <w:t>El GANT, e</w:t>
      </w:r>
      <w:r w:rsidR="003030E1" w:rsidRPr="002C6D18">
        <w:rPr>
          <w:lang w:val="es-ES"/>
        </w:rPr>
        <w:t xml:space="preserve">n su reunión del </w:t>
      </w:r>
      <w:r w:rsidRPr="002C6D18">
        <w:rPr>
          <w:lang w:val="es-ES"/>
        </w:rPr>
        <w:t>10</w:t>
      </w:r>
      <w:r w:rsidR="00DE0876">
        <w:rPr>
          <w:lang w:val="es-ES"/>
        </w:rPr>
        <w:t xml:space="preserve"> </w:t>
      </w:r>
      <w:r w:rsidR="003030E1" w:rsidRPr="002C6D18">
        <w:rPr>
          <w:lang w:val="es-ES"/>
        </w:rPr>
        <w:t>al</w:t>
      </w:r>
      <w:r w:rsidR="00DE0876">
        <w:rPr>
          <w:lang w:val="es-ES"/>
        </w:rPr>
        <w:t xml:space="preserve"> </w:t>
      </w:r>
      <w:r w:rsidRPr="002C6D18">
        <w:rPr>
          <w:lang w:val="es-ES"/>
        </w:rPr>
        <w:t>14</w:t>
      </w:r>
      <w:r w:rsidR="00DE0876">
        <w:rPr>
          <w:lang w:val="es-ES"/>
        </w:rPr>
        <w:t xml:space="preserve"> </w:t>
      </w:r>
      <w:r w:rsidR="003030E1" w:rsidRPr="002C6D18">
        <w:rPr>
          <w:lang w:val="es-ES"/>
        </w:rPr>
        <w:t>de</w:t>
      </w:r>
      <w:r w:rsidR="00DE0876">
        <w:rPr>
          <w:lang w:val="es-ES"/>
        </w:rPr>
        <w:t xml:space="preserve"> </w:t>
      </w:r>
      <w:r w:rsidRPr="002C6D18">
        <w:rPr>
          <w:lang w:val="es-ES"/>
        </w:rPr>
        <w:t xml:space="preserve">diciembre </w:t>
      </w:r>
      <w:r w:rsidR="003030E1" w:rsidRPr="002C6D18">
        <w:rPr>
          <w:lang w:val="es-ES"/>
        </w:rPr>
        <w:t>de</w:t>
      </w:r>
      <w:r w:rsidR="00DE0876">
        <w:rPr>
          <w:lang w:val="es-ES"/>
        </w:rPr>
        <w:t xml:space="preserve"> </w:t>
      </w:r>
      <w:r w:rsidR="003030E1" w:rsidRPr="002C6D18">
        <w:rPr>
          <w:lang w:val="es-ES"/>
        </w:rPr>
        <w:t>201</w:t>
      </w:r>
      <w:r w:rsidRPr="002C6D18">
        <w:rPr>
          <w:lang w:val="es-ES"/>
        </w:rPr>
        <w:t>8,</w:t>
      </w:r>
      <w:r w:rsidR="003030E1" w:rsidRPr="002C6D18">
        <w:rPr>
          <w:lang w:val="es-ES"/>
        </w:rPr>
        <w:t xml:space="preserve"> DETERMINÓ el </w:t>
      </w:r>
      <w:r w:rsidR="00730C91" w:rsidRPr="002C6D18">
        <w:rPr>
          <w:lang w:val="es-ES"/>
        </w:rPr>
        <w:t xml:space="preserve">proyecto </w:t>
      </w:r>
      <w:r w:rsidR="004E1496" w:rsidRPr="002C6D18">
        <w:rPr>
          <w:lang w:val="es-ES"/>
        </w:rPr>
        <w:t>de</w:t>
      </w:r>
      <w:r w:rsidR="008F2357" w:rsidRPr="002C6D18">
        <w:rPr>
          <w:lang w:val="es-ES"/>
        </w:rPr>
        <w:t xml:space="preserve"> </w:t>
      </w:r>
      <w:r w:rsidRPr="002C6D18">
        <w:rPr>
          <w:lang w:val="es-ES"/>
        </w:rPr>
        <w:t xml:space="preserve">revisión de la </w:t>
      </w:r>
      <w:r w:rsidR="004E1496" w:rsidRPr="002C6D18">
        <w:rPr>
          <w:lang w:val="es-ES"/>
        </w:rPr>
        <w:t>Recomendación UIT</w:t>
      </w:r>
      <w:r w:rsidR="004E1496" w:rsidRPr="002C6D18">
        <w:rPr>
          <w:lang w:val="es-ES"/>
        </w:rPr>
        <w:noBreakHyphen/>
      </w:r>
      <w:r w:rsidR="004371BC" w:rsidRPr="002C6D18">
        <w:rPr>
          <w:lang w:val="es-ES"/>
        </w:rPr>
        <w:t>T A.</w:t>
      </w:r>
      <w:r w:rsidRPr="002C6D18">
        <w:rPr>
          <w:lang w:val="es-ES"/>
        </w:rPr>
        <w:t>13</w:t>
      </w:r>
      <w:r w:rsidR="004371BC" w:rsidRPr="002C6D18">
        <w:rPr>
          <w:lang w:val="es-ES"/>
        </w:rPr>
        <w:t>, "</w:t>
      </w:r>
      <w:r w:rsidRPr="002C6D18">
        <w:rPr>
          <w:rFonts w:eastAsia="SimSun"/>
          <w:szCs w:val="24"/>
          <w:lang w:val="es-ES" w:eastAsia="ja-JP"/>
        </w:rPr>
        <w:t>Publicaciones del UIT-T de carácter no normativo, incluidos los Suplementos a las Recomendaciones del UIT-T</w:t>
      </w:r>
      <w:r w:rsidR="004371BC" w:rsidRPr="002C6D18">
        <w:rPr>
          <w:lang w:val="es-ES"/>
        </w:rPr>
        <w:t>"</w:t>
      </w:r>
      <w:r w:rsidR="004371BC" w:rsidRPr="002C6D18">
        <w:rPr>
          <w:rFonts w:eastAsia="Batang"/>
          <w:lang w:val="es-ES" w:eastAsia="zh-CN"/>
        </w:rPr>
        <w:t>.</w:t>
      </w:r>
      <w:r w:rsidR="004371BC" w:rsidRPr="002C6D18">
        <w:rPr>
          <w:lang w:val="es-ES"/>
        </w:rPr>
        <w:t xml:space="preserve"> A continuación se reproduce el texto DETERMINADO </w:t>
      </w:r>
      <w:r w:rsidR="006C7C1E" w:rsidRPr="002C6D18">
        <w:rPr>
          <w:lang w:val="es-ES"/>
        </w:rPr>
        <w:t>de este</w:t>
      </w:r>
      <w:r w:rsidR="004371BC" w:rsidRPr="002C6D18">
        <w:rPr>
          <w:lang w:val="es-ES"/>
        </w:rPr>
        <w:t xml:space="preserve"> proyecto de </w:t>
      </w:r>
      <w:r w:rsidR="006C7C1E" w:rsidRPr="002C6D18">
        <w:rPr>
          <w:lang w:val="es-ES"/>
        </w:rPr>
        <w:t>Recomendación</w:t>
      </w:r>
      <w:r w:rsidRPr="002C6D18">
        <w:rPr>
          <w:lang w:val="es-ES"/>
        </w:rPr>
        <w:t xml:space="preserve"> revisada</w:t>
      </w:r>
      <w:r w:rsidR="004371BC" w:rsidRPr="002C6D18">
        <w:rPr>
          <w:lang w:val="es-ES"/>
        </w:rPr>
        <w:t>. Las versiones en otros idiomas se incluirán en el sitio web del GANT en cuanto estén disponibles.</w:t>
      </w:r>
    </w:p>
    <w:p w:rsidR="008B1B02" w:rsidRPr="002C6D18" w:rsidRDefault="008B1B02" w:rsidP="00A1221B">
      <w:pPr>
        <w:rPr>
          <w:rFonts w:eastAsia="Batang"/>
          <w:lang w:val="es-ES"/>
        </w:rPr>
      </w:pPr>
    </w:p>
    <w:p w:rsidR="009004EA" w:rsidRPr="002C6D18" w:rsidRDefault="009004EA" w:rsidP="00CE0E8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480" w:lineRule="auto"/>
        <w:textAlignment w:val="auto"/>
        <w:rPr>
          <w:rFonts w:eastAsia="Batang"/>
          <w:bCs/>
          <w:szCs w:val="24"/>
          <w:lang w:val="es-ES"/>
        </w:rPr>
      </w:pPr>
      <w:r w:rsidRPr="002C6D18">
        <w:rPr>
          <w:rFonts w:eastAsia="Batang"/>
          <w:bCs/>
          <w:szCs w:val="24"/>
          <w:lang w:val="es-ES"/>
        </w:rPr>
        <w:br w:type="page"/>
      </w:r>
    </w:p>
    <w:p w:rsidR="00E87D30" w:rsidRDefault="002C6D18" w:rsidP="002C6D18">
      <w:pPr>
        <w:pStyle w:val="Headingb"/>
      </w:pPr>
      <w:r w:rsidRPr="002C6D18">
        <w:lastRenderedPageBreak/>
        <w:t>Proyecto de revisión de la Recomendación UIT-T A.13</w:t>
      </w:r>
    </w:p>
    <w:p w:rsidR="002C6D18" w:rsidRPr="002C6D18" w:rsidRDefault="002C6D18" w:rsidP="00C909B1">
      <w:pPr>
        <w:jc w:val="center"/>
        <w:rPr>
          <w:b/>
          <w:bCs/>
        </w:rPr>
      </w:pPr>
      <w:r w:rsidRPr="002C6D18">
        <w:rPr>
          <w:b/>
          <w:bCs/>
        </w:rPr>
        <w:t>Publicaciones del UIT-T de carácter no normativo, incluidos los Suplementos</w:t>
      </w:r>
      <w:r w:rsidR="00C909B1">
        <w:rPr>
          <w:b/>
          <w:bCs/>
        </w:rPr>
        <w:br/>
      </w:r>
      <w:r w:rsidRPr="002C6D18">
        <w:rPr>
          <w:b/>
          <w:bCs/>
        </w:rPr>
        <w:t>a las Recomendaciones del Sector de Normalización de</w:t>
      </w:r>
      <w:r w:rsidR="00C909B1">
        <w:rPr>
          <w:b/>
          <w:bCs/>
        </w:rPr>
        <w:br/>
      </w:r>
      <w:r w:rsidRPr="002C6D18">
        <w:rPr>
          <w:b/>
          <w:bCs/>
        </w:rPr>
        <w:t>las Telecomunicaciones de la UIT</w:t>
      </w:r>
    </w:p>
    <w:p w:rsidR="00E87D30" w:rsidRPr="002C6D18" w:rsidRDefault="00E87D30" w:rsidP="00E87D30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E87D30" w:rsidRPr="00BA1A84" w:rsidTr="00861A9A">
        <w:tc>
          <w:tcPr>
            <w:tcW w:w="9945" w:type="dxa"/>
          </w:tcPr>
          <w:p w:rsidR="00E87D30" w:rsidRPr="002C6D18" w:rsidRDefault="00E87D30" w:rsidP="00861A9A">
            <w:pPr>
              <w:pStyle w:val="headingb0"/>
              <w:rPr>
                <w:sz w:val="24"/>
                <w:szCs w:val="22"/>
                <w:lang w:val="es-ES"/>
              </w:rPr>
            </w:pPr>
            <w:bookmarkStart w:id="12" w:name="isums" w:colFirst="0" w:colLast="0"/>
            <w:r w:rsidRPr="002C6D18">
              <w:rPr>
                <w:sz w:val="24"/>
                <w:szCs w:val="22"/>
                <w:lang w:val="es-ES"/>
              </w:rPr>
              <w:t>Resumen</w:t>
            </w:r>
          </w:p>
          <w:p w:rsidR="00E87D30" w:rsidRPr="002C6D18" w:rsidRDefault="00E87D30">
            <w:pPr>
              <w:rPr>
                <w:szCs w:val="22"/>
                <w:lang w:val="es-ES"/>
              </w:rPr>
            </w:pPr>
            <w:r w:rsidRPr="002C6D18">
              <w:rPr>
                <w:szCs w:val="22"/>
                <w:lang w:val="es-ES"/>
              </w:rPr>
              <w:t>La presente Recomendación describe</w:t>
            </w:r>
            <w:r w:rsidR="00F45872" w:rsidRPr="002C6D18">
              <w:rPr>
                <w:szCs w:val="22"/>
                <w:lang w:val="es-ES"/>
              </w:rPr>
              <w:t xml:space="preserve"> diferentes tipos de textos informativos, aparte de Recomendaciones publicadas por el UIT-T. Este conjunto incluye</w:t>
            </w:r>
            <w:r w:rsidRPr="002C6D18">
              <w:rPr>
                <w:szCs w:val="22"/>
                <w:lang w:val="es-ES"/>
              </w:rPr>
              <w:t xml:space="preserve"> los Suplementos a las Recomendaciones del UIT-T.</w:t>
            </w:r>
          </w:p>
        </w:tc>
      </w:tr>
      <w:bookmarkEnd w:id="12"/>
    </w:tbl>
    <w:p w:rsidR="00E87D30" w:rsidRPr="002C6D18" w:rsidRDefault="00E87D30" w:rsidP="00E87D30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E87D30" w:rsidRPr="00BA1A84" w:rsidTr="00861A9A">
        <w:tc>
          <w:tcPr>
            <w:tcW w:w="9945" w:type="dxa"/>
          </w:tcPr>
          <w:p w:rsidR="00E87D30" w:rsidRPr="002C6D18" w:rsidRDefault="00E87D30" w:rsidP="00861A9A">
            <w:pPr>
              <w:pStyle w:val="headingb0"/>
              <w:rPr>
                <w:sz w:val="24"/>
                <w:szCs w:val="22"/>
                <w:lang w:val="es-ES"/>
              </w:rPr>
            </w:pPr>
            <w:r w:rsidRPr="002C6D18">
              <w:rPr>
                <w:sz w:val="24"/>
                <w:szCs w:val="22"/>
                <w:lang w:val="es-ES"/>
              </w:rPr>
              <w:t>Orígenes</w:t>
            </w:r>
          </w:p>
          <w:p w:rsidR="00E87D30" w:rsidRPr="002C6D18" w:rsidRDefault="00E87D30" w:rsidP="00C77F0D">
            <w:pPr>
              <w:rPr>
                <w:rFonts w:ascii="TimesNewRoman" w:hAnsi="TimesNewRoman"/>
                <w:lang w:val="es-ES"/>
              </w:rPr>
            </w:pPr>
            <w:bookmarkStart w:id="13" w:name="isources"/>
            <w:bookmarkEnd w:id="13"/>
            <w:r w:rsidRPr="002C6D18">
              <w:rPr>
                <w:rFonts w:ascii="TimesNewRoman" w:hAnsi="TimesNewRoman"/>
                <w:lang w:val="es-ES"/>
              </w:rPr>
              <w:t>La Recomendación UIT</w:t>
            </w:r>
            <w:r w:rsidRPr="002C6D18">
              <w:rPr>
                <w:rFonts w:ascii="TimesNewRoman" w:hAnsi="TimesNewRoman"/>
                <w:lang w:val="es-ES"/>
              </w:rPr>
              <w:noBreakHyphen/>
              <w:t>T A.13, preparada por el GANT (1997</w:t>
            </w:r>
            <w:r w:rsidRPr="002C6D18">
              <w:rPr>
                <w:rFonts w:ascii="TimesNewRoman" w:hAnsi="TimesNewRoman"/>
                <w:lang w:val="es-ES"/>
              </w:rPr>
              <w:noBreakHyphen/>
              <w:t xml:space="preserve">2000) y aprobada por la AMNT </w:t>
            </w:r>
            <w:bookmarkStart w:id="14" w:name="appdates"/>
            <w:r w:rsidRPr="002C6D18">
              <w:rPr>
                <w:rFonts w:ascii="TimesNewRoman" w:hAnsi="TimesNewRoman"/>
                <w:lang w:val="es-ES"/>
              </w:rPr>
              <w:t xml:space="preserve">(27 de septiembre </w:t>
            </w:r>
            <w:r w:rsidRPr="002C6D18">
              <w:rPr>
                <w:rFonts w:ascii="TimesNewRoman" w:hAnsi="TimesNewRoman"/>
                <w:lang w:val="es-ES"/>
              </w:rPr>
              <w:sym w:font="Symbol" w:char="F02D"/>
            </w:r>
            <w:r w:rsidRPr="002C6D18">
              <w:rPr>
                <w:rFonts w:ascii="TimesNewRoman" w:hAnsi="TimesNewRoman"/>
                <w:lang w:val="es-ES"/>
              </w:rPr>
              <w:t xml:space="preserve"> 6</w:t>
            </w:r>
            <w:r w:rsidR="00C77F0D">
              <w:rPr>
                <w:rFonts w:ascii="TimesNewRoman" w:hAnsi="TimesNewRoman"/>
                <w:lang w:val="es-ES"/>
              </w:rPr>
              <w:t xml:space="preserve"> </w:t>
            </w:r>
            <w:r w:rsidRPr="002C6D18">
              <w:rPr>
                <w:rFonts w:ascii="TimesNewRoman" w:hAnsi="TimesNewRoman"/>
                <w:lang w:val="es-ES"/>
              </w:rPr>
              <w:t>de octubre de</w:t>
            </w:r>
            <w:r w:rsidR="00C77F0D">
              <w:rPr>
                <w:rFonts w:ascii="TimesNewRoman" w:hAnsi="TimesNewRoman"/>
                <w:lang w:val="es-ES"/>
              </w:rPr>
              <w:t xml:space="preserve"> </w:t>
            </w:r>
            <w:r w:rsidRPr="002C6D18">
              <w:rPr>
                <w:rFonts w:ascii="TimesNewRoman" w:hAnsi="TimesNewRoman"/>
                <w:lang w:val="es-ES"/>
              </w:rPr>
              <w:t>2000</w:t>
            </w:r>
            <w:bookmarkEnd w:id="14"/>
            <w:r w:rsidRPr="002C6D18">
              <w:rPr>
                <w:rFonts w:ascii="TimesNewRoman" w:hAnsi="TimesNewRoman"/>
                <w:lang w:val="es-ES"/>
              </w:rPr>
              <w:t>).</w:t>
            </w:r>
          </w:p>
          <w:p w:rsidR="00F45872" w:rsidRPr="002C6D18" w:rsidRDefault="00F45872">
            <w:pPr>
              <w:rPr>
                <w:lang w:val="es-ES"/>
              </w:rPr>
            </w:pPr>
            <w:r w:rsidRPr="002C6D18">
              <w:rPr>
                <w:rFonts w:ascii="TimesNewRoman" w:hAnsi="TimesNewRoman"/>
                <w:lang w:val="es-ES"/>
              </w:rPr>
              <w:t>La Enmienda 1 a la Recomendación UIT-T A.13 (2000) fue aprobada el 7 de diciembre de 2007 por el Grupo Asesor de Normalización de las Telecomunicaciones (2005-2008) con arreglo al procedimiento de la Resolución 1 de la AMNT.</w:t>
            </w:r>
          </w:p>
          <w:p w:rsidR="00F45872" w:rsidRPr="002C6D18" w:rsidRDefault="00F45872" w:rsidP="00861A9A">
            <w:pPr>
              <w:rPr>
                <w:rFonts w:ascii="TimesNewRoman" w:hAnsi="TimesNewRoman"/>
                <w:lang w:val="es-ES"/>
              </w:rPr>
            </w:pPr>
          </w:p>
        </w:tc>
      </w:tr>
    </w:tbl>
    <w:p w:rsidR="00E87D30" w:rsidRDefault="00E87D30" w:rsidP="00E87D30">
      <w:pPr>
        <w:rPr>
          <w:sz w:val="22"/>
          <w:lang w:val="es-ES"/>
        </w:rPr>
      </w:pPr>
    </w:p>
    <w:p w:rsidR="00C77F0D" w:rsidRDefault="00C77F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lang w:val="es-ES"/>
        </w:rPr>
      </w:pPr>
      <w:r>
        <w:rPr>
          <w:sz w:val="22"/>
          <w:lang w:val="es-ES"/>
        </w:rPr>
        <w:br w:type="page"/>
      </w:r>
    </w:p>
    <w:p w:rsidR="00E87D30" w:rsidRPr="00C77F0D" w:rsidRDefault="00E87D30" w:rsidP="0085094B">
      <w:pPr>
        <w:spacing w:after="240"/>
        <w:jc w:val="center"/>
        <w:rPr>
          <w:sz w:val="22"/>
          <w:szCs w:val="22"/>
          <w:lang w:val="es-ES"/>
        </w:rPr>
      </w:pPr>
      <w:r w:rsidRPr="00C77F0D">
        <w:rPr>
          <w:sz w:val="22"/>
          <w:szCs w:val="22"/>
          <w:lang w:val="es-ES"/>
        </w:rPr>
        <w:lastRenderedPageBreak/>
        <w:t>PREFACIO</w:t>
      </w:r>
    </w:p>
    <w:p w:rsidR="00E87D30" w:rsidRPr="002C6D18" w:rsidRDefault="00E87D30" w:rsidP="0085094B">
      <w:pPr>
        <w:rPr>
          <w:sz w:val="22"/>
          <w:lang w:val="es-ES"/>
        </w:rPr>
      </w:pPr>
      <w:r w:rsidRPr="002C6D18">
        <w:rPr>
          <w:sz w:val="22"/>
          <w:lang w:val="es-ES"/>
        </w:rPr>
        <w:t>La UIT (Unión Internacional de Telecomunicaciones) es el organismo especializado de las Naciones Unidas en el campo de las telecomunicaciones. El UIT-T (Sector de Normalización de las Telecomunicaciones de la</w:t>
      </w:r>
      <w:r w:rsidR="0085094B">
        <w:rPr>
          <w:sz w:val="22"/>
          <w:lang w:val="es-ES"/>
        </w:rPr>
        <w:t> </w:t>
      </w:r>
      <w:r w:rsidRPr="002C6D18">
        <w:rPr>
          <w:sz w:val="22"/>
          <w:lang w:val="es-ES"/>
        </w:rPr>
        <w:t xml:space="preserve">UIT) es un órgano permanente de la UIT. Este órgano estudia los aspectos técnicos, de explotación y tarifarios y publica Recomendaciones sobre los mismos, con miras </w:t>
      </w:r>
      <w:r w:rsidR="0085094B">
        <w:rPr>
          <w:sz w:val="22"/>
          <w:lang w:val="es-ES"/>
        </w:rPr>
        <w:t>a la normalización de las telecomunica</w:t>
      </w:r>
      <w:r w:rsidRPr="002C6D18">
        <w:rPr>
          <w:sz w:val="22"/>
          <w:lang w:val="es-ES"/>
        </w:rPr>
        <w:t>ciones en el plano mundial.</w:t>
      </w:r>
    </w:p>
    <w:p w:rsidR="00E87D30" w:rsidRPr="002C6D18" w:rsidRDefault="00E87D30" w:rsidP="00E87D30">
      <w:pPr>
        <w:rPr>
          <w:sz w:val="22"/>
          <w:lang w:val="es-ES"/>
        </w:rPr>
      </w:pPr>
      <w:bookmarkStart w:id="15" w:name="iitexts"/>
      <w:r w:rsidRPr="002C6D18">
        <w:rPr>
          <w:sz w:val="22"/>
          <w:lang w:val="es-ES"/>
        </w:rPr>
        <w:t>La Asamblea Mundial de Normalización de las Telecomunicaciones (AMNT), que se celebra cada cuatro años, establece los temas que han de estudiar las Comisiones de Estudio del UIT</w:t>
      </w:r>
      <w:r w:rsidRPr="002C6D18">
        <w:rPr>
          <w:sz w:val="22"/>
          <w:lang w:val="es-ES"/>
        </w:rPr>
        <w:noBreakHyphen/>
        <w:t>T, que a su vez producen Recomendaciones sobre dichos temas.</w:t>
      </w:r>
    </w:p>
    <w:p w:rsidR="00E87D30" w:rsidRPr="002C6D18" w:rsidRDefault="00E87D30" w:rsidP="00E87D30">
      <w:pPr>
        <w:rPr>
          <w:sz w:val="22"/>
          <w:lang w:val="es-ES"/>
        </w:rPr>
      </w:pPr>
      <w:r w:rsidRPr="002C6D18">
        <w:rPr>
          <w:sz w:val="22"/>
          <w:lang w:val="es-ES"/>
        </w:rPr>
        <w:t>La aprobación de Recomendaciones por los Miembros del UIT</w:t>
      </w:r>
      <w:r w:rsidRPr="002C6D18">
        <w:rPr>
          <w:sz w:val="22"/>
          <w:lang w:val="es-ES"/>
        </w:rPr>
        <w:noBreakHyphen/>
        <w:t>T es el objeto del procedimiento establecido en la Resolución 1 de la AMNT</w:t>
      </w:r>
      <w:bookmarkEnd w:id="15"/>
      <w:r w:rsidRPr="002C6D18">
        <w:rPr>
          <w:sz w:val="22"/>
          <w:lang w:val="es-ES"/>
        </w:rPr>
        <w:t>.</w:t>
      </w:r>
    </w:p>
    <w:p w:rsidR="00E87D30" w:rsidRPr="002C6D18" w:rsidRDefault="00E87D30" w:rsidP="0085094B">
      <w:pPr>
        <w:rPr>
          <w:sz w:val="22"/>
          <w:lang w:val="es-ES"/>
        </w:rPr>
      </w:pPr>
      <w:r w:rsidRPr="002C6D18">
        <w:rPr>
          <w:sz w:val="22"/>
          <w:lang w:val="es-ES"/>
        </w:rPr>
        <w:t>En ciertos sectores de la tecnología de la información que corresponden a la esfera de competencia del UIT</w:t>
      </w:r>
      <w:r w:rsidR="0085094B">
        <w:rPr>
          <w:sz w:val="22"/>
          <w:lang w:val="es-ES"/>
        </w:rPr>
        <w:noBreakHyphen/>
      </w:r>
      <w:r w:rsidRPr="002C6D18">
        <w:rPr>
          <w:sz w:val="22"/>
          <w:lang w:val="es-ES"/>
        </w:rPr>
        <w:t>T, se preparan las normas necesarias en colaboración con la ISO y la CEI.</w:t>
      </w:r>
    </w:p>
    <w:p w:rsidR="00E87D30" w:rsidRPr="002C6D18" w:rsidRDefault="00E87D30" w:rsidP="0085094B">
      <w:pPr>
        <w:rPr>
          <w:sz w:val="22"/>
          <w:lang w:val="es-ES"/>
        </w:rPr>
      </w:pPr>
    </w:p>
    <w:p w:rsidR="00E87D30" w:rsidRPr="002C6D18" w:rsidRDefault="00E87D30" w:rsidP="0085094B">
      <w:pPr>
        <w:rPr>
          <w:sz w:val="22"/>
          <w:lang w:val="es-ES"/>
        </w:rPr>
      </w:pPr>
    </w:p>
    <w:p w:rsidR="00E87D30" w:rsidRPr="002C6D18" w:rsidRDefault="00E87D30" w:rsidP="0085094B">
      <w:pPr>
        <w:rPr>
          <w:sz w:val="22"/>
          <w:lang w:val="es-ES"/>
        </w:rPr>
      </w:pPr>
    </w:p>
    <w:p w:rsidR="00E87D30" w:rsidRPr="002C6D18" w:rsidRDefault="00E87D30" w:rsidP="0085094B">
      <w:pPr>
        <w:rPr>
          <w:sz w:val="22"/>
          <w:lang w:val="es-ES"/>
        </w:rPr>
      </w:pPr>
    </w:p>
    <w:p w:rsidR="00E87D30" w:rsidRPr="002C6D18" w:rsidRDefault="00E87D30" w:rsidP="00E87D30">
      <w:pPr>
        <w:jc w:val="center"/>
        <w:rPr>
          <w:sz w:val="22"/>
          <w:lang w:val="es-ES"/>
        </w:rPr>
      </w:pPr>
      <w:r w:rsidRPr="002C6D18">
        <w:rPr>
          <w:sz w:val="22"/>
          <w:lang w:val="es-ES"/>
        </w:rPr>
        <w:t>NOTA</w:t>
      </w:r>
    </w:p>
    <w:p w:rsidR="00E87D30" w:rsidRPr="002C6D18" w:rsidRDefault="00E87D30" w:rsidP="003F4C0A">
      <w:pPr>
        <w:rPr>
          <w:sz w:val="22"/>
          <w:lang w:val="es-ES"/>
        </w:rPr>
      </w:pPr>
      <w:r w:rsidRPr="002C6D18">
        <w:rPr>
          <w:sz w:val="22"/>
          <w:lang w:val="es-ES"/>
        </w:rPr>
        <w:t xml:space="preserve">En </w:t>
      </w:r>
      <w:bookmarkStart w:id="16" w:name="iitextsa"/>
      <w:r w:rsidRPr="002C6D18">
        <w:rPr>
          <w:sz w:val="22"/>
          <w:lang w:val="es-ES"/>
        </w:rPr>
        <w:t xml:space="preserve">esta Recomendación, la expresión </w:t>
      </w:r>
      <w:r w:rsidR="003F4C0A">
        <w:rPr>
          <w:sz w:val="22"/>
          <w:lang w:val="es-ES"/>
        </w:rPr>
        <w:t>"</w:t>
      </w:r>
      <w:r w:rsidRPr="002C6D18">
        <w:rPr>
          <w:sz w:val="22"/>
          <w:lang w:val="es-ES"/>
        </w:rPr>
        <w:t>Administración</w:t>
      </w:r>
      <w:r w:rsidR="003F4C0A">
        <w:rPr>
          <w:sz w:val="22"/>
          <w:lang w:val="es-ES"/>
        </w:rPr>
        <w:t>"</w:t>
      </w:r>
      <w:r w:rsidRPr="002C6D18">
        <w:rPr>
          <w:sz w:val="22"/>
          <w:lang w:val="es-ES"/>
        </w:rPr>
        <w:t xml:space="preserve"> se utiliza para designar, en forma abreviada, tanto una administración de telecomunicaciones como una empresa de explotación reconocida de telecomunicaciones</w:t>
      </w:r>
      <w:bookmarkEnd w:id="16"/>
      <w:r w:rsidRPr="002C6D18">
        <w:rPr>
          <w:sz w:val="22"/>
          <w:lang w:val="es-ES"/>
        </w:rPr>
        <w:t>.</w:t>
      </w:r>
    </w:p>
    <w:p w:rsidR="00E87D30" w:rsidRPr="002C6D18" w:rsidRDefault="00E87D30" w:rsidP="00E87D30">
      <w:pPr>
        <w:jc w:val="center"/>
        <w:rPr>
          <w:sz w:val="22"/>
          <w:lang w:val="es-ES"/>
        </w:rPr>
      </w:pPr>
    </w:p>
    <w:p w:rsidR="00E87D30" w:rsidRPr="002C6D18" w:rsidRDefault="00E87D30" w:rsidP="00E87D30">
      <w:pPr>
        <w:jc w:val="center"/>
        <w:rPr>
          <w:sz w:val="22"/>
          <w:lang w:val="es-ES"/>
        </w:rPr>
      </w:pPr>
    </w:p>
    <w:p w:rsidR="00E87D30" w:rsidRPr="002C6D18" w:rsidRDefault="00E87D30" w:rsidP="00E87D30">
      <w:pPr>
        <w:jc w:val="center"/>
        <w:rPr>
          <w:sz w:val="22"/>
          <w:lang w:val="es-ES"/>
        </w:rPr>
      </w:pPr>
    </w:p>
    <w:p w:rsidR="00E87D30" w:rsidRPr="002C6D18" w:rsidRDefault="00E87D30" w:rsidP="00E87D30">
      <w:pPr>
        <w:jc w:val="center"/>
        <w:rPr>
          <w:sz w:val="22"/>
          <w:lang w:val="es-ES"/>
        </w:rPr>
      </w:pPr>
    </w:p>
    <w:p w:rsidR="00E87D30" w:rsidRPr="002C6D18" w:rsidRDefault="00E87D30" w:rsidP="00E87D30">
      <w:pPr>
        <w:jc w:val="center"/>
        <w:rPr>
          <w:sz w:val="22"/>
          <w:lang w:val="es-ES"/>
        </w:rPr>
      </w:pPr>
    </w:p>
    <w:p w:rsidR="00E87D30" w:rsidRPr="002C6D18" w:rsidRDefault="00E87D30" w:rsidP="00E87D30">
      <w:pPr>
        <w:jc w:val="center"/>
        <w:rPr>
          <w:sz w:val="22"/>
          <w:lang w:val="es-ES"/>
        </w:rPr>
      </w:pPr>
    </w:p>
    <w:p w:rsidR="00E87D30" w:rsidRPr="002C6D18" w:rsidRDefault="00E87D30" w:rsidP="00E87D30">
      <w:pPr>
        <w:jc w:val="center"/>
        <w:rPr>
          <w:sz w:val="22"/>
          <w:lang w:val="es-ES"/>
        </w:rPr>
      </w:pPr>
    </w:p>
    <w:p w:rsidR="00E87D30" w:rsidRPr="002C6D18" w:rsidRDefault="00E87D30" w:rsidP="009D4259">
      <w:pPr>
        <w:jc w:val="center"/>
        <w:rPr>
          <w:sz w:val="22"/>
          <w:lang w:val="es-ES"/>
        </w:rPr>
      </w:pPr>
      <w:r w:rsidRPr="002C6D18">
        <w:rPr>
          <w:rFonts w:ascii="Symbol" w:hAnsi="Symbol"/>
          <w:sz w:val="22"/>
          <w:lang w:val="es-ES"/>
        </w:rPr>
        <w:t></w:t>
      </w:r>
      <w:r w:rsidR="009D4259">
        <w:rPr>
          <w:sz w:val="22"/>
          <w:lang w:val="es-ES"/>
        </w:rPr>
        <w:t xml:space="preserve">  </w:t>
      </w:r>
      <w:r w:rsidRPr="002C6D18">
        <w:rPr>
          <w:sz w:val="22"/>
          <w:lang w:val="es-ES"/>
        </w:rPr>
        <w:t>UIT</w:t>
      </w:r>
      <w:bookmarkStart w:id="17" w:name="iiannes"/>
      <w:bookmarkEnd w:id="17"/>
      <w:r w:rsidR="009D4259">
        <w:rPr>
          <w:sz w:val="22"/>
          <w:lang w:val="es-ES"/>
        </w:rPr>
        <w:t xml:space="preserve">  </w:t>
      </w:r>
      <w:r w:rsidRPr="002C6D18">
        <w:rPr>
          <w:sz w:val="22"/>
          <w:lang w:val="es-ES"/>
        </w:rPr>
        <w:t>2001</w:t>
      </w:r>
    </w:p>
    <w:p w:rsidR="00E87D30" w:rsidRDefault="00E87D30" w:rsidP="00E87D30">
      <w:pPr>
        <w:rPr>
          <w:sz w:val="22"/>
          <w:lang w:val="es-ES"/>
        </w:rPr>
      </w:pPr>
      <w:r w:rsidRPr="002C6D18">
        <w:rPr>
          <w:sz w:val="22"/>
          <w:lang w:val="es-ES"/>
        </w:rPr>
        <w:t>Es propiedad. Ninguna parte de esta publicación puede reproducirse o utilizarse, de ninguna forma o por ningún medio, sea éste electrónico o mecánico, de fotocopia o de microfilm, sin previa autorización escrita por parte de la UIT.</w:t>
      </w:r>
    </w:p>
    <w:p w:rsidR="009D4259" w:rsidRDefault="009D4259" w:rsidP="00E87D30">
      <w:pPr>
        <w:rPr>
          <w:sz w:val="22"/>
          <w:lang w:val="es-ES"/>
        </w:rPr>
      </w:pPr>
    </w:p>
    <w:p w:rsidR="009D4259" w:rsidRPr="002C6D18" w:rsidRDefault="009D4259" w:rsidP="00E87D30">
      <w:pPr>
        <w:rPr>
          <w:sz w:val="22"/>
          <w:lang w:val="es-ES"/>
        </w:rPr>
      </w:pPr>
    </w:p>
    <w:p w:rsidR="00E87D30" w:rsidRPr="002C6D18" w:rsidRDefault="00E87D30" w:rsidP="00E87D30">
      <w:pPr>
        <w:tabs>
          <w:tab w:val="left" w:leader="dot" w:pos="8787"/>
          <w:tab w:val="right" w:pos="9638"/>
        </w:tabs>
        <w:jc w:val="center"/>
        <w:rPr>
          <w:b/>
          <w:lang w:val="es-ES"/>
        </w:rPr>
      </w:pPr>
      <w:r w:rsidRPr="002C6D18">
        <w:rPr>
          <w:b/>
          <w:lang w:val="es-ES"/>
        </w:rPr>
        <w:br w:type="page"/>
      </w:r>
      <w:r w:rsidRPr="002C6D18">
        <w:rPr>
          <w:b/>
          <w:lang w:val="es-ES"/>
        </w:rPr>
        <w:lastRenderedPageBreak/>
        <w:t>ÍNDICE</w:t>
      </w:r>
    </w:p>
    <w:p w:rsidR="00E87D30" w:rsidRPr="002C6D18" w:rsidRDefault="00E87D30" w:rsidP="00E87D30">
      <w:pPr>
        <w:pStyle w:val="toc0"/>
        <w:rPr>
          <w:lang w:val="es-ES"/>
        </w:rPr>
      </w:pPr>
      <w:r w:rsidRPr="002C6D18">
        <w:rPr>
          <w:lang w:val="es-ES"/>
        </w:rPr>
        <w:tab/>
        <w:t>Página</w:t>
      </w:r>
    </w:p>
    <w:p w:rsidR="00C859B3" w:rsidRDefault="00C859B3" w:rsidP="00C859B3">
      <w:pPr>
        <w:rPr>
          <w:noProof/>
          <w:lang w:val="es-ES"/>
        </w:rPr>
      </w:pPr>
    </w:p>
    <w:p w:rsidR="00E87D30" w:rsidRPr="002C6D18" w:rsidRDefault="00E87D30" w:rsidP="00C859B3">
      <w:pPr>
        <w:pStyle w:val="TOC1"/>
        <w:ind w:right="992"/>
        <w:rPr>
          <w:noProof/>
          <w:szCs w:val="24"/>
          <w:lang w:val="es-ES"/>
        </w:rPr>
      </w:pPr>
      <w:r w:rsidRPr="002C6D18">
        <w:rPr>
          <w:noProof/>
          <w:szCs w:val="24"/>
          <w:lang w:val="es-ES"/>
        </w:rPr>
        <w:t>1</w:t>
      </w:r>
      <w:r w:rsidRPr="002C6D18">
        <w:rPr>
          <w:noProof/>
          <w:szCs w:val="24"/>
          <w:lang w:val="es-ES"/>
        </w:rPr>
        <w:tab/>
        <w:t>Alcance</w:t>
      </w:r>
      <w:r w:rsidRPr="002C6D18">
        <w:rPr>
          <w:noProof/>
          <w:szCs w:val="24"/>
          <w:lang w:val="es-ES"/>
        </w:rPr>
        <w:tab/>
      </w:r>
      <w:r w:rsidRPr="002C6D18">
        <w:rPr>
          <w:noProof/>
          <w:szCs w:val="24"/>
          <w:lang w:val="es-ES"/>
        </w:rPr>
        <w:tab/>
      </w:r>
    </w:p>
    <w:p w:rsidR="00E87D30" w:rsidRDefault="00E87D30" w:rsidP="00B7363F">
      <w:pPr>
        <w:pStyle w:val="TOC1"/>
        <w:ind w:right="992"/>
        <w:rPr>
          <w:noProof/>
          <w:szCs w:val="24"/>
          <w:lang w:val="es-ES"/>
        </w:rPr>
      </w:pPr>
      <w:r w:rsidRPr="002C6D18">
        <w:rPr>
          <w:noProof/>
          <w:szCs w:val="24"/>
          <w:lang w:val="es-ES"/>
        </w:rPr>
        <w:t>2</w:t>
      </w:r>
      <w:r w:rsidRPr="002C6D18">
        <w:rPr>
          <w:noProof/>
          <w:szCs w:val="24"/>
          <w:lang w:val="es-ES"/>
        </w:rPr>
        <w:tab/>
      </w:r>
      <w:r w:rsidR="00B7363F">
        <w:rPr>
          <w:noProof/>
          <w:szCs w:val="24"/>
          <w:lang w:val="es-ES"/>
        </w:rPr>
        <w:t>Referencias</w:t>
      </w:r>
      <w:r w:rsidRPr="002C6D18">
        <w:rPr>
          <w:noProof/>
          <w:szCs w:val="24"/>
          <w:lang w:val="es-ES"/>
        </w:rPr>
        <w:tab/>
      </w:r>
      <w:r w:rsidRPr="002C6D18">
        <w:rPr>
          <w:noProof/>
          <w:szCs w:val="24"/>
          <w:lang w:val="es-ES"/>
        </w:rPr>
        <w:tab/>
      </w:r>
    </w:p>
    <w:p w:rsidR="00B7363F" w:rsidRDefault="00B7363F" w:rsidP="00B7363F">
      <w:pPr>
        <w:pStyle w:val="TOC1"/>
        <w:ind w:right="992"/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3</w:t>
      </w:r>
      <w:r>
        <w:rPr>
          <w:noProof/>
          <w:szCs w:val="24"/>
          <w:lang w:val="es-ES"/>
        </w:rPr>
        <w:tab/>
        <w:t>Definiciones</w:t>
      </w:r>
      <w:r>
        <w:rPr>
          <w:noProof/>
          <w:szCs w:val="24"/>
          <w:lang w:val="es-ES"/>
        </w:rPr>
        <w:tab/>
      </w:r>
      <w:r>
        <w:rPr>
          <w:noProof/>
          <w:szCs w:val="24"/>
          <w:lang w:val="es-ES"/>
        </w:rPr>
        <w:tab/>
      </w:r>
    </w:p>
    <w:p w:rsidR="00B7363F" w:rsidRDefault="00B7363F" w:rsidP="00B7363F">
      <w:pPr>
        <w:pStyle w:val="TOC2"/>
        <w:rPr>
          <w:lang w:val="es-ES"/>
        </w:rPr>
      </w:pPr>
      <w:r>
        <w:rPr>
          <w:lang w:val="es-ES"/>
        </w:rPr>
        <w:t>3.1</w:t>
      </w:r>
      <w:r>
        <w:rPr>
          <w:lang w:val="es-ES"/>
        </w:rPr>
        <w:tab/>
      </w:r>
      <w:r w:rsidRPr="002C6D18">
        <w:rPr>
          <w:lang w:val="es-ES"/>
        </w:rPr>
        <w:t>Términos definidos en otros documentos</w:t>
      </w:r>
      <w:r>
        <w:rPr>
          <w:lang w:val="es-ES"/>
        </w:rPr>
        <w:tab/>
      </w:r>
      <w:r>
        <w:rPr>
          <w:lang w:val="es-ES"/>
        </w:rPr>
        <w:tab/>
      </w:r>
    </w:p>
    <w:p w:rsidR="00B7363F" w:rsidRDefault="00B7363F" w:rsidP="00B7363F">
      <w:pPr>
        <w:pStyle w:val="TOC2"/>
        <w:rPr>
          <w:noProof/>
          <w:lang w:val="es-ES"/>
        </w:rPr>
      </w:pPr>
      <w:r>
        <w:rPr>
          <w:lang w:val="es-ES"/>
        </w:rPr>
        <w:t>3.2</w:t>
      </w:r>
      <w:r>
        <w:rPr>
          <w:lang w:val="es-ES"/>
        </w:rPr>
        <w:tab/>
      </w:r>
      <w:r w:rsidRPr="002C6D18">
        <w:rPr>
          <w:lang w:val="es-ES"/>
        </w:rPr>
        <w:t>Términos definidos en la presente Recomendación</w:t>
      </w:r>
      <w:r w:rsidR="00D40E9C">
        <w:rPr>
          <w:lang w:val="es-ES"/>
        </w:rPr>
        <w:tab/>
      </w:r>
      <w:r w:rsidR="00D40E9C">
        <w:rPr>
          <w:lang w:val="es-ES"/>
        </w:rPr>
        <w:tab/>
      </w:r>
    </w:p>
    <w:p w:rsidR="00C859B3" w:rsidRDefault="00D40E9C" w:rsidP="00C859B3">
      <w:pPr>
        <w:pStyle w:val="TOC1"/>
        <w:ind w:right="992"/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4</w:t>
      </w:r>
      <w:r>
        <w:rPr>
          <w:noProof/>
          <w:szCs w:val="24"/>
          <w:lang w:val="es-ES"/>
        </w:rPr>
        <w:tab/>
      </w:r>
      <w:r w:rsidRPr="002C6D18">
        <w:rPr>
          <w:lang w:val="es-ES"/>
        </w:rPr>
        <w:t>Textos no normativos</w:t>
      </w:r>
      <w:r>
        <w:rPr>
          <w:lang w:val="es-ES"/>
        </w:rPr>
        <w:tab/>
      </w:r>
      <w:r>
        <w:rPr>
          <w:lang w:val="es-ES"/>
        </w:rPr>
        <w:tab/>
      </w:r>
    </w:p>
    <w:p w:rsidR="00B7363F" w:rsidRDefault="00D40E9C" w:rsidP="00C859B3">
      <w:pPr>
        <w:pStyle w:val="TOC1"/>
        <w:ind w:right="992"/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5</w:t>
      </w:r>
      <w:r>
        <w:rPr>
          <w:noProof/>
          <w:szCs w:val="24"/>
          <w:lang w:val="es-ES"/>
        </w:rPr>
        <w:tab/>
      </w:r>
      <w:r w:rsidRPr="002C6D18">
        <w:rPr>
          <w:lang w:val="es-ES"/>
        </w:rPr>
        <w:t>Consideraciones adicionales específicas de los Suplementos</w:t>
      </w:r>
      <w:r>
        <w:rPr>
          <w:lang w:val="es-ES"/>
        </w:rPr>
        <w:tab/>
      </w:r>
      <w:r>
        <w:rPr>
          <w:lang w:val="es-ES"/>
        </w:rPr>
        <w:tab/>
      </w:r>
    </w:p>
    <w:p w:rsidR="00D40E9C" w:rsidRDefault="00D40E9C" w:rsidP="00C859B3">
      <w:pPr>
        <w:pStyle w:val="TOC1"/>
        <w:ind w:right="992"/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6</w:t>
      </w:r>
      <w:r>
        <w:rPr>
          <w:noProof/>
          <w:szCs w:val="24"/>
          <w:lang w:val="es-ES"/>
        </w:rPr>
        <w:tab/>
      </w:r>
      <w:r w:rsidR="008B4553" w:rsidRPr="002C6D18">
        <w:rPr>
          <w:lang w:val="es-ES"/>
        </w:rPr>
        <w:t>Programa de trabajo</w:t>
      </w:r>
      <w:r w:rsidR="008B4553">
        <w:rPr>
          <w:lang w:val="es-ES"/>
        </w:rPr>
        <w:tab/>
      </w:r>
      <w:r w:rsidR="008B4553">
        <w:rPr>
          <w:lang w:val="es-ES"/>
        </w:rPr>
        <w:tab/>
      </w:r>
    </w:p>
    <w:p w:rsidR="00B7363F" w:rsidRPr="002C6D18" w:rsidRDefault="006F1D98" w:rsidP="00AD2C3B">
      <w:pPr>
        <w:pStyle w:val="TOC1"/>
        <w:rPr>
          <w:noProof/>
          <w:lang w:val="es-ES"/>
        </w:rPr>
      </w:pPr>
      <w:r w:rsidRPr="00AD2C3B">
        <w:t>Bibliografia</w:t>
      </w:r>
      <w:r>
        <w:rPr>
          <w:noProof/>
          <w:lang w:val="es-ES"/>
        </w:rPr>
        <w:tab/>
      </w:r>
      <w:r>
        <w:rPr>
          <w:noProof/>
          <w:lang w:val="es-ES"/>
        </w:rPr>
        <w:tab/>
      </w:r>
    </w:p>
    <w:p w:rsidR="00E87D30" w:rsidRDefault="00AD2C3B" w:rsidP="00AD2C3B">
      <w:pPr>
        <w:pStyle w:val="TOC1"/>
        <w:rPr>
          <w:szCs w:val="24"/>
        </w:rPr>
      </w:pPr>
      <w:r>
        <w:rPr>
          <w:lang w:val="es-ES"/>
        </w:rPr>
        <w:t xml:space="preserve">Anexo A - </w:t>
      </w:r>
      <w:r w:rsidRPr="00AD2C3B">
        <w:t>Plantilla</w:t>
      </w:r>
      <w:r w:rsidRPr="002829B4">
        <w:rPr>
          <w:szCs w:val="24"/>
        </w:rPr>
        <w:t xml:space="preserve"> para describir un </w:t>
      </w:r>
      <w:r>
        <w:rPr>
          <w:szCs w:val="24"/>
        </w:rPr>
        <w:t xml:space="preserve">nuevo </w:t>
      </w:r>
      <w:r w:rsidRPr="002829B4">
        <w:rPr>
          <w:szCs w:val="24"/>
        </w:rPr>
        <w:t xml:space="preserve">documento no </w:t>
      </w:r>
      <w:r>
        <w:rPr>
          <w:szCs w:val="24"/>
        </w:rPr>
        <w:t xml:space="preserve">normativo </w:t>
      </w:r>
      <w:r w:rsidRPr="002829B4">
        <w:rPr>
          <w:szCs w:val="24"/>
        </w:rPr>
        <w:t>en el</w:t>
      </w:r>
      <w:r>
        <w:rPr>
          <w:szCs w:val="24"/>
        </w:rPr>
        <w:br/>
      </w:r>
      <w:r w:rsidRPr="002829B4">
        <w:rPr>
          <w:szCs w:val="24"/>
        </w:rPr>
        <w:t>programa de trabajo</w:t>
      </w:r>
      <w:r>
        <w:rPr>
          <w:szCs w:val="24"/>
        </w:rPr>
        <w:tab/>
      </w:r>
      <w:r>
        <w:rPr>
          <w:szCs w:val="24"/>
        </w:rPr>
        <w:tab/>
      </w:r>
    </w:p>
    <w:p w:rsidR="00AD2C3B" w:rsidRDefault="00AD2C3B" w:rsidP="00AD2C3B">
      <w:pPr>
        <w:rPr>
          <w:lang w:val="es-ES"/>
        </w:rPr>
      </w:pPr>
    </w:p>
    <w:p w:rsidR="00AD2C3B" w:rsidRPr="002C6D18" w:rsidRDefault="00AD2C3B" w:rsidP="00AD2C3B">
      <w:pPr>
        <w:rPr>
          <w:lang w:val="es-ES"/>
        </w:rPr>
      </w:pPr>
    </w:p>
    <w:p w:rsidR="00C859B3" w:rsidRDefault="00C859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bookmarkStart w:id="18" w:name="p1rectexts"/>
      <w:bookmarkEnd w:id="18"/>
      <w:r>
        <w:br w:type="page"/>
      </w:r>
    </w:p>
    <w:p w:rsidR="00E87D30" w:rsidRPr="00BA1A84" w:rsidRDefault="00F45872">
      <w:pPr>
        <w:pStyle w:val="Rec"/>
      </w:pPr>
      <w:r w:rsidRPr="00BA1A84">
        <w:lastRenderedPageBreak/>
        <w:t xml:space="preserve">Proyecto de revisión de la </w:t>
      </w:r>
      <w:r w:rsidR="00E87D30" w:rsidRPr="00BA1A84">
        <w:t>Recomendación UIT-T A.13</w:t>
      </w:r>
    </w:p>
    <w:p w:rsidR="00E87D30" w:rsidRPr="00BA1A84" w:rsidRDefault="00577451" w:rsidP="006616C0">
      <w:pPr>
        <w:pStyle w:val="RecTitle0"/>
      </w:pPr>
      <w:bookmarkStart w:id="19" w:name="_Toc381408619"/>
      <w:bookmarkStart w:id="20" w:name="_Toc383843414"/>
      <w:r w:rsidRPr="00BA1A84">
        <w:t xml:space="preserve">Publicaciones del UIT-T de carácter no normativo, incluidos los </w:t>
      </w:r>
      <w:r w:rsidR="00E87D30" w:rsidRPr="00BA1A84">
        <w:t>Suplementos</w:t>
      </w:r>
      <w:r w:rsidR="006616C0">
        <w:br/>
      </w:r>
      <w:r w:rsidR="00E87D30" w:rsidRPr="00BA1A84">
        <w:t>a las Recomendaciones del Sector de Normalización de</w:t>
      </w:r>
      <w:r w:rsidR="00E87D30" w:rsidRPr="00BA1A84">
        <w:br/>
        <w:t>las Telecomunicaciones de la UIT</w:t>
      </w:r>
      <w:bookmarkEnd w:id="19"/>
      <w:bookmarkEnd w:id="20"/>
    </w:p>
    <w:p w:rsidR="00E87D30" w:rsidRPr="006616C0" w:rsidRDefault="00E87D30" w:rsidP="006616C0">
      <w:pPr>
        <w:pStyle w:val="Heading1"/>
      </w:pPr>
      <w:bookmarkStart w:id="21" w:name="_Toc517488227"/>
      <w:r w:rsidRPr="002C6D18">
        <w:rPr>
          <w:lang w:val="es-ES"/>
        </w:rPr>
        <w:t>1</w:t>
      </w:r>
      <w:r w:rsidRPr="002C6D18">
        <w:rPr>
          <w:lang w:val="es-ES"/>
        </w:rPr>
        <w:tab/>
      </w:r>
      <w:bookmarkEnd w:id="21"/>
      <w:r w:rsidR="00577451" w:rsidRPr="002C6D18">
        <w:rPr>
          <w:lang w:val="es-ES"/>
        </w:rPr>
        <w:t>Introducción</w:t>
      </w:r>
    </w:p>
    <w:p w:rsidR="00E87D30" w:rsidRPr="002C6D18" w:rsidRDefault="00E87D30" w:rsidP="006616C0">
      <w:pPr>
        <w:rPr>
          <w:lang w:val="es-ES"/>
        </w:rPr>
      </w:pPr>
      <w:r w:rsidRPr="002C6D18">
        <w:rPr>
          <w:lang w:val="es-ES"/>
        </w:rPr>
        <w:t>En el curso de sus estudios, las Comisiones de Estudio exami</w:t>
      </w:r>
      <w:r w:rsidR="00BA1A84">
        <w:rPr>
          <w:lang w:val="es-ES"/>
        </w:rPr>
        <w:t>nan contribuciones e i</w:t>
      </w:r>
      <w:r w:rsidRPr="002C6D18">
        <w:rPr>
          <w:lang w:val="es-ES"/>
        </w:rPr>
        <w:t>nformes que se distribuyen a las organizaciones inscritas para participar en los trabajos de las correspondientes Comisiones de Estudio</w:t>
      </w:r>
      <w:r w:rsidR="00BA1A84">
        <w:rPr>
          <w:lang w:val="es-ES"/>
        </w:rPr>
        <w:t>, por lo que</w:t>
      </w:r>
      <w:r w:rsidRPr="002C6D18">
        <w:rPr>
          <w:lang w:val="es-ES"/>
        </w:rPr>
        <w:t xml:space="preserve"> las Recomendaciones resultantes de estos estudios llegan a un público mucho más amplio. Normalmente, toda información considerada meramente ilustrativa o </w:t>
      </w:r>
      <w:r w:rsidR="00BA1A84">
        <w:rPr>
          <w:lang w:val="es-ES"/>
        </w:rPr>
        <w:t>comple</w:t>
      </w:r>
      <w:r w:rsidRPr="002C6D18">
        <w:rPr>
          <w:lang w:val="es-ES"/>
        </w:rPr>
        <w:t xml:space="preserve">mentaria a una Recomendación se incluye en un </w:t>
      </w:r>
      <w:r w:rsidR="00BA1A84">
        <w:rPr>
          <w:lang w:val="es-ES"/>
        </w:rPr>
        <w:t>A</w:t>
      </w:r>
      <w:r w:rsidRPr="002C6D18">
        <w:rPr>
          <w:lang w:val="es-ES"/>
        </w:rPr>
        <w:t xml:space="preserve">péndice a esa Recomendación (del que no es parte integrante), cuando resulte útil para un público más amplio. No obstante, existen casos excepcionales en los que se justifica la publicación </w:t>
      </w:r>
      <w:r w:rsidR="00BA1A84">
        <w:rPr>
          <w:lang w:val="es-ES"/>
        </w:rPr>
        <w:t>por separado</w:t>
      </w:r>
      <w:r w:rsidRPr="002C6D18">
        <w:rPr>
          <w:lang w:val="es-ES"/>
        </w:rPr>
        <w:t xml:space="preserve"> de dicha información</w:t>
      </w:r>
      <w:r w:rsidR="00577451" w:rsidRPr="002C6D18">
        <w:rPr>
          <w:lang w:val="es-ES"/>
        </w:rPr>
        <w:t>. Esta información no es de carácter normativo, es decir, que no es obligatoria su observancia para demostrar el cumplimiento voluntario de cualquier Recomendación del UIT-T.</w:t>
      </w:r>
      <w:r w:rsidR="00BE7AFC" w:rsidRPr="002C6D18">
        <w:rPr>
          <w:lang w:val="es-ES"/>
        </w:rPr>
        <w:t xml:space="preserve"> Dicha información puede publicarse</w:t>
      </w:r>
      <w:r w:rsidRPr="002C6D18">
        <w:rPr>
          <w:lang w:val="es-ES"/>
        </w:rPr>
        <w:t xml:space="preserve"> en forma de Suplemento a la Recomendación</w:t>
      </w:r>
      <w:r w:rsidR="00BE7AFC" w:rsidRPr="002C6D18">
        <w:rPr>
          <w:lang w:val="es-ES"/>
        </w:rPr>
        <w:t xml:space="preserve"> u otros tipos de documentos publicados por el UIT-T</w:t>
      </w:r>
      <w:r w:rsidRPr="002C6D18">
        <w:rPr>
          <w:lang w:val="es-ES"/>
        </w:rPr>
        <w:t>.</w:t>
      </w:r>
    </w:p>
    <w:p w:rsidR="00BE7AFC" w:rsidRPr="002C6D18" w:rsidRDefault="00E87D30">
      <w:pPr>
        <w:pStyle w:val="Heading1"/>
        <w:rPr>
          <w:lang w:val="es-ES"/>
        </w:rPr>
      </w:pPr>
      <w:bookmarkStart w:id="22" w:name="_Toc517488228"/>
      <w:r w:rsidRPr="002C6D18">
        <w:rPr>
          <w:lang w:val="es-ES"/>
        </w:rPr>
        <w:t>2</w:t>
      </w:r>
      <w:r w:rsidRPr="002C6D18">
        <w:rPr>
          <w:lang w:val="es-ES"/>
        </w:rPr>
        <w:tab/>
      </w:r>
      <w:r w:rsidR="00BE7AFC" w:rsidRPr="002C6D18">
        <w:rPr>
          <w:lang w:val="es-ES"/>
        </w:rPr>
        <w:t>Referencias</w:t>
      </w:r>
    </w:p>
    <w:p w:rsidR="00BE7AFC" w:rsidRPr="002C6D18" w:rsidRDefault="00BE7AFC" w:rsidP="00087C54">
      <w:pPr>
        <w:rPr>
          <w:lang w:val="es-ES"/>
        </w:rPr>
      </w:pPr>
      <w:r w:rsidRPr="002C6D18">
        <w:rPr>
          <w:lang w:val="es-ES"/>
        </w:rPr>
        <w:t>Las siguientes Recomendaciones del UIT-T y otras referencias contienen disposiciones que, mediante su referencia en este texto, constituyen disposiciones de la presente Recomendación. Al efectuar esta publicación, estaban en vigor las ediciones indicadas. Todas las Recomendaciones y otras referencias son objeto de revisiones por lo que se alienta a los usuarios de esta Recomendación a que investiguen la posibilidad de aplicar las ediciones más recientes de las Recomendaciones y otras referencias citadas a continuación. Se publica periódicamente una lista de las Recomendaciones UIT</w:t>
      </w:r>
      <w:r w:rsidR="00087C54">
        <w:rPr>
          <w:lang w:val="es-ES"/>
        </w:rPr>
        <w:noBreakHyphen/>
      </w:r>
      <w:r w:rsidRPr="002C6D18">
        <w:rPr>
          <w:lang w:val="es-ES"/>
        </w:rPr>
        <w:t>T actualmente vigentes. En la presente Recomendación, la referencia a un documento no confiere a este último, como documento autónomo, la</w:t>
      </w:r>
      <w:r w:rsidR="00087C54">
        <w:rPr>
          <w:lang w:val="es-ES"/>
        </w:rPr>
        <w:t xml:space="preserve"> categoría de una Recomendación.</w:t>
      </w:r>
    </w:p>
    <w:p w:rsidR="00BE7AFC" w:rsidRPr="002C6D18" w:rsidRDefault="00BE7AFC">
      <w:pPr>
        <w:rPr>
          <w:lang w:val="es-ES"/>
        </w:rPr>
      </w:pPr>
      <w:r w:rsidRPr="002C6D18">
        <w:rPr>
          <w:lang w:val="es-ES"/>
        </w:rPr>
        <w:t>Ninguna</w:t>
      </w:r>
    </w:p>
    <w:p w:rsidR="00BE7AFC" w:rsidRPr="002C6D18" w:rsidRDefault="00BE7AFC">
      <w:pPr>
        <w:pStyle w:val="Heading1"/>
        <w:rPr>
          <w:lang w:val="es-ES"/>
        </w:rPr>
      </w:pPr>
      <w:bookmarkStart w:id="23" w:name="_Toc532723496"/>
      <w:r w:rsidRPr="002C6D18">
        <w:rPr>
          <w:lang w:val="es-ES"/>
        </w:rPr>
        <w:t>3</w:t>
      </w:r>
      <w:r w:rsidRPr="002C6D18">
        <w:rPr>
          <w:lang w:val="es-ES"/>
        </w:rPr>
        <w:tab/>
        <w:t>Definiciones</w:t>
      </w:r>
      <w:bookmarkEnd w:id="23"/>
    </w:p>
    <w:p w:rsidR="00BE7AFC" w:rsidRPr="002C6D18" w:rsidRDefault="00BE7AFC" w:rsidP="00087C54">
      <w:pPr>
        <w:pStyle w:val="Heading2"/>
        <w:rPr>
          <w:lang w:val="es-ES"/>
        </w:rPr>
      </w:pPr>
      <w:bookmarkStart w:id="24" w:name="_Toc532723497"/>
      <w:r w:rsidRPr="002C6D18">
        <w:rPr>
          <w:lang w:val="es-ES"/>
        </w:rPr>
        <w:t>3.1</w:t>
      </w:r>
      <w:r w:rsidRPr="002C6D18">
        <w:rPr>
          <w:lang w:val="es-ES"/>
        </w:rPr>
        <w:tab/>
        <w:t>Términos definidos en otros documentos</w:t>
      </w:r>
      <w:bookmarkEnd w:id="24"/>
    </w:p>
    <w:p w:rsidR="00BE7AFC" w:rsidRPr="002C6D18" w:rsidRDefault="00BE7AFC">
      <w:pPr>
        <w:rPr>
          <w:b/>
          <w:lang w:val="es-ES"/>
        </w:rPr>
      </w:pPr>
      <w:r w:rsidRPr="002C6D18">
        <w:rPr>
          <w:b/>
          <w:lang w:val="es-ES"/>
        </w:rPr>
        <w:t>3.2.1</w:t>
      </w:r>
      <w:r w:rsidRPr="002C6D18">
        <w:rPr>
          <w:b/>
          <w:lang w:val="es-ES"/>
        </w:rPr>
        <w:tab/>
        <w:t>manual</w:t>
      </w:r>
      <w:r w:rsidRPr="002C6D18">
        <w:rPr>
          <w:bCs/>
          <w:lang w:val="es-ES"/>
        </w:rPr>
        <w:t>:</w:t>
      </w:r>
      <w:r w:rsidRPr="002C6D18">
        <w:rPr>
          <w:lang w:val="es-ES"/>
        </w:rPr>
        <w:t xml:space="preserve"> véase [b-ITU-T Res 1]</w:t>
      </w:r>
    </w:p>
    <w:p w:rsidR="00BE7AFC" w:rsidRPr="002C6D18" w:rsidRDefault="00BE7AFC">
      <w:pPr>
        <w:rPr>
          <w:b/>
          <w:lang w:val="es-ES"/>
        </w:rPr>
      </w:pPr>
      <w:r w:rsidRPr="002C6D18">
        <w:rPr>
          <w:b/>
          <w:lang w:val="es-ES"/>
        </w:rPr>
        <w:t>3.2.2</w:t>
      </w:r>
      <w:r w:rsidRPr="002C6D18">
        <w:rPr>
          <w:b/>
          <w:lang w:val="es-ES"/>
        </w:rPr>
        <w:tab/>
        <w:t>tema de trabajo</w:t>
      </w:r>
      <w:r w:rsidRPr="002C6D18">
        <w:rPr>
          <w:lang w:val="es-ES"/>
        </w:rPr>
        <w:t>: véase [b-ITU-T A.1]</w:t>
      </w:r>
    </w:p>
    <w:p w:rsidR="00BE7AFC" w:rsidRPr="002C6D18" w:rsidRDefault="00BE7AFC">
      <w:pPr>
        <w:rPr>
          <w:b/>
          <w:lang w:val="es-ES"/>
        </w:rPr>
      </w:pPr>
      <w:r w:rsidRPr="002C6D18">
        <w:rPr>
          <w:b/>
          <w:lang w:val="es-ES"/>
        </w:rPr>
        <w:t>3.2.3</w:t>
      </w:r>
      <w:r w:rsidRPr="002C6D18">
        <w:rPr>
          <w:b/>
          <w:lang w:val="es-ES"/>
        </w:rPr>
        <w:tab/>
        <w:t>programa de trabajo</w:t>
      </w:r>
      <w:r w:rsidRPr="002C6D18">
        <w:rPr>
          <w:lang w:val="es-ES"/>
        </w:rPr>
        <w:t>: véase [b-ITU-T A.1]</w:t>
      </w:r>
    </w:p>
    <w:p w:rsidR="00BE7AFC" w:rsidRPr="002C6D18" w:rsidRDefault="00BE7AFC" w:rsidP="00A71CA5">
      <w:pPr>
        <w:pStyle w:val="Heading2"/>
        <w:rPr>
          <w:lang w:val="es-ES"/>
        </w:rPr>
      </w:pPr>
      <w:bookmarkStart w:id="25" w:name="_Toc532723498"/>
      <w:r w:rsidRPr="002C6D18">
        <w:rPr>
          <w:lang w:val="es-ES"/>
        </w:rPr>
        <w:t>3.2</w:t>
      </w:r>
      <w:r w:rsidRPr="002C6D18">
        <w:rPr>
          <w:lang w:val="es-ES"/>
        </w:rPr>
        <w:tab/>
        <w:t>Términos definidos en la presente Recomendación</w:t>
      </w:r>
      <w:bookmarkEnd w:id="25"/>
    </w:p>
    <w:p w:rsidR="00BE7AFC" w:rsidRPr="002C6D18" w:rsidRDefault="00BE7AFC">
      <w:pPr>
        <w:rPr>
          <w:lang w:val="es-ES"/>
        </w:rPr>
      </w:pPr>
      <w:r w:rsidRPr="002C6D18">
        <w:rPr>
          <w:b/>
          <w:lang w:val="es-ES"/>
        </w:rPr>
        <w:t>3.1.1</w:t>
      </w:r>
      <w:r w:rsidRPr="002C6D18">
        <w:rPr>
          <w:b/>
          <w:lang w:val="es-ES"/>
        </w:rPr>
        <w:tab/>
        <w:t>guía del implementador</w:t>
      </w:r>
      <w:r w:rsidRPr="002C6D18">
        <w:rPr>
          <w:lang w:val="es-ES"/>
        </w:rPr>
        <w:t>:</w:t>
      </w:r>
      <w:r w:rsidRPr="002C6D18">
        <w:rPr>
          <w:spacing w:val="21"/>
          <w:lang w:val="es-ES"/>
        </w:rPr>
        <w:t xml:space="preserve"> </w:t>
      </w:r>
      <w:r w:rsidRPr="002C6D18">
        <w:rPr>
          <w:lang w:val="es-ES"/>
        </w:rPr>
        <w:t>La guía del implementador es un documento informativo (no normativo) que recoge todos los defectos encontrados (por ejemplo, erratas tipográficas o gramaticales, redacción confusa, omisiones o incoherencias y errores técnicos) en una Recomendación o en un conjunto de Recomendaciones, así como el estado de la corrección, desde su identificación hasta la corrección definitiva.</w:t>
      </w:r>
    </w:p>
    <w:p w:rsidR="003666F1" w:rsidRDefault="003666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pacing w:val="-1"/>
          <w:sz w:val="22"/>
          <w:szCs w:val="22"/>
          <w:lang w:val="es-ES"/>
        </w:rPr>
      </w:pPr>
      <w:r>
        <w:rPr>
          <w:spacing w:val="-1"/>
          <w:sz w:val="22"/>
          <w:szCs w:val="22"/>
          <w:lang w:val="es-ES"/>
        </w:rPr>
        <w:br w:type="page"/>
      </w:r>
    </w:p>
    <w:p w:rsidR="00BE7AFC" w:rsidRPr="002C6D18" w:rsidRDefault="00BE7AFC">
      <w:pPr>
        <w:spacing w:before="81"/>
        <w:ind w:left="113" w:right="112"/>
        <w:rPr>
          <w:spacing w:val="-1"/>
          <w:sz w:val="22"/>
          <w:szCs w:val="22"/>
          <w:lang w:val="es-ES"/>
        </w:rPr>
      </w:pPr>
      <w:r w:rsidRPr="002C6D18">
        <w:rPr>
          <w:spacing w:val="-1"/>
          <w:sz w:val="22"/>
          <w:szCs w:val="22"/>
          <w:lang w:val="es-ES"/>
        </w:rPr>
        <w:lastRenderedPageBreak/>
        <w:t>NOTA</w:t>
      </w:r>
      <w:r w:rsidRPr="002C6D18">
        <w:rPr>
          <w:spacing w:val="26"/>
          <w:sz w:val="22"/>
          <w:szCs w:val="22"/>
          <w:lang w:val="es-ES"/>
        </w:rPr>
        <w:t xml:space="preserve"> </w:t>
      </w:r>
      <w:r w:rsidRPr="002C6D18">
        <w:rPr>
          <w:sz w:val="22"/>
          <w:szCs w:val="22"/>
          <w:lang w:val="es-ES"/>
        </w:rPr>
        <w:t>–</w:t>
      </w:r>
      <w:r w:rsidRPr="002C6D18">
        <w:rPr>
          <w:spacing w:val="24"/>
          <w:sz w:val="22"/>
          <w:szCs w:val="22"/>
          <w:lang w:val="es-ES"/>
        </w:rPr>
        <w:t xml:space="preserve"> E</w:t>
      </w:r>
      <w:r w:rsidRPr="002C6D18">
        <w:rPr>
          <w:spacing w:val="-1"/>
          <w:sz w:val="22"/>
          <w:szCs w:val="22"/>
          <w:lang w:val="es-ES"/>
        </w:rPr>
        <w:t>l UIT-T la publica una vez acordada por la Comisión de Estudio o por un Grupo de Trabajo con el visto bueno del Presidente de la Comisión de Estudio.</w:t>
      </w:r>
      <w:r w:rsidRPr="002C6D18">
        <w:rPr>
          <w:spacing w:val="-5"/>
          <w:sz w:val="22"/>
          <w:szCs w:val="22"/>
          <w:lang w:val="es-ES"/>
        </w:rPr>
        <w:t xml:space="preserve"> </w:t>
      </w:r>
      <w:r w:rsidR="00BA1A84">
        <w:rPr>
          <w:spacing w:val="-5"/>
          <w:sz w:val="22"/>
          <w:szCs w:val="22"/>
          <w:lang w:val="es-ES"/>
        </w:rPr>
        <w:t>Por regla general</w:t>
      </w:r>
      <w:r w:rsidRPr="002C6D18">
        <w:rPr>
          <w:spacing w:val="-1"/>
          <w:sz w:val="22"/>
          <w:szCs w:val="22"/>
          <w:lang w:val="es-ES"/>
        </w:rPr>
        <w:t xml:space="preserve">, las correcciones se recogen primero en la guía del implementador, y </w:t>
      </w:r>
      <w:r w:rsidR="00BA1A84">
        <w:rPr>
          <w:spacing w:val="-1"/>
          <w:sz w:val="22"/>
          <w:szCs w:val="22"/>
          <w:lang w:val="es-ES"/>
        </w:rPr>
        <w:t>cuando</w:t>
      </w:r>
      <w:r w:rsidRPr="002C6D18">
        <w:rPr>
          <w:spacing w:val="-1"/>
          <w:sz w:val="22"/>
          <w:szCs w:val="22"/>
          <w:lang w:val="es-ES"/>
        </w:rPr>
        <w:t xml:space="preserve"> la Comisión de Estudio lo </w:t>
      </w:r>
      <w:r w:rsidR="00BA1A84">
        <w:rPr>
          <w:spacing w:val="-1"/>
          <w:sz w:val="22"/>
          <w:szCs w:val="22"/>
          <w:lang w:val="es-ES"/>
        </w:rPr>
        <w:t>juzga</w:t>
      </w:r>
      <w:r w:rsidRPr="002C6D18">
        <w:rPr>
          <w:spacing w:val="-1"/>
          <w:sz w:val="22"/>
          <w:szCs w:val="22"/>
          <w:lang w:val="es-ES"/>
        </w:rPr>
        <w:t xml:space="preserve"> oportuno, se utilizan para elaborar un corrigéndum o se incluyen en la revisión de una Recomendación.</w:t>
      </w:r>
    </w:p>
    <w:p w:rsidR="00BE7AFC" w:rsidRPr="002C6D18" w:rsidRDefault="00BE7AFC">
      <w:pPr>
        <w:rPr>
          <w:lang w:val="es-ES"/>
        </w:rPr>
      </w:pPr>
      <w:r w:rsidRPr="002C6D18">
        <w:rPr>
          <w:b/>
          <w:lang w:val="es-ES"/>
        </w:rPr>
        <w:t>3.1.2</w:t>
      </w:r>
      <w:r w:rsidRPr="002C6D18">
        <w:rPr>
          <w:b/>
          <w:lang w:val="es-ES"/>
        </w:rPr>
        <w:tab/>
        <w:t>suplemento</w:t>
      </w:r>
      <w:r w:rsidRPr="002C6D18">
        <w:rPr>
          <w:lang w:val="es-ES"/>
        </w:rPr>
        <w:t xml:space="preserve">: Documento informativo (no normativo) que contiene material </w:t>
      </w:r>
      <w:r w:rsidR="00F50976">
        <w:rPr>
          <w:lang w:val="es-ES"/>
        </w:rPr>
        <w:t xml:space="preserve">complementario y relacionado </w:t>
      </w:r>
      <w:r w:rsidRPr="002C6D18">
        <w:rPr>
          <w:lang w:val="es-ES"/>
        </w:rPr>
        <w:t xml:space="preserve">con el tema de una o más Recomendaciones, pero que no es fundamental para </w:t>
      </w:r>
      <w:r w:rsidR="00F50976">
        <w:rPr>
          <w:lang w:val="es-ES"/>
        </w:rPr>
        <w:t>su integridad o comprensión e implementación</w:t>
      </w:r>
      <w:r w:rsidRPr="002C6D18">
        <w:rPr>
          <w:lang w:val="es-ES"/>
        </w:rPr>
        <w:t>.</w:t>
      </w:r>
    </w:p>
    <w:p w:rsidR="00BE7AFC" w:rsidRPr="002C6D18" w:rsidRDefault="00BE7AFC" w:rsidP="00D96977">
      <w:pPr>
        <w:rPr>
          <w:lang w:val="es-ES"/>
        </w:rPr>
      </w:pPr>
      <w:r w:rsidRPr="002C6D18">
        <w:rPr>
          <w:b/>
          <w:lang w:val="es-ES"/>
        </w:rPr>
        <w:t>3.1.3</w:t>
      </w:r>
      <w:r w:rsidRPr="002C6D18">
        <w:rPr>
          <w:b/>
          <w:lang w:val="es-ES"/>
        </w:rPr>
        <w:tab/>
      </w:r>
      <w:r w:rsidR="00A32197" w:rsidRPr="002C6D18">
        <w:rPr>
          <w:b/>
          <w:lang w:val="es-ES"/>
        </w:rPr>
        <w:t>informe técnico</w:t>
      </w:r>
      <w:r w:rsidRPr="002C6D18">
        <w:rPr>
          <w:lang w:val="es-ES"/>
        </w:rPr>
        <w:t xml:space="preserve">: Publicación informativa que contiene información técnica preparada por una Comisión de Estudio sobre un </w:t>
      </w:r>
      <w:r w:rsidR="00F50976" w:rsidRPr="00D14DD9">
        <w:rPr>
          <w:lang w:val="es-ES"/>
        </w:rPr>
        <w:t xml:space="preserve">determinado </w:t>
      </w:r>
      <w:r w:rsidRPr="002C6D18">
        <w:rPr>
          <w:lang w:val="es-ES"/>
        </w:rPr>
        <w:t>tema relacionado con una Cuestión actual (véase [b</w:t>
      </w:r>
      <w:r w:rsidR="00A71CA5">
        <w:rPr>
          <w:lang w:val="es-ES"/>
        </w:rPr>
        <w:noBreakHyphen/>
      </w:r>
      <w:r w:rsidRPr="002C6D18">
        <w:rPr>
          <w:lang w:val="es-ES"/>
        </w:rPr>
        <w:t>ITU</w:t>
      </w:r>
      <w:r w:rsidR="00A71CA5">
        <w:rPr>
          <w:lang w:val="es-ES"/>
        </w:rPr>
        <w:noBreakHyphen/>
      </w:r>
      <w:r w:rsidRPr="002C6D18">
        <w:rPr>
          <w:lang w:val="es-ES"/>
        </w:rPr>
        <w:t>T Res 1]).</w:t>
      </w:r>
    </w:p>
    <w:p w:rsidR="00BE7AFC" w:rsidRPr="002C6D18" w:rsidRDefault="00BE7AFC">
      <w:pPr>
        <w:rPr>
          <w:lang w:val="es-ES"/>
        </w:rPr>
      </w:pPr>
      <w:r w:rsidRPr="002C6D18">
        <w:rPr>
          <w:b/>
          <w:lang w:val="es-ES"/>
        </w:rPr>
        <w:t>3.1.4</w:t>
      </w:r>
      <w:r w:rsidRPr="002C6D18">
        <w:rPr>
          <w:b/>
          <w:lang w:val="es-ES"/>
        </w:rPr>
        <w:tab/>
      </w:r>
      <w:r w:rsidR="00A32197" w:rsidRPr="002C6D18">
        <w:rPr>
          <w:b/>
          <w:lang w:val="es-ES"/>
        </w:rPr>
        <w:t>artículo técnico</w:t>
      </w:r>
      <w:r w:rsidRPr="002C6D18">
        <w:rPr>
          <w:lang w:val="es-ES"/>
        </w:rPr>
        <w:t xml:space="preserve">: </w:t>
      </w:r>
      <w:r w:rsidR="00A32197" w:rsidRPr="002C6D18">
        <w:rPr>
          <w:lang w:val="es-ES"/>
        </w:rPr>
        <w:t>Especificación que no está lo suficientemente consolidada como para publicar</w:t>
      </w:r>
      <w:r w:rsidR="00F50976">
        <w:rPr>
          <w:lang w:val="es-ES"/>
        </w:rPr>
        <w:t>se en</w:t>
      </w:r>
      <w:r w:rsidR="00A32197" w:rsidRPr="002C6D18">
        <w:rPr>
          <w:lang w:val="es-ES"/>
        </w:rPr>
        <w:t xml:space="preserve"> una Recomendación, pero que la Comisión de Estudio desea compartir con la industria para recabar sus opiniones</w:t>
      </w:r>
      <w:r w:rsidRPr="002C6D18">
        <w:rPr>
          <w:lang w:val="es-ES"/>
        </w:rPr>
        <w:t>.</w:t>
      </w:r>
    </w:p>
    <w:p w:rsidR="00BE7AFC" w:rsidRPr="00A71CA5" w:rsidRDefault="00BE7AFC" w:rsidP="00A71CA5">
      <w:pPr>
        <w:pStyle w:val="Heading1"/>
      </w:pPr>
      <w:bookmarkStart w:id="26" w:name="_Toc532723499"/>
      <w:r w:rsidRPr="002C6D18">
        <w:rPr>
          <w:lang w:val="es-ES"/>
        </w:rPr>
        <w:t>4</w:t>
      </w:r>
      <w:r w:rsidRPr="002C6D18">
        <w:rPr>
          <w:lang w:val="es-ES"/>
        </w:rPr>
        <w:tab/>
      </w:r>
      <w:bookmarkEnd w:id="26"/>
      <w:r w:rsidR="00A32197" w:rsidRPr="002C6D18">
        <w:rPr>
          <w:lang w:val="es-ES"/>
        </w:rPr>
        <w:t>Textos no normativos</w:t>
      </w:r>
    </w:p>
    <w:bookmarkEnd w:id="22"/>
    <w:p w:rsidR="00161983" w:rsidRPr="002C6D18" w:rsidRDefault="00E87D30">
      <w:pPr>
        <w:rPr>
          <w:lang w:val="es-ES"/>
        </w:rPr>
      </w:pPr>
      <w:r w:rsidRPr="002C6D18">
        <w:rPr>
          <w:lang w:val="es-ES"/>
        </w:rPr>
        <w:t xml:space="preserve">Las Comisiones de Estudio aplicarán los siguientes principios generales en la elaboración, aprobación, identificación y revisión de </w:t>
      </w:r>
      <w:r w:rsidR="00161983" w:rsidRPr="002C6D18">
        <w:rPr>
          <w:lang w:val="es-ES"/>
        </w:rPr>
        <w:t xml:space="preserve">las publicaciones del UIT-T no normativas. Quedan comprendidas las guías del implementador, </w:t>
      </w:r>
      <w:r w:rsidR="00F50976">
        <w:rPr>
          <w:lang w:val="es-ES"/>
        </w:rPr>
        <w:t xml:space="preserve">los </w:t>
      </w:r>
      <w:r w:rsidR="00161983" w:rsidRPr="002C6D18">
        <w:rPr>
          <w:lang w:val="es-ES"/>
        </w:rPr>
        <w:t xml:space="preserve">artículos técnicos e informes técnicos, </w:t>
      </w:r>
      <w:r w:rsidR="00F50976">
        <w:rPr>
          <w:lang w:val="es-ES"/>
        </w:rPr>
        <w:t xml:space="preserve">los </w:t>
      </w:r>
      <w:r w:rsidR="00161983" w:rsidRPr="002C6D18">
        <w:rPr>
          <w:lang w:val="es-ES"/>
        </w:rPr>
        <w:t xml:space="preserve">manuales, </w:t>
      </w:r>
      <w:r w:rsidR="00F50976">
        <w:rPr>
          <w:lang w:val="es-ES"/>
        </w:rPr>
        <w:t xml:space="preserve">los </w:t>
      </w:r>
      <w:r w:rsidR="00161983" w:rsidRPr="002C6D18">
        <w:rPr>
          <w:lang w:val="es-ES"/>
        </w:rPr>
        <w:t xml:space="preserve">suplementos a Recomendaciones del UIT-T y </w:t>
      </w:r>
      <w:r w:rsidR="00F50976">
        <w:rPr>
          <w:lang w:val="es-ES"/>
        </w:rPr>
        <w:t xml:space="preserve">los </w:t>
      </w:r>
      <w:r w:rsidR="00161983" w:rsidRPr="002C6D18">
        <w:rPr>
          <w:lang w:val="es-ES"/>
        </w:rPr>
        <w:t>Apéndices a las Recomendaciones acordadas por separado del texto base de la Recomendación.</w:t>
      </w:r>
    </w:p>
    <w:p w:rsidR="00161983" w:rsidRPr="002C6D18" w:rsidRDefault="00161983" w:rsidP="00852D4B">
      <w:pPr>
        <w:pStyle w:val="Note"/>
        <w:rPr>
          <w:lang w:val="es-ES"/>
        </w:rPr>
      </w:pPr>
      <w:r w:rsidRPr="002C6D18">
        <w:rPr>
          <w:lang w:val="es-ES"/>
        </w:rPr>
        <w:t xml:space="preserve">NOTA – El texto de un </w:t>
      </w:r>
      <w:r w:rsidR="00F50976">
        <w:rPr>
          <w:lang w:val="es-ES"/>
        </w:rPr>
        <w:t>A</w:t>
      </w:r>
      <w:r w:rsidRPr="002C6D18">
        <w:rPr>
          <w:lang w:val="es-ES"/>
        </w:rPr>
        <w:t xml:space="preserve">péndice aprobado junto con su </w:t>
      </w:r>
      <w:r w:rsidR="00562733" w:rsidRPr="002C6D18">
        <w:rPr>
          <w:lang w:val="es-ES"/>
        </w:rPr>
        <w:t>R</w:t>
      </w:r>
      <w:r w:rsidRPr="002C6D18">
        <w:rPr>
          <w:lang w:val="es-ES"/>
        </w:rPr>
        <w:t xml:space="preserve">ecomendación de base </w:t>
      </w:r>
      <w:r w:rsidR="00562733" w:rsidRPr="002C6D18">
        <w:rPr>
          <w:lang w:val="es-ES"/>
        </w:rPr>
        <w:t xml:space="preserve">seguirá el proceso de aprobación </w:t>
      </w:r>
      <w:r w:rsidRPr="002C6D18">
        <w:rPr>
          <w:lang w:val="es-ES"/>
        </w:rPr>
        <w:t>(</w:t>
      </w:r>
      <w:r w:rsidR="00F50976">
        <w:rPr>
          <w:lang w:val="es-ES"/>
        </w:rPr>
        <w:t xml:space="preserve">el </w:t>
      </w:r>
      <w:r w:rsidRPr="002C6D18">
        <w:rPr>
          <w:lang w:val="es-ES"/>
        </w:rPr>
        <w:t xml:space="preserve">TAP </w:t>
      </w:r>
      <w:r w:rsidR="00562733" w:rsidRPr="002C6D18">
        <w:rPr>
          <w:lang w:val="es-ES"/>
        </w:rPr>
        <w:t>con arreglo a</w:t>
      </w:r>
      <w:r w:rsidR="00F50976">
        <w:rPr>
          <w:lang w:val="es-ES"/>
        </w:rPr>
        <w:t xml:space="preserve"> la sección 9 de</w:t>
      </w:r>
      <w:r w:rsidR="00562733" w:rsidRPr="002C6D18">
        <w:rPr>
          <w:lang w:val="es-ES"/>
        </w:rPr>
        <w:t xml:space="preserve"> </w:t>
      </w:r>
      <w:r w:rsidRPr="002C6D18">
        <w:rPr>
          <w:lang w:val="es-ES"/>
        </w:rPr>
        <w:t xml:space="preserve">[b-ITU-T Res 1] o </w:t>
      </w:r>
      <w:r w:rsidR="00F50976">
        <w:rPr>
          <w:lang w:val="es-ES"/>
        </w:rPr>
        <w:t xml:space="preserve">el </w:t>
      </w:r>
      <w:r w:rsidRPr="002C6D18">
        <w:rPr>
          <w:lang w:val="es-ES"/>
        </w:rPr>
        <w:t xml:space="preserve">AAP </w:t>
      </w:r>
      <w:r w:rsidR="00562733" w:rsidRPr="002C6D18">
        <w:rPr>
          <w:lang w:val="es-ES"/>
        </w:rPr>
        <w:t xml:space="preserve">con arreglo a </w:t>
      </w:r>
      <w:r w:rsidRPr="002C6D18">
        <w:rPr>
          <w:lang w:val="es-ES"/>
        </w:rPr>
        <w:t>[b</w:t>
      </w:r>
      <w:r w:rsidR="00852D4B">
        <w:rPr>
          <w:lang w:val="es-ES"/>
        </w:rPr>
        <w:noBreakHyphen/>
      </w:r>
      <w:r w:rsidRPr="002C6D18">
        <w:rPr>
          <w:lang w:val="es-ES"/>
        </w:rPr>
        <w:t>ITU</w:t>
      </w:r>
      <w:r w:rsidR="00852D4B">
        <w:rPr>
          <w:lang w:val="es-ES"/>
        </w:rPr>
        <w:noBreakHyphen/>
      </w:r>
      <w:r w:rsidRPr="002C6D18">
        <w:rPr>
          <w:lang w:val="es-ES"/>
        </w:rPr>
        <w:t xml:space="preserve">T A.8]) </w:t>
      </w:r>
      <w:r w:rsidR="00562733" w:rsidRPr="002C6D18">
        <w:rPr>
          <w:lang w:val="es-ES"/>
        </w:rPr>
        <w:t>de la Recomendación base</w:t>
      </w:r>
      <w:r w:rsidRPr="002C6D18">
        <w:rPr>
          <w:lang w:val="es-ES"/>
        </w:rPr>
        <w:t>.</w:t>
      </w:r>
    </w:p>
    <w:p w:rsidR="00E87D30" w:rsidRPr="002C6D18" w:rsidRDefault="00562733" w:rsidP="001E0BC4">
      <w:pPr>
        <w:rPr>
          <w:lang w:val="es-ES"/>
        </w:rPr>
      </w:pPr>
      <w:r w:rsidRPr="002C6D18">
        <w:rPr>
          <w:lang w:val="es-ES"/>
        </w:rPr>
        <w:t xml:space="preserve">Los textos distintos de las Recomendaciones </w:t>
      </w:r>
      <w:r w:rsidR="00161983" w:rsidRPr="002C6D18">
        <w:rPr>
          <w:lang w:val="es-ES"/>
        </w:rPr>
        <w:t>(</w:t>
      </w:r>
      <w:r w:rsidRPr="002C6D18">
        <w:rPr>
          <w:lang w:val="es-ES"/>
        </w:rPr>
        <w:t xml:space="preserve">a menudo denominados </w:t>
      </w:r>
      <w:r w:rsidR="001E0BC4">
        <w:rPr>
          <w:lang w:val="es-ES"/>
        </w:rPr>
        <w:t>"</w:t>
      </w:r>
      <w:r w:rsidRPr="002C6D18">
        <w:rPr>
          <w:lang w:val="es-ES"/>
        </w:rPr>
        <w:t xml:space="preserve">publicaciones </w:t>
      </w:r>
      <w:r w:rsidR="00F50976">
        <w:rPr>
          <w:lang w:val="es-ES"/>
        </w:rPr>
        <w:t xml:space="preserve">de carácter </w:t>
      </w:r>
      <w:r w:rsidRPr="002C6D18">
        <w:rPr>
          <w:lang w:val="es-ES"/>
        </w:rPr>
        <w:t>no normativ</w:t>
      </w:r>
      <w:r w:rsidR="00F50976">
        <w:rPr>
          <w:lang w:val="es-ES"/>
        </w:rPr>
        <w:t>o</w:t>
      </w:r>
      <w:r w:rsidRPr="002C6D18">
        <w:rPr>
          <w:lang w:val="es-ES"/>
        </w:rPr>
        <w:t xml:space="preserve"> del U</w:t>
      </w:r>
      <w:r w:rsidR="00161983" w:rsidRPr="002C6D18">
        <w:rPr>
          <w:lang w:val="es-ES"/>
        </w:rPr>
        <w:t>IT-T</w:t>
      </w:r>
      <w:r w:rsidR="001E0BC4">
        <w:rPr>
          <w:lang w:val="es-ES"/>
        </w:rPr>
        <w:t>"</w:t>
      </w:r>
      <w:r w:rsidR="00161983" w:rsidRPr="002C6D18">
        <w:rPr>
          <w:lang w:val="es-ES"/>
        </w:rPr>
        <w:t xml:space="preserve">) </w:t>
      </w:r>
      <w:r w:rsidRPr="002C6D18">
        <w:rPr>
          <w:lang w:val="es-ES"/>
        </w:rPr>
        <w:t xml:space="preserve">constituyen material informativo </w:t>
      </w:r>
      <w:r w:rsidR="00161983" w:rsidRPr="002C6D18">
        <w:rPr>
          <w:lang w:val="es-ES"/>
        </w:rPr>
        <w:t xml:space="preserve">o </w:t>
      </w:r>
      <w:r w:rsidRPr="002C6D18">
        <w:rPr>
          <w:lang w:val="es-ES"/>
        </w:rPr>
        <w:t xml:space="preserve">complementario </w:t>
      </w:r>
      <w:r w:rsidR="00F50976">
        <w:rPr>
          <w:lang w:val="es-ES"/>
        </w:rPr>
        <w:t>sobre</w:t>
      </w:r>
      <w:r w:rsidRPr="002C6D18">
        <w:rPr>
          <w:lang w:val="es-ES"/>
        </w:rPr>
        <w:t xml:space="preserve"> un tema de estudio pertinente para una Comisión de Estudio del U</w:t>
      </w:r>
      <w:r w:rsidR="00161983" w:rsidRPr="002C6D18">
        <w:rPr>
          <w:lang w:val="es-ES"/>
        </w:rPr>
        <w:t>IT-T</w:t>
      </w:r>
      <w:r w:rsidRPr="002C6D18">
        <w:rPr>
          <w:lang w:val="es-ES"/>
        </w:rPr>
        <w:t>.</w:t>
      </w:r>
    </w:p>
    <w:p w:rsidR="00E87D30" w:rsidRPr="002C6D18" w:rsidRDefault="005B214B">
      <w:pPr>
        <w:rPr>
          <w:lang w:val="es-ES"/>
        </w:rPr>
      </w:pPr>
      <w:r w:rsidRPr="002C6D18">
        <w:rPr>
          <w:b/>
          <w:bCs/>
          <w:lang w:val="es-ES"/>
        </w:rPr>
        <w:t>4</w:t>
      </w:r>
      <w:r w:rsidR="00E87D30" w:rsidRPr="002C6D18">
        <w:rPr>
          <w:b/>
          <w:bCs/>
          <w:lang w:val="es-ES"/>
        </w:rPr>
        <w:t>.1</w:t>
      </w:r>
      <w:r w:rsidR="00E87D30" w:rsidRPr="002C6D18">
        <w:rPr>
          <w:lang w:val="es-ES"/>
        </w:rPr>
        <w:tab/>
        <w:t xml:space="preserve">Antes de proponer cualquier texto nuevo o revisado como Suplemento, </w:t>
      </w:r>
      <w:r w:rsidR="00F50976">
        <w:rPr>
          <w:lang w:val="es-ES"/>
        </w:rPr>
        <w:t>la</w:t>
      </w:r>
      <w:r w:rsidR="00F50976" w:rsidRPr="002C6D18">
        <w:rPr>
          <w:lang w:val="es-ES"/>
        </w:rPr>
        <w:t xml:space="preserve"> </w:t>
      </w:r>
      <w:r w:rsidR="00E87D30" w:rsidRPr="002C6D18">
        <w:rPr>
          <w:lang w:val="es-ES"/>
        </w:rPr>
        <w:t>Comisión de Estudio o el GANT, en consulta con el Director, se cerciorará de que:</w:t>
      </w:r>
    </w:p>
    <w:p w:rsidR="00E87D30" w:rsidRPr="002C6D18" w:rsidRDefault="00E87D30" w:rsidP="00852D4B">
      <w:pPr>
        <w:pStyle w:val="enumlev1"/>
        <w:rPr>
          <w:lang w:val="es-ES"/>
        </w:rPr>
      </w:pPr>
      <w:r w:rsidRPr="002C6D18">
        <w:rPr>
          <w:lang w:val="es-ES"/>
        </w:rPr>
        <w:t>i)</w:t>
      </w:r>
      <w:r w:rsidRPr="002C6D18">
        <w:rPr>
          <w:lang w:val="es-ES"/>
        </w:rPr>
        <w:tab/>
        <w:t xml:space="preserve">el tema </w:t>
      </w:r>
      <w:r w:rsidRPr="00852D4B">
        <w:t>está</w:t>
      </w:r>
      <w:r w:rsidRPr="002C6D18">
        <w:rPr>
          <w:lang w:val="es-ES"/>
        </w:rPr>
        <w:t xml:space="preserve"> dentro de su mandato;</w:t>
      </w:r>
    </w:p>
    <w:p w:rsidR="00E87D30" w:rsidRPr="002C6D18" w:rsidRDefault="00E87D30" w:rsidP="00E87D30">
      <w:pPr>
        <w:pStyle w:val="enumlev1"/>
        <w:rPr>
          <w:lang w:val="es-ES"/>
        </w:rPr>
      </w:pPr>
      <w:r w:rsidRPr="002C6D18">
        <w:rPr>
          <w:lang w:val="es-ES"/>
        </w:rPr>
        <w:t>ii)</w:t>
      </w:r>
      <w:r w:rsidRPr="002C6D18">
        <w:rPr>
          <w:lang w:val="es-ES"/>
        </w:rPr>
        <w:tab/>
        <w:t xml:space="preserve">hay una necesidad suficiente de información a largo plazo; </w:t>
      </w:r>
    </w:p>
    <w:p w:rsidR="00E87D30" w:rsidRPr="002C6D18" w:rsidRDefault="00E87D30" w:rsidP="00E87D30">
      <w:pPr>
        <w:pStyle w:val="enumlev1"/>
        <w:rPr>
          <w:lang w:val="es-ES"/>
        </w:rPr>
      </w:pPr>
      <w:r w:rsidRPr="002C6D18">
        <w:rPr>
          <w:lang w:val="es-ES"/>
        </w:rPr>
        <w:t>iii)</w:t>
      </w:r>
      <w:r w:rsidRPr="002C6D18">
        <w:rPr>
          <w:lang w:val="es-ES"/>
        </w:rPr>
        <w:tab/>
        <w:t>el texto no se puede adaptar razonablemente para incluirlo en una Recomendación nueva o existente (por ejemplo, como apéndice);</w:t>
      </w:r>
    </w:p>
    <w:p w:rsidR="007900B4" w:rsidRPr="002C6D18" w:rsidRDefault="00E87D30">
      <w:pPr>
        <w:pStyle w:val="enumlev1"/>
        <w:rPr>
          <w:rFonts w:ascii="Segoe UI" w:hAnsi="Segoe UI" w:cs="Segoe UI"/>
          <w:color w:val="000000"/>
          <w:sz w:val="20"/>
          <w:shd w:val="clear" w:color="auto" w:fill="F0F0F0"/>
          <w:lang w:val="es-ES"/>
        </w:rPr>
      </w:pPr>
      <w:r w:rsidRPr="002C6D18">
        <w:rPr>
          <w:lang w:val="es-ES"/>
        </w:rPr>
        <w:t>iv)</w:t>
      </w:r>
      <w:r w:rsidRPr="002C6D18">
        <w:rPr>
          <w:lang w:val="es-ES"/>
        </w:rPr>
        <w:tab/>
      </w:r>
      <w:r w:rsidR="007900B4" w:rsidRPr="002C6D18">
        <w:rPr>
          <w:lang w:val="es-ES"/>
        </w:rPr>
        <w:t xml:space="preserve">el texto contiene material que no es fundamental para </w:t>
      </w:r>
      <w:r w:rsidR="00F50976">
        <w:rPr>
          <w:lang w:val="es-ES"/>
        </w:rPr>
        <w:t>la integridad o comprensión e implementación de ninguna</w:t>
      </w:r>
      <w:r w:rsidR="007900B4" w:rsidRPr="002C6D18">
        <w:rPr>
          <w:lang w:val="es-ES"/>
        </w:rPr>
        <w:t xml:space="preserve"> Recomendaci</w:t>
      </w:r>
      <w:r w:rsidR="00F50976">
        <w:rPr>
          <w:lang w:val="es-ES"/>
        </w:rPr>
        <w:t>ón;</w:t>
      </w:r>
    </w:p>
    <w:p w:rsidR="00E87D30" w:rsidRPr="002C6D18" w:rsidRDefault="007900B4">
      <w:pPr>
        <w:pStyle w:val="enumlev1"/>
        <w:rPr>
          <w:lang w:val="es-ES"/>
        </w:rPr>
      </w:pPr>
      <w:r w:rsidRPr="002C6D18">
        <w:rPr>
          <w:lang w:val="es-ES"/>
        </w:rPr>
        <w:t>v)</w:t>
      </w:r>
      <w:r w:rsidRPr="002C6D18">
        <w:rPr>
          <w:lang w:val="es-ES"/>
        </w:rPr>
        <w:tab/>
      </w:r>
      <w:r w:rsidR="00E87D30" w:rsidRPr="002C6D18">
        <w:rPr>
          <w:lang w:val="es-ES"/>
        </w:rPr>
        <w:t xml:space="preserve">el texto está suficientemente </w:t>
      </w:r>
      <w:r w:rsidR="00F50976">
        <w:rPr>
          <w:lang w:val="es-ES"/>
        </w:rPr>
        <w:t>consolidado</w:t>
      </w:r>
      <w:r w:rsidR="00F50976" w:rsidRPr="002C6D18">
        <w:rPr>
          <w:lang w:val="es-ES"/>
        </w:rPr>
        <w:t xml:space="preserve"> </w:t>
      </w:r>
      <w:r w:rsidR="00E87D30" w:rsidRPr="002C6D18">
        <w:rPr>
          <w:lang w:val="es-ES"/>
        </w:rPr>
        <w:t>y</w:t>
      </w:r>
      <w:r w:rsidR="00F50976">
        <w:rPr>
          <w:lang w:val="es-ES"/>
        </w:rPr>
        <w:t xml:space="preserve"> su formato se corresponde</w:t>
      </w:r>
      <w:r w:rsidR="00E87D30" w:rsidRPr="002C6D18">
        <w:rPr>
          <w:lang w:val="es-ES"/>
        </w:rPr>
        <w:t xml:space="preserve">, en la medida de lo posible, </w:t>
      </w:r>
      <w:r w:rsidR="00F50976">
        <w:rPr>
          <w:lang w:val="es-ES"/>
        </w:rPr>
        <w:t xml:space="preserve">con </w:t>
      </w:r>
      <w:r w:rsidR="00E87D30" w:rsidRPr="002C6D18">
        <w:rPr>
          <w:lang w:val="es-ES"/>
        </w:rPr>
        <w:t>el indicado en la "</w:t>
      </w:r>
      <w:r w:rsidR="00F50976" w:rsidRPr="00F50976">
        <w:rPr>
          <w:lang w:val="es-ES"/>
        </w:rPr>
        <w:t>Guía del autor para la elaboración y presentación de Recomendaciones UIT-T</w:t>
      </w:r>
      <w:r w:rsidR="00E87D30" w:rsidRPr="002C6D18">
        <w:rPr>
          <w:lang w:val="es-ES"/>
        </w:rPr>
        <w:t>"</w:t>
      </w:r>
      <w:r w:rsidRPr="002C6D18">
        <w:rPr>
          <w:lang w:val="es-ES"/>
        </w:rPr>
        <w:t>, pero con una redacción adaptada, ya que el tipo de publicación es de carácter informativo más que normativo</w:t>
      </w:r>
      <w:r w:rsidR="00E87D30" w:rsidRPr="002C6D18">
        <w:rPr>
          <w:lang w:val="es-ES"/>
        </w:rPr>
        <w:t>;</w:t>
      </w:r>
    </w:p>
    <w:p w:rsidR="00E87D30" w:rsidRPr="002C6D18" w:rsidRDefault="005B214B">
      <w:pPr>
        <w:rPr>
          <w:lang w:val="es-ES"/>
        </w:rPr>
      </w:pPr>
      <w:r w:rsidRPr="002C6D18">
        <w:rPr>
          <w:b/>
          <w:bCs/>
          <w:lang w:val="es-ES"/>
        </w:rPr>
        <w:t>4</w:t>
      </w:r>
      <w:r w:rsidR="00E87D30" w:rsidRPr="002C6D18">
        <w:rPr>
          <w:b/>
          <w:bCs/>
          <w:lang w:val="es-ES"/>
        </w:rPr>
        <w:t>.2</w:t>
      </w:r>
      <w:r w:rsidR="00E87D30" w:rsidRPr="002C6D18">
        <w:rPr>
          <w:lang w:val="es-ES"/>
        </w:rPr>
        <w:tab/>
      </w:r>
      <w:r w:rsidR="007900B4" w:rsidRPr="002C6D18">
        <w:rPr>
          <w:lang w:val="es-ES"/>
        </w:rPr>
        <w:t xml:space="preserve">Los documentos de carácter no normativo requieren el acuerdo de la Comisión de Estudio o del GANT (en el caso de un documento elaborado por el GANT), pero </w:t>
      </w:r>
      <w:r w:rsidR="00F50976">
        <w:rPr>
          <w:lang w:val="es-ES"/>
        </w:rPr>
        <w:t xml:space="preserve">no es necesaria su </w:t>
      </w:r>
      <w:r w:rsidR="007900B4" w:rsidRPr="002C6D18">
        <w:rPr>
          <w:lang w:val="es-ES"/>
        </w:rPr>
        <w:t>aprobación conforme a los procedimientos descritos en [b-ITU-T Res 1] o [b-ITU-T A.8]</w:t>
      </w:r>
      <w:r w:rsidR="00E87D30" w:rsidRPr="002C6D18">
        <w:rPr>
          <w:lang w:val="es-ES"/>
        </w:rPr>
        <w:t>.</w:t>
      </w:r>
    </w:p>
    <w:p w:rsidR="00E87D30" w:rsidRPr="002C6D18" w:rsidRDefault="00E87D30" w:rsidP="00852D4B">
      <w:pPr>
        <w:rPr>
          <w:lang w:val="es-ES"/>
        </w:rPr>
      </w:pPr>
      <w:r w:rsidRPr="002C6D18">
        <w:rPr>
          <w:b/>
          <w:bCs/>
          <w:lang w:val="es-ES"/>
        </w:rPr>
        <w:t>4</w:t>
      </w:r>
      <w:r w:rsidR="005B214B" w:rsidRPr="002C6D18">
        <w:rPr>
          <w:b/>
          <w:bCs/>
          <w:lang w:val="es-ES"/>
        </w:rPr>
        <w:t>.3</w:t>
      </w:r>
      <w:r w:rsidRPr="002C6D18">
        <w:rPr>
          <w:lang w:val="es-ES"/>
        </w:rPr>
        <w:tab/>
      </w:r>
      <w:r w:rsidR="005B214B" w:rsidRPr="002C6D18">
        <w:rPr>
          <w:lang w:val="es-ES"/>
        </w:rPr>
        <w:t xml:space="preserve">Las publicaciones no normativas </w:t>
      </w:r>
      <w:r w:rsidRPr="002C6D18">
        <w:rPr>
          <w:lang w:val="es-ES"/>
        </w:rPr>
        <w:t>sólo tienen carácter informativo y, por consiguiente, no son parte integrante de las Recomendaciones ni entrañan acuerdo alguno por parte del UIT-T.</w:t>
      </w:r>
      <w:r w:rsidR="005B214B" w:rsidRPr="002C6D18">
        <w:rPr>
          <w:lang w:val="es-ES"/>
        </w:rPr>
        <w:t xml:space="preserve"> La siguiente nota se incluirá después del Prefacio: "NOTA: Esta publicación del UIT-T es de carácter </w:t>
      </w:r>
      <w:r w:rsidR="005B214B" w:rsidRPr="002C6D18">
        <w:rPr>
          <w:lang w:val="es-ES"/>
        </w:rPr>
        <w:lastRenderedPageBreak/>
        <w:t>informativo. No contiene disposiciones obligatorias y no forma parte integrante de ninguna Recomendación del UIT-T.</w:t>
      </w:r>
      <w:r w:rsidR="00852D4B">
        <w:rPr>
          <w:lang w:val="es-ES"/>
        </w:rPr>
        <w:t>"</w:t>
      </w:r>
    </w:p>
    <w:p w:rsidR="00E87D30" w:rsidRPr="002C6D18" w:rsidRDefault="005B214B" w:rsidP="00A039A2">
      <w:pPr>
        <w:rPr>
          <w:lang w:val="es-ES"/>
        </w:rPr>
      </w:pPr>
      <w:r w:rsidRPr="002C6D18">
        <w:rPr>
          <w:b/>
          <w:bCs/>
          <w:lang w:val="es-ES"/>
        </w:rPr>
        <w:t>4.4</w:t>
      </w:r>
      <w:r w:rsidR="00E87D30" w:rsidRPr="002C6D18">
        <w:rPr>
          <w:lang w:val="es-ES"/>
        </w:rPr>
        <w:tab/>
        <w:t xml:space="preserve">Puesto que </w:t>
      </w:r>
      <w:r w:rsidRPr="002C6D18">
        <w:rPr>
          <w:lang w:val="es-ES"/>
        </w:rPr>
        <w:t>las publicaciones de carácter no normativo</w:t>
      </w:r>
      <w:r w:rsidR="00E87D30" w:rsidRPr="002C6D18">
        <w:rPr>
          <w:lang w:val="es-ES"/>
        </w:rPr>
        <w:t xml:space="preserve"> son material </w:t>
      </w:r>
      <w:r w:rsidRPr="002C6D18">
        <w:rPr>
          <w:lang w:val="es-ES"/>
        </w:rPr>
        <w:t>informativo</w:t>
      </w:r>
      <w:r w:rsidR="00E87D30" w:rsidRPr="002C6D18">
        <w:rPr>
          <w:lang w:val="es-ES"/>
        </w:rPr>
        <w:t>, la Comisión de Estudio que los elabora no tiene obligación de actualizarl</w:t>
      </w:r>
      <w:r w:rsidRPr="002C6D18">
        <w:rPr>
          <w:lang w:val="es-ES"/>
        </w:rPr>
        <w:t>a</w:t>
      </w:r>
      <w:r w:rsidR="00E87D30" w:rsidRPr="002C6D18">
        <w:rPr>
          <w:lang w:val="es-ES"/>
        </w:rPr>
        <w:t>s o de volver a publicarl</w:t>
      </w:r>
      <w:r w:rsidRPr="002C6D18">
        <w:rPr>
          <w:lang w:val="es-ES"/>
        </w:rPr>
        <w:t>a</w:t>
      </w:r>
      <w:r w:rsidR="00E87D30" w:rsidRPr="002C6D18">
        <w:rPr>
          <w:lang w:val="es-ES"/>
        </w:rPr>
        <w:t xml:space="preserve">s. Sin embargo, cuando en una Recomendación haya que hacer referencia </w:t>
      </w:r>
      <w:r w:rsidRPr="002C6D18">
        <w:rPr>
          <w:lang w:val="es-ES"/>
        </w:rPr>
        <w:t xml:space="preserve">(bibliográfica) </w:t>
      </w:r>
      <w:r w:rsidR="00E87D30" w:rsidRPr="002C6D18">
        <w:rPr>
          <w:lang w:val="es-ES"/>
        </w:rPr>
        <w:t>a un</w:t>
      </w:r>
      <w:r w:rsidRPr="002C6D18">
        <w:rPr>
          <w:lang w:val="es-ES"/>
        </w:rPr>
        <w:t>a</w:t>
      </w:r>
      <w:r w:rsidR="00E87D30" w:rsidRPr="002C6D18">
        <w:rPr>
          <w:lang w:val="es-ES"/>
        </w:rPr>
        <w:t xml:space="preserve"> </w:t>
      </w:r>
      <w:r w:rsidRPr="002C6D18">
        <w:rPr>
          <w:lang w:val="es-ES"/>
        </w:rPr>
        <w:t>publicación no normativa</w:t>
      </w:r>
      <w:r w:rsidR="00E87D30" w:rsidRPr="002C6D18">
        <w:rPr>
          <w:lang w:val="es-ES"/>
        </w:rPr>
        <w:t xml:space="preserve">, la Comisión de Estudio tendrá que examinar la aplicabilidad de esa referencia y de </w:t>
      </w:r>
      <w:r w:rsidR="00AC09F9" w:rsidRPr="002C6D18">
        <w:rPr>
          <w:lang w:val="es-ES"/>
        </w:rPr>
        <w:t xml:space="preserve">la publicación no normativa </w:t>
      </w:r>
      <w:r w:rsidR="00E87D30" w:rsidRPr="002C6D18">
        <w:rPr>
          <w:lang w:val="es-ES"/>
        </w:rPr>
        <w:t>por lo menos una vez cada cuatro</w:t>
      </w:r>
      <w:r w:rsidR="00A039A2">
        <w:rPr>
          <w:lang w:val="es-ES"/>
        </w:rPr>
        <w:t xml:space="preserve"> </w:t>
      </w:r>
      <w:r w:rsidR="00E87D30" w:rsidRPr="002C6D18">
        <w:rPr>
          <w:lang w:val="es-ES"/>
        </w:rPr>
        <w:t>años, y tomar las medidas necesarias.</w:t>
      </w:r>
    </w:p>
    <w:p w:rsidR="00AC09F9" w:rsidRPr="002C6D18" w:rsidRDefault="00AC09F9" w:rsidP="00A039A2">
      <w:pPr>
        <w:rPr>
          <w:lang w:val="es-ES"/>
        </w:rPr>
      </w:pPr>
      <w:r w:rsidRPr="002C6D18">
        <w:rPr>
          <w:b/>
          <w:bCs/>
          <w:lang w:val="es-ES"/>
        </w:rPr>
        <w:t>4.5</w:t>
      </w:r>
      <w:r w:rsidR="00E87D30" w:rsidRPr="002C6D18">
        <w:rPr>
          <w:lang w:val="es-ES"/>
        </w:rPr>
        <w:tab/>
      </w:r>
      <w:r w:rsidRPr="002C6D18">
        <w:rPr>
          <w:lang w:val="es-ES"/>
        </w:rPr>
        <w:t xml:space="preserve">Las publicaciones de carácter no normativo (a parte de los </w:t>
      </w:r>
      <w:r w:rsidR="00E87D30" w:rsidRPr="002C6D18">
        <w:rPr>
          <w:lang w:val="es-ES"/>
        </w:rPr>
        <w:t xml:space="preserve">Suplementos </w:t>
      </w:r>
      <w:r w:rsidRPr="002C6D18">
        <w:rPr>
          <w:lang w:val="es-ES"/>
        </w:rPr>
        <w:t xml:space="preserve">y guías del implementador) no se incluyen </w:t>
      </w:r>
      <w:r w:rsidR="00E87D30" w:rsidRPr="002C6D18">
        <w:rPr>
          <w:lang w:val="es-ES"/>
        </w:rPr>
        <w:t xml:space="preserve">en </w:t>
      </w:r>
      <w:r w:rsidRPr="002C6D18">
        <w:rPr>
          <w:lang w:val="es-ES"/>
        </w:rPr>
        <w:t xml:space="preserve">las </w:t>
      </w:r>
      <w:r w:rsidR="00E87D30" w:rsidRPr="002C6D18">
        <w:rPr>
          <w:lang w:val="es-ES"/>
        </w:rPr>
        <w:t>bases de datos junto con las Recomendaciones del UIT</w:t>
      </w:r>
      <w:r w:rsidR="00A039A2">
        <w:rPr>
          <w:lang w:val="es-ES"/>
        </w:rPr>
        <w:noBreakHyphen/>
      </w:r>
      <w:r w:rsidR="00E87D30" w:rsidRPr="002C6D18">
        <w:rPr>
          <w:lang w:val="es-ES"/>
        </w:rPr>
        <w:t xml:space="preserve">T, pero </w:t>
      </w:r>
      <w:r w:rsidRPr="002C6D18">
        <w:rPr>
          <w:lang w:val="es-ES"/>
        </w:rPr>
        <w:t xml:space="preserve">se publican en el sitio web </w:t>
      </w:r>
      <w:r w:rsidR="00B062E4">
        <w:rPr>
          <w:lang w:val="es-ES"/>
        </w:rPr>
        <w:t>d</w:t>
      </w:r>
      <w:r w:rsidRPr="002C6D18">
        <w:rPr>
          <w:lang w:val="es-ES"/>
        </w:rPr>
        <w:t>e la Comisión de Estudio correspondiente y del GANT</w:t>
      </w:r>
    </w:p>
    <w:p w:rsidR="00E87D30" w:rsidRPr="002C6D18" w:rsidRDefault="00AC09F9">
      <w:pPr>
        <w:rPr>
          <w:lang w:val="es-ES"/>
        </w:rPr>
      </w:pPr>
      <w:r w:rsidRPr="002C6D18">
        <w:rPr>
          <w:b/>
          <w:bCs/>
          <w:lang w:val="es-ES"/>
        </w:rPr>
        <w:t>4.6</w:t>
      </w:r>
      <w:r w:rsidRPr="002C6D18">
        <w:rPr>
          <w:lang w:val="es-ES"/>
        </w:rPr>
        <w:tab/>
        <w:t xml:space="preserve">Las publicaciones de carácter no normativo </w:t>
      </w:r>
      <w:r w:rsidR="00B062E4">
        <w:rPr>
          <w:lang w:val="es-ES"/>
        </w:rPr>
        <w:t xml:space="preserve">se </w:t>
      </w:r>
      <w:r w:rsidRPr="002C6D18">
        <w:rPr>
          <w:lang w:val="es-ES"/>
        </w:rPr>
        <w:t xml:space="preserve">pueden suprimir previa </w:t>
      </w:r>
      <w:r w:rsidR="00E87D30" w:rsidRPr="002C6D18">
        <w:rPr>
          <w:lang w:val="es-ES"/>
        </w:rPr>
        <w:t xml:space="preserve">consulta a la Comisión de Estudio </w:t>
      </w:r>
      <w:r w:rsidRPr="002C6D18">
        <w:rPr>
          <w:lang w:val="es-ES"/>
        </w:rPr>
        <w:t>del caso</w:t>
      </w:r>
      <w:r w:rsidR="00E87D30" w:rsidRPr="002C6D18">
        <w:rPr>
          <w:lang w:val="es-ES"/>
        </w:rPr>
        <w:t>, si no se han revisado o actualizado después de un periodo de ocho años.</w:t>
      </w:r>
    </w:p>
    <w:p w:rsidR="00AC09F9" w:rsidRPr="002C6D18" w:rsidRDefault="00AC09F9">
      <w:pPr>
        <w:rPr>
          <w:lang w:val="es-ES"/>
        </w:rPr>
      </w:pPr>
      <w:r w:rsidRPr="002C6D18">
        <w:rPr>
          <w:b/>
          <w:lang w:val="es-ES"/>
        </w:rPr>
        <w:t>4.7</w:t>
      </w:r>
      <w:r w:rsidRPr="002C6D18">
        <w:rPr>
          <w:lang w:val="es-ES"/>
        </w:rPr>
        <w:tab/>
      </w:r>
      <w:r w:rsidR="00BE7985" w:rsidRPr="002C6D18">
        <w:rPr>
          <w:lang w:val="es-ES"/>
        </w:rPr>
        <w:t>La TSB no edita las publicaciones de car</w:t>
      </w:r>
      <w:r w:rsidR="00BE7985" w:rsidRPr="00BA1A84">
        <w:rPr>
          <w:lang w:val="es-ES"/>
        </w:rPr>
        <w:t xml:space="preserve">ácter </w:t>
      </w:r>
      <w:r w:rsidR="00BE7985" w:rsidRPr="002C6D18">
        <w:rPr>
          <w:lang w:val="es-ES"/>
        </w:rPr>
        <w:t xml:space="preserve">no normativo </w:t>
      </w:r>
      <w:r w:rsidRPr="002C6D18">
        <w:rPr>
          <w:lang w:val="es-ES"/>
        </w:rPr>
        <w:t>(</w:t>
      </w:r>
      <w:r w:rsidR="00BE7985" w:rsidRPr="002C6D18">
        <w:rPr>
          <w:lang w:val="es-ES"/>
        </w:rPr>
        <w:t xml:space="preserve">distintas de los </w:t>
      </w:r>
      <w:r w:rsidRPr="002C6D18">
        <w:rPr>
          <w:lang w:val="es-ES"/>
        </w:rPr>
        <w:t>Suplement</w:t>
      </w:r>
      <w:r w:rsidR="00BE7985" w:rsidRPr="002C6D18">
        <w:rPr>
          <w:lang w:val="es-ES"/>
        </w:rPr>
        <w:t>o</w:t>
      </w:r>
      <w:r w:rsidRPr="002C6D18">
        <w:rPr>
          <w:lang w:val="es-ES"/>
        </w:rPr>
        <w:t xml:space="preserve">s) </w:t>
      </w:r>
      <w:r w:rsidR="00BE7985" w:rsidRPr="002C6D18">
        <w:rPr>
          <w:lang w:val="es-ES"/>
        </w:rPr>
        <w:t>antes de su publicación</w:t>
      </w:r>
      <w:r w:rsidRPr="002C6D18">
        <w:rPr>
          <w:lang w:val="es-ES"/>
        </w:rPr>
        <w:t xml:space="preserve">. </w:t>
      </w:r>
      <w:r w:rsidR="00BE7985" w:rsidRPr="002C6D18">
        <w:rPr>
          <w:lang w:val="es-ES"/>
        </w:rPr>
        <w:t>Están disponibles gratuitamente en formato electrónico y no se imprimen en papel</w:t>
      </w:r>
      <w:r w:rsidRPr="002C6D18">
        <w:rPr>
          <w:lang w:val="es-ES"/>
        </w:rPr>
        <w:t>.</w:t>
      </w:r>
    </w:p>
    <w:p w:rsidR="00AC09F9" w:rsidRPr="002C6D18" w:rsidRDefault="00AC09F9">
      <w:pPr>
        <w:pStyle w:val="Heading1"/>
        <w:rPr>
          <w:lang w:val="es-ES"/>
        </w:rPr>
      </w:pPr>
      <w:bookmarkStart w:id="27" w:name="_Toc532723500"/>
      <w:r w:rsidRPr="002C6D18">
        <w:rPr>
          <w:lang w:val="es-ES"/>
        </w:rPr>
        <w:t>5</w:t>
      </w:r>
      <w:r w:rsidRPr="002C6D18">
        <w:rPr>
          <w:lang w:val="es-ES"/>
        </w:rPr>
        <w:tab/>
      </w:r>
      <w:r w:rsidR="00BE7985" w:rsidRPr="002C6D18">
        <w:rPr>
          <w:lang w:val="es-ES"/>
        </w:rPr>
        <w:t>Consideraciones adicionales específicas de los Suplementos</w:t>
      </w:r>
      <w:bookmarkEnd w:id="27"/>
    </w:p>
    <w:p w:rsidR="00AC09F9" w:rsidRPr="002C6D18" w:rsidRDefault="00BE7985">
      <w:pPr>
        <w:rPr>
          <w:lang w:val="es-ES"/>
        </w:rPr>
      </w:pPr>
      <w:r w:rsidRPr="002C6D18">
        <w:rPr>
          <w:lang w:val="es-ES"/>
        </w:rPr>
        <w:t>Además de los principios generales anteriores que se aplican a todas las publicaciones no normativas</w:t>
      </w:r>
      <w:r w:rsidR="00AC09F9" w:rsidRPr="002C6D18">
        <w:rPr>
          <w:lang w:val="es-ES"/>
        </w:rPr>
        <w:t xml:space="preserve">, </w:t>
      </w:r>
      <w:r w:rsidRPr="002C6D18">
        <w:rPr>
          <w:lang w:val="es-ES"/>
        </w:rPr>
        <w:t>las Comisiones de Estudio aplicarán los siguientes principios adicionales en la elaboración, aprobación, identificación y revisión de los Suplementos</w:t>
      </w:r>
      <w:r w:rsidR="00AC09F9" w:rsidRPr="002C6D18">
        <w:rPr>
          <w:lang w:val="es-ES"/>
        </w:rPr>
        <w:t>:</w:t>
      </w:r>
    </w:p>
    <w:p w:rsidR="00AC09F9" w:rsidRPr="002C6D18" w:rsidRDefault="00AC09F9" w:rsidP="00B85FE9">
      <w:pPr>
        <w:rPr>
          <w:lang w:val="es-ES"/>
        </w:rPr>
      </w:pPr>
      <w:r w:rsidRPr="002C6D18">
        <w:rPr>
          <w:b/>
          <w:lang w:val="es-ES"/>
        </w:rPr>
        <w:t>5.1</w:t>
      </w:r>
      <w:r w:rsidRPr="002C6D18">
        <w:rPr>
          <w:lang w:val="es-ES"/>
        </w:rPr>
        <w:tab/>
      </w:r>
      <w:r w:rsidR="00BE7985" w:rsidRPr="002C6D18">
        <w:rPr>
          <w:lang w:val="es-ES"/>
        </w:rPr>
        <w:t xml:space="preserve">Los Grupos de Trabajo pueden llegar a un acuerdo sobre un Suplemento, si la Comisión de Estudio que lo ha establecido ha identificado previamente dicho Suplemento y ha autorizado al Grupo de Trabajo a llegar a tal acuerdo en la anterior reunión de la Comisión de Estudio, siempre </w:t>
      </w:r>
      <w:r w:rsidR="00B062E4">
        <w:rPr>
          <w:lang w:val="es-ES"/>
        </w:rPr>
        <w:t>y cuando</w:t>
      </w:r>
      <w:r w:rsidR="00BE7985" w:rsidRPr="002C6D18">
        <w:rPr>
          <w:lang w:val="es-ES"/>
        </w:rPr>
        <w:t xml:space="preserve"> dicho Suplemento no esté vinculado o relacionado con una Recomendación </w:t>
      </w:r>
      <w:r w:rsidR="00B062E4">
        <w:rPr>
          <w:lang w:val="es-ES"/>
        </w:rPr>
        <w:t xml:space="preserve">con repercusiones </w:t>
      </w:r>
      <w:r w:rsidR="00BE7985" w:rsidRPr="002C6D18">
        <w:rPr>
          <w:lang w:val="es-ES"/>
        </w:rPr>
        <w:t>política</w:t>
      </w:r>
      <w:r w:rsidR="00B062E4">
        <w:rPr>
          <w:lang w:val="es-ES"/>
        </w:rPr>
        <w:t>s o reglamentarias</w:t>
      </w:r>
      <w:r w:rsidR="00BE7985" w:rsidRPr="002C6D18">
        <w:rPr>
          <w:lang w:val="es-ES"/>
        </w:rPr>
        <w:t xml:space="preserve"> de </w:t>
      </w:r>
      <w:r w:rsidR="00B062E4">
        <w:rPr>
          <w:lang w:val="es-ES"/>
        </w:rPr>
        <w:t xml:space="preserve">conformidad </w:t>
      </w:r>
      <w:r w:rsidR="00BE7985" w:rsidRPr="002C6D18">
        <w:rPr>
          <w:lang w:val="es-ES"/>
        </w:rPr>
        <w:t>con lo dispuesto en los números 246</w:t>
      </w:r>
      <w:r w:rsidR="00B85FE9">
        <w:rPr>
          <w:lang w:val="es-ES"/>
        </w:rPr>
        <w:t> </w:t>
      </w:r>
      <w:r w:rsidR="00BE7985" w:rsidRPr="002C6D18">
        <w:rPr>
          <w:lang w:val="es-ES"/>
        </w:rPr>
        <w:t>D a</w:t>
      </w:r>
      <w:r w:rsidR="00B85FE9">
        <w:rPr>
          <w:lang w:val="es-ES"/>
        </w:rPr>
        <w:t> </w:t>
      </w:r>
      <w:r w:rsidR="00BE7985" w:rsidRPr="002C6D18">
        <w:rPr>
          <w:lang w:val="es-ES"/>
        </w:rPr>
        <w:t>246</w:t>
      </w:r>
      <w:r w:rsidR="00B85FE9">
        <w:rPr>
          <w:lang w:val="es-ES"/>
        </w:rPr>
        <w:t> </w:t>
      </w:r>
      <w:r w:rsidR="00BE7985" w:rsidRPr="002C6D18">
        <w:rPr>
          <w:lang w:val="es-ES"/>
        </w:rPr>
        <w:t>H del Convenio de la UIT</w:t>
      </w:r>
      <w:r w:rsidRPr="002C6D18">
        <w:rPr>
          <w:lang w:val="es-ES"/>
        </w:rPr>
        <w:t>.</w:t>
      </w:r>
    </w:p>
    <w:p w:rsidR="00AC09F9" w:rsidRPr="002C6D18" w:rsidRDefault="00AC09F9">
      <w:pPr>
        <w:rPr>
          <w:lang w:val="es-ES"/>
        </w:rPr>
      </w:pPr>
      <w:r w:rsidRPr="002C6D18">
        <w:rPr>
          <w:b/>
          <w:bCs/>
          <w:lang w:val="es-ES"/>
        </w:rPr>
        <w:t>5.2</w:t>
      </w:r>
      <w:r w:rsidRPr="002C6D18">
        <w:rPr>
          <w:lang w:val="es-ES"/>
        </w:rPr>
        <w:tab/>
      </w:r>
      <w:r w:rsidR="00BE7985" w:rsidRPr="002C6D18">
        <w:rPr>
          <w:lang w:val="es-ES"/>
        </w:rPr>
        <w:t>Cada Suplemento debe identificarse unívocamente mediante la letra de la serie a la que pertenece, seguido de un número secuencial único dentro de esta serie</w:t>
      </w:r>
      <w:r w:rsidRPr="002C6D18">
        <w:rPr>
          <w:lang w:val="es-ES"/>
        </w:rPr>
        <w:t xml:space="preserve">. </w:t>
      </w:r>
      <w:r w:rsidR="00BE7985" w:rsidRPr="002C6D18">
        <w:rPr>
          <w:lang w:val="es-ES"/>
        </w:rPr>
        <w:t xml:space="preserve">Los </w:t>
      </w:r>
      <w:r w:rsidRPr="002C6D18">
        <w:rPr>
          <w:lang w:val="es-ES"/>
        </w:rPr>
        <w:t>Suplement</w:t>
      </w:r>
      <w:r w:rsidR="00BE7985" w:rsidRPr="002C6D18">
        <w:rPr>
          <w:lang w:val="es-ES"/>
        </w:rPr>
        <w:t>o</w:t>
      </w:r>
      <w:r w:rsidRPr="002C6D18">
        <w:rPr>
          <w:lang w:val="es-ES"/>
        </w:rPr>
        <w:t xml:space="preserve">s </w:t>
      </w:r>
      <w:r w:rsidR="00BE7985" w:rsidRPr="002C6D18">
        <w:rPr>
          <w:lang w:val="es-ES"/>
        </w:rPr>
        <w:t>pueden aplicarse a una serie de Recomendaciones</w:t>
      </w:r>
      <w:r w:rsidRPr="002C6D18">
        <w:rPr>
          <w:lang w:val="es-ES"/>
        </w:rPr>
        <w:t xml:space="preserve">; </w:t>
      </w:r>
      <w:r w:rsidR="00BE7985" w:rsidRPr="002C6D18">
        <w:rPr>
          <w:lang w:val="es-ES"/>
        </w:rPr>
        <w:t>no tienen que pertenecer a un Recomendación en concreto</w:t>
      </w:r>
      <w:r w:rsidRPr="002C6D18">
        <w:rPr>
          <w:lang w:val="es-ES"/>
        </w:rPr>
        <w:t>.</w:t>
      </w:r>
    </w:p>
    <w:p w:rsidR="00B85FE9" w:rsidRDefault="00AC09F9" w:rsidP="00B85FE9">
      <w:pPr>
        <w:rPr>
          <w:lang w:val="es-ES"/>
        </w:rPr>
      </w:pPr>
      <w:r w:rsidRPr="002C6D18">
        <w:rPr>
          <w:b/>
          <w:bCs/>
          <w:lang w:val="es-ES"/>
        </w:rPr>
        <w:t>5.3</w:t>
      </w:r>
      <w:r w:rsidRPr="002C6D18">
        <w:rPr>
          <w:lang w:val="es-ES"/>
        </w:rPr>
        <w:tab/>
      </w:r>
      <w:r w:rsidR="00BE7985" w:rsidRPr="002C6D18">
        <w:rPr>
          <w:lang w:val="es-ES"/>
        </w:rPr>
        <w:t>Los Suplementos debe incluirse en bases de datos junto con las Recomendaciones del</w:t>
      </w:r>
      <w:r w:rsidR="00B85FE9">
        <w:rPr>
          <w:lang w:val="es-ES"/>
        </w:rPr>
        <w:t> </w:t>
      </w:r>
      <w:r w:rsidR="00BE7985" w:rsidRPr="002C6D18">
        <w:rPr>
          <w:lang w:val="es-ES"/>
        </w:rPr>
        <w:t>UIT</w:t>
      </w:r>
      <w:r w:rsidR="00B85FE9">
        <w:rPr>
          <w:lang w:val="es-ES"/>
        </w:rPr>
        <w:noBreakHyphen/>
      </w:r>
      <w:r w:rsidR="00BE7985" w:rsidRPr="002C6D18">
        <w:rPr>
          <w:lang w:val="es-ES"/>
        </w:rPr>
        <w:t>T</w:t>
      </w:r>
      <w:r w:rsidR="00B85FE9">
        <w:rPr>
          <w:lang w:val="es-ES"/>
        </w:rPr>
        <w:t>.</w:t>
      </w:r>
    </w:p>
    <w:p w:rsidR="00E87D30" w:rsidRPr="002C6D18" w:rsidRDefault="00AC09F9" w:rsidP="00B85FE9">
      <w:pPr>
        <w:rPr>
          <w:lang w:val="es-ES"/>
        </w:rPr>
      </w:pPr>
      <w:r w:rsidRPr="002C6D18">
        <w:rPr>
          <w:b/>
          <w:bCs/>
          <w:lang w:val="es-ES"/>
        </w:rPr>
        <w:t>5.4</w:t>
      </w:r>
      <w:r w:rsidR="00E87D30" w:rsidRPr="002C6D18">
        <w:rPr>
          <w:lang w:val="es-ES"/>
        </w:rPr>
        <w:tab/>
        <w:t>En la medida de lo posible, los Suplementos se publicarán en forma similar a la de las Recomendaciones, aunque con menor prioridad, y teniendo en cuenta las necesidades del mercado.</w:t>
      </w:r>
    </w:p>
    <w:p w:rsidR="00AC09F9" w:rsidRPr="002C6D18" w:rsidRDefault="00AC09F9">
      <w:pPr>
        <w:pStyle w:val="Heading1"/>
        <w:rPr>
          <w:lang w:val="es-ES"/>
        </w:rPr>
      </w:pPr>
      <w:bookmarkStart w:id="28" w:name="_Toc532723501"/>
      <w:r w:rsidRPr="002C6D18">
        <w:rPr>
          <w:lang w:val="es-ES"/>
        </w:rPr>
        <w:t>6</w:t>
      </w:r>
      <w:r w:rsidRPr="002C6D18">
        <w:rPr>
          <w:lang w:val="es-ES"/>
        </w:rPr>
        <w:tab/>
      </w:r>
      <w:bookmarkEnd w:id="28"/>
      <w:r w:rsidR="00BE7985" w:rsidRPr="002C6D18">
        <w:rPr>
          <w:lang w:val="es-ES"/>
        </w:rPr>
        <w:t>Programa de trabajo</w:t>
      </w:r>
    </w:p>
    <w:p w:rsidR="00AC09F9" w:rsidRPr="002C6D18" w:rsidRDefault="00AC09F9">
      <w:pPr>
        <w:rPr>
          <w:lang w:val="es-ES"/>
        </w:rPr>
      </w:pPr>
      <w:r w:rsidRPr="002C6D18">
        <w:rPr>
          <w:b/>
          <w:lang w:val="es-ES"/>
        </w:rPr>
        <w:t>6.1</w:t>
      </w:r>
      <w:r w:rsidRPr="002C6D18">
        <w:rPr>
          <w:lang w:val="es-ES"/>
        </w:rPr>
        <w:tab/>
      </w:r>
      <w:r w:rsidR="00BE7985" w:rsidRPr="002C6D18">
        <w:rPr>
          <w:lang w:val="es-ES"/>
        </w:rPr>
        <w:t xml:space="preserve">La decisión de agregar un nuevo elemento de trabajo para una publicación del UIT-T de carácter no normativo al programa de trabajo de una Comisión de Estudio (o el GANT) debe documentarse en el informe de la reunión </w:t>
      </w:r>
      <w:r w:rsidR="00B062E4">
        <w:rPr>
          <w:lang w:val="es-ES"/>
        </w:rPr>
        <w:t>utilizando</w:t>
      </w:r>
      <w:r w:rsidR="00BE7985" w:rsidRPr="002C6D18">
        <w:rPr>
          <w:lang w:val="es-ES"/>
        </w:rPr>
        <w:t xml:space="preserve"> la plantilla del Anexo A</w:t>
      </w:r>
      <w:r w:rsidRPr="002C6D18">
        <w:rPr>
          <w:lang w:val="es-ES"/>
        </w:rPr>
        <w:t xml:space="preserve">. </w:t>
      </w:r>
      <w:r w:rsidR="00BE7985" w:rsidRPr="002C6D18">
        <w:rPr>
          <w:lang w:val="es-ES"/>
        </w:rPr>
        <w:t>Obsérvese que esto no es imprescindible para documentar la continuación de</w:t>
      </w:r>
      <w:r w:rsidR="00B062E4">
        <w:rPr>
          <w:lang w:val="es-ES"/>
        </w:rPr>
        <w:t>l</w:t>
      </w:r>
      <w:r w:rsidR="00BE7985" w:rsidRPr="002C6D18">
        <w:rPr>
          <w:lang w:val="es-ES"/>
        </w:rPr>
        <w:t xml:space="preserve"> trabajo existente (p</w:t>
      </w:r>
      <w:r w:rsidR="00B062E4">
        <w:rPr>
          <w:lang w:val="es-ES"/>
        </w:rPr>
        <w:t>or</w:t>
      </w:r>
      <w:r w:rsidR="00BE7985" w:rsidRPr="002C6D18">
        <w:rPr>
          <w:lang w:val="es-ES"/>
        </w:rPr>
        <w:t xml:space="preserve"> ej</w:t>
      </w:r>
      <w:r w:rsidR="00B062E4">
        <w:rPr>
          <w:lang w:val="es-ES"/>
        </w:rPr>
        <w:t>emplo</w:t>
      </w:r>
      <w:r w:rsidR="00BE7985" w:rsidRPr="002C6D18">
        <w:rPr>
          <w:lang w:val="es-ES"/>
        </w:rPr>
        <w:t>, la enmienda o revisión de un documento existente que no sea una Recomendación)</w:t>
      </w:r>
      <w:r w:rsidRPr="002C6D18">
        <w:rPr>
          <w:lang w:val="es-ES"/>
        </w:rPr>
        <w:t>.</w:t>
      </w:r>
    </w:p>
    <w:p w:rsidR="003666F1" w:rsidRDefault="003666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b/>
          <w:lang w:val="es-ES"/>
        </w:rPr>
        <w:br w:type="page"/>
      </w:r>
    </w:p>
    <w:p w:rsidR="00AC09F9" w:rsidRDefault="00AC09F9">
      <w:pPr>
        <w:rPr>
          <w:lang w:val="es-ES"/>
        </w:rPr>
      </w:pPr>
      <w:r w:rsidRPr="002C6D18">
        <w:rPr>
          <w:b/>
          <w:lang w:val="es-ES"/>
        </w:rPr>
        <w:lastRenderedPageBreak/>
        <w:t>6.2</w:t>
      </w:r>
      <w:r w:rsidRPr="002C6D18">
        <w:rPr>
          <w:lang w:val="es-ES"/>
        </w:rPr>
        <w:tab/>
      </w:r>
      <w:r w:rsidR="00BE7985" w:rsidRPr="002C6D18">
        <w:rPr>
          <w:lang w:val="es-ES"/>
        </w:rPr>
        <w:t xml:space="preserve">La fecha prevista debe, en principio, estar comprendida dentro de un periodo inferior a dos años después de la reunión de la Comisión de Estudio en la que </w:t>
      </w:r>
      <w:r w:rsidR="00B062E4" w:rsidRPr="00861A9A">
        <w:rPr>
          <w:lang w:val="es-ES"/>
        </w:rPr>
        <w:t xml:space="preserve">se </w:t>
      </w:r>
      <w:r w:rsidR="00B062E4">
        <w:rPr>
          <w:lang w:val="es-ES"/>
        </w:rPr>
        <w:t xml:space="preserve">añadió </w:t>
      </w:r>
      <w:r w:rsidR="00BE7985" w:rsidRPr="002C6D18">
        <w:rPr>
          <w:lang w:val="es-ES"/>
        </w:rPr>
        <w:t xml:space="preserve">el nuevo </w:t>
      </w:r>
      <w:r w:rsidR="00B062E4">
        <w:rPr>
          <w:lang w:val="es-ES"/>
        </w:rPr>
        <w:t>tema</w:t>
      </w:r>
      <w:r w:rsidR="00BE7985" w:rsidRPr="002C6D18">
        <w:rPr>
          <w:lang w:val="es-ES"/>
        </w:rPr>
        <w:t xml:space="preserve"> al programa de trabajo</w:t>
      </w:r>
      <w:r w:rsidRPr="002C6D18">
        <w:rPr>
          <w:lang w:val="es-ES"/>
        </w:rPr>
        <w:t xml:space="preserve">. </w:t>
      </w:r>
      <w:r w:rsidR="00BE7985" w:rsidRPr="002C6D18">
        <w:rPr>
          <w:lang w:val="es-ES"/>
        </w:rPr>
        <w:t xml:space="preserve">Puede considerarse </w:t>
      </w:r>
      <w:r w:rsidR="00B062E4">
        <w:rPr>
          <w:lang w:val="es-ES"/>
        </w:rPr>
        <w:t>la supresión de</w:t>
      </w:r>
      <w:r w:rsidR="00BA1A84" w:rsidRPr="002C6D18">
        <w:rPr>
          <w:lang w:val="es-ES"/>
        </w:rPr>
        <w:t xml:space="preserve"> </w:t>
      </w:r>
      <w:r w:rsidR="00BE7985" w:rsidRPr="002C6D18">
        <w:rPr>
          <w:lang w:val="es-ES"/>
        </w:rPr>
        <w:t xml:space="preserve">un </w:t>
      </w:r>
      <w:r w:rsidR="00BA1A84" w:rsidRPr="002C6D18">
        <w:rPr>
          <w:lang w:val="es-ES"/>
        </w:rPr>
        <w:t xml:space="preserve">tema </w:t>
      </w:r>
      <w:r w:rsidR="00BE7985" w:rsidRPr="002C6D18">
        <w:rPr>
          <w:lang w:val="es-ES"/>
        </w:rPr>
        <w:t xml:space="preserve">del programa de trabajo si </w:t>
      </w:r>
      <w:r w:rsidR="00B062E4">
        <w:rPr>
          <w:lang w:val="es-ES"/>
        </w:rPr>
        <w:t xml:space="preserve">dicho tema </w:t>
      </w:r>
      <w:r w:rsidR="00BE7985" w:rsidRPr="002C6D18">
        <w:rPr>
          <w:lang w:val="es-ES"/>
        </w:rPr>
        <w:t xml:space="preserve">no ha dado lugar a ninguna contribución en el intervalo de las dos reuniones </w:t>
      </w:r>
      <w:r w:rsidR="00B062E4">
        <w:rPr>
          <w:lang w:val="es-ES"/>
        </w:rPr>
        <w:t>previas</w:t>
      </w:r>
      <w:r w:rsidR="00BE7985" w:rsidRPr="002C6D18">
        <w:rPr>
          <w:lang w:val="es-ES"/>
        </w:rPr>
        <w:t xml:space="preserve"> de la Comisión de Estudio</w:t>
      </w:r>
      <w:r w:rsidRPr="002C6D18">
        <w:rPr>
          <w:lang w:val="es-ES"/>
        </w:rPr>
        <w:t>.</w:t>
      </w:r>
    </w:p>
    <w:p w:rsidR="00817E1A" w:rsidRPr="002C6D18" w:rsidRDefault="00817E1A">
      <w:pPr>
        <w:rPr>
          <w:lang w:val="es-ES"/>
        </w:rPr>
      </w:pPr>
    </w:p>
    <w:p w:rsidR="00817E1A" w:rsidRDefault="00817E1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bookmarkStart w:id="29" w:name="_Toc532723502"/>
      <w:r>
        <w:rPr>
          <w:lang w:val="es-ES"/>
        </w:rPr>
        <w:br w:type="page"/>
      </w:r>
    </w:p>
    <w:p w:rsidR="00AC09F9" w:rsidRPr="002C6D18" w:rsidRDefault="00AC09F9" w:rsidP="00817E1A">
      <w:pPr>
        <w:pStyle w:val="Heading1"/>
        <w:spacing w:after="240"/>
        <w:jc w:val="center"/>
        <w:rPr>
          <w:lang w:val="es-ES"/>
        </w:rPr>
      </w:pPr>
      <w:r w:rsidRPr="002C6D18">
        <w:rPr>
          <w:lang w:val="es-ES"/>
        </w:rPr>
        <w:lastRenderedPageBreak/>
        <w:t>Bibliografía</w:t>
      </w:r>
      <w:bookmarkEnd w:id="29"/>
    </w:p>
    <w:p w:rsidR="00AC09F9" w:rsidRPr="002C6D18" w:rsidRDefault="00AC09F9" w:rsidP="00817E1A">
      <w:pPr>
        <w:ind w:left="2160" w:hanging="2160"/>
        <w:rPr>
          <w:lang w:val="es-ES"/>
        </w:rPr>
      </w:pPr>
      <w:r w:rsidRPr="002C6D18">
        <w:rPr>
          <w:lang w:val="es-ES"/>
        </w:rPr>
        <w:t>[b-ITU-T A.1]</w:t>
      </w:r>
      <w:r w:rsidRPr="002C6D18">
        <w:rPr>
          <w:lang w:val="es-ES"/>
        </w:rPr>
        <w:tab/>
      </w:r>
      <w:r w:rsidR="00817E1A">
        <w:rPr>
          <w:lang w:val="es-ES"/>
        </w:rPr>
        <w:tab/>
      </w:r>
      <w:r w:rsidR="00817E1A">
        <w:rPr>
          <w:lang w:val="es-ES"/>
        </w:rPr>
        <w:tab/>
      </w:r>
      <w:r w:rsidR="00BE7985" w:rsidRPr="002C6D18">
        <w:rPr>
          <w:lang w:val="es-ES"/>
        </w:rPr>
        <w:t>Recomendación</w:t>
      </w:r>
      <w:r w:rsidRPr="002C6D18">
        <w:rPr>
          <w:lang w:val="es-ES"/>
        </w:rPr>
        <w:t xml:space="preserve"> </w:t>
      </w:r>
      <w:r w:rsidR="00BE7985" w:rsidRPr="002C6D18">
        <w:rPr>
          <w:lang w:val="es-ES"/>
        </w:rPr>
        <w:t>U</w:t>
      </w:r>
      <w:r w:rsidRPr="002C6D18">
        <w:rPr>
          <w:lang w:val="es-ES"/>
        </w:rPr>
        <w:t xml:space="preserve">IT-T A.1 (2019), </w:t>
      </w:r>
      <w:r w:rsidR="00BA1A84" w:rsidRPr="002C6D18">
        <w:rPr>
          <w:i/>
          <w:lang w:val="es-ES"/>
        </w:rPr>
        <w:t>Métodos de trabajo de las Comisiones de Estudio del Sector de Normalización de las Telecomunicaciones de la UIT</w:t>
      </w:r>
      <w:r w:rsidRPr="002C6D18">
        <w:rPr>
          <w:lang w:val="es-ES"/>
        </w:rPr>
        <w:t>.</w:t>
      </w:r>
    </w:p>
    <w:p w:rsidR="00AC09F9" w:rsidRPr="002C6D18" w:rsidRDefault="00AC09F9" w:rsidP="00817E1A">
      <w:pPr>
        <w:ind w:left="2160" w:hanging="2160"/>
        <w:rPr>
          <w:lang w:val="es-ES"/>
        </w:rPr>
      </w:pPr>
      <w:r w:rsidRPr="002C6D18">
        <w:rPr>
          <w:lang w:val="es-ES"/>
        </w:rPr>
        <w:t>[b-ITU-T A.8]</w:t>
      </w:r>
      <w:r w:rsidRPr="002C6D18">
        <w:rPr>
          <w:lang w:val="es-ES"/>
        </w:rPr>
        <w:tab/>
      </w:r>
      <w:r w:rsidR="00817E1A">
        <w:rPr>
          <w:lang w:val="es-ES"/>
        </w:rPr>
        <w:tab/>
      </w:r>
      <w:r w:rsidR="00817E1A">
        <w:rPr>
          <w:lang w:val="es-ES"/>
        </w:rPr>
        <w:tab/>
      </w:r>
      <w:r w:rsidR="00BE7985" w:rsidRPr="002C6D18">
        <w:rPr>
          <w:lang w:val="es-ES"/>
        </w:rPr>
        <w:t xml:space="preserve">Recomendación UIT-T </w:t>
      </w:r>
      <w:r w:rsidRPr="002C6D18">
        <w:rPr>
          <w:lang w:val="es-ES"/>
        </w:rPr>
        <w:t xml:space="preserve">A.8 (10/2008), </w:t>
      </w:r>
      <w:r w:rsidR="00BA1A84" w:rsidRPr="002C6D18">
        <w:rPr>
          <w:i/>
          <w:lang w:val="es-ES"/>
        </w:rPr>
        <w:t>Proceso de aprobación alternativo para las Recomendaciones UIT-T nuevas y revisadas</w:t>
      </w:r>
      <w:r w:rsidRPr="002C6D18">
        <w:rPr>
          <w:lang w:val="es-ES"/>
        </w:rPr>
        <w:t>.</w:t>
      </w:r>
    </w:p>
    <w:p w:rsidR="00AC09F9" w:rsidRPr="002C6D18" w:rsidRDefault="00AC09F9" w:rsidP="00817E1A">
      <w:pPr>
        <w:ind w:left="2160" w:hanging="2160"/>
        <w:rPr>
          <w:b/>
          <w:lang w:val="es-ES"/>
        </w:rPr>
      </w:pPr>
      <w:r w:rsidRPr="002C6D18">
        <w:rPr>
          <w:lang w:val="es-ES"/>
        </w:rPr>
        <w:t>[b-ITU-T Res 1]</w:t>
      </w:r>
      <w:r w:rsidRPr="002C6D18">
        <w:rPr>
          <w:lang w:val="es-ES"/>
        </w:rPr>
        <w:tab/>
      </w:r>
      <w:r w:rsidR="00817E1A">
        <w:rPr>
          <w:lang w:val="es-ES"/>
        </w:rPr>
        <w:tab/>
      </w:r>
      <w:r w:rsidR="00817E1A">
        <w:rPr>
          <w:lang w:val="es-ES"/>
        </w:rPr>
        <w:tab/>
      </w:r>
      <w:r w:rsidR="00BA1A84" w:rsidRPr="002C6D18">
        <w:rPr>
          <w:lang w:val="es-ES"/>
        </w:rPr>
        <w:t>Resolución</w:t>
      </w:r>
      <w:r w:rsidRPr="002C6D18">
        <w:rPr>
          <w:lang w:val="es-ES"/>
        </w:rPr>
        <w:t xml:space="preserve"> 1 (</w:t>
      </w:r>
      <w:r w:rsidR="00BA1A84" w:rsidRPr="002C6D18">
        <w:rPr>
          <w:lang w:val="es-ES"/>
        </w:rPr>
        <w:t>R</w:t>
      </w:r>
      <w:r w:rsidRPr="002C6D18">
        <w:rPr>
          <w:lang w:val="es-ES"/>
        </w:rPr>
        <w:t xml:space="preserve">ev. Hammamet, 2016), </w:t>
      </w:r>
      <w:r w:rsidR="00BA1A84" w:rsidRPr="002C6D18">
        <w:rPr>
          <w:i/>
          <w:lang w:val="es-ES"/>
        </w:rPr>
        <w:t>Reglamento interno del Sector de Normalización de las Telecomunicaciones de la UIT</w:t>
      </w:r>
      <w:r w:rsidRPr="002C6D18">
        <w:rPr>
          <w:lang w:val="es-ES"/>
        </w:rPr>
        <w:t>.</w:t>
      </w:r>
    </w:p>
    <w:p w:rsidR="00AC09F9" w:rsidRDefault="00AC09F9">
      <w:pPr>
        <w:rPr>
          <w:lang w:val="es-ES"/>
        </w:rPr>
      </w:pPr>
    </w:p>
    <w:p w:rsidR="00817E1A" w:rsidRPr="002C6D18" w:rsidRDefault="00817E1A">
      <w:pPr>
        <w:rPr>
          <w:lang w:val="es-ES"/>
        </w:rPr>
      </w:pPr>
    </w:p>
    <w:p w:rsidR="002B3D24" w:rsidRDefault="00AC09F9" w:rsidP="002B3D24">
      <w:pPr>
        <w:pStyle w:val="AnnexNotitle"/>
      </w:pPr>
      <w:r w:rsidRPr="002C6D18">
        <w:rPr>
          <w:lang w:val="es-ES"/>
        </w:rPr>
        <w:br w:type="page"/>
      </w:r>
      <w:bookmarkStart w:id="30" w:name="c3tops"/>
      <w:bookmarkEnd w:id="30"/>
      <w:r w:rsidR="002829B4" w:rsidRPr="002829B4">
        <w:lastRenderedPageBreak/>
        <w:t>Anexo A</w:t>
      </w:r>
    </w:p>
    <w:p w:rsidR="002829B4" w:rsidRPr="002829B4" w:rsidRDefault="002829B4" w:rsidP="002B3D24">
      <w:pPr>
        <w:pStyle w:val="AnnexNotitle"/>
        <w:rPr>
          <w:szCs w:val="24"/>
        </w:rPr>
      </w:pPr>
      <w:r w:rsidRPr="002829B4">
        <w:rPr>
          <w:szCs w:val="24"/>
        </w:rPr>
        <w:t xml:space="preserve">Plantilla para describir un </w:t>
      </w:r>
      <w:r>
        <w:rPr>
          <w:szCs w:val="24"/>
        </w:rPr>
        <w:t xml:space="preserve">nuevo </w:t>
      </w:r>
      <w:r w:rsidRPr="002B3D24">
        <w:t>documento</w:t>
      </w:r>
      <w:r w:rsidRPr="002829B4">
        <w:rPr>
          <w:szCs w:val="24"/>
        </w:rPr>
        <w:t xml:space="preserve"> no </w:t>
      </w:r>
      <w:r>
        <w:rPr>
          <w:szCs w:val="24"/>
        </w:rPr>
        <w:t>normativo</w:t>
      </w:r>
      <w:r w:rsidR="002B3D24">
        <w:rPr>
          <w:szCs w:val="24"/>
        </w:rPr>
        <w:br/>
      </w:r>
      <w:r w:rsidRPr="002829B4">
        <w:rPr>
          <w:szCs w:val="24"/>
        </w:rPr>
        <w:t>en el programa de trabajo</w:t>
      </w:r>
    </w:p>
    <w:p w:rsidR="002829B4" w:rsidRPr="002829B4" w:rsidRDefault="002829B4" w:rsidP="003666F1">
      <w:pPr>
        <w:tabs>
          <w:tab w:val="left" w:pos="720"/>
        </w:tabs>
        <w:overflowPunct/>
        <w:autoSpaceDE/>
        <w:adjustRightInd/>
        <w:spacing w:before="360" w:after="360" w:line="276" w:lineRule="auto"/>
        <w:jc w:val="center"/>
        <w:rPr>
          <w:rFonts w:eastAsia="Calibri"/>
          <w:szCs w:val="24"/>
        </w:rPr>
      </w:pPr>
      <w:r w:rsidRPr="002829B4">
        <w:rPr>
          <w:rFonts w:eastAsia="Calibri"/>
          <w:szCs w:val="24"/>
        </w:rPr>
        <w:t>(Este anexo forma parte integral de la presente Recomendación.)</w:t>
      </w:r>
    </w:p>
    <w:tbl>
      <w:tblPr>
        <w:tblW w:w="10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448"/>
        <w:gridCol w:w="616"/>
        <w:gridCol w:w="3749"/>
        <w:gridCol w:w="450"/>
        <w:gridCol w:w="938"/>
        <w:gridCol w:w="1946"/>
      </w:tblGrid>
      <w:tr w:rsidR="00E06AAD" w:rsidRPr="002829B4" w:rsidTr="00A039A2">
        <w:trPr>
          <w:trHeight w:val="114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9B4" w:rsidRPr="002829B4" w:rsidRDefault="002829B4" w:rsidP="00C609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>Cuestión: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29B4" w:rsidRPr="002829B4" w:rsidRDefault="002829B4" w:rsidP="00C6097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829B4" w:rsidRPr="002829B4" w:rsidRDefault="002829B4" w:rsidP="00C6097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588" w:hanging="1588"/>
              <w:outlineLvl w:val="6"/>
              <w:rPr>
                <w:sz w:val="22"/>
                <w:szCs w:val="22"/>
              </w:rPr>
            </w:pPr>
            <w:r w:rsidRPr="002829B4">
              <w:rPr>
                <w:sz w:val="22"/>
                <w:szCs w:val="22"/>
              </w:rPr>
              <w:t>/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9B4" w:rsidRPr="002829B4" w:rsidRDefault="002829B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Propuesta de nuevo d</w:t>
            </w:r>
            <w:r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>ocumento del UIT-T:</w:t>
            </w:r>
          </w:p>
          <w:p w:rsidR="002829B4" w:rsidRPr="002829B4" w:rsidRDefault="00772D79" w:rsidP="00772D79">
            <w:pPr>
              <w:tabs>
                <w:tab w:val="clear" w:pos="794"/>
                <w:tab w:val="left" w:pos="348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="002829B4"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sym w:font="Wingdings" w:char="F06F"/>
            </w:r>
            <w:r w:rsidR="002829B4"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Suplemento</w:t>
            </w:r>
          </w:p>
          <w:p w:rsidR="002829B4" w:rsidRPr="002829B4" w:rsidRDefault="00772D79" w:rsidP="00772D79">
            <w:pPr>
              <w:tabs>
                <w:tab w:val="clear" w:pos="794"/>
                <w:tab w:val="left" w:pos="348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="002829B4"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sym w:font="Wingdings" w:char="F06F"/>
            </w:r>
            <w:r w:rsidR="002829B4"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Guía del implementador</w:t>
            </w:r>
          </w:p>
          <w:p w:rsidR="002829B4" w:rsidRDefault="00772D79" w:rsidP="00772D79">
            <w:pPr>
              <w:tabs>
                <w:tab w:val="clear" w:pos="794"/>
                <w:tab w:val="left" w:pos="348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="002829B4"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sym w:font="Wingdings" w:char="F06F"/>
            </w:r>
            <w:r w:rsidR="002829B4"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2829B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Artículo </w:t>
            </w:r>
            <w:r w:rsidR="002829B4"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>técnico</w:t>
            </w:r>
          </w:p>
          <w:p w:rsidR="002829B4" w:rsidRDefault="00772D79" w:rsidP="00772D79">
            <w:pPr>
              <w:tabs>
                <w:tab w:val="clear" w:pos="794"/>
                <w:tab w:val="left" w:pos="348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="002829B4"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sym w:font="Wingdings" w:char="F06F"/>
            </w:r>
            <w:r w:rsidR="002829B4"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2829B4">
              <w:rPr>
                <w:rFonts w:asciiTheme="minorHAnsi" w:hAnsiTheme="minorHAnsi"/>
                <w:b/>
                <w:bCs/>
                <w:sz w:val="22"/>
                <w:szCs w:val="22"/>
              </w:rPr>
              <w:t>Informe</w:t>
            </w:r>
            <w:r w:rsidR="002829B4"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técnico</w:t>
            </w:r>
          </w:p>
          <w:p w:rsidR="002829B4" w:rsidRPr="002829B4" w:rsidRDefault="00772D79" w:rsidP="00772D79">
            <w:pPr>
              <w:tabs>
                <w:tab w:val="clear" w:pos="794"/>
                <w:tab w:val="left" w:pos="348"/>
              </w:tabs>
              <w:rPr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="002829B4"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sym w:font="Wingdings" w:char="F06F"/>
            </w:r>
            <w:r w:rsidR="002829B4"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2829B4">
              <w:rPr>
                <w:rFonts w:asciiTheme="minorHAnsi" w:hAnsiTheme="minorHAnsi"/>
                <w:b/>
                <w:bCs/>
                <w:sz w:val="22"/>
                <w:szCs w:val="22"/>
              </w:rPr>
              <w:t>Manual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829B4" w:rsidRPr="002829B4" w:rsidRDefault="002829B4" w:rsidP="00C6097F">
            <w:pPr>
              <w:rPr>
                <w:sz w:val="22"/>
                <w:szCs w:val="22"/>
              </w:rPr>
            </w:pPr>
            <w:r w:rsidRPr="002829B4">
              <w:rPr>
                <w:rFonts w:asciiTheme="minorHAnsi" w:hAnsiTheme="minorHAnsi"/>
                <w:sz w:val="22"/>
                <w:szCs w:val="22"/>
              </w:rPr>
              <w:t>&lt;Fecha de la reunión&gt;</w:t>
            </w:r>
          </w:p>
        </w:tc>
      </w:tr>
      <w:tr w:rsidR="002829B4" w:rsidRPr="002829B4" w:rsidTr="00827F41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B4" w:rsidRPr="002829B4" w:rsidRDefault="002829B4" w:rsidP="00C609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>Referencia y título:</w:t>
            </w:r>
          </w:p>
        </w:tc>
        <w:tc>
          <w:tcPr>
            <w:tcW w:w="8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9B4" w:rsidRPr="002829B4" w:rsidRDefault="002829B4" w:rsidP="00C6097F">
            <w:pPr>
              <w:rPr>
                <w:rFonts w:asciiTheme="minorHAnsi" w:hAnsiTheme="minorHAnsi"/>
                <w:sz w:val="22"/>
                <w:szCs w:val="22"/>
              </w:rPr>
            </w:pPr>
            <w:r w:rsidRPr="002829B4">
              <w:rPr>
                <w:rFonts w:asciiTheme="minorHAnsi" w:hAnsiTheme="minorHAnsi"/>
                <w:sz w:val="22"/>
                <w:szCs w:val="22"/>
              </w:rPr>
              <w:t>&lt;X.xxx&gt; "Titulo"</w:t>
            </w:r>
          </w:p>
        </w:tc>
      </w:tr>
      <w:tr w:rsidR="00827F41" w:rsidRPr="002829B4" w:rsidTr="00827F41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9B4" w:rsidRPr="002829B4" w:rsidRDefault="002829B4" w:rsidP="00C609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>Texto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base</w:t>
            </w:r>
            <w:r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9B4" w:rsidRPr="002829B4" w:rsidRDefault="002829B4" w:rsidP="00C6097F">
            <w:pPr>
              <w:rPr>
                <w:rFonts w:asciiTheme="minorHAnsi" w:hAnsiTheme="minorHAnsi"/>
                <w:sz w:val="22"/>
                <w:szCs w:val="22"/>
              </w:rPr>
            </w:pPr>
            <w:r w:rsidRPr="002829B4">
              <w:rPr>
                <w:rFonts w:asciiTheme="minorHAnsi" w:hAnsiTheme="minorHAnsi"/>
                <w:sz w:val="22"/>
                <w:szCs w:val="22"/>
              </w:rPr>
              <w:t>&lt;C nnn&gt; o &lt;TD nnnn&gt;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9B4" w:rsidRPr="002829B4" w:rsidRDefault="002829B4" w:rsidP="00C609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>Fecha prevista: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829B4" w:rsidRPr="002829B4" w:rsidRDefault="002829B4" w:rsidP="00C6097F">
            <w:pPr>
              <w:rPr>
                <w:rFonts w:asciiTheme="minorHAnsi" w:hAnsiTheme="minorHAnsi"/>
                <w:sz w:val="22"/>
                <w:szCs w:val="22"/>
              </w:rPr>
            </w:pPr>
            <w:r w:rsidRPr="002829B4">
              <w:rPr>
                <w:rFonts w:asciiTheme="minorHAnsi" w:hAnsiTheme="minorHAnsi"/>
                <w:sz w:val="22"/>
                <w:szCs w:val="22"/>
              </w:rPr>
              <w:t>&lt;Mes-Año&gt;</w:t>
            </w:r>
          </w:p>
        </w:tc>
      </w:tr>
      <w:tr w:rsidR="002829B4" w:rsidRPr="002829B4" w:rsidTr="00827F41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B4" w:rsidRPr="002829B4" w:rsidRDefault="002829B4" w:rsidP="00C609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>Editor(es):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9B4" w:rsidRPr="002829B4" w:rsidRDefault="002829B4" w:rsidP="00C6097F">
            <w:pPr>
              <w:rPr>
                <w:rFonts w:asciiTheme="minorHAnsi" w:hAnsiTheme="minorHAnsi"/>
                <w:sz w:val="22"/>
                <w:szCs w:val="22"/>
              </w:rPr>
            </w:pPr>
            <w:r w:rsidRPr="002829B4">
              <w:rPr>
                <w:rFonts w:asciiTheme="minorHAnsi" w:hAnsiTheme="minorHAnsi"/>
                <w:sz w:val="22"/>
                <w:szCs w:val="22"/>
              </w:rPr>
              <w:t>&lt;Nombre, membresía, dirección de correo electrónico&gt;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9B4" w:rsidRPr="002829B4" w:rsidRDefault="002829B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Proceso de a</w:t>
            </w:r>
            <w:r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>probación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9B4" w:rsidRPr="002829B4" w:rsidRDefault="002829B4" w:rsidP="00C6097F">
            <w:pPr>
              <w:pStyle w:val="Reasons"/>
              <w:rPr>
                <w:rFonts w:asciiTheme="minorHAnsi" w:hAnsiTheme="minorHAnsi"/>
                <w:sz w:val="22"/>
                <w:szCs w:val="22"/>
              </w:rPr>
            </w:pPr>
            <w:r w:rsidRPr="002829B4">
              <w:rPr>
                <w:rFonts w:asciiTheme="minorHAnsi" w:hAnsiTheme="minorHAnsi"/>
                <w:sz w:val="22"/>
                <w:szCs w:val="22"/>
              </w:rPr>
              <w:t>Acuerdo</w:t>
            </w:r>
          </w:p>
        </w:tc>
      </w:tr>
      <w:tr w:rsidR="002829B4" w:rsidRPr="002829B4" w:rsidTr="00827F41">
        <w:tc>
          <w:tcPr>
            <w:tcW w:w="102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829B4" w:rsidRPr="002829B4" w:rsidRDefault="002829B4" w:rsidP="00827F41">
            <w:pPr>
              <w:rPr>
                <w:rFonts w:asciiTheme="minorHAnsi" w:hAnsiTheme="minorHAnsi"/>
                <w:sz w:val="22"/>
                <w:szCs w:val="22"/>
              </w:rPr>
            </w:pPr>
            <w:r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>Propósito y alcance</w:t>
            </w:r>
            <w:r w:rsidRPr="002829B4">
              <w:rPr>
                <w:rFonts w:asciiTheme="minorHAnsi" w:hAnsiTheme="minorHAnsi"/>
                <w:sz w:val="22"/>
                <w:szCs w:val="22"/>
              </w:rPr>
              <w:t xml:space="preserve"> (define el asunto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tratado en </w:t>
            </w:r>
            <w:r w:rsidRPr="002829B4">
              <w:rPr>
                <w:rFonts w:asciiTheme="minorHAnsi" w:hAnsiTheme="minorHAnsi"/>
                <w:sz w:val="22"/>
                <w:szCs w:val="22"/>
              </w:rPr>
              <w:t xml:space="preserve">este documento, </w:t>
            </w:r>
            <w:r>
              <w:rPr>
                <w:rFonts w:asciiTheme="minorHAnsi" w:hAnsiTheme="minorHAnsi"/>
                <w:sz w:val="22"/>
                <w:szCs w:val="22"/>
              </w:rPr>
              <w:t>permitiendo</w:t>
            </w:r>
            <w:r w:rsidRPr="002829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2829B4">
              <w:rPr>
                <w:rFonts w:asciiTheme="minorHAnsi" w:hAnsiTheme="minorHAnsi"/>
                <w:sz w:val="22"/>
                <w:szCs w:val="22"/>
              </w:rPr>
              <w:t>l lector eval</w:t>
            </w:r>
            <w:r>
              <w:rPr>
                <w:rFonts w:asciiTheme="minorHAnsi" w:hAnsiTheme="minorHAnsi"/>
                <w:sz w:val="22"/>
                <w:szCs w:val="22"/>
              </w:rPr>
              <w:t>uar</w:t>
            </w:r>
            <w:r w:rsidRPr="002829B4">
              <w:rPr>
                <w:rFonts w:asciiTheme="minorHAnsi" w:hAnsiTheme="minorHAnsi"/>
                <w:sz w:val="22"/>
                <w:szCs w:val="22"/>
              </w:rPr>
              <w:t xml:space="preserve"> su utilidad</w:t>
            </w:r>
            <w:r w:rsidR="00827F41">
              <w:rPr>
                <w:rFonts w:asciiTheme="minorHAnsi" w:hAnsiTheme="minorHAnsi"/>
                <w:sz w:val="22"/>
                <w:szCs w:val="22"/>
              </w:rPr>
              <w:br/>
            </w:r>
            <w:r w:rsidRPr="002829B4">
              <w:rPr>
                <w:rFonts w:asciiTheme="minorHAnsi" w:hAnsiTheme="minorHAnsi"/>
                <w:sz w:val="22"/>
                <w:szCs w:val="22"/>
              </w:rPr>
              <w:t xml:space="preserve">para su trabajo; también define la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finalidad </w:t>
            </w:r>
            <w:r w:rsidRPr="002829B4">
              <w:rPr>
                <w:rFonts w:asciiTheme="minorHAnsi" w:hAnsiTheme="minorHAnsi"/>
                <w:sz w:val="22"/>
                <w:szCs w:val="22"/>
              </w:rPr>
              <w:t xml:space="preserve">o el objetivo del documento </w:t>
            </w:r>
            <w:r>
              <w:rPr>
                <w:rFonts w:asciiTheme="minorHAnsi" w:hAnsiTheme="minorHAnsi"/>
                <w:sz w:val="22"/>
                <w:szCs w:val="22"/>
              </w:rPr>
              <w:t>no normativo</w:t>
            </w:r>
            <w:r w:rsidRPr="002829B4">
              <w:rPr>
                <w:rFonts w:asciiTheme="minorHAnsi" w:hAnsiTheme="minorHAnsi"/>
                <w:sz w:val="22"/>
                <w:szCs w:val="22"/>
              </w:rPr>
              <w:t xml:space="preserve"> y los aspectos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tratados</w:t>
            </w:r>
            <w:r w:rsidRPr="002829B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indicando así </w:t>
            </w:r>
            <w:r w:rsidRPr="002829B4">
              <w:rPr>
                <w:rFonts w:asciiTheme="minorHAnsi" w:hAnsiTheme="minorHAnsi"/>
                <w:sz w:val="22"/>
                <w:szCs w:val="22"/>
              </w:rPr>
              <w:t>los límites de su aplicabilidad):</w:t>
            </w:r>
          </w:p>
        </w:tc>
      </w:tr>
      <w:tr w:rsidR="002829B4" w:rsidRPr="002829B4" w:rsidTr="00827F41">
        <w:tc>
          <w:tcPr>
            <w:tcW w:w="10214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9B4" w:rsidRPr="00974FEC" w:rsidRDefault="002829B4" w:rsidP="00C6097F">
            <w:pPr>
              <w:pStyle w:val="Reasons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2829B4" w:rsidRPr="002829B4" w:rsidTr="00827F41">
        <w:tc>
          <w:tcPr>
            <w:tcW w:w="102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829B4" w:rsidRPr="002829B4" w:rsidRDefault="002829B4" w:rsidP="00C609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>Resumen</w:t>
            </w:r>
            <w:r w:rsidRPr="002829B4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descripción </w:t>
            </w:r>
            <w:r w:rsidRPr="002829B4">
              <w:rPr>
                <w:rFonts w:asciiTheme="minorHAnsi" w:hAnsiTheme="minorHAnsi"/>
                <w:sz w:val="22"/>
                <w:szCs w:val="22"/>
              </w:rPr>
              <w:t>general de la propuesta):</w:t>
            </w:r>
          </w:p>
        </w:tc>
      </w:tr>
      <w:tr w:rsidR="002829B4" w:rsidRPr="002829B4" w:rsidTr="00827F41">
        <w:tc>
          <w:tcPr>
            <w:tcW w:w="10214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9B4" w:rsidRPr="00974FEC" w:rsidRDefault="002829B4" w:rsidP="00C6097F">
            <w:pPr>
              <w:pStyle w:val="Reasons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2829B4" w:rsidRPr="002829B4" w:rsidTr="00827F41">
        <w:tc>
          <w:tcPr>
            <w:tcW w:w="102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9B4" w:rsidRPr="002829B4" w:rsidRDefault="002829B4" w:rsidP="00C6097F">
            <w:pPr>
              <w:rPr>
                <w:rFonts w:asciiTheme="minorHAnsi" w:hAnsiTheme="minorHAnsi"/>
                <w:sz w:val="22"/>
                <w:szCs w:val="22"/>
              </w:rPr>
            </w:pPr>
            <w:r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>Relaciones con las Recomendaciones del UIT-T o con otros documentos</w:t>
            </w:r>
            <w:r w:rsidRPr="002829B4">
              <w:rPr>
                <w:rFonts w:asciiTheme="minorHAnsi" w:hAnsiTheme="minorHAnsi"/>
                <w:sz w:val="22"/>
                <w:szCs w:val="22"/>
              </w:rPr>
              <w:t xml:space="preserve"> (aprobados, acordados o en elaboración):</w:t>
            </w:r>
          </w:p>
        </w:tc>
      </w:tr>
      <w:tr w:rsidR="002829B4" w:rsidRPr="002829B4" w:rsidTr="00827F41">
        <w:tc>
          <w:tcPr>
            <w:tcW w:w="102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974FEC" w:rsidRDefault="002829B4" w:rsidP="00C6097F">
            <w:pPr>
              <w:pStyle w:val="Reasons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2829B4" w:rsidRPr="002829B4" w:rsidTr="00827F41">
        <w:tc>
          <w:tcPr>
            <w:tcW w:w="10214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9B4" w:rsidRPr="002829B4" w:rsidRDefault="002829B4" w:rsidP="00C609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Relación </w:t>
            </w:r>
            <w:r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>con otras Comisiones de Estudio o con otros órganos de normalización</w:t>
            </w:r>
            <w:r w:rsidRPr="0033626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2829B4" w:rsidRPr="002829B4" w:rsidTr="00827F41">
        <w:tc>
          <w:tcPr>
            <w:tcW w:w="1021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9B4" w:rsidRPr="00974FEC" w:rsidRDefault="002829B4" w:rsidP="00C6097F">
            <w:pPr>
              <w:pStyle w:val="Reasons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2829B4" w:rsidRPr="002829B4" w:rsidTr="00827F41">
        <w:tc>
          <w:tcPr>
            <w:tcW w:w="10214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9B4" w:rsidRPr="002829B4" w:rsidRDefault="002829B4" w:rsidP="00C609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Miembros que se comprometen a contribuir activamente al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tema </w:t>
            </w:r>
            <w:r w:rsidRPr="002829B4">
              <w:rPr>
                <w:rFonts w:asciiTheme="minorHAnsi" w:hAnsiTheme="minorHAnsi"/>
                <w:b/>
                <w:bCs/>
                <w:sz w:val="22"/>
                <w:szCs w:val="22"/>
              </w:rPr>
              <w:t>de trabajo</w:t>
            </w:r>
            <w:r w:rsidRPr="0033626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2829B4" w:rsidRPr="002829B4" w:rsidTr="00827F41">
        <w:tc>
          <w:tcPr>
            <w:tcW w:w="10214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829B4" w:rsidRPr="002829B4" w:rsidRDefault="002829B4" w:rsidP="00C6097F">
            <w:pPr>
              <w:rPr>
                <w:rFonts w:asciiTheme="minorHAnsi" w:hAnsiTheme="minorHAnsi"/>
                <w:sz w:val="22"/>
                <w:szCs w:val="22"/>
              </w:rPr>
            </w:pPr>
            <w:r w:rsidRPr="002829B4">
              <w:rPr>
                <w:rFonts w:asciiTheme="minorHAnsi" w:hAnsiTheme="minorHAnsi"/>
                <w:sz w:val="22"/>
                <w:szCs w:val="22"/>
              </w:rPr>
              <w:t xml:space="preserve">&lt;Estados Miembros, Miembros de Sector, Asociados, </w:t>
            </w:r>
            <w:r>
              <w:rPr>
                <w:rFonts w:asciiTheme="minorHAnsi" w:hAnsiTheme="minorHAnsi"/>
                <w:sz w:val="22"/>
                <w:szCs w:val="22"/>
              </w:rPr>
              <w:t>Instituciones Académicas</w:t>
            </w:r>
            <w:r w:rsidRPr="002829B4">
              <w:rPr>
                <w:rFonts w:asciiTheme="minorHAnsi" w:hAnsiTheme="minorHAnsi"/>
                <w:sz w:val="22"/>
                <w:szCs w:val="22"/>
              </w:rPr>
              <w:t>&gt;</w:t>
            </w:r>
          </w:p>
        </w:tc>
      </w:tr>
    </w:tbl>
    <w:p w:rsidR="002829B4" w:rsidRPr="002829B4" w:rsidRDefault="002829B4" w:rsidP="00827F41"/>
    <w:p w:rsidR="00827F41" w:rsidRDefault="00827F41" w:rsidP="00827F41"/>
    <w:p w:rsidR="00827F41" w:rsidRDefault="00827F41">
      <w:pPr>
        <w:jc w:val="center"/>
      </w:pPr>
      <w:r>
        <w:t>______________</w:t>
      </w:r>
    </w:p>
    <w:p w:rsidR="00E87D30" w:rsidRDefault="00E87D30" w:rsidP="00827F41">
      <w:pPr>
        <w:rPr>
          <w:lang w:val="es-ES"/>
        </w:rPr>
      </w:pPr>
    </w:p>
    <w:p w:rsidR="00827F41" w:rsidRPr="002C6D18" w:rsidRDefault="00827F41" w:rsidP="00827F41">
      <w:pPr>
        <w:rPr>
          <w:lang w:val="es-ES"/>
        </w:rPr>
      </w:pPr>
    </w:p>
    <w:sectPr w:rsidR="00827F41" w:rsidRPr="002C6D18" w:rsidSect="004A3E4B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1E" w:rsidRDefault="0027641E">
      <w:r>
        <w:separator/>
      </w:r>
    </w:p>
  </w:endnote>
  <w:endnote w:type="continuationSeparator" w:id="0">
    <w:p w:rsidR="0027641E" w:rsidRDefault="0027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1E" w:rsidRPr="00795A6A" w:rsidRDefault="0027641E" w:rsidP="0047731C">
    <w:pPr>
      <w:pStyle w:val="Footer"/>
      <w:rPr>
        <w:lang w:val="fr-CH"/>
      </w:rPr>
    </w:pPr>
    <w:r w:rsidRPr="0047731C">
      <w:rPr>
        <w:lang w:val="fr-CH"/>
      </w:rPr>
      <w:t>ITU-T\COM-T\TSAG\R\R2</w:t>
    </w:r>
    <w:r>
      <w:rPr>
        <w:lang w:val="fr-CH"/>
      </w:rPr>
      <w:t>S</w:t>
    </w:r>
    <w:r w:rsidRPr="0047731C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63" w:rsidRPr="00275CD5" w:rsidRDefault="00075F63" w:rsidP="00075F63">
    <w:pPr>
      <w:pStyle w:val="Footer"/>
      <w:tabs>
        <w:tab w:val="clear" w:pos="5954"/>
        <w:tab w:val="left" w:pos="5245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1E" w:rsidRPr="002829B4" w:rsidRDefault="0027641E" w:rsidP="00282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1E" w:rsidRDefault="0027641E">
      <w:r>
        <w:t>____________________</w:t>
      </w:r>
    </w:p>
  </w:footnote>
  <w:footnote w:type="continuationSeparator" w:id="0">
    <w:p w:rsidR="0027641E" w:rsidRDefault="0027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1E" w:rsidRPr="00B419B7" w:rsidRDefault="0027641E" w:rsidP="00E13E0C">
    <w:pPr>
      <w:pStyle w:val="Header"/>
      <w:rPr>
        <w:lang w:eastAsia="zh-CN"/>
      </w:rPr>
    </w:pPr>
    <w:r>
      <w:rPr>
        <w:rFonts w:hint="eastAsia"/>
        <w:lang w:eastAsia="zh-CN"/>
      </w:rPr>
      <w:t xml:space="preserve">- </w:t>
    </w:r>
    <w:r w:rsidRPr="00B419B7">
      <w:fldChar w:fldCharType="begin"/>
    </w:r>
    <w:r w:rsidRPr="00B419B7">
      <w:instrText xml:space="preserve"> PAGE  \* MERGEFORMAT </w:instrText>
    </w:r>
    <w:r w:rsidRPr="00B419B7">
      <w:fldChar w:fldCharType="separate"/>
    </w:r>
    <w:r>
      <w:rPr>
        <w:noProof/>
      </w:rPr>
      <w:t>22</w:t>
    </w:r>
    <w:r w:rsidRPr="00B419B7">
      <w:fldChar w:fldCharType="end"/>
    </w:r>
    <w:r>
      <w:rPr>
        <w:rFonts w:hint="eastAsia"/>
        <w:lang w:eastAsia="zh-CN"/>
      </w:rPr>
      <w:t xml:space="preserve"> -</w:t>
    </w:r>
  </w:p>
  <w:p w:rsidR="0027641E" w:rsidRPr="00E13E0C" w:rsidRDefault="0027641E" w:rsidP="00E13E0C">
    <w:pPr>
      <w:pStyle w:val="Header"/>
      <w:spacing w:after="120"/>
    </w:pPr>
    <w:r w:rsidRPr="00B419B7">
      <w:t xml:space="preserve">TSAG – R </w:t>
    </w:r>
    <w:r>
      <w:t xml:space="preserve">2 – </w:t>
    </w:r>
    <w:r>
      <w:rPr>
        <w:lang w:eastAsia="zh-CN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1E" w:rsidRPr="0061149D" w:rsidRDefault="0027641E" w:rsidP="00E13E0C">
    <w:pPr>
      <w:pStyle w:val="Header"/>
      <w:rPr>
        <w:lang w:val="en-US" w:eastAsia="zh-CN"/>
      </w:rPr>
    </w:pPr>
    <w:r w:rsidRPr="00722D5A">
      <w:rPr>
        <w:rFonts w:hint="eastAsia"/>
        <w:lang w:val="en-US" w:eastAsia="zh-CN"/>
      </w:rPr>
      <w:t xml:space="preserve">- </w:t>
    </w:r>
    <w:r w:rsidRPr="00B419B7">
      <w:fldChar w:fldCharType="begin"/>
    </w:r>
    <w:r w:rsidRPr="00722D5A">
      <w:rPr>
        <w:lang w:val="en-US"/>
      </w:rPr>
      <w:instrText xml:space="preserve"> PAGE  \* MERGEFORMAT </w:instrText>
    </w:r>
    <w:r w:rsidRPr="00B419B7">
      <w:fldChar w:fldCharType="separate"/>
    </w:r>
    <w:r w:rsidR="007D1153">
      <w:rPr>
        <w:noProof/>
        <w:lang w:val="en-US"/>
      </w:rPr>
      <w:t>10</w:t>
    </w:r>
    <w:r w:rsidRPr="00B419B7">
      <w:fldChar w:fldCharType="end"/>
    </w:r>
    <w:r w:rsidRPr="0061149D">
      <w:rPr>
        <w:rFonts w:hint="eastAsia"/>
        <w:lang w:val="en-US" w:eastAsia="zh-CN"/>
      </w:rPr>
      <w:t xml:space="preserve"> -</w:t>
    </w:r>
  </w:p>
  <w:p w:rsidR="0027641E" w:rsidRPr="0061149D" w:rsidRDefault="0027641E" w:rsidP="0061149D">
    <w:pPr>
      <w:pStyle w:val="Header"/>
      <w:spacing w:after="120"/>
      <w:rPr>
        <w:lang w:val="en-US"/>
      </w:rPr>
    </w:pPr>
    <w:r>
      <w:rPr>
        <w:lang w:val="en-US"/>
      </w:rPr>
      <w:t>TSAG – R 6</w:t>
    </w:r>
    <w:r w:rsidRPr="0061149D">
      <w:rPr>
        <w:lang w:val="en-US"/>
      </w:rPr>
      <w:t xml:space="preserve"> –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BC2A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2386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54B0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C62A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143B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82A3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B8C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182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1383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060B7C6C"/>
    <w:multiLevelType w:val="singleLevel"/>
    <w:tmpl w:val="0E809188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</w:abstractNum>
  <w:abstractNum w:abstractNumId="12" w15:restartNumberingAfterBreak="0">
    <w:nsid w:val="070A3A61"/>
    <w:multiLevelType w:val="singleLevel"/>
    <w:tmpl w:val="7E32B804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77843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07AC0EAF"/>
    <w:multiLevelType w:val="singleLevel"/>
    <w:tmpl w:val="0E809188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</w:abstractNum>
  <w:abstractNum w:abstractNumId="15" w15:restartNumberingAfterBreak="0">
    <w:nsid w:val="0CF96D25"/>
    <w:multiLevelType w:val="singleLevel"/>
    <w:tmpl w:val="0E809188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</w:abstractNum>
  <w:abstractNum w:abstractNumId="16" w15:restartNumberingAfterBreak="0">
    <w:nsid w:val="150D5AEF"/>
    <w:multiLevelType w:val="singleLevel"/>
    <w:tmpl w:val="E83ABF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1BB5371F"/>
    <w:multiLevelType w:val="singleLevel"/>
    <w:tmpl w:val="0E809188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</w:abstractNum>
  <w:abstractNum w:abstractNumId="18" w15:restartNumberingAfterBreak="0">
    <w:nsid w:val="1DC65F2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23E00B72"/>
    <w:multiLevelType w:val="hybridMultilevel"/>
    <w:tmpl w:val="8D9C388A"/>
    <w:lvl w:ilvl="0" w:tplc="DAE2B19C">
      <w:start w:val="1"/>
      <w:numFmt w:val="bullet"/>
      <w:lvlText w:val="–"/>
      <w:lvlJc w:val="left"/>
      <w:pPr>
        <w:tabs>
          <w:tab w:val="num" w:pos="1184"/>
        </w:tabs>
        <w:ind w:left="1184" w:hanging="39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8772F"/>
    <w:multiLevelType w:val="singleLevel"/>
    <w:tmpl w:val="9850E2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26D60DE0"/>
    <w:multiLevelType w:val="hybridMultilevel"/>
    <w:tmpl w:val="19AC2CA2"/>
    <w:lvl w:ilvl="0" w:tplc="DAE2B19C">
      <w:start w:val="1"/>
      <w:numFmt w:val="bullet"/>
      <w:lvlText w:val="–"/>
      <w:lvlJc w:val="left"/>
      <w:pPr>
        <w:tabs>
          <w:tab w:val="num" w:pos="1184"/>
        </w:tabs>
        <w:ind w:left="1184" w:hanging="39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D6646"/>
    <w:multiLevelType w:val="singleLevel"/>
    <w:tmpl w:val="76D2D428"/>
    <w:lvl w:ilvl="0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73F2F87"/>
    <w:multiLevelType w:val="singleLevel"/>
    <w:tmpl w:val="2A4AD6F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</w:abstractNum>
  <w:abstractNum w:abstractNumId="24" w15:restartNumberingAfterBreak="0">
    <w:nsid w:val="3C7D4A77"/>
    <w:multiLevelType w:val="hybridMultilevel"/>
    <w:tmpl w:val="E7D210D2"/>
    <w:lvl w:ilvl="0" w:tplc="B9824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6520D"/>
    <w:multiLevelType w:val="singleLevel"/>
    <w:tmpl w:val="0E809188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</w:abstractNum>
  <w:abstractNum w:abstractNumId="26" w15:restartNumberingAfterBreak="0">
    <w:nsid w:val="454D53E9"/>
    <w:multiLevelType w:val="hybridMultilevel"/>
    <w:tmpl w:val="A646451E"/>
    <w:lvl w:ilvl="0" w:tplc="B9824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A1A65"/>
    <w:multiLevelType w:val="hybridMultilevel"/>
    <w:tmpl w:val="7EA4DB3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6B05DAF"/>
    <w:multiLevelType w:val="multilevel"/>
    <w:tmpl w:val="81FC0842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57E24035"/>
    <w:multiLevelType w:val="hybridMultilevel"/>
    <w:tmpl w:val="0102FBC2"/>
    <w:lvl w:ilvl="0" w:tplc="E6D2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56AB9"/>
    <w:multiLevelType w:val="hybridMultilevel"/>
    <w:tmpl w:val="0E508B64"/>
    <w:lvl w:ilvl="0" w:tplc="DAE2B19C">
      <w:start w:val="1"/>
      <w:numFmt w:val="bullet"/>
      <w:lvlText w:val="–"/>
      <w:lvlJc w:val="left"/>
      <w:pPr>
        <w:tabs>
          <w:tab w:val="num" w:pos="1184"/>
        </w:tabs>
        <w:ind w:left="1184" w:hanging="39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749A1"/>
    <w:multiLevelType w:val="hybridMultilevel"/>
    <w:tmpl w:val="BE5E95BA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60FA2CE3"/>
    <w:multiLevelType w:val="hybridMultilevel"/>
    <w:tmpl w:val="81424252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E403B"/>
    <w:multiLevelType w:val="hybridMultilevel"/>
    <w:tmpl w:val="B5B0B2E0"/>
    <w:lvl w:ilvl="0" w:tplc="D638D6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20402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Helvetica 45 Light" w:hAnsi="Helvetica 45 Light" w:hint="default"/>
      </w:rPr>
    </w:lvl>
    <w:lvl w:ilvl="2" w:tplc="1C4E2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43D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440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A1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48D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A2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69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77E4C"/>
    <w:multiLevelType w:val="singleLevel"/>
    <w:tmpl w:val="0E809188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</w:abstractNum>
  <w:abstractNum w:abstractNumId="36" w15:restartNumberingAfterBreak="0">
    <w:nsid w:val="6E760658"/>
    <w:multiLevelType w:val="singleLevel"/>
    <w:tmpl w:val="30D84F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6F933820"/>
    <w:multiLevelType w:val="singleLevel"/>
    <w:tmpl w:val="95846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8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9" w15:restartNumberingAfterBreak="0">
    <w:nsid w:val="72127CD6"/>
    <w:multiLevelType w:val="singleLevel"/>
    <w:tmpl w:val="DAE2B19C"/>
    <w:lvl w:ilvl="0">
      <w:start w:val="1"/>
      <w:numFmt w:val="bullet"/>
      <w:lvlText w:val="–"/>
      <w:lvlJc w:val="left"/>
      <w:pPr>
        <w:tabs>
          <w:tab w:val="num" w:pos="1184"/>
        </w:tabs>
        <w:ind w:left="1184" w:hanging="390"/>
      </w:pPr>
      <w:rPr>
        <w:rFonts w:hint="default"/>
      </w:rPr>
    </w:lvl>
  </w:abstractNum>
  <w:abstractNum w:abstractNumId="40" w15:restartNumberingAfterBreak="0">
    <w:nsid w:val="78924398"/>
    <w:multiLevelType w:val="hybridMultilevel"/>
    <w:tmpl w:val="BB88FADC"/>
    <w:lvl w:ilvl="0" w:tplc="65F265C0">
      <w:start w:val="1"/>
      <w:numFmt w:val="lowerLetter"/>
      <w:lvlText w:val="%1)"/>
      <w:lvlJc w:val="left"/>
      <w:pPr>
        <w:ind w:left="720" w:hanging="360"/>
      </w:pPr>
    </w:lvl>
    <w:lvl w:ilvl="1" w:tplc="FB22D90C" w:tentative="1">
      <w:start w:val="1"/>
      <w:numFmt w:val="lowerLetter"/>
      <w:lvlText w:val="%2."/>
      <w:lvlJc w:val="left"/>
      <w:pPr>
        <w:ind w:left="1440" w:hanging="360"/>
      </w:pPr>
    </w:lvl>
    <w:lvl w:ilvl="2" w:tplc="509E158E" w:tentative="1">
      <w:start w:val="1"/>
      <w:numFmt w:val="lowerRoman"/>
      <w:lvlText w:val="%3."/>
      <w:lvlJc w:val="right"/>
      <w:pPr>
        <w:ind w:left="2160" w:hanging="180"/>
      </w:pPr>
    </w:lvl>
    <w:lvl w:ilvl="3" w:tplc="27425C96" w:tentative="1">
      <w:start w:val="1"/>
      <w:numFmt w:val="decimal"/>
      <w:lvlText w:val="%4."/>
      <w:lvlJc w:val="left"/>
      <w:pPr>
        <w:ind w:left="2880" w:hanging="360"/>
      </w:pPr>
    </w:lvl>
    <w:lvl w:ilvl="4" w:tplc="595C9F64" w:tentative="1">
      <w:start w:val="1"/>
      <w:numFmt w:val="lowerLetter"/>
      <w:lvlText w:val="%5."/>
      <w:lvlJc w:val="left"/>
      <w:pPr>
        <w:ind w:left="3600" w:hanging="360"/>
      </w:pPr>
    </w:lvl>
    <w:lvl w:ilvl="5" w:tplc="431271BE" w:tentative="1">
      <w:start w:val="1"/>
      <w:numFmt w:val="lowerRoman"/>
      <w:lvlText w:val="%6."/>
      <w:lvlJc w:val="right"/>
      <w:pPr>
        <w:ind w:left="4320" w:hanging="180"/>
      </w:pPr>
    </w:lvl>
    <w:lvl w:ilvl="6" w:tplc="15D4C54E" w:tentative="1">
      <w:start w:val="1"/>
      <w:numFmt w:val="decimal"/>
      <w:lvlText w:val="%7."/>
      <w:lvlJc w:val="left"/>
      <w:pPr>
        <w:ind w:left="5040" w:hanging="360"/>
      </w:pPr>
    </w:lvl>
    <w:lvl w:ilvl="7" w:tplc="D2302E20" w:tentative="1">
      <w:start w:val="1"/>
      <w:numFmt w:val="lowerLetter"/>
      <w:lvlText w:val="%8."/>
      <w:lvlJc w:val="left"/>
      <w:pPr>
        <w:ind w:left="5760" w:hanging="360"/>
      </w:pPr>
    </w:lvl>
    <w:lvl w:ilvl="8" w:tplc="F3128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61610"/>
    <w:multiLevelType w:val="hybridMultilevel"/>
    <w:tmpl w:val="4526599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13">
    <w:abstractNumId w:val="39"/>
  </w:num>
  <w:num w:numId="14">
    <w:abstractNumId w:val="13"/>
  </w:num>
  <w:num w:numId="15">
    <w:abstractNumId w:val="38"/>
  </w:num>
  <w:num w:numId="16">
    <w:abstractNumId w:val="32"/>
  </w:num>
  <w:num w:numId="17">
    <w:abstractNumId w:val="14"/>
  </w:num>
  <w:num w:numId="18">
    <w:abstractNumId w:val="25"/>
  </w:num>
  <w:num w:numId="19">
    <w:abstractNumId w:val="15"/>
  </w:num>
  <w:num w:numId="20">
    <w:abstractNumId w:val="11"/>
  </w:num>
  <w:num w:numId="21">
    <w:abstractNumId w:val="17"/>
  </w:num>
  <w:num w:numId="22">
    <w:abstractNumId w:val="35"/>
  </w:num>
  <w:num w:numId="23">
    <w:abstractNumId w:val="36"/>
  </w:num>
  <w:num w:numId="24">
    <w:abstractNumId w:val="23"/>
  </w:num>
  <w:num w:numId="25">
    <w:abstractNumId w:val="18"/>
  </w:num>
  <w:num w:numId="26">
    <w:abstractNumId w:val="22"/>
  </w:num>
  <w:num w:numId="27">
    <w:abstractNumId w:val="12"/>
  </w:num>
  <w:num w:numId="28">
    <w:abstractNumId w:val="20"/>
  </w:num>
  <w:num w:numId="29">
    <w:abstractNumId w:val="16"/>
  </w:num>
  <w:num w:numId="30">
    <w:abstractNumId w:val="37"/>
  </w:num>
  <w:num w:numId="31">
    <w:abstractNumId w:val="28"/>
  </w:num>
  <w:num w:numId="32">
    <w:abstractNumId w:val="27"/>
  </w:num>
  <w:num w:numId="33">
    <w:abstractNumId w:val="33"/>
  </w:num>
  <w:num w:numId="34">
    <w:abstractNumId w:val="31"/>
  </w:num>
  <w:num w:numId="35">
    <w:abstractNumId w:val="34"/>
  </w:num>
  <w:num w:numId="36">
    <w:abstractNumId w:val="26"/>
  </w:num>
  <w:num w:numId="37">
    <w:abstractNumId w:val="24"/>
  </w:num>
  <w:num w:numId="38">
    <w:abstractNumId w:val="19"/>
  </w:num>
  <w:num w:numId="39">
    <w:abstractNumId w:val="30"/>
  </w:num>
  <w:num w:numId="40">
    <w:abstractNumId w:val="21"/>
  </w:num>
  <w:num w:numId="41">
    <w:abstractNumId w:val="29"/>
  </w:num>
  <w:num w:numId="42">
    <w:abstractNumId w:val="4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E1"/>
    <w:rsid w:val="00007097"/>
    <w:rsid w:val="00023E75"/>
    <w:rsid w:val="00056697"/>
    <w:rsid w:val="00075F63"/>
    <w:rsid w:val="00076ADB"/>
    <w:rsid w:val="00087C54"/>
    <w:rsid w:val="00090A63"/>
    <w:rsid w:val="000B2DBD"/>
    <w:rsid w:val="000B7ED4"/>
    <w:rsid w:val="000C339A"/>
    <w:rsid w:val="000D200E"/>
    <w:rsid w:val="00103412"/>
    <w:rsid w:val="00106D66"/>
    <w:rsid w:val="00122395"/>
    <w:rsid w:val="00136C40"/>
    <w:rsid w:val="0014748A"/>
    <w:rsid w:val="00161983"/>
    <w:rsid w:val="00166279"/>
    <w:rsid w:val="001710C5"/>
    <w:rsid w:val="001B048F"/>
    <w:rsid w:val="001C3552"/>
    <w:rsid w:val="001D12BB"/>
    <w:rsid w:val="001E0BC4"/>
    <w:rsid w:val="00202E9C"/>
    <w:rsid w:val="00215E1F"/>
    <w:rsid w:val="0022476C"/>
    <w:rsid w:val="00226B2F"/>
    <w:rsid w:val="002332FC"/>
    <w:rsid w:val="00235A78"/>
    <w:rsid w:val="00236073"/>
    <w:rsid w:val="00251231"/>
    <w:rsid w:val="00254BC3"/>
    <w:rsid w:val="00255898"/>
    <w:rsid w:val="00260269"/>
    <w:rsid w:val="0026610E"/>
    <w:rsid w:val="00266EB7"/>
    <w:rsid w:val="00274D7F"/>
    <w:rsid w:val="00275C9A"/>
    <w:rsid w:val="00275CD5"/>
    <w:rsid w:val="0027641E"/>
    <w:rsid w:val="002829B4"/>
    <w:rsid w:val="002A5CCB"/>
    <w:rsid w:val="002B2ECA"/>
    <w:rsid w:val="002B2EF5"/>
    <w:rsid w:val="002B3D24"/>
    <w:rsid w:val="002C05BE"/>
    <w:rsid w:val="002C6D18"/>
    <w:rsid w:val="002F2763"/>
    <w:rsid w:val="003030E1"/>
    <w:rsid w:val="00313692"/>
    <w:rsid w:val="00322C0E"/>
    <w:rsid w:val="00332FB7"/>
    <w:rsid w:val="0033626D"/>
    <w:rsid w:val="00345F91"/>
    <w:rsid w:val="00346889"/>
    <w:rsid w:val="003468F9"/>
    <w:rsid w:val="00347CB9"/>
    <w:rsid w:val="00356173"/>
    <w:rsid w:val="003574D9"/>
    <w:rsid w:val="003662AB"/>
    <w:rsid w:val="003666F1"/>
    <w:rsid w:val="00376460"/>
    <w:rsid w:val="00381ABD"/>
    <w:rsid w:val="003865B1"/>
    <w:rsid w:val="00386EF9"/>
    <w:rsid w:val="00395723"/>
    <w:rsid w:val="00397C9B"/>
    <w:rsid w:val="003A3F58"/>
    <w:rsid w:val="003C3EB9"/>
    <w:rsid w:val="003D38AC"/>
    <w:rsid w:val="003D478A"/>
    <w:rsid w:val="003D53DF"/>
    <w:rsid w:val="003E5F5F"/>
    <w:rsid w:val="003F0D00"/>
    <w:rsid w:val="003F4C0A"/>
    <w:rsid w:val="00407017"/>
    <w:rsid w:val="00410E1B"/>
    <w:rsid w:val="00420E14"/>
    <w:rsid w:val="004371BC"/>
    <w:rsid w:val="00441260"/>
    <w:rsid w:val="004451AB"/>
    <w:rsid w:val="00447E3D"/>
    <w:rsid w:val="004533D4"/>
    <w:rsid w:val="0046197E"/>
    <w:rsid w:val="0047731C"/>
    <w:rsid w:val="004865CC"/>
    <w:rsid w:val="004904C2"/>
    <w:rsid w:val="004A0747"/>
    <w:rsid w:val="004A3E4B"/>
    <w:rsid w:val="004B384D"/>
    <w:rsid w:val="004B540A"/>
    <w:rsid w:val="004C13F2"/>
    <w:rsid w:val="004E1496"/>
    <w:rsid w:val="004E39DD"/>
    <w:rsid w:val="004F2BE7"/>
    <w:rsid w:val="004F34CF"/>
    <w:rsid w:val="004F38A3"/>
    <w:rsid w:val="00501B71"/>
    <w:rsid w:val="0051460D"/>
    <w:rsid w:val="00535448"/>
    <w:rsid w:val="00536E2C"/>
    <w:rsid w:val="00536F5D"/>
    <w:rsid w:val="00562733"/>
    <w:rsid w:val="005635E9"/>
    <w:rsid w:val="00565771"/>
    <w:rsid w:val="005715B5"/>
    <w:rsid w:val="00577451"/>
    <w:rsid w:val="00583AE9"/>
    <w:rsid w:val="00592DC5"/>
    <w:rsid w:val="00593CC2"/>
    <w:rsid w:val="005A172F"/>
    <w:rsid w:val="005B214B"/>
    <w:rsid w:val="005C4174"/>
    <w:rsid w:val="005F47E8"/>
    <w:rsid w:val="00607741"/>
    <w:rsid w:val="00611026"/>
    <w:rsid w:val="0061149D"/>
    <w:rsid w:val="00633C2E"/>
    <w:rsid w:val="00635AFD"/>
    <w:rsid w:val="006400D7"/>
    <w:rsid w:val="00657D52"/>
    <w:rsid w:val="006616C0"/>
    <w:rsid w:val="00663DD7"/>
    <w:rsid w:val="0066664F"/>
    <w:rsid w:val="00672B82"/>
    <w:rsid w:val="006806ED"/>
    <w:rsid w:val="006A58CC"/>
    <w:rsid w:val="006C4CB0"/>
    <w:rsid w:val="006C7C1E"/>
    <w:rsid w:val="006D3258"/>
    <w:rsid w:val="006E07B4"/>
    <w:rsid w:val="006E6CE8"/>
    <w:rsid w:val="006F1D98"/>
    <w:rsid w:val="007003FF"/>
    <w:rsid w:val="007028AC"/>
    <w:rsid w:val="00722D5A"/>
    <w:rsid w:val="00730C91"/>
    <w:rsid w:val="00734DB7"/>
    <w:rsid w:val="007425E7"/>
    <w:rsid w:val="007461DA"/>
    <w:rsid w:val="0076273F"/>
    <w:rsid w:val="00763E42"/>
    <w:rsid w:val="00764104"/>
    <w:rsid w:val="00767D34"/>
    <w:rsid w:val="007703EA"/>
    <w:rsid w:val="00772D79"/>
    <w:rsid w:val="00781BE8"/>
    <w:rsid w:val="00783A74"/>
    <w:rsid w:val="007900B4"/>
    <w:rsid w:val="00794B8F"/>
    <w:rsid w:val="00795A6A"/>
    <w:rsid w:val="007A2441"/>
    <w:rsid w:val="007A4398"/>
    <w:rsid w:val="007C75FD"/>
    <w:rsid w:val="007D1153"/>
    <w:rsid w:val="007F2705"/>
    <w:rsid w:val="007F4016"/>
    <w:rsid w:val="00801398"/>
    <w:rsid w:val="00805ECA"/>
    <w:rsid w:val="00812408"/>
    <w:rsid w:val="00817E1A"/>
    <w:rsid w:val="00827F41"/>
    <w:rsid w:val="008411ED"/>
    <w:rsid w:val="00843D12"/>
    <w:rsid w:val="00843E05"/>
    <w:rsid w:val="00847012"/>
    <w:rsid w:val="0085094B"/>
    <w:rsid w:val="00852D4B"/>
    <w:rsid w:val="0086047F"/>
    <w:rsid w:val="008611BF"/>
    <w:rsid w:val="008628CC"/>
    <w:rsid w:val="00866F4A"/>
    <w:rsid w:val="00870325"/>
    <w:rsid w:val="00873236"/>
    <w:rsid w:val="00876131"/>
    <w:rsid w:val="00885AED"/>
    <w:rsid w:val="00886A77"/>
    <w:rsid w:val="008B1B02"/>
    <w:rsid w:val="008B4553"/>
    <w:rsid w:val="008B4BDB"/>
    <w:rsid w:val="008E3A39"/>
    <w:rsid w:val="008F2357"/>
    <w:rsid w:val="008F393A"/>
    <w:rsid w:val="009004EA"/>
    <w:rsid w:val="009016C4"/>
    <w:rsid w:val="00935AA9"/>
    <w:rsid w:val="009405AD"/>
    <w:rsid w:val="0094543F"/>
    <w:rsid w:val="00974FEC"/>
    <w:rsid w:val="009845B0"/>
    <w:rsid w:val="009B3AC8"/>
    <w:rsid w:val="009B4DA1"/>
    <w:rsid w:val="009D4259"/>
    <w:rsid w:val="00A039A2"/>
    <w:rsid w:val="00A1221B"/>
    <w:rsid w:val="00A26EDC"/>
    <w:rsid w:val="00A32197"/>
    <w:rsid w:val="00A34DBF"/>
    <w:rsid w:val="00A4475C"/>
    <w:rsid w:val="00A47AF6"/>
    <w:rsid w:val="00A551C7"/>
    <w:rsid w:val="00A71CA5"/>
    <w:rsid w:val="00A7545A"/>
    <w:rsid w:val="00A77740"/>
    <w:rsid w:val="00A81C5D"/>
    <w:rsid w:val="00A853BD"/>
    <w:rsid w:val="00AA0CCA"/>
    <w:rsid w:val="00AB08FF"/>
    <w:rsid w:val="00AC09F9"/>
    <w:rsid w:val="00AC2FCF"/>
    <w:rsid w:val="00AC76FE"/>
    <w:rsid w:val="00AD2C3B"/>
    <w:rsid w:val="00AD7B2E"/>
    <w:rsid w:val="00AE1C05"/>
    <w:rsid w:val="00AF76A8"/>
    <w:rsid w:val="00B062E4"/>
    <w:rsid w:val="00B15A35"/>
    <w:rsid w:val="00B2626B"/>
    <w:rsid w:val="00B352FB"/>
    <w:rsid w:val="00B3562F"/>
    <w:rsid w:val="00B5458F"/>
    <w:rsid w:val="00B7363F"/>
    <w:rsid w:val="00B803DC"/>
    <w:rsid w:val="00B85FE9"/>
    <w:rsid w:val="00BA1A84"/>
    <w:rsid w:val="00BA6D46"/>
    <w:rsid w:val="00BB1638"/>
    <w:rsid w:val="00BB53FB"/>
    <w:rsid w:val="00BC4D00"/>
    <w:rsid w:val="00BE0B60"/>
    <w:rsid w:val="00BE15DB"/>
    <w:rsid w:val="00BE7985"/>
    <w:rsid w:val="00BE7AFC"/>
    <w:rsid w:val="00C16963"/>
    <w:rsid w:val="00C31D46"/>
    <w:rsid w:val="00C77F0D"/>
    <w:rsid w:val="00C859B3"/>
    <w:rsid w:val="00C909B1"/>
    <w:rsid w:val="00CB5C1F"/>
    <w:rsid w:val="00CC161F"/>
    <w:rsid w:val="00CC7ADF"/>
    <w:rsid w:val="00CE0E8F"/>
    <w:rsid w:val="00CE33A8"/>
    <w:rsid w:val="00D03107"/>
    <w:rsid w:val="00D05757"/>
    <w:rsid w:val="00D135D4"/>
    <w:rsid w:val="00D40E9C"/>
    <w:rsid w:val="00D4325D"/>
    <w:rsid w:val="00D446FA"/>
    <w:rsid w:val="00D66D69"/>
    <w:rsid w:val="00D703A6"/>
    <w:rsid w:val="00D7299F"/>
    <w:rsid w:val="00D843F6"/>
    <w:rsid w:val="00D96977"/>
    <w:rsid w:val="00DA0E6D"/>
    <w:rsid w:val="00DA60D8"/>
    <w:rsid w:val="00DB0EDE"/>
    <w:rsid w:val="00DB2399"/>
    <w:rsid w:val="00DC65B8"/>
    <w:rsid w:val="00DC6E6E"/>
    <w:rsid w:val="00DC72A3"/>
    <w:rsid w:val="00DD0904"/>
    <w:rsid w:val="00DD6252"/>
    <w:rsid w:val="00DE0876"/>
    <w:rsid w:val="00DF5F5A"/>
    <w:rsid w:val="00E06AAD"/>
    <w:rsid w:val="00E104B0"/>
    <w:rsid w:val="00E13944"/>
    <w:rsid w:val="00E13E0C"/>
    <w:rsid w:val="00E1674C"/>
    <w:rsid w:val="00E268BF"/>
    <w:rsid w:val="00E80C59"/>
    <w:rsid w:val="00E875A2"/>
    <w:rsid w:val="00E87D30"/>
    <w:rsid w:val="00E94F59"/>
    <w:rsid w:val="00EB1313"/>
    <w:rsid w:val="00EC1E7D"/>
    <w:rsid w:val="00ED6B76"/>
    <w:rsid w:val="00EF0EEF"/>
    <w:rsid w:val="00EF12CF"/>
    <w:rsid w:val="00EF4898"/>
    <w:rsid w:val="00EF7476"/>
    <w:rsid w:val="00F051D6"/>
    <w:rsid w:val="00F0714A"/>
    <w:rsid w:val="00F21FBB"/>
    <w:rsid w:val="00F310FD"/>
    <w:rsid w:val="00F3707C"/>
    <w:rsid w:val="00F45872"/>
    <w:rsid w:val="00F50976"/>
    <w:rsid w:val="00F54B7C"/>
    <w:rsid w:val="00F607F2"/>
    <w:rsid w:val="00F62EC3"/>
    <w:rsid w:val="00F80F14"/>
    <w:rsid w:val="00F82CD1"/>
    <w:rsid w:val="00F834ED"/>
    <w:rsid w:val="00F8377C"/>
    <w:rsid w:val="00FB37B5"/>
    <w:rsid w:val="00FC55E7"/>
    <w:rsid w:val="00FD028E"/>
    <w:rsid w:val="00FD45CC"/>
    <w:rsid w:val="00FE11D8"/>
    <w:rsid w:val="00FE5416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C4F1649F-05C3-4AA7-B294-58B74961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3030E1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30E1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030E1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030E1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locked/>
    <w:rsid w:val="003030E1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locked/>
    <w:rsid w:val="003030E1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locked/>
    <w:rsid w:val="003030E1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locked/>
    <w:rsid w:val="003030E1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locked/>
    <w:rsid w:val="003030E1"/>
    <w:rPr>
      <w:rFonts w:ascii="Times New Roman" w:hAnsi="Times New Roman"/>
      <w:b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3030E1"/>
    <w:pPr>
      <w:keepNext/>
      <w:keepLines/>
      <w:spacing w:before="720" w:after="120" w:line="280" w:lineRule="exact"/>
      <w:jc w:val="center"/>
    </w:pPr>
    <w:rPr>
      <w:b/>
      <w:lang w:val="fr-FR"/>
    </w:rPr>
  </w:style>
  <w:style w:type="character" w:customStyle="1" w:styleId="HeaderChar">
    <w:name w:val="Header Char"/>
    <w:aliases w:val="encabezado Char,Page No Char"/>
    <w:basedOn w:val="DefaultParagraphFont"/>
    <w:link w:val="Header"/>
    <w:locked/>
    <w:rsid w:val="003030E1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030E1"/>
    <w:rPr>
      <w:rFonts w:ascii="Times New Roman" w:hAnsi="Times New Roman"/>
      <w:sz w:val="24"/>
      <w:lang w:val="es-ES_tradnl" w:eastAsia="en-US"/>
    </w:rPr>
  </w:style>
  <w:style w:type="paragraph" w:styleId="TOC9">
    <w:name w:val="toc 9"/>
    <w:basedOn w:val="TOC3"/>
    <w:uiPriority w:val="39"/>
    <w:rsid w:val="003030E1"/>
    <w:pPr>
      <w:keepLines w:val="0"/>
      <w:tabs>
        <w:tab w:val="clear" w:pos="964"/>
        <w:tab w:val="clear" w:pos="8789"/>
        <w:tab w:val="clear" w:pos="9639"/>
        <w:tab w:val="left" w:pos="2041"/>
        <w:tab w:val="right" w:leader="dot" w:pos="9072"/>
        <w:tab w:val="right" w:pos="9730"/>
      </w:tabs>
      <w:spacing w:before="0"/>
      <w:ind w:left="2041" w:right="652" w:hanging="907"/>
      <w:jc w:val="both"/>
    </w:pPr>
    <w:rPr>
      <w:sz w:val="22"/>
      <w:lang w:val="fr-FR"/>
    </w:rPr>
  </w:style>
  <w:style w:type="paragraph" w:customStyle="1" w:styleId="Headingpart">
    <w:name w:val="Heading_part"/>
    <w:basedOn w:val="Heading1"/>
    <w:next w:val="Participants"/>
    <w:uiPriority w:val="99"/>
    <w:rsid w:val="003030E1"/>
    <w:pPr>
      <w:spacing w:before="480" w:after="120" w:line="320" w:lineRule="exact"/>
      <w:jc w:val="both"/>
    </w:pPr>
    <w:rPr>
      <w:sz w:val="22"/>
      <w:lang w:val="fr-FR"/>
    </w:rPr>
  </w:style>
  <w:style w:type="paragraph" w:customStyle="1" w:styleId="AppendixNoTitle0">
    <w:name w:val="Appendix_NoTitle"/>
    <w:basedOn w:val="AnnexNoTitle0"/>
    <w:next w:val="Normalaftertitle"/>
    <w:uiPriority w:val="99"/>
    <w:rsid w:val="003030E1"/>
  </w:style>
  <w:style w:type="paragraph" w:customStyle="1" w:styleId="FigureNoTitle0">
    <w:name w:val="Figure_NoTitle"/>
    <w:basedOn w:val="Normal"/>
    <w:next w:val="Normalaftertitle"/>
    <w:uiPriority w:val="99"/>
    <w:rsid w:val="003030E1"/>
    <w:pPr>
      <w:keepLines/>
      <w:spacing w:before="240" w:after="120" w:line="280" w:lineRule="exact"/>
      <w:jc w:val="center"/>
    </w:pPr>
    <w:rPr>
      <w:b/>
      <w:sz w:val="22"/>
      <w:lang w:val="fr-FR"/>
    </w:rPr>
  </w:style>
  <w:style w:type="paragraph" w:customStyle="1" w:styleId="TableNoTitle0">
    <w:name w:val="Table_NoTitle"/>
    <w:basedOn w:val="Normal"/>
    <w:next w:val="Tablehead"/>
    <w:uiPriority w:val="99"/>
    <w:rsid w:val="003030E1"/>
    <w:pPr>
      <w:keepNext/>
      <w:keepLines/>
      <w:spacing w:before="360" w:after="120" w:line="240" w:lineRule="exact"/>
      <w:jc w:val="center"/>
    </w:pPr>
    <w:rPr>
      <w:b/>
      <w:sz w:val="20"/>
      <w:lang w:val="fr-FR"/>
    </w:rPr>
  </w:style>
  <w:style w:type="character" w:styleId="Hyperlink">
    <w:name w:val="Hyperlink"/>
    <w:basedOn w:val="DefaultParagraphFont"/>
    <w:uiPriority w:val="99"/>
    <w:rsid w:val="003030E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030E1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3030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3030E1"/>
    <w:pPr>
      <w:spacing w:before="160" w:line="280" w:lineRule="exact"/>
      <w:jc w:val="both"/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3030E1"/>
    <w:rPr>
      <w:rFonts w:ascii="Times New Roman" w:hAnsi="Times New Roman"/>
      <w:lang w:val="es-ES_tradnl" w:eastAsia="en-US"/>
    </w:rPr>
  </w:style>
  <w:style w:type="paragraph" w:customStyle="1" w:styleId="Headingparti">
    <w:name w:val="Heading_part_i"/>
    <w:basedOn w:val="Headingpart"/>
    <w:next w:val="Normal"/>
    <w:uiPriority w:val="99"/>
    <w:rsid w:val="003030E1"/>
    <w:pPr>
      <w:spacing w:before="120" w:after="60" w:line="280" w:lineRule="exact"/>
    </w:pPr>
    <w:rPr>
      <w:b w:val="0"/>
      <w:i/>
    </w:rPr>
  </w:style>
  <w:style w:type="paragraph" w:customStyle="1" w:styleId="NormalIndent">
    <w:name w:val="Normal_Indent"/>
    <w:basedOn w:val="Normal"/>
    <w:uiPriority w:val="99"/>
    <w:rsid w:val="003030E1"/>
    <w:pPr>
      <w:spacing w:line="280" w:lineRule="exact"/>
      <w:ind w:left="794"/>
    </w:pPr>
    <w:rPr>
      <w:sz w:val="22"/>
      <w:lang w:val="fr-FR"/>
    </w:rPr>
  </w:style>
  <w:style w:type="paragraph" w:customStyle="1" w:styleId="Participants">
    <w:name w:val="Participants"/>
    <w:basedOn w:val="Normal"/>
    <w:uiPriority w:val="99"/>
    <w:rsid w:val="003030E1"/>
    <w:pPr>
      <w:tabs>
        <w:tab w:val="clear" w:pos="794"/>
        <w:tab w:val="clear" w:pos="1588"/>
      </w:tabs>
      <w:spacing w:before="0"/>
      <w:ind w:left="1191"/>
      <w:jc w:val="both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3030E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"/>
      <w:lang w:val="en-US"/>
    </w:rPr>
  </w:style>
  <w:style w:type="paragraph" w:customStyle="1" w:styleId="Annexref">
    <w:name w:val="Annex_ref"/>
    <w:basedOn w:val="Normal"/>
    <w:next w:val="Annextitle"/>
    <w:uiPriority w:val="99"/>
    <w:rsid w:val="003030E1"/>
    <w:pPr>
      <w:spacing w:before="0"/>
      <w:jc w:val="center"/>
    </w:pPr>
    <w:rPr>
      <w:sz w:val="22"/>
      <w:lang w:val="en-GB"/>
    </w:rPr>
  </w:style>
  <w:style w:type="paragraph" w:customStyle="1" w:styleId="Annextitle">
    <w:name w:val="Annex_title"/>
    <w:basedOn w:val="Normal"/>
    <w:next w:val="Normal"/>
    <w:uiPriority w:val="99"/>
    <w:rsid w:val="003030E1"/>
    <w:pPr>
      <w:spacing w:before="136" w:after="68"/>
      <w:jc w:val="center"/>
    </w:pPr>
    <w:rPr>
      <w:b/>
      <w:lang w:val="en-GB"/>
    </w:rPr>
  </w:style>
  <w:style w:type="paragraph" w:customStyle="1" w:styleId="Appendixref">
    <w:name w:val="Appendix_ref"/>
    <w:basedOn w:val="Annexref"/>
    <w:next w:val="Normalaftertitle"/>
    <w:uiPriority w:val="99"/>
    <w:rsid w:val="003030E1"/>
  </w:style>
  <w:style w:type="character" w:customStyle="1" w:styleId="FooterChar">
    <w:name w:val="Footer Char"/>
    <w:basedOn w:val="DefaultParagraphFont"/>
    <w:link w:val="Footer"/>
    <w:uiPriority w:val="99"/>
    <w:locked/>
    <w:rsid w:val="003030E1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Sujet">
    <w:name w:val="Sujet"/>
    <w:basedOn w:val="Normal"/>
    <w:uiPriority w:val="99"/>
    <w:rsid w:val="003030E1"/>
    <w:pPr>
      <w:tabs>
        <w:tab w:val="clear" w:pos="794"/>
        <w:tab w:val="clear" w:pos="1191"/>
        <w:tab w:val="clear" w:pos="1588"/>
        <w:tab w:val="clear" w:pos="1985"/>
      </w:tabs>
      <w:spacing w:before="136"/>
      <w:ind w:left="1418"/>
    </w:pPr>
    <w:rPr>
      <w:rFonts w:ascii="Arial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030E1"/>
    <w:pPr>
      <w:tabs>
        <w:tab w:val="clear" w:pos="794"/>
        <w:tab w:val="clear" w:pos="1191"/>
        <w:tab w:val="clear" w:pos="1588"/>
        <w:tab w:val="clear" w:pos="1985"/>
      </w:tabs>
      <w:spacing w:before="0" w:after="57" w:line="12" w:lineRule="exact"/>
    </w:pPr>
    <w:rPr>
      <w:b w:val="0"/>
      <w:sz w:val="8"/>
    </w:rPr>
  </w:style>
  <w:style w:type="paragraph" w:customStyle="1" w:styleId="Tabletitle">
    <w:name w:val="Table_title"/>
    <w:basedOn w:val="Normal"/>
    <w:next w:val="Blanc0"/>
    <w:uiPriority w:val="99"/>
    <w:rsid w:val="003030E1"/>
    <w:pPr>
      <w:keepNext/>
      <w:spacing w:before="240" w:after="113"/>
      <w:jc w:val="center"/>
    </w:pPr>
    <w:rPr>
      <w:rFonts w:cs="Times New Roman Bold"/>
      <w:b/>
      <w:sz w:val="22"/>
      <w:lang w:val="en-GB"/>
    </w:rPr>
  </w:style>
  <w:style w:type="paragraph" w:customStyle="1" w:styleId="Figuretitle">
    <w:name w:val="Figure_title"/>
    <w:basedOn w:val="Tabletitle"/>
    <w:next w:val="Normal"/>
    <w:uiPriority w:val="99"/>
    <w:rsid w:val="003030E1"/>
    <w:pPr>
      <w:keepNext w:val="0"/>
      <w:spacing w:after="240"/>
    </w:pPr>
  </w:style>
  <w:style w:type="paragraph" w:customStyle="1" w:styleId="Tablefin">
    <w:name w:val="Table_fin"/>
    <w:basedOn w:val="Normal"/>
    <w:next w:val="Normal"/>
    <w:uiPriority w:val="99"/>
    <w:rsid w:val="003030E1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sz w:val="12"/>
      <w:lang w:val="en-GB"/>
    </w:rPr>
  </w:style>
  <w:style w:type="paragraph" w:customStyle="1" w:styleId="Appendixtitle">
    <w:name w:val="Appendix_title"/>
    <w:basedOn w:val="Annextitle"/>
    <w:next w:val="Appendixref"/>
    <w:uiPriority w:val="99"/>
    <w:rsid w:val="003030E1"/>
  </w:style>
  <w:style w:type="paragraph" w:customStyle="1" w:styleId="TableNo">
    <w:name w:val="Table_No"/>
    <w:basedOn w:val="Normal"/>
    <w:next w:val="Tabletitle"/>
    <w:uiPriority w:val="99"/>
    <w:rsid w:val="003030E1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rFonts w:ascii="Times" w:hAnsi="Times"/>
      <w:sz w:val="20"/>
      <w:lang w:val="en-US"/>
    </w:rPr>
  </w:style>
  <w:style w:type="paragraph" w:customStyle="1" w:styleId="CouvrecNo">
    <w:name w:val="Couv_rec_No"/>
    <w:basedOn w:val="Normal"/>
    <w:uiPriority w:val="99"/>
    <w:rsid w:val="003030E1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  <w:jc w:val="both"/>
    </w:pPr>
    <w:rPr>
      <w:rFonts w:ascii="Arial" w:hAnsi="Arial"/>
      <w:sz w:val="32"/>
      <w:lang w:val="en-GB"/>
    </w:rPr>
  </w:style>
  <w:style w:type="paragraph" w:customStyle="1" w:styleId="Couvrectitle">
    <w:name w:val="Couv_rec_title"/>
    <w:basedOn w:val="Normal"/>
    <w:uiPriority w:val="99"/>
    <w:rsid w:val="003030E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</w:pPr>
    <w:rPr>
      <w:rFonts w:ascii="Arial" w:hAnsi="Arial"/>
      <w:b/>
      <w:sz w:val="36"/>
      <w:lang w:val="en-GB"/>
    </w:rPr>
  </w:style>
  <w:style w:type="paragraph" w:customStyle="1" w:styleId="RecCCITTNo">
    <w:name w:val="Rec_CCITT_No"/>
    <w:basedOn w:val="Normal"/>
    <w:uiPriority w:val="99"/>
    <w:rsid w:val="003030E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lang w:val="en-GB"/>
    </w:rPr>
  </w:style>
  <w:style w:type="paragraph" w:customStyle="1" w:styleId="ASN1continue">
    <w:name w:val="ASN.1_continue"/>
    <w:basedOn w:val="ASN1"/>
    <w:uiPriority w:val="99"/>
    <w:rsid w:val="003030E1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uiPriority w:val="99"/>
    <w:rsid w:val="003030E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  <w:jc w:val="both"/>
    </w:pPr>
    <w:rPr>
      <w:rFonts w:ascii="Arial" w:hAnsi="Arial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3030E1"/>
    <w:pPr>
      <w:spacing w:before="840" w:after="480"/>
      <w:jc w:val="center"/>
    </w:pPr>
    <w:rPr>
      <w:b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3030E1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uiPriority w:val="99"/>
    <w:rsid w:val="003030E1"/>
    <w:pPr>
      <w:spacing w:before="960" w:after="240"/>
      <w:jc w:val="right"/>
    </w:pPr>
    <w:rPr>
      <w:rFonts w:ascii="C39T36Lfz" w:hAnsi="C39T36Lfz"/>
      <w:sz w:val="104"/>
      <w:lang w:val="en-GB"/>
    </w:rPr>
  </w:style>
  <w:style w:type="paragraph" w:customStyle="1" w:styleId="ASN1italic">
    <w:name w:val="ASN.1_italic"/>
    <w:basedOn w:val="ASN1"/>
    <w:uiPriority w:val="99"/>
    <w:rsid w:val="003030E1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igureNo">
    <w:name w:val="Figure_No"/>
    <w:basedOn w:val="Normal"/>
    <w:next w:val="Figuretitle"/>
    <w:rsid w:val="003030E1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sz w:val="20"/>
      <w:lang w:val="en-GB"/>
    </w:rPr>
  </w:style>
  <w:style w:type="paragraph" w:customStyle="1" w:styleId="foot">
    <w:name w:val="foot"/>
    <w:basedOn w:val="Normal"/>
    <w:next w:val="Heading1"/>
    <w:uiPriority w:val="99"/>
    <w:rsid w:val="003030E1"/>
    <w:pPr>
      <w:spacing w:before="0"/>
      <w:jc w:val="both"/>
    </w:pPr>
    <w:rPr>
      <w:color w:val="FF0000"/>
      <w:sz w:val="20"/>
      <w:lang w:val="en-GB"/>
    </w:rPr>
  </w:style>
  <w:style w:type="paragraph" w:customStyle="1" w:styleId="Note1">
    <w:name w:val="Note 1"/>
    <w:basedOn w:val="Normal"/>
    <w:uiPriority w:val="99"/>
    <w:rsid w:val="003030E1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  <w:jc w:val="both"/>
    </w:pPr>
    <w:rPr>
      <w:sz w:val="20"/>
      <w:lang w:val="en-GB"/>
    </w:rPr>
  </w:style>
  <w:style w:type="paragraph" w:customStyle="1" w:styleId="Note2">
    <w:name w:val="Note 2"/>
    <w:basedOn w:val="Note1"/>
    <w:uiPriority w:val="99"/>
    <w:rsid w:val="003030E1"/>
    <w:pPr>
      <w:ind w:left="1077"/>
    </w:pPr>
  </w:style>
  <w:style w:type="paragraph" w:customStyle="1" w:styleId="Note3">
    <w:name w:val="Note 3"/>
    <w:basedOn w:val="Note1"/>
    <w:uiPriority w:val="99"/>
    <w:rsid w:val="003030E1"/>
    <w:pPr>
      <w:ind w:left="1474"/>
    </w:pPr>
  </w:style>
  <w:style w:type="paragraph" w:customStyle="1" w:styleId="RecISONo">
    <w:name w:val="Rec_ISO_No"/>
    <w:basedOn w:val="Normal"/>
    <w:uiPriority w:val="99"/>
    <w:rsid w:val="003030E1"/>
    <w:pPr>
      <w:keepNext/>
      <w:keepLines/>
      <w:spacing w:before="720"/>
    </w:pPr>
    <w:rPr>
      <w:b/>
      <w:sz w:val="20"/>
      <w:lang w:val="en-GB"/>
    </w:rPr>
  </w:style>
  <w:style w:type="character" w:customStyle="1" w:styleId="href">
    <w:name w:val="href"/>
    <w:basedOn w:val="DefaultParagraphFont"/>
    <w:uiPriority w:val="99"/>
    <w:rsid w:val="003030E1"/>
    <w:rPr>
      <w:rFonts w:cs="Times New Roman"/>
      <w:lang w:val="fr-FR"/>
    </w:rPr>
  </w:style>
  <w:style w:type="paragraph" w:customStyle="1" w:styleId="headingb0">
    <w:name w:val="heading_b"/>
    <w:basedOn w:val="Heading3"/>
    <w:next w:val="Normal"/>
    <w:rsid w:val="003030E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sz w:val="22"/>
      <w:lang w:val="en-GB"/>
    </w:rPr>
  </w:style>
  <w:style w:type="paragraph" w:customStyle="1" w:styleId="TableLegend0">
    <w:name w:val="Table_Legend"/>
    <w:basedOn w:val="Normal"/>
    <w:next w:val="Normal"/>
    <w:rsid w:val="003030E1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jc w:val="both"/>
      <w:textAlignment w:val="auto"/>
    </w:pPr>
    <w:rPr>
      <w:sz w:val="18"/>
      <w:lang w:val="en-GB"/>
    </w:rPr>
  </w:style>
  <w:style w:type="paragraph" w:customStyle="1" w:styleId="AnnexRef0">
    <w:name w:val="Annex_Ref"/>
    <w:basedOn w:val="Normal"/>
    <w:next w:val="Normal"/>
    <w:uiPriority w:val="99"/>
    <w:rsid w:val="003030E1"/>
    <w:pPr>
      <w:overflowPunct/>
      <w:autoSpaceDE/>
      <w:autoSpaceDN/>
      <w:adjustRightInd/>
      <w:spacing w:before="0"/>
      <w:jc w:val="center"/>
      <w:textAlignment w:val="auto"/>
    </w:pPr>
    <w:rPr>
      <w:sz w:val="20"/>
      <w:lang w:val="en-GB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3030E1"/>
    <w:rPr>
      <w:rFonts w:ascii="Times New Roman" w:hAnsi="Times New Roman"/>
      <w:sz w:val="24"/>
      <w:lang w:val="es-ES_tradnl" w:eastAsia="en-US"/>
    </w:rPr>
  </w:style>
  <w:style w:type="character" w:customStyle="1" w:styleId="italic">
    <w:name w:val="italic"/>
    <w:basedOn w:val="DefaultParagraphFont"/>
    <w:uiPriority w:val="99"/>
    <w:rsid w:val="003030E1"/>
    <w:rPr>
      <w:rFonts w:cs="Times New Roman"/>
      <w:i/>
    </w:rPr>
  </w:style>
  <w:style w:type="paragraph" w:customStyle="1" w:styleId="NormalITU">
    <w:name w:val="Normal_ITU"/>
    <w:basedOn w:val="Normal"/>
    <w:rsid w:val="003030E1"/>
    <w:pPr>
      <w:tabs>
        <w:tab w:val="clear" w:pos="794"/>
        <w:tab w:val="clear" w:pos="1191"/>
        <w:tab w:val="clear" w:pos="1588"/>
        <w:tab w:val="clear" w:pos="1985"/>
      </w:tabs>
      <w:overflowPunct/>
      <w:textAlignment w:val="auto"/>
    </w:pPr>
    <w:rPr>
      <w:rFonts w:eastAsia="MS Mincho" w:cs="Arial"/>
      <w:lang w:val="en-US"/>
    </w:rPr>
  </w:style>
  <w:style w:type="paragraph" w:styleId="BalloonText">
    <w:name w:val="Balloon Text"/>
    <w:basedOn w:val="Normal"/>
    <w:link w:val="BalloonTextChar"/>
    <w:rsid w:val="003030E1"/>
    <w:pPr>
      <w:overflowPunct/>
      <w:autoSpaceDE/>
      <w:autoSpaceDN/>
      <w:adjustRightInd/>
      <w:spacing w:before="136"/>
      <w:jc w:val="both"/>
      <w:textAlignment w:val="auto"/>
    </w:pPr>
    <w:rPr>
      <w:rFonts w:ascii="Tahoma" w:eastAsia="MS Mincho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3030E1"/>
    <w:rPr>
      <w:rFonts w:ascii="Tahoma" w:eastAsia="MS Mincho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30E1"/>
    <w:pPr>
      <w:overflowPunct/>
      <w:autoSpaceDE/>
      <w:autoSpaceDN/>
      <w:adjustRightInd/>
      <w:spacing w:before="136" w:line="240" w:lineRule="auto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30E1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3030E1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3030E1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30E1"/>
    <w:rPr>
      <w:rFonts w:ascii="Courier New" w:eastAsia="SimSun" w:hAnsi="Courier New" w:cs="Courier New"/>
      <w:lang w:val="fr-FR"/>
    </w:rPr>
  </w:style>
  <w:style w:type="paragraph" w:customStyle="1" w:styleId="TableHead0">
    <w:name w:val="Table_Head"/>
    <w:basedOn w:val="Tabletext"/>
    <w:rsid w:val="003030E1"/>
    <w:pPr>
      <w:spacing w:before="113" w:after="113"/>
      <w:jc w:val="center"/>
    </w:pPr>
    <w:rPr>
      <w:b/>
      <w:bCs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3030E1"/>
  </w:style>
  <w:style w:type="character" w:customStyle="1" w:styleId="DateChar">
    <w:name w:val="Date Char"/>
    <w:basedOn w:val="DefaultParagraphFont"/>
    <w:link w:val="Date"/>
    <w:rsid w:val="003030E1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3030E1"/>
    <w:pPr>
      <w:ind w:left="720"/>
      <w:contextualSpacing/>
    </w:pPr>
  </w:style>
  <w:style w:type="paragraph" w:customStyle="1" w:styleId="Reasons">
    <w:name w:val="Reasons"/>
    <w:basedOn w:val="Normal"/>
    <w:qFormat/>
    <w:rsid w:val="00410E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ps">
    <w:name w:val="hps"/>
    <w:basedOn w:val="DefaultParagraphFont"/>
    <w:rsid w:val="00781BE8"/>
  </w:style>
  <w:style w:type="character" w:customStyle="1" w:styleId="RecNoChar">
    <w:name w:val="Rec_No Char"/>
    <w:basedOn w:val="DefaultParagraphFont"/>
    <w:link w:val="RecNo"/>
    <w:uiPriority w:val="99"/>
    <w:rsid w:val="00F54B7C"/>
    <w:rPr>
      <w:rFonts w:ascii="Times New Roman" w:hAnsi="Times New Roman"/>
      <w:b/>
      <w:sz w:val="28"/>
      <w:lang w:val="es-ES_tradnl" w:eastAsia="en-US"/>
    </w:rPr>
  </w:style>
  <w:style w:type="paragraph" w:customStyle="1" w:styleId="RecTitle0">
    <w:name w:val="Rec_Title"/>
    <w:basedOn w:val="Normal"/>
    <w:rsid w:val="00E87D30"/>
    <w:pPr>
      <w:keepNext/>
      <w:keepLines/>
      <w:spacing w:before="240"/>
      <w:jc w:val="center"/>
    </w:pPr>
    <w:rPr>
      <w:b/>
      <w:lang w:val="es-ES"/>
    </w:rPr>
  </w:style>
  <w:style w:type="paragraph" w:customStyle="1" w:styleId="Rec">
    <w:name w:val="Rec_#"/>
    <w:basedOn w:val="Normal"/>
    <w:next w:val="RecTitle0"/>
    <w:rsid w:val="00E87D30"/>
    <w:pPr>
      <w:keepNext/>
      <w:keepLines/>
      <w:spacing w:before="480"/>
    </w:pPr>
    <w:rPr>
      <w:b/>
      <w:lang w:val="es-ES"/>
    </w:rPr>
  </w:style>
  <w:style w:type="paragraph" w:customStyle="1" w:styleId="RecCCITT">
    <w:name w:val="Rec_CCITT_#"/>
    <w:basedOn w:val="Normal"/>
    <w:rsid w:val="00E87D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lang w:val="es-ES"/>
    </w:rPr>
  </w:style>
  <w:style w:type="paragraph" w:customStyle="1" w:styleId="RecRef0">
    <w:name w:val="Rec_Ref"/>
    <w:basedOn w:val="Normal"/>
    <w:next w:val="Heading1"/>
    <w:rsid w:val="00E87D30"/>
    <w:pPr>
      <w:keepNext/>
      <w:keepLines/>
      <w:jc w:val="center"/>
    </w:pPr>
    <w:rPr>
      <w:i/>
      <w:lang w:val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C859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vino\Application%20Data\Microsoft\Templates\POOL%20S%20-%20ITU\PS_TSB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0BA813B25F406C979EE43D41020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B8CAB-0F46-4809-B56C-CA2A733A3216}"/>
      </w:docPartPr>
      <w:docPartBody>
        <w:p w:rsidR="00B34AB5" w:rsidRDefault="00C80996" w:rsidP="00C80996">
          <w:pPr>
            <w:pStyle w:val="D10BA813B25F406C979EE43D41020C4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C637D19C344449EBC18F7B3FDD1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3786D-7FF3-43A1-9B62-36268E713939}"/>
      </w:docPartPr>
      <w:docPartBody>
        <w:p w:rsidR="00B34AB5" w:rsidRDefault="00C80996" w:rsidP="00C80996">
          <w:pPr>
            <w:pStyle w:val="DC637D19C344449EBC18F7B3FDD19AE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E2E795027E40C186849C791248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62E32-9252-4619-9072-549BBEB0C255}"/>
      </w:docPartPr>
      <w:docPartBody>
        <w:p w:rsidR="00B34AB5" w:rsidRDefault="00C80996" w:rsidP="00C80996">
          <w:pPr>
            <w:pStyle w:val="5EE2E795027E40C186849C791248DD8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96"/>
    <w:rsid w:val="00B34AB5"/>
    <w:rsid w:val="00C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0996"/>
  </w:style>
  <w:style w:type="paragraph" w:customStyle="1" w:styleId="D10BA813B25F406C979EE43D41020C42">
    <w:name w:val="D10BA813B25F406C979EE43D41020C42"/>
    <w:rsid w:val="00C80996"/>
  </w:style>
  <w:style w:type="paragraph" w:customStyle="1" w:styleId="DC637D19C344449EBC18F7B3FDD19AE6">
    <w:name w:val="DC637D19C344449EBC18F7B3FDD19AE6"/>
    <w:rsid w:val="00C80996"/>
  </w:style>
  <w:style w:type="paragraph" w:customStyle="1" w:styleId="5EE2E795027E40C186849C791248DD80">
    <w:name w:val="5EE2E795027E40C186849C791248DD80"/>
    <w:rsid w:val="00C80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E9B8-0B66-40B7-ACB4-90BBB6B8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PS_TSB.dotm</Template>
  <TotalTime>1</TotalTime>
  <Pages>10</Pages>
  <Words>2271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De La Rosa Trivino, Maria Dolores</dc:creator>
  <cp:lastModifiedBy>Al-Mnini, Lara</cp:lastModifiedBy>
  <cp:revision>3</cp:revision>
  <cp:lastPrinted>2019-01-22T15:16:00Z</cp:lastPrinted>
  <dcterms:created xsi:type="dcterms:W3CDTF">2019-02-27T13:24:00Z</dcterms:created>
  <dcterms:modified xsi:type="dcterms:W3CDTF">2019-02-27T13:25:00Z</dcterms:modified>
</cp:coreProperties>
</file>