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7959A869" w:rsidR="00691C94" w:rsidRPr="00314630" w:rsidRDefault="00CD52EB" w:rsidP="0047569C">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5F7D8D">
                  <w:rPr>
                    <w:lang w:val="en-US"/>
                  </w:rPr>
                  <w:t>TSAG</w:t>
                </w:r>
                <w:r w:rsidR="00691C94" w:rsidRPr="005F7D8D">
                  <w:rPr>
                    <w:lang w:val="en-US"/>
                  </w:rPr>
                  <w:t>-C.</w:t>
                </w:r>
                <w:r w:rsidR="0047569C">
                  <w:rPr>
                    <w:lang w:val="en-US"/>
                  </w:rPr>
                  <w:t>22</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4D67BACE" w:rsidR="00691C94" w:rsidRPr="0037415F" w:rsidRDefault="00CD52EB" w:rsidP="00CD52EB">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t>1</w:t>
                </w:r>
                <w:r w:rsidR="00D66C41">
                  <w:t>–4 May 2017</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CD52EB"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0C733449" w:rsidR="00691C94" w:rsidRDefault="00D66C41" w:rsidP="00691C94">
                <w:r>
                  <w:t>Russian Federation</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682FAA1E" w:rsidR="00691C94" w:rsidRPr="0037415F" w:rsidRDefault="00CD52EB" w:rsidP="00C4650F">
            <w:sdt>
              <w:sdtPr>
                <w:rPr>
                  <w:lang w:val="en-US"/>
                </w:r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2F2FF5" w:rsidRPr="004D1ACB">
                  <w:rPr>
                    <w:lang w:val="en-US"/>
                  </w:rPr>
                  <w:t>On ITU-T SGs and TSAG activities in regard to consideration ITR issues</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5454423B" w14:textId="6F347F64" w:rsidR="00691C94" w:rsidRPr="00B4174C" w:rsidRDefault="0037373C" w:rsidP="00691C94">
                <w:r>
                  <w:t>Proposal</w:t>
                </w:r>
              </w:p>
            </w:tc>
          </w:sdtContent>
        </w:sdt>
      </w:tr>
      <w:tr w:rsidR="00650417" w:rsidRPr="0037415F"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50417" w:rsidRPr="008F7104" w:rsidRDefault="00650417"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253C68B9" w:rsidR="00650417" w:rsidRPr="00650417" w:rsidRDefault="00CD52EB" w:rsidP="00650417">
            <w:pPr>
              <w:rPr>
                <w:lang w:val="en-US"/>
              </w:rPr>
            </w:pPr>
            <w:sdt>
              <w:sdtPr>
                <w:rPr>
                  <w:lang w:val="en-US"/>
                </w:rPr>
                <w:alias w:val="ContactNameOrgCountry"/>
                <w:tag w:val="ContactNameOrgCountry"/>
                <w:id w:val="-450624836"/>
                <w:placeholder>
                  <w:docPart w:val="5E08607CCF044DD3A515AE3C2C01207D"/>
                </w:placeholder>
                <w:text w:multiLine="1"/>
              </w:sdtPr>
              <w:sdtEndPr/>
              <w:sdtContent>
                <w:r w:rsidR="00650417" w:rsidRPr="00650417">
                  <w:rPr>
                    <w:lang w:val="en-US"/>
                  </w:rPr>
                  <w:t>Evgeny Tonkikh</w:t>
                </w:r>
                <w:r w:rsidR="00650417" w:rsidRPr="00650417">
                  <w:rPr>
                    <w:lang w:val="en-US"/>
                  </w:rPr>
                  <w:br/>
                  <w:t>Russian administration</w:t>
                </w:r>
                <w:r w:rsidR="00650417" w:rsidRPr="00650417">
                  <w:rPr>
                    <w:lang w:val="en-US"/>
                  </w:rPr>
                  <w:br/>
                  <w:t>Radio research and development institute</w:t>
                </w:r>
                <w:r w:rsidR="00650417" w:rsidRPr="00650417">
                  <w:rPr>
                    <w:lang w:val="en-US"/>
                  </w:rPr>
                  <w:br/>
                  <w:t>Russian Federation</w:t>
                </w:r>
              </w:sdtContent>
            </w:sdt>
          </w:p>
        </w:tc>
        <w:tc>
          <w:tcPr>
            <w:tcW w:w="4111" w:type="dxa"/>
            <w:tcBorders>
              <w:top w:val="single" w:sz="6" w:space="0" w:color="auto"/>
              <w:bottom w:val="single" w:sz="6" w:space="0" w:color="auto"/>
            </w:tcBorders>
          </w:tcPr>
          <w:p w14:paraId="4C78E534" w14:textId="4FD5D2EE" w:rsidR="00650417" w:rsidRDefault="00650417" w:rsidP="00691C94">
            <w:r w:rsidRPr="00666A24">
              <w:t>Tel</w:t>
            </w:r>
            <w:r w:rsidRPr="005F7D8D">
              <w:rPr>
                <w:lang w:val="en-US"/>
              </w:rPr>
              <w:t>: +7</w:t>
            </w:r>
            <w:r w:rsidRPr="00666A24">
              <w:rPr>
                <w:lang w:val="en-US"/>
              </w:rPr>
              <w:t> </w:t>
            </w:r>
            <w:r w:rsidRPr="005F7D8D">
              <w:rPr>
                <w:lang w:val="en-US"/>
              </w:rPr>
              <w:t>495</w:t>
            </w:r>
            <w:r w:rsidRPr="00666A24">
              <w:rPr>
                <w:lang w:val="en-US"/>
              </w:rPr>
              <w:t> </w:t>
            </w:r>
            <w:r w:rsidR="00CD52EB">
              <w:rPr>
                <w:lang w:val="en-US"/>
              </w:rPr>
              <w:t>647-1734</w:t>
            </w:r>
            <w:r w:rsidRPr="005F7D8D">
              <w:rPr>
                <w:lang w:val="en-US"/>
              </w:rPr>
              <w:br/>
            </w:r>
            <w:r w:rsidRPr="00666A24">
              <w:t xml:space="preserve">E-mail: </w:t>
            </w:r>
            <w:hyperlink r:id="rId11" w:history="1">
              <w:r w:rsidR="00CD52EB" w:rsidRPr="00D96254">
                <w:rPr>
                  <w:rStyle w:val="Hyperlink"/>
                  <w:rFonts w:ascii="Times New Roman" w:hAnsi="Times New Roman"/>
                  <w:lang w:val="en-US"/>
                </w:rPr>
                <w:t>et@niir.ru</w:t>
              </w:r>
            </w:hyperlink>
            <w:r w:rsidR="00CD52EB">
              <w:rPr>
                <w:lang w:val="en-US"/>
              </w:rPr>
              <w:t xml:space="preserve"> </w:t>
            </w:r>
          </w:p>
        </w:tc>
      </w:tr>
      <w:tr w:rsidR="00691C94" w:rsidRPr="0037415F" w14:paraId="00C4D844" w14:textId="77777777" w:rsidTr="00D57D7F">
        <w:trPr>
          <w:cantSplit/>
          <w:jc w:val="center"/>
        </w:trPr>
        <w:tc>
          <w:tcPr>
            <w:tcW w:w="1418" w:type="dxa"/>
            <w:gridSpan w:val="2"/>
            <w:tcBorders>
              <w:top w:val="single" w:sz="6" w:space="0" w:color="auto"/>
              <w:bottom w:val="single" w:sz="6" w:space="0" w:color="auto"/>
            </w:tcBorders>
          </w:tcPr>
          <w:p w14:paraId="280323D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1B836F37" w14:textId="7644B3F2" w:rsidR="00691C94" w:rsidRDefault="00CD52EB" w:rsidP="00C4650F">
            <w:sdt>
              <w:sdtPr>
                <w:alias w:val="ContactNameOrgCountry"/>
                <w:tag w:val="ContactNameOrgCountry"/>
                <w:id w:val="997003386"/>
                <w:placeholder>
                  <w:docPart w:val="737B5B9BA371462C9A0AAC99D737CC3C"/>
                </w:placeholder>
                <w:text w:multiLine="1"/>
              </w:sdtPr>
              <w:sdtEndPr/>
              <w:sdtContent>
                <w:r w:rsidR="00C4650F" w:rsidRPr="00C4650F">
                  <w:t>Alexey Borodin</w:t>
                </w:r>
                <w:r w:rsidR="00691C94" w:rsidRPr="00C4650F">
                  <w:br/>
                </w:r>
                <w:r w:rsidR="00C4650F" w:rsidRPr="00C4650F">
                  <w:t>Rostelecom</w:t>
                </w:r>
                <w:r w:rsidR="00691C94" w:rsidRPr="00C4650F">
                  <w:br/>
                </w:r>
                <w:r w:rsidR="00C4650F" w:rsidRPr="00C4650F">
                  <w:t>Russian Federation</w:t>
                </w:r>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14:paraId="1C4E3E9D" w14:textId="50B84357" w:rsidR="00691C94" w:rsidRDefault="00691C94" w:rsidP="00691C94">
                <w:r w:rsidRPr="00C4650F">
                  <w:t>Tel: +</w:t>
                </w:r>
                <w:r w:rsidR="00CD52EB">
                  <w:t>7 400 999-8283</w:t>
                </w:r>
                <w:r w:rsidRPr="00C4650F">
                  <w:br/>
                  <w:t xml:space="preserve">E-mail: </w:t>
                </w:r>
                <w:hyperlink r:id="rId12" w:history="1">
                  <w:r w:rsidR="00CD52EB" w:rsidRPr="00D96254">
                    <w:rPr>
                      <w:rStyle w:val="Hyperlink"/>
                      <w:rFonts w:ascii="Times New Roman" w:hAnsi="Times New Roman"/>
                    </w:rPr>
                    <w:t>Alexey.borodin@rt.ru</w:t>
                  </w:r>
                </w:hyperlink>
                <w:r w:rsidR="00CD52EB">
                  <w:t xml:space="preserve"> </w:t>
                </w:r>
              </w:p>
            </w:tc>
          </w:sdtContent>
        </w:sdt>
      </w:tr>
    </w:tbl>
    <w:p w14:paraId="1AA96A45" w14:textId="77777777" w:rsidR="0089088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245028F7" w:rsidR="0089088E" w:rsidRDefault="00CD52EB" w:rsidP="00C4650F">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F2FF5" w:rsidRPr="009B612D">
                  <w:rPr>
                    <w:lang w:val="en-US"/>
                  </w:rPr>
                  <w:t>ITR; EG-ITR; Council 2018 report</w:t>
                </w:r>
              </w:sdtContent>
            </w:sdt>
          </w:p>
        </w:tc>
      </w:tr>
      <w:tr w:rsidR="0089088E" w:rsidRPr="00AB5CE8"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rPr>
              <w:lang w:val="en-US"/>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664A0DA9" w:rsidR="0089088E" w:rsidRPr="00AB5CE8" w:rsidRDefault="00C4650F" w:rsidP="001E2728">
                <w:pPr>
                  <w:rPr>
                    <w:lang w:val="en-US"/>
                  </w:rPr>
                </w:pPr>
                <w:r w:rsidRPr="001E2728">
                  <w:rPr>
                    <w:lang w:val="en-US"/>
                  </w:rPr>
                  <w:t xml:space="preserve">This contribution proposes </w:t>
                </w:r>
                <w:r w:rsidR="003F6CB8" w:rsidRPr="001E2728">
                  <w:rPr>
                    <w:lang w:val="en-US"/>
                  </w:rPr>
                  <w:t xml:space="preserve">to create Correspondence Group to consider ITRs issues within ITU-T and </w:t>
                </w:r>
                <w:r w:rsidRPr="001E2728">
                  <w:rPr>
                    <w:lang w:val="en-US"/>
                  </w:rPr>
                  <w:t xml:space="preserve">to invite SGs ITU-T and TSAG to prepare appropriate information under its responsibilities </w:t>
                </w:r>
                <w:r w:rsidR="006B7A23" w:rsidRPr="001E2728">
                  <w:rPr>
                    <w:lang w:val="en-US"/>
                  </w:rPr>
                  <w:t>in regard to</w:t>
                </w:r>
                <w:r w:rsidRPr="001E2728">
                  <w:rPr>
                    <w:lang w:val="en-US"/>
                  </w:rPr>
                  <w:t xml:space="preserve"> </w:t>
                </w:r>
                <w:r w:rsidR="006B7A23" w:rsidRPr="001E2728">
                  <w:rPr>
                    <w:lang w:val="en-US"/>
                  </w:rPr>
                  <w:t>consideration ITR issues in the EG-ITR as well as in the ITU Council</w:t>
                </w:r>
                <w:r w:rsidR="003F6CB8" w:rsidRPr="001E2728">
                  <w:rPr>
                    <w:lang w:val="en-US"/>
                  </w:rPr>
                  <w:t>.</w:t>
                </w:r>
              </w:p>
            </w:tc>
          </w:sdtContent>
        </w:sdt>
      </w:tr>
      <w:bookmarkEnd w:id="3"/>
    </w:tbl>
    <w:p w14:paraId="58589E1E" w14:textId="7B2A27FA" w:rsidR="0089088E" w:rsidRPr="00AB5CE8" w:rsidRDefault="0089088E" w:rsidP="0089088E">
      <w:pPr>
        <w:rPr>
          <w:lang w:val="en-US"/>
        </w:rPr>
      </w:pPr>
    </w:p>
    <w:p w14:paraId="40328F41" w14:textId="77777777" w:rsidR="00D66C41" w:rsidRPr="00C4650F" w:rsidRDefault="00D66C41" w:rsidP="00D66C41">
      <w:pPr>
        <w:overflowPunct w:val="0"/>
        <w:autoSpaceDE w:val="0"/>
        <w:autoSpaceDN w:val="0"/>
        <w:adjustRightInd w:val="0"/>
        <w:ind w:left="567" w:hanging="567"/>
        <w:textAlignment w:val="baseline"/>
        <w:rPr>
          <w:b/>
          <w:lang w:val="en-US"/>
        </w:rPr>
      </w:pPr>
      <w:r w:rsidRPr="00EA3216">
        <w:rPr>
          <w:b/>
        </w:rPr>
        <w:t>I</w:t>
      </w:r>
      <w:r w:rsidRPr="00C4650F">
        <w:rPr>
          <w:b/>
          <w:lang w:val="en-US"/>
        </w:rPr>
        <w:t xml:space="preserve">.     </w:t>
      </w:r>
      <w:r w:rsidRPr="00EA3216">
        <w:rPr>
          <w:b/>
          <w:lang w:val="en-US"/>
        </w:rPr>
        <w:t>Introduction</w:t>
      </w:r>
    </w:p>
    <w:p w14:paraId="079CAA0E" w14:textId="2628A18B" w:rsidR="00C60737" w:rsidRPr="003F6CB8" w:rsidRDefault="00C60737" w:rsidP="006B7A23">
      <w:pPr>
        <w:jc w:val="both"/>
      </w:pPr>
      <w:r w:rsidRPr="00C60737">
        <w:t xml:space="preserve">The International Telecommunication Regulations (ITRs) are one of the </w:t>
      </w:r>
      <w:r>
        <w:t xml:space="preserve">main </w:t>
      </w:r>
      <w:r w:rsidRPr="00C60737">
        <w:t xml:space="preserve">documents of the Union - the </w:t>
      </w:r>
      <w:r w:rsidRPr="003F6CB8">
        <w:t xml:space="preserve">Administrative Regulations, which regulate the use of telecommunications and are mandatory for all Member States (29 and </w:t>
      </w:r>
      <w:r w:rsidR="002C2AF0" w:rsidRPr="003F6CB8">
        <w:rPr>
          <w:lang w:val="en-US"/>
        </w:rPr>
        <w:t>31, Article 4, ITU Constitution</w:t>
      </w:r>
      <w:r w:rsidRPr="003F6CB8">
        <w:t>). The ITRs are complementary to the ITU Constitution and Convention in order to achieve the ITU’s objectives in promoting the telecommunication’s development, its effective functioning and development.</w:t>
      </w:r>
    </w:p>
    <w:p w14:paraId="3176F9D6" w14:textId="72E2C37B" w:rsidR="003B1FBF" w:rsidRPr="003F6CB8" w:rsidRDefault="003B1FBF" w:rsidP="003B1FBF">
      <w:pPr>
        <w:jc w:val="both"/>
        <w:rPr>
          <w:lang w:val="en-US"/>
        </w:rPr>
      </w:pPr>
      <w:r w:rsidRPr="003F6CB8">
        <w:rPr>
          <w:lang w:val="en-US"/>
        </w:rPr>
        <w:t>A world conference on international telecommunications</w:t>
      </w:r>
      <w:r w:rsidR="002C2AF0" w:rsidRPr="003F6CB8">
        <w:rPr>
          <w:lang w:val="en-US"/>
        </w:rPr>
        <w:t xml:space="preserve"> </w:t>
      </w:r>
      <w:r w:rsidRPr="003F6CB8">
        <w:rPr>
          <w:lang w:val="en-US"/>
        </w:rPr>
        <w:t xml:space="preserve"> </w:t>
      </w:r>
      <w:r w:rsidR="002C2AF0" w:rsidRPr="003F6CB8">
        <w:t xml:space="preserve">(WCIT) </w:t>
      </w:r>
      <w:r w:rsidRPr="003F6CB8">
        <w:rPr>
          <w:lang w:val="en-US"/>
        </w:rPr>
        <w:t>may partially, or in exceptional cases,</w:t>
      </w:r>
      <w:r w:rsidR="002C2AF0" w:rsidRPr="003F6CB8">
        <w:rPr>
          <w:lang w:val="en-US"/>
        </w:rPr>
        <w:t xml:space="preserve"> </w:t>
      </w:r>
      <w:r w:rsidRPr="003F6CB8">
        <w:rPr>
          <w:lang w:val="en-US"/>
        </w:rPr>
        <w:t>completely revise the International Telecommunication</w:t>
      </w:r>
      <w:r w:rsidR="002C2AF0" w:rsidRPr="003F6CB8">
        <w:rPr>
          <w:lang w:val="en-US"/>
        </w:rPr>
        <w:t xml:space="preserve"> </w:t>
      </w:r>
      <w:r w:rsidRPr="003F6CB8">
        <w:rPr>
          <w:lang w:val="en-US"/>
        </w:rPr>
        <w:t>Regulations and may deal with any question of a worldwide</w:t>
      </w:r>
      <w:r w:rsidR="002C2AF0" w:rsidRPr="003F6CB8">
        <w:rPr>
          <w:lang w:val="en-US"/>
        </w:rPr>
        <w:t xml:space="preserve"> </w:t>
      </w:r>
      <w:r w:rsidRPr="003F6CB8">
        <w:rPr>
          <w:lang w:val="en-US"/>
        </w:rPr>
        <w:t>character within its competence and related to its agenda</w:t>
      </w:r>
      <w:r w:rsidR="002C2AF0" w:rsidRPr="003F6CB8">
        <w:rPr>
          <w:lang w:val="en-US"/>
        </w:rPr>
        <w:t xml:space="preserve"> (146, Article 25, ITU Constitution)</w:t>
      </w:r>
      <w:r w:rsidRPr="003F6CB8">
        <w:rPr>
          <w:lang w:val="en-US"/>
        </w:rPr>
        <w:t>.</w:t>
      </w:r>
    </w:p>
    <w:p w14:paraId="23A1EB16" w14:textId="77482D75" w:rsidR="002C2AF0" w:rsidRDefault="002C2AF0" w:rsidP="006B7A23">
      <w:pPr>
        <w:jc w:val="both"/>
      </w:pPr>
      <w:r w:rsidRPr="003F6CB8">
        <w:rPr>
          <w:lang w:val="en-US"/>
        </w:rPr>
        <w:t xml:space="preserve">ITRs 1988 was revised by </w:t>
      </w:r>
      <w:r w:rsidRPr="003F6CB8">
        <w:t>WCIT</w:t>
      </w:r>
      <w:r w:rsidRPr="003F6CB8">
        <w:rPr>
          <w:lang w:val="en-US"/>
        </w:rPr>
        <w:t xml:space="preserve"> 2012 (Dubai, UAE). As a result ITRs 2012</w:t>
      </w:r>
      <w:r w:rsidRPr="003F6CB8">
        <w:t xml:space="preserve"> came into force on January 1, 2015 (</w:t>
      </w:r>
      <w:r w:rsidRPr="003F6CB8">
        <w:rPr>
          <w:lang w:val="en-US"/>
        </w:rPr>
        <w:t>Article 54, ITU Constitution</w:t>
      </w:r>
      <w:r w:rsidR="003F6CB8" w:rsidRPr="003F6CB8">
        <w:t>)</w:t>
      </w:r>
      <w:r w:rsidRPr="003F6CB8">
        <w:t>:</w:t>
      </w:r>
      <w:r>
        <w:t xml:space="preserve">  </w:t>
      </w:r>
    </w:p>
    <w:p w14:paraId="61FDAA7F" w14:textId="4601D489" w:rsidR="00584AD8" w:rsidRDefault="00584AD8" w:rsidP="00584AD8">
      <w:pPr>
        <w:pStyle w:val="ListParagraph"/>
        <w:numPr>
          <w:ilvl w:val="0"/>
          <w:numId w:val="13"/>
        </w:numPr>
        <w:spacing w:before="0"/>
        <w:jc w:val="both"/>
        <w:rPr>
          <w:lang w:val="en-US"/>
        </w:rPr>
      </w:pPr>
      <w:r w:rsidRPr="00584AD8">
        <w:rPr>
          <w:lang w:val="en-US"/>
        </w:rPr>
        <w:t xml:space="preserve">provisionally for the Member States of the Signatories, but </w:t>
      </w:r>
      <w:r>
        <w:rPr>
          <w:lang w:val="en-US"/>
        </w:rPr>
        <w:t xml:space="preserve">still </w:t>
      </w:r>
      <w:r w:rsidRPr="00584AD8">
        <w:rPr>
          <w:lang w:val="en-US"/>
        </w:rPr>
        <w:t>not notifying the ITU Secretary-General, until the notification is made (218, Article 4, ITU Constitution);</w:t>
      </w:r>
    </w:p>
    <w:p w14:paraId="1E24B370" w14:textId="32015D3F" w:rsidR="00584AD8" w:rsidRPr="00584AD8" w:rsidRDefault="00584AD8" w:rsidP="00584AD8">
      <w:pPr>
        <w:pStyle w:val="ListParagraph"/>
        <w:numPr>
          <w:ilvl w:val="0"/>
          <w:numId w:val="13"/>
        </w:numPr>
        <w:spacing w:before="0"/>
        <w:jc w:val="both"/>
        <w:rPr>
          <w:lang w:val="en-US"/>
        </w:rPr>
      </w:pPr>
      <w:r w:rsidRPr="00584AD8">
        <w:rPr>
          <w:lang w:val="en-US"/>
        </w:rPr>
        <w:t>between Member States that has notified the ITU Secretary-General before this date of their agreement to consider it as obligatory on themselves.</w:t>
      </w:r>
    </w:p>
    <w:p w14:paraId="10E7C2FC" w14:textId="42E2DA4A" w:rsidR="00584AD8" w:rsidRDefault="002F2FF5" w:rsidP="002F2FF5">
      <w:pPr>
        <w:pStyle w:val="ListParagraph"/>
        <w:numPr>
          <w:ilvl w:val="0"/>
          <w:numId w:val="13"/>
        </w:numPr>
        <w:spacing w:before="0"/>
        <w:jc w:val="both"/>
        <w:rPr>
          <w:lang w:val="en-US"/>
        </w:rPr>
      </w:pPr>
      <w:r>
        <w:rPr>
          <w:lang w:val="en-US"/>
        </w:rPr>
        <w:t>t</w:t>
      </w:r>
      <w:r w:rsidRPr="002F2FF5">
        <w:rPr>
          <w:lang w:val="en-US"/>
        </w:rPr>
        <w:t>here are also a number of Member States that have not signed the new treaty due to various reasons, very often due to the participation of these countries in individual political and economic unions. Under these conditions:</w:t>
      </w:r>
    </w:p>
    <w:p w14:paraId="13DD2832" w14:textId="0EF0B367" w:rsidR="002F2FF5" w:rsidRDefault="002F2FF5" w:rsidP="002F2FF5">
      <w:pPr>
        <w:pStyle w:val="ListParagraph"/>
        <w:numPr>
          <w:ilvl w:val="1"/>
          <w:numId w:val="13"/>
        </w:numPr>
        <w:spacing w:before="0"/>
        <w:jc w:val="both"/>
        <w:rPr>
          <w:lang w:val="en-US"/>
        </w:rPr>
      </w:pPr>
      <w:r w:rsidRPr="002F2FF5">
        <w:rPr>
          <w:lang w:val="en-US"/>
        </w:rPr>
        <w:t>for Member States that are not signed of the ITRs 2012, the ITRs 1988 provisions continue to apply, if they are signatories;</w:t>
      </w:r>
    </w:p>
    <w:p w14:paraId="431F2699" w14:textId="29659A7C" w:rsidR="002F2FF5" w:rsidRPr="002F2FF5" w:rsidRDefault="002F2FF5" w:rsidP="00CD52EB">
      <w:pPr>
        <w:pStyle w:val="ListParagraph"/>
        <w:numPr>
          <w:ilvl w:val="1"/>
          <w:numId w:val="13"/>
        </w:numPr>
        <w:spacing w:before="0"/>
        <w:jc w:val="both"/>
        <w:rPr>
          <w:lang w:val="en-US"/>
        </w:rPr>
      </w:pPr>
      <w:r w:rsidRPr="002F2FF5">
        <w:rPr>
          <w:lang w:val="en-US"/>
        </w:rPr>
        <w:lastRenderedPageBreak/>
        <w:t>the relations between the Member States that are not signatories of the ITR 2012 and the Member States</w:t>
      </w:r>
      <w:r w:rsidR="00CD52EB">
        <w:rPr>
          <w:lang w:val="en-US"/>
        </w:rPr>
        <w:t xml:space="preserve"> </w:t>
      </w:r>
      <w:r w:rsidR="00CD52EB" w:rsidRPr="002F2FF5">
        <w:rPr>
          <w:lang w:val="en-US"/>
        </w:rPr>
        <w:t>that</w:t>
      </w:r>
      <w:r w:rsidRPr="002F2FF5">
        <w:rPr>
          <w:lang w:val="en-US"/>
        </w:rPr>
        <w:t xml:space="preserve"> has signed the ITR 2012 are governed by the provisions of the ITRs of 1988 until December 31, 2017.</w:t>
      </w:r>
    </w:p>
    <w:p w14:paraId="0980945A" w14:textId="77777777" w:rsidR="006B7A23" w:rsidRPr="003F6CB8" w:rsidRDefault="006B7A23" w:rsidP="006B7A23">
      <w:pPr>
        <w:overflowPunct w:val="0"/>
        <w:autoSpaceDE w:val="0"/>
        <w:autoSpaceDN w:val="0"/>
        <w:adjustRightInd w:val="0"/>
        <w:ind w:left="567" w:hanging="567"/>
        <w:textAlignment w:val="baseline"/>
        <w:rPr>
          <w:b/>
          <w:lang w:val="en-US"/>
        </w:rPr>
      </w:pPr>
      <w:r w:rsidRPr="00EA3216">
        <w:rPr>
          <w:b/>
        </w:rPr>
        <w:t>II</w:t>
      </w:r>
      <w:r w:rsidRPr="003F6CB8">
        <w:rPr>
          <w:b/>
          <w:lang w:val="en-US"/>
        </w:rPr>
        <w:t xml:space="preserve">         </w:t>
      </w:r>
      <w:r w:rsidRPr="00EA3216">
        <w:rPr>
          <w:b/>
          <w:lang w:val="en-US"/>
        </w:rPr>
        <w:t>Proposal</w:t>
      </w:r>
      <w:r w:rsidRPr="003F6CB8">
        <w:rPr>
          <w:b/>
          <w:lang w:val="en-US"/>
        </w:rPr>
        <w:t>:</w:t>
      </w:r>
      <w:bookmarkStart w:id="4" w:name="_GoBack"/>
      <w:bookmarkEnd w:id="4"/>
    </w:p>
    <w:p w14:paraId="5B3559DE" w14:textId="3AFD67CC" w:rsidR="003F6CB8" w:rsidRPr="003F6CB8" w:rsidRDefault="003F6CB8" w:rsidP="006B7A23">
      <w:pPr>
        <w:jc w:val="both"/>
      </w:pPr>
      <w:r w:rsidRPr="003F6CB8">
        <w:t>WCIT 2012 (Dubai, UAE) adopted Resolution 4 (Dubai, 2012) "Regular Review of the International Telecommunication Regulations", which recognizes that:</w:t>
      </w:r>
    </w:p>
    <w:p w14:paraId="75D97455" w14:textId="3C8AE2C3" w:rsidR="006B7A23" w:rsidRPr="003F6CB8" w:rsidRDefault="006B7A23" w:rsidP="003F6CB8">
      <w:pPr>
        <w:ind w:left="720"/>
        <w:jc w:val="both"/>
        <w:rPr>
          <w:lang w:val="en-US"/>
        </w:rPr>
      </w:pPr>
      <w:r w:rsidRPr="003F6CB8">
        <w:rPr>
          <w:i/>
          <w:iCs/>
          <w:lang w:val="en-US"/>
        </w:rPr>
        <w:t>a)</w:t>
      </w:r>
      <w:r w:rsidRPr="003F6CB8">
        <w:rPr>
          <w:lang w:val="en-US"/>
        </w:rPr>
        <w:t xml:space="preserve"> </w:t>
      </w:r>
      <w:r w:rsidR="003F6CB8" w:rsidRPr="003F6CB8">
        <w:t>that the ITRs are one of the pillars supporting ITU’s mission;</w:t>
      </w:r>
    </w:p>
    <w:p w14:paraId="3250D492" w14:textId="0741357B" w:rsidR="006B7A23" w:rsidRPr="003F6CB8" w:rsidRDefault="006B7A23" w:rsidP="003F6CB8">
      <w:pPr>
        <w:ind w:left="720"/>
        <w:jc w:val="both"/>
        <w:rPr>
          <w:lang w:val="en-US"/>
        </w:rPr>
      </w:pPr>
      <w:r w:rsidRPr="003F6CB8">
        <w:rPr>
          <w:i/>
          <w:iCs/>
          <w:lang w:val="en-US"/>
        </w:rPr>
        <w:t>b)</w:t>
      </w:r>
      <w:r w:rsidRPr="003F6CB8">
        <w:rPr>
          <w:lang w:val="en-US"/>
        </w:rPr>
        <w:t xml:space="preserve"> </w:t>
      </w:r>
      <w:r w:rsidR="003F6CB8" w:rsidRPr="003F6CB8">
        <w:t>that the ITRs consist of high-level guiding principles that should not require frequent amendment, but in the fast moving sector of telecommunications/ICTs may need to be periodically reviewed,</w:t>
      </w:r>
    </w:p>
    <w:p w14:paraId="557853DF" w14:textId="2F52E0D2" w:rsidR="003F6CB8" w:rsidRDefault="003F6CB8" w:rsidP="006B7A23">
      <w:pPr>
        <w:jc w:val="both"/>
      </w:pPr>
      <w:r>
        <w:rPr>
          <w:lang w:val="en-US"/>
        </w:rPr>
        <w:t>a</w:t>
      </w:r>
      <w:r w:rsidRPr="003F6CB8">
        <w:rPr>
          <w:lang w:val="en-US"/>
        </w:rPr>
        <w:t xml:space="preserve">nd also notes that the </w:t>
      </w:r>
      <w:r>
        <w:rPr>
          <w:lang w:val="en-US"/>
        </w:rPr>
        <w:t>ITRs</w:t>
      </w:r>
      <w:r w:rsidRPr="003F6CB8">
        <w:rPr>
          <w:lang w:val="en-US"/>
        </w:rPr>
        <w:t>:</w:t>
      </w:r>
    </w:p>
    <w:p w14:paraId="753DB39E" w14:textId="28EEC418" w:rsidR="006B7A23" w:rsidRPr="003F6CB8" w:rsidRDefault="006B7A23" w:rsidP="003F6CB8">
      <w:pPr>
        <w:ind w:left="720"/>
        <w:jc w:val="both"/>
        <w:rPr>
          <w:lang w:val="en-US"/>
        </w:rPr>
      </w:pPr>
      <w:r w:rsidRPr="003F6CB8">
        <w:rPr>
          <w:i/>
          <w:iCs/>
          <w:lang w:val="en-US"/>
        </w:rPr>
        <w:t>a)</w:t>
      </w:r>
      <w:r w:rsidRPr="003F6CB8">
        <w:rPr>
          <w:lang w:val="en-US"/>
        </w:rPr>
        <w:t xml:space="preserve"> </w:t>
      </w:r>
      <w:r w:rsidR="003F6CB8" w:rsidRPr="003F6CB8">
        <w:rPr>
          <w:lang w:val="en-US"/>
        </w:rPr>
        <w:t>establish general principles on the provision and operation of international</w:t>
      </w:r>
      <w:r w:rsidR="003F6CB8">
        <w:rPr>
          <w:lang w:val="en-US"/>
        </w:rPr>
        <w:t xml:space="preserve"> </w:t>
      </w:r>
      <w:r w:rsidR="003F6CB8" w:rsidRPr="003F6CB8">
        <w:rPr>
          <w:lang w:val="en-US"/>
        </w:rPr>
        <w:t>telecommunications;</w:t>
      </w:r>
    </w:p>
    <w:p w14:paraId="5B20B726" w14:textId="1C7CAC8D" w:rsidR="006B7A23" w:rsidRPr="003F6CB8" w:rsidRDefault="006B7A23" w:rsidP="003F6CB8">
      <w:pPr>
        <w:ind w:left="720"/>
        <w:jc w:val="both"/>
        <w:rPr>
          <w:lang w:val="en-US"/>
        </w:rPr>
      </w:pPr>
      <w:r w:rsidRPr="003F6CB8">
        <w:rPr>
          <w:i/>
          <w:iCs/>
          <w:lang w:val="en-US"/>
        </w:rPr>
        <w:t>b)</w:t>
      </w:r>
      <w:r w:rsidRPr="003F6CB8">
        <w:rPr>
          <w:lang w:val="en-US"/>
        </w:rPr>
        <w:t xml:space="preserve"> </w:t>
      </w:r>
      <w:r w:rsidR="003F6CB8" w:rsidRPr="003F6CB8">
        <w:rPr>
          <w:lang w:val="en-US"/>
        </w:rPr>
        <w:t>facilitate global interconnection and interoperability;</w:t>
      </w:r>
    </w:p>
    <w:p w14:paraId="111F054C" w14:textId="6FAA7370" w:rsidR="006B7A23" w:rsidRPr="003F6CB8" w:rsidRDefault="006B7A23" w:rsidP="003F6CB8">
      <w:pPr>
        <w:ind w:left="720"/>
        <w:jc w:val="both"/>
        <w:rPr>
          <w:lang w:val="en-US"/>
        </w:rPr>
      </w:pPr>
      <w:r w:rsidRPr="003F6CB8">
        <w:rPr>
          <w:i/>
          <w:iCs/>
          <w:lang w:val="en-US"/>
        </w:rPr>
        <w:t>c)</w:t>
      </w:r>
      <w:r w:rsidRPr="003F6CB8">
        <w:rPr>
          <w:lang w:val="en-US"/>
        </w:rPr>
        <w:t xml:space="preserve"> </w:t>
      </w:r>
      <w:r w:rsidR="003F6CB8" w:rsidRPr="003F6CB8">
        <w:rPr>
          <w:lang w:val="en-US"/>
        </w:rPr>
        <w:t>promote efficiency, usefulness and availability of international</w:t>
      </w:r>
      <w:r w:rsidR="003F6CB8">
        <w:rPr>
          <w:lang w:val="en-US"/>
        </w:rPr>
        <w:t xml:space="preserve"> telecommunication services.</w:t>
      </w:r>
    </w:p>
    <w:p w14:paraId="74551CB5" w14:textId="705DBF6C" w:rsidR="004D1ACB" w:rsidRPr="004D1ACB" w:rsidRDefault="00C71E2B" w:rsidP="006B7A23">
      <w:pPr>
        <w:jc w:val="both"/>
        <w:rPr>
          <w:lang w:val="en-US"/>
        </w:rPr>
      </w:pPr>
      <w:r w:rsidRPr="00C71E2B">
        <w:rPr>
          <w:lang w:val="en-US"/>
        </w:rPr>
        <w:t>The Plenipotentiary Conference 2014</w:t>
      </w:r>
      <w:r>
        <w:rPr>
          <w:lang w:val="en-US"/>
        </w:rPr>
        <w:t xml:space="preserve"> (PP-14)</w:t>
      </w:r>
      <w:r w:rsidRPr="00C71E2B">
        <w:rPr>
          <w:lang w:val="en-US"/>
        </w:rPr>
        <w:t xml:space="preserve"> (Busan, Republic of Korea), </w:t>
      </w:r>
      <w:r>
        <w:rPr>
          <w:lang w:val="en-US"/>
        </w:rPr>
        <w:t xml:space="preserve">after consideration of </w:t>
      </w:r>
      <w:r w:rsidRPr="00C71E2B">
        <w:rPr>
          <w:lang w:val="en-US"/>
        </w:rPr>
        <w:t>WCIT-12</w:t>
      </w:r>
      <w:r>
        <w:rPr>
          <w:lang w:val="en-US"/>
        </w:rPr>
        <w:t xml:space="preserve"> results</w:t>
      </w:r>
      <w:r w:rsidRPr="00C71E2B">
        <w:rPr>
          <w:lang w:val="en-US"/>
        </w:rPr>
        <w:t>, adopted Resol</w:t>
      </w:r>
      <w:r>
        <w:rPr>
          <w:lang w:val="en-US"/>
        </w:rPr>
        <w:t>ution 146 (Rev., Busan, 2014)</w:t>
      </w:r>
      <w:r w:rsidRPr="00C71E2B">
        <w:rPr>
          <w:lang w:val="en-US"/>
        </w:rPr>
        <w:t xml:space="preserve"> "Periodic review and revision of the International </w:t>
      </w:r>
      <w:r>
        <w:rPr>
          <w:lang w:val="en-US"/>
        </w:rPr>
        <w:t xml:space="preserve">Telecommunication Regulations" and provide decision </w:t>
      </w:r>
      <w:r w:rsidRPr="00C71E2B">
        <w:rPr>
          <w:lang w:val="en-US"/>
        </w:rPr>
        <w:t>that a periodic review of the International Telecommunication Regulations shall normally b</w:t>
      </w:r>
      <w:r>
        <w:rPr>
          <w:lang w:val="en-US"/>
        </w:rPr>
        <w:t xml:space="preserve">e carried out every eight years and </w:t>
      </w:r>
      <w:r w:rsidRPr="00C71E2B">
        <w:rPr>
          <w:lang w:val="en-US"/>
        </w:rPr>
        <w:t>the review process of the International Telecommunication Regulations shall commence in 2017</w:t>
      </w:r>
      <w:r>
        <w:rPr>
          <w:lang w:val="en-US"/>
        </w:rPr>
        <w:t xml:space="preserve">. For this purpose PP-14 </w:t>
      </w:r>
      <w:r w:rsidRPr="00C71E2B">
        <w:rPr>
          <w:lang w:val="en-US"/>
        </w:rPr>
        <w:t xml:space="preserve">instructs the Secretary-General to convene </w:t>
      </w:r>
      <w:r w:rsidR="004D1ACB" w:rsidRPr="004D1ACB">
        <w:rPr>
          <w:lang w:val="en-US"/>
        </w:rPr>
        <w:t>to convene an Expert Group on the International Telecommunication Regulations (EG-ITR), open to the ITU Member States and Sector Members, with terms of reference and working methods established by the ITU Council, to</w:t>
      </w:r>
      <w:r w:rsidR="004D1ACB">
        <w:rPr>
          <w:lang w:val="en-US"/>
        </w:rPr>
        <w:t xml:space="preserve"> review those regulations, as well as </w:t>
      </w:r>
      <w:r w:rsidR="004D1ACB" w:rsidRPr="004D1ACB">
        <w:rPr>
          <w:lang w:val="en-US"/>
        </w:rPr>
        <w:t>to submit the report of EG-ITR to the 2018 session of Council for consideration, publication and subsequent submission to the 2018 plenipotentiary conference</w:t>
      </w:r>
      <w:r w:rsidR="004D1ACB">
        <w:rPr>
          <w:lang w:val="en-US"/>
        </w:rPr>
        <w:t xml:space="preserve"> (PP-18).</w:t>
      </w:r>
    </w:p>
    <w:p w14:paraId="4A35D0C4" w14:textId="4AE0BC17" w:rsidR="001E2728" w:rsidRPr="001E2728" w:rsidRDefault="001E2728" w:rsidP="006B7A23">
      <w:pPr>
        <w:jc w:val="both"/>
      </w:pPr>
      <w:r w:rsidRPr="001E2728">
        <w:t xml:space="preserve">The </w:t>
      </w:r>
      <w:r>
        <w:t xml:space="preserve">ITU </w:t>
      </w:r>
      <w:r w:rsidRPr="001E2728">
        <w:t xml:space="preserve">Council at its session </w:t>
      </w:r>
      <w:r>
        <w:t>in 2016 adopted Resolution 1379 and followed with steps</w:t>
      </w:r>
      <w:r w:rsidRPr="001E2728">
        <w:t>:</w:t>
      </w:r>
    </w:p>
    <w:p w14:paraId="35281D68" w14:textId="77777777" w:rsidR="001E2728" w:rsidRDefault="006B7A23" w:rsidP="001E2728">
      <w:pPr>
        <w:ind w:left="720"/>
        <w:jc w:val="both"/>
      </w:pPr>
      <w:r w:rsidRPr="001E2728">
        <w:rPr>
          <w:i/>
          <w:iCs/>
        </w:rPr>
        <w:t>a)</w:t>
      </w:r>
      <w:r w:rsidRPr="001E2728">
        <w:t xml:space="preserve"> </w:t>
      </w:r>
      <w:r w:rsidR="001E2728" w:rsidRPr="001E2728">
        <w:t xml:space="preserve">an Expert Group on the International Telecommunication Regulations (EG-ITRs), open to all Member States and Sector Members, </w:t>
      </w:r>
      <w:r w:rsidR="001E2728">
        <w:t xml:space="preserve">was </w:t>
      </w:r>
      <w:r w:rsidR="001E2728" w:rsidRPr="001E2728">
        <w:t>created with the Terms of Reference shown in Annex 1 of this Resolution</w:t>
      </w:r>
    </w:p>
    <w:p w14:paraId="3E28D9A2" w14:textId="5E143299" w:rsidR="006B7A23" w:rsidRPr="001E2728" w:rsidRDefault="006B7A23" w:rsidP="001E2728">
      <w:pPr>
        <w:ind w:left="720"/>
        <w:jc w:val="both"/>
        <w:rPr>
          <w:lang w:val="en-US"/>
        </w:rPr>
      </w:pPr>
      <w:r w:rsidRPr="001E2728">
        <w:rPr>
          <w:i/>
          <w:iCs/>
          <w:lang w:val="en-US"/>
        </w:rPr>
        <w:t>b)</w:t>
      </w:r>
      <w:r w:rsidRPr="001E2728">
        <w:rPr>
          <w:lang w:val="en-US"/>
        </w:rPr>
        <w:t xml:space="preserve"> </w:t>
      </w:r>
      <w:r w:rsidR="001E2728" w:rsidRPr="001E2728">
        <w:t>EG-ITRs</w:t>
      </w:r>
      <w:r w:rsidR="001E2728">
        <w:rPr>
          <w:lang w:val="en-US"/>
        </w:rPr>
        <w:t xml:space="preserve"> </w:t>
      </w:r>
      <w:r w:rsidR="001E2728">
        <w:t>is mandated to prepare</w:t>
      </w:r>
      <w:r w:rsidRPr="001E2728">
        <w:rPr>
          <w:lang w:val="en-US"/>
        </w:rPr>
        <w:t>:</w:t>
      </w:r>
    </w:p>
    <w:p w14:paraId="4031FD55" w14:textId="786BBA6E" w:rsidR="006B7A23" w:rsidRPr="001E2728" w:rsidRDefault="006B7A23" w:rsidP="001E2728">
      <w:pPr>
        <w:ind w:left="1440"/>
        <w:jc w:val="both"/>
        <w:rPr>
          <w:lang w:val="en-US"/>
        </w:rPr>
      </w:pPr>
      <w:r w:rsidRPr="001E2728">
        <w:rPr>
          <w:lang w:val="en-US"/>
        </w:rPr>
        <w:t xml:space="preserve">- </w:t>
      </w:r>
      <w:r w:rsidR="001E2728" w:rsidRPr="001E2728">
        <w:t>a progress report to the 2017 session of the Council;</w:t>
      </w:r>
    </w:p>
    <w:p w14:paraId="58D08BC8" w14:textId="18CD6E07" w:rsidR="006B7A23" w:rsidRPr="001E2728" w:rsidRDefault="006B7A23" w:rsidP="001E2728">
      <w:pPr>
        <w:ind w:left="1440"/>
        <w:jc w:val="both"/>
        <w:rPr>
          <w:lang w:val="en-US"/>
        </w:rPr>
      </w:pPr>
      <w:r w:rsidRPr="001E2728">
        <w:rPr>
          <w:lang w:val="en-US"/>
        </w:rPr>
        <w:t xml:space="preserve">- </w:t>
      </w:r>
      <w:r w:rsidR="001E2728" w:rsidRPr="001E2728">
        <w:t>a final report to the 2018 session of the Council for submission of the report to the 2018 Plenipotentiary Conference with the Council's comments;</w:t>
      </w:r>
    </w:p>
    <w:p w14:paraId="538F52B1" w14:textId="71EF69D5" w:rsidR="006B7A23" w:rsidRPr="001E2728" w:rsidRDefault="006B7A23" w:rsidP="001E2728">
      <w:pPr>
        <w:ind w:left="720"/>
        <w:jc w:val="both"/>
        <w:rPr>
          <w:lang w:val="en-US"/>
        </w:rPr>
      </w:pPr>
      <w:r w:rsidRPr="001E2728">
        <w:rPr>
          <w:i/>
          <w:iCs/>
          <w:lang w:val="en-US"/>
        </w:rPr>
        <w:t>c)</w:t>
      </w:r>
      <w:r w:rsidRPr="001E2728">
        <w:rPr>
          <w:lang w:val="en-US"/>
        </w:rPr>
        <w:t xml:space="preserve"> </w:t>
      </w:r>
      <w:r w:rsidR="001E2728" w:rsidRPr="001E2728">
        <w:t>Directors of the Bureaux</w:t>
      </w:r>
      <w:r w:rsidR="001E2728">
        <w:t xml:space="preserve"> was instructed</w:t>
      </w:r>
      <w:r w:rsidRPr="001E2728">
        <w:rPr>
          <w:lang w:val="en-US"/>
        </w:rPr>
        <w:t xml:space="preserve">: </w:t>
      </w:r>
    </w:p>
    <w:p w14:paraId="3C6444BD" w14:textId="28ADE644" w:rsidR="006B7A23" w:rsidRPr="001E2728" w:rsidRDefault="006B7A23" w:rsidP="001E2728">
      <w:pPr>
        <w:ind w:left="1440"/>
        <w:jc w:val="both"/>
        <w:rPr>
          <w:lang w:val="en-US"/>
        </w:rPr>
      </w:pPr>
      <w:r w:rsidRPr="001E2728">
        <w:rPr>
          <w:lang w:val="en-US"/>
        </w:rPr>
        <w:t xml:space="preserve">- </w:t>
      </w:r>
      <w:r w:rsidR="001E2728" w:rsidRPr="001E2728">
        <w:rPr>
          <w:lang w:val="en-US"/>
        </w:rPr>
        <w:t>each within their field of competence, with advice from the relevant advisory group, to contribute to the work of the Group, recognizing that the ITU Telecommunication Standardization Sector has most of the work relevant to the ITRs</w:t>
      </w:r>
      <w:r w:rsidRPr="001E2728">
        <w:rPr>
          <w:lang w:val="en-US"/>
        </w:rPr>
        <w:t>;</w:t>
      </w:r>
    </w:p>
    <w:p w14:paraId="6DADEAD6" w14:textId="47FC0BDF" w:rsidR="006B7A23" w:rsidRPr="001E2728" w:rsidRDefault="006B7A23" w:rsidP="001E2728">
      <w:pPr>
        <w:ind w:left="1440"/>
        <w:jc w:val="both"/>
        <w:rPr>
          <w:lang w:val="en-US"/>
        </w:rPr>
      </w:pPr>
      <w:r w:rsidRPr="001E2728">
        <w:rPr>
          <w:lang w:val="en-US"/>
        </w:rPr>
        <w:t xml:space="preserve">- </w:t>
      </w:r>
      <w:r w:rsidR="001E2728" w:rsidRPr="001E2728">
        <w:rPr>
          <w:lang w:val="en-US"/>
        </w:rPr>
        <w:t>to submit the resul</w:t>
      </w:r>
      <w:r w:rsidR="001E2728">
        <w:rPr>
          <w:lang w:val="en-US"/>
        </w:rPr>
        <w:t>ts of their work to the EG-ITRs.</w:t>
      </w:r>
    </w:p>
    <w:p w14:paraId="2297F0AD" w14:textId="5B703857" w:rsidR="00FB557E" w:rsidRDefault="001E2728" w:rsidP="006B7A23">
      <w:r w:rsidRPr="001E2728">
        <w:t xml:space="preserve">World Telecommunications Standardization Assembly 2016 (Hammamet, Tunisia), taking into account recognized a leading role </w:t>
      </w:r>
      <w:r w:rsidR="00FB557E">
        <w:t xml:space="preserve">of ITU-T </w:t>
      </w:r>
      <w:r w:rsidRPr="001E2728">
        <w:t xml:space="preserve">in the </w:t>
      </w:r>
      <w:r w:rsidR="00FB557E">
        <w:t>process</w:t>
      </w:r>
      <w:r w:rsidRPr="001E2728">
        <w:t xml:space="preserve"> </w:t>
      </w:r>
      <w:r w:rsidR="00FB557E">
        <w:t xml:space="preserve">of the </w:t>
      </w:r>
      <w:r w:rsidRPr="001E2728">
        <w:t>ITRs</w:t>
      </w:r>
      <w:r w:rsidR="00FB557E">
        <w:t xml:space="preserve"> review</w:t>
      </w:r>
      <w:r w:rsidRPr="001E2728">
        <w:t>, adopted Resolution 87 (Hammamet, 2016) "</w:t>
      </w:r>
      <w:r w:rsidR="00FB557E" w:rsidRPr="00FB557E">
        <w:rPr>
          <w:sz w:val="28"/>
          <w:szCs w:val="22"/>
        </w:rPr>
        <w:t xml:space="preserve"> </w:t>
      </w:r>
      <w:r w:rsidR="00FB557E" w:rsidRPr="00FB557E">
        <w:t xml:space="preserve">Participation of the ITU Telecommunication Standardization Sector </w:t>
      </w:r>
      <w:r w:rsidR="00FB557E">
        <w:t xml:space="preserve"> </w:t>
      </w:r>
      <w:r w:rsidR="00FB557E" w:rsidRPr="00FB557E">
        <w:t xml:space="preserve">in the periodic review and revision of the International </w:t>
      </w:r>
      <w:r w:rsidR="00FB557E">
        <w:t xml:space="preserve"> </w:t>
      </w:r>
      <w:r w:rsidR="00FB557E" w:rsidRPr="00FB557E">
        <w:t>Telecommunication Regulations</w:t>
      </w:r>
      <w:r w:rsidR="00FB557E">
        <w:t xml:space="preserve"> </w:t>
      </w:r>
      <w:r w:rsidRPr="001E2728">
        <w:t>"</w:t>
      </w:r>
      <w:r w:rsidR="00FB557E">
        <w:t>. In</w:t>
      </w:r>
      <w:r w:rsidRPr="001E2728">
        <w:t xml:space="preserve"> particular, </w:t>
      </w:r>
      <w:r w:rsidR="00FB557E">
        <w:t xml:space="preserve">it </w:t>
      </w:r>
      <w:r w:rsidR="00FB557E">
        <w:lastRenderedPageBreak/>
        <w:t xml:space="preserve">recognizes </w:t>
      </w:r>
      <w:r w:rsidR="00FB557E" w:rsidRPr="00FB557E">
        <w:rPr>
          <w:lang w:val="en-US"/>
        </w:rPr>
        <w:t>the importance of ITU</w:t>
      </w:r>
      <w:r w:rsidR="00FB557E" w:rsidRPr="00FB557E">
        <w:rPr>
          <w:lang w:val="en-US"/>
        </w:rPr>
        <w:noBreakHyphen/>
        <w:t>T study groups' input to the ITU</w:t>
      </w:r>
      <w:r w:rsidR="00FB557E" w:rsidRPr="00FB557E">
        <w:rPr>
          <w:lang w:val="en-US"/>
        </w:rPr>
        <w:noBreakHyphen/>
        <w:t>T contributory process to</w:t>
      </w:r>
      <w:r w:rsidR="00FB557E">
        <w:rPr>
          <w:lang w:val="en-US"/>
        </w:rPr>
        <w:t xml:space="preserve"> </w:t>
      </w:r>
      <w:r w:rsidR="00FB557E" w:rsidRPr="00FB557E">
        <w:rPr>
          <w:lang w:val="en-US"/>
        </w:rPr>
        <w:t>EG</w:t>
      </w:r>
      <w:r w:rsidR="00FB557E" w:rsidRPr="00FB557E">
        <w:rPr>
          <w:lang w:val="en-US"/>
        </w:rPr>
        <w:noBreakHyphen/>
        <w:t>ITR, as appropriate and where necessary</w:t>
      </w:r>
      <w:r w:rsidR="00C71E2B">
        <w:rPr>
          <w:lang w:val="en-US"/>
        </w:rPr>
        <w:t xml:space="preserve">, and resolve </w:t>
      </w:r>
      <w:r w:rsidR="00C71E2B" w:rsidRPr="00C71E2B">
        <w:rPr>
          <w:lang w:val="en-US"/>
        </w:rPr>
        <w:t>to submit the resul</w:t>
      </w:r>
      <w:r w:rsidR="00C71E2B">
        <w:rPr>
          <w:lang w:val="en-US"/>
        </w:rPr>
        <w:t>t of these activities to EG-ITR.</w:t>
      </w:r>
    </w:p>
    <w:p w14:paraId="598DB32C" w14:textId="77777777" w:rsidR="006B7A23" w:rsidRPr="005F7D8D" w:rsidRDefault="006B7A23" w:rsidP="00D66C41">
      <w:pPr>
        <w:overflowPunct w:val="0"/>
        <w:autoSpaceDE w:val="0"/>
        <w:autoSpaceDN w:val="0"/>
        <w:adjustRightInd w:val="0"/>
        <w:ind w:left="567" w:hanging="567"/>
        <w:textAlignment w:val="baseline"/>
        <w:rPr>
          <w:lang w:val="en-US"/>
        </w:rPr>
      </w:pPr>
    </w:p>
    <w:p w14:paraId="3EB0D895" w14:textId="23C4469E" w:rsidR="00D66C41" w:rsidRPr="00BE0320" w:rsidRDefault="00D66C41" w:rsidP="00D66C41">
      <w:pPr>
        <w:overflowPunct w:val="0"/>
        <w:autoSpaceDE w:val="0"/>
        <w:autoSpaceDN w:val="0"/>
        <w:adjustRightInd w:val="0"/>
        <w:ind w:left="567" w:hanging="567"/>
        <w:textAlignment w:val="baseline"/>
        <w:rPr>
          <w:b/>
          <w:lang w:val="en-US"/>
        </w:rPr>
      </w:pPr>
      <w:r w:rsidRPr="00EA3216">
        <w:rPr>
          <w:b/>
        </w:rPr>
        <w:t>II</w:t>
      </w:r>
      <w:r w:rsidR="006B7A23">
        <w:rPr>
          <w:b/>
        </w:rPr>
        <w:t>I</w:t>
      </w:r>
      <w:r w:rsidRPr="00BE0320">
        <w:rPr>
          <w:b/>
          <w:lang w:val="en-US"/>
        </w:rPr>
        <w:t xml:space="preserve">         </w:t>
      </w:r>
      <w:r w:rsidRPr="00EA3216">
        <w:rPr>
          <w:b/>
          <w:lang w:val="en-US"/>
        </w:rPr>
        <w:t>Proposal</w:t>
      </w:r>
      <w:r w:rsidRPr="00BE0320">
        <w:rPr>
          <w:b/>
          <w:lang w:val="en-US"/>
        </w:rPr>
        <w:t>:</w:t>
      </w:r>
    </w:p>
    <w:p w14:paraId="11BE2938" w14:textId="4F23F982" w:rsidR="006B7A23" w:rsidRDefault="00DA7A27" w:rsidP="00AB5CE8">
      <w:pPr>
        <w:pStyle w:val="Call"/>
        <w:ind w:left="0"/>
        <w:rPr>
          <w:i w:val="0"/>
          <w:sz w:val="24"/>
          <w:szCs w:val="24"/>
          <w:lang w:val="en-US"/>
        </w:rPr>
      </w:pPr>
      <w:r>
        <w:rPr>
          <w:i w:val="0"/>
          <w:sz w:val="24"/>
          <w:szCs w:val="24"/>
          <w:lang w:val="en-US"/>
        </w:rPr>
        <w:t>Taking into account abovementioned</w:t>
      </w:r>
      <w:r w:rsidR="006B7A23">
        <w:rPr>
          <w:i w:val="0"/>
          <w:sz w:val="24"/>
          <w:szCs w:val="24"/>
          <w:lang w:val="en-US"/>
        </w:rPr>
        <w:t xml:space="preserve">, resolutions of  PP-14, WCIT-12, WTSA-16 and Council 2016 in regard to  the ITR issue, noting the results of first EG-ITR meeting  (09 – 10 February 2017) as well as taking into account </w:t>
      </w:r>
      <w:r w:rsidR="009048E7">
        <w:rPr>
          <w:i w:val="0"/>
          <w:sz w:val="24"/>
          <w:szCs w:val="24"/>
          <w:lang w:val="en-US"/>
        </w:rPr>
        <w:t xml:space="preserve">previous </w:t>
      </w:r>
      <w:r w:rsidR="009048E7" w:rsidRPr="009048E7">
        <w:rPr>
          <w:i w:val="0"/>
          <w:sz w:val="24"/>
          <w:szCs w:val="24"/>
          <w:lang w:val="en-US"/>
        </w:rPr>
        <w:t>experience</w:t>
      </w:r>
      <w:r w:rsidR="009048E7">
        <w:rPr>
          <w:i w:val="0"/>
          <w:sz w:val="24"/>
          <w:szCs w:val="24"/>
          <w:lang w:val="en-US"/>
        </w:rPr>
        <w:t xml:space="preserve">  of holding of meetings to consider ITR  it is proposed: </w:t>
      </w:r>
    </w:p>
    <w:p w14:paraId="0389961C" w14:textId="68D2ED52" w:rsidR="004D733E" w:rsidRDefault="009B612D" w:rsidP="009B612D">
      <w:pPr>
        <w:spacing w:after="240"/>
        <w:ind w:left="708"/>
        <w:jc w:val="both"/>
        <w:rPr>
          <w:rFonts w:eastAsia="Times New Roman"/>
          <w:color w:val="000000"/>
          <w:szCs w:val="28"/>
          <w:lang w:val="en-US" w:eastAsia="ru-RU"/>
        </w:rPr>
      </w:pPr>
      <w:r w:rsidRPr="004D733E">
        <w:rPr>
          <w:rFonts w:eastAsia="Times New Roman"/>
          <w:color w:val="000000"/>
          <w:szCs w:val="28"/>
          <w:lang w:val="en-US" w:eastAsia="ru-RU"/>
        </w:rPr>
        <w:t xml:space="preserve">1. </w:t>
      </w:r>
      <w:r w:rsidR="004D733E">
        <w:rPr>
          <w:rFonts w:eastAsia="Times New Roman"/>
          <w:color w:val="000000"/>
          <w:szCs w:val="28"/>
          <w:lang w:val="en-US" w:eastAsia="ru-RU"/>
        </w:rPr>
        <w:t>to</w:t>
      </w:r>
      <w:r w:rsidR="004D733E" w:rsidRPr="004D733E">
        <w:rPr>
          <w:rFonts w:eastAsia="Times New Roman"/>
          <w:color w:val="000000"/>
          <w:szCs w:val="28"/>
          <w:lang w:val="en-US" w:eastAsia="ru-RU"/>
        </w:rPr>
        <w:t xml:space="preserve"> </w:t>
      </w:r>
      <w:r w:rsidR="004D733E">
        <w:rPr>
          <w:rFonts w:eastAsia="Times New Roman"/>
          <w:color w:val="000000"/>
          <w:szCs w:val="28"/>
          <w:lang w:val="en-US" w:eastAsia="ru-RU"/>
        </w:rPr>
        <w:t>establish</w:t>
      </w:r>
      <w:r w:rsidR="004D733E" w:rsidRPr="004D733E">
        <w:rPr>
          <w:rFonts w:eastAsia="Times New Roman"/>
          <w:color w:val="000000"/>
          <w:szCs w:val="28"/>
          <w:lang w:val="en-US" w:eastAsia="ru-RU"/>
        </w:rPr>
        <w:t xml:space="preserve"> </w:t>
      </w:r>
      <w:r w:rsidR="00C20679">
        <w:rPr>
          <w:rFonts w:eastAsia="Times New Roman"/>
          <w:color w:val="000000"/>
          <w:szCs w:val="28"/>
          <w:lang w:val="en-US" w:eastAsia="ru-RU"/>
        </w:rPr>
        <w:t>T</w:t>
      </w:r>
      <w:r w:rsidR="004D733E">
        <w:rPr>
          <w:rFonts w:eastAsia="Times New Roman"/>
          <w:color w:val="000000"/>
          <w:szCs w:val="28"/>
          <w:lang w:val="en-US" w:eastAsia="ru-RU"/>
        </w:rPr>
        <w:t>SAG</w:t>
      </w:r>
      <w:r w:rsidR="004D733E" w:rsidRPr="004D733E">
        <w:rPr>
          <w:rFonts w:eastAsia="Times New Roman"/>
          <w:color w:val="000000"/>
          <w:szCs w:val="28"/>
          <w:lang w:val="en-US" w:eastAsia="ru-RU"/>
        </w:rPr>
        <w:t xml:space="preserve"> </w:t>
      </w:r>
      <w:r w:rsidR="00F41EB0">
        <w:rPr>
          <w:rFonts w:eastAsia="Times New Roman"/>
          <w:color w:val="000000"/>
          <w:szCs w:val="28"/>
          <w:lang w:val="en-US" w:eastAsia="ru-RU"/>
        </w:rPr>
        <w:t>C</w:t>
      </w:r>
      <w:r w:rsidR="004D733E">
        <w:rPr>
          <w:rFonts w:eastAsia="Times New Roman"/>
          <w:color w:val="000000"/>
          <w:szCs w:val="28"/>
          <w:lang w:val="en-US" w:eastAsia="ru-RU"/>
        </w:rPr>
        <w:t>orrespondence</w:t>
      </w:r>
      <w:r w:rsidR="004D733E" w:rsidRPr="004D733E">
        <w:rPr>
          <w:rFonts w:eastAsia="Times New Roman"/>
          <w:color w:val="000000"/>
          <w:szCs w:val="28"/>
          <w:lang w:val="en-US" w:eastAsia="ru-RU"/>
        </w:rPr>
        <w:t xml:space="preserve"> </w:t>
      </w:r>
      <w:r w:rsidR="00F41EB0">
        <w:rPr>
          <w:rFonts w:eastAsia="Times New Roman"/>
          <w:color w:val="000000"/>
          <w:szCs w:val="28"/>
          <w:lang w:val="en-US" w:eastAsia="ru-RU"/>
        </w:rPr>
        <w:t>G</w:t>
      </w:r>
      <w:r w:rsidR="004D733E">
        <w:rPr>
          <w:rFonts w:eastAsia="Times New Roman"/>
          <w:color w:val="000000"/>
          <w:szCs w:val="28"/>
          <w:lang w:val="en-US" w:eastAsia="ru-RU"/>
        </w:rPr>
        <w:t>roup</w:t>
      </w:r>
      <w:r w:rsidR="004D733E" w:rsidRPr="004D733E">
        <w:rPr>
          <w:rFonts w:eastAsia="Times New Roman"/>
          <w:color w:val="000000"/>
          <w:szCs w:val="28"/>
          <w:lang w:val="en-US" w:eastAsia="ru-RU"/>
        </w:rPr>
        <w:t xml:space="preserve"> </w:t>
      </w:r>
      <w:r w:rsidR="004D733E">
        <w:rPr>
          <w:rFonts w:eastAsia="Times New Roman"/>
          <w:color w:val="000000"/>
          <w:szCs w:val="28"/>
          <w:lang w:val="en-US" w:eastAsia="ru-RU"/>
        </w:rPr>
        <w:t>that</w:t>
      </w:r>
      <w:r w:rsidR="004D733E" w:rsidRPr="004D733E">
        <w:rPr>
          <w:rFonts w:eastAsia="Times New Roman"/>
          <w:color w:val="000000"/>
          <w:szCs w:val="28"/>
          <w:lang w:val="en-US" w:eastAsia="ru-RU"/>
        </w:rPr>
        <w:t xml:space="preserve"> should consider the proposals of ITU-T SG</w:t>
      </w:r>
      <w:r w:rsidR="004D733E">
        <w:rPr>
          <w:rFonts w:eastAsia="Times New Roman"/>
          <w:color w:val="000000"/>
          <w:szCs w:val="28"/>
          <w:lang w:val="en-US" w:eastAsia="ru-RU"/>
        </w:rPr>
        <w:t>s</w:t>
      </w:r>
      <w:r w:rsidR="004D733E" w:rsidRPr="004D733E">
        <w:rPr>
          <w:rFonts w:eastAsia="Times New Roman"/>
          <w:color w:val="000000"/>
          <w:szCs w:val="28"/>
          <w:lang w:val="en-US" w:eastAsia="ru-RU"/>
        </w:rPr>
        <w:t xml:space="preserve"> and administrations, as well as participate in the review and preparation of comments on the draft report of the </w:t>
      </w:r>
      <w:r w:rsidR="004D733E">
        <w:rPr>
          <w:rFonts w:eastAsia="Times New Roman"/>
          <w:color w:val="000000"/>
          <w:szCs w:val="28"/>
          <w:lang w:val="en-US" w:eastAsia="ru-RU"/>
        </w:rPr>
        <w:t xml:space="preserve">TSB </w:t>
      </w:r>
      <w:r w:rsidR="004D733E" w:rsidRPr="004D733E">
        <w:rPr>
          <w:rFonts w:eastAsia="Times New Roman"/>
          <w:color w:val="000000"/>
          <w:szCs w:val="28"/>
          <w:lang w:val="en-US" w:eastAsia="ru-RU"/>
        </w:rPr>
        <w:t xml:space="preserve">Director of the Bureau </w:t>
      </w:r>
      <w:r w:rsidR="004D733E">
        <w:rPr>
          <w:rFonts w:eastAsia="Times New Roman"/>
          <w:color w:val="000000"/>
          <w:szCs w:val="28"/>
          <w:lang w:val="en-US" w:eastAsia="ru-RU"/>
        </w:rPr>
        <w:t>for EG-ITRs;</w:t>
      </w:r>
    </w:p>
    <w:p w14:paraId="5BAC762A" w14:textId="5C1D0C30" w:rsidR="004D733E" w:rsidRDefault="009B612D" w:rsidP="009B612D">
      <w:pPr>
        <w:spacing w:after="240"/>
        <w:ind w:left="708"/>
        <w:jc w:val="both"/>
        <w:rPr>
          <w:lang w:val="en-US"/>
        </w:rPr>
      </w:pPr>
      <w:r w:rsidRPr="004D733E">
        <w:rPr>
          <w:lang w:val="en-US"/>
        </w:rPr>
        <w:t xml:space="preserve">2. </w:t>
      </w:r>
      <w:r w:rsidR="004D733E" w:rsidRPr="004D733E">
        <w:rPr>
          <w:lang w:val="en-US"/>
        </w:rPr>
        <w:t xml:space="preserve">to request ITU-T SGs  for information on questions, work items and drafts of revised  existing as well as  developing new ITU-T Recommendations that should be used to develop the ITRs </w:t>
      </w:r>
      <w:r w:rsidR="004D733E">
        <w:rPr>
          <w:lang w:val="en-US"/>
        </w:rPr>
        <w:t>main</w:t>
      </w:r>
      <w:r w:rsidR="004D733E" w:rsidRPr="004D733E">
        <w:rPr>
          <w:lang w:val="en-US"/>
        </w:rPr>
        <w:t>body and Annexes provisions</w:t>
      </w:r>
      <w:r w:rsidR="00C20679">
        <w:rPr>
          <w:lang w:val="en-US"/>
        </w:rPr>
        <w:t>;</w:t>
      </w:r>
    </w:p>
    <w:p w14:paraId="723946B7" w14:textId="43278A22" w:rsidR="009B612D" w:rsidRDefault="009B612D" w:rsidP="009B612D">
      <w:pPr>
        <w:spacing w:after="240"/>
        <w:ind w:left="708"/>
        <w:jc w:val="both"/>
        <w:rPr>
          <w:lang w:val="en-US"/>
        </w:rPr>
      </w:pPr>
      <w:r w:rsidRPr="00C20679">
        <w:rPr>
          <w:lang w:val="en-US"/>
        </w:rPr>
        <w:t xml:space="preserve">3. </w:t>
      </w:r>
      <w:r w:rsidR="00C20679" w:rsidRPr="00C20679">
        <w:rPr>
          <w:lang w:val="en-US"/>
        </w:rPr>
        <w:t>to instruct the ITU-T SGs to consider this request at the next meetings and submit their proposals t</w:t>
      </w:r>
      <w:r w:rsidR="00F41EB0">
        <w:rPr>
          <w:lang w:val="en-US"/>
        </w:rPr>
        <w:t>o the TSAG Correspondence G</w:t>
      </w:r>
      <w:r w:rsidR="00C20679">
        <w:rPr>
          <w:lang w:val="en-US"/>
        </w:rPr>
        <w:t>roup;</w:t>
      </w:r>
    </w:p>
    <w:p w14:paraId="1A5ABDFD" w14:textId="3C8B7B86" w:rsidR="009B612D" w:rsidRPr="00F41EB0" w:rsidRDefault="00F41EB0" w:rsidP="009B612D">
      <w:pPr>
        <w:spacing w:after="240"/>
        <w:ind w:left="708"/>
        <w:jc w:val="both"/>
        <w:rPr>
          <w:lang w:val="en-US"/>
        </w:rPr>
      </w:pPr>
      <w:r w:rsidRPr="00F41EB0">
        <w:rPr>
          <w:lang w:val="en-US"/>
        </w:rPr>
        <w:t>4</w:t>
      </w:r>
      <w:r>
        <w:rPr>
          <w:lang w:val="en-US"/>
        </w:rPr>
        <w:t xml:space="preserve">. </w:t>
      </w:r>
      <w:r w:rsidRPr="00F41EB0">
        <w:rPr>
          <w:lang w:val="en-US"/>
        </w:rPr>
        <w:t xml:space="preserve">to recommend the TSB Director send report </w:t>
      </w:r>
      <w:r>
        <w:rPr>
          <w:lang w:val="en-US"/>
        </w:rPr>
        <w:t>(</w:t>
      </w:r>
      <w:r w:rsidRPr="00F41EB0">
        <w:rPr>
          <w:lang w:val="en-US"/>
        </w:rPr>
        <w:t>prepared in accordance with  Council Resolution 1379</w:t>
      </w:r>
      <w:r>
        <w:rPr>
          <w:lang w:val="en-US"/>
        </w:rPr>
        <w:t xml:space="preserve"> and WTSA Resolution 87)</w:t>
      </w:r>
      <w:r w:rsidRPr="00F41EB0">
        <w:rPr>
          <w:lang w:val="en-US"/>
        </w:rPr>
        <w:t xml:space="preserve">  to the TSAG Correspondence Group to collect comments and additional information before being sent to the EG-ITRs</w:t>
      </w:r>
      <w:r w:rsidR="009B612D" w:rsidRPr="00F41EB0">
        <w:rPr>
          <w:lang w:val="en-US"/>
        </w:rPr>
        <w:t xml:space="preserve"> </w:t>
      </w:r>
    </w:p>
    <w:p w14:paraId="78C14C44" w14:textId="1494E66F" w:rsidR="003F6CB8" w:rsidRDefault="009B612D" w:rsidP="009B612D">
      <w:pPr>
        <w:spacing w:after="240"/>
        <w:ind w:left="708"/>
        <w:jc w:val="both"/>
      </w:pPr>
      <w:r w:rsidRPr="003F6CB8">
        <w:rPr>
          <w:lang w:val="en-US"/>
        </w:rPr>
        <w:t xml:space="preserve">5. </w:t>
      </w:r>
      <w:r w:rsidR="00F41EB0">
        <w:rPr>
          <w:lang w:val="en-US"/>
        </w:rPr>
        <w:t>to</w:t>
      </w:r>
      <w:r w:rsidR="00F41EB0" w:rsidRPr="003F6CB8">
        <w:rPr>
          <w:lang w:val="en-US"/>
        </w:rPr>
        <w:t xml:space="preserve"> </w:t>
      </w:r>
      <w:r w:rsidR="00F41EB0">
        <w:rPr>
          <w:lang w:val="en-US"/>
        </w:rPr>
        <w:t>carry</w:t>
      </w:r>
      <w:r w:rsidR="00F41EB0" w:rsidRPr="003F6CB8">
        <w:rPr>
          <w:lang w:val="en-US"/>
        </w:rPr>
        <w:t xml:space="preserve"> </w:t>
      </w:r>
      <w:r w:rsidR="00F41EB0">
        <w:rPr>
          <w:lang w:val="en-US"/>
        </w:rPr>
        <w:t>out</w:t>
      </w:r>
      <w:r w:rsidR="00F41EB0" w:rsidRPr="003F6CB8">
        <w:rPr>
          <w:lang w:val="en-US"/>
        </w:rPr>
        <w:t xml:space="preserve"> </w:t>
      </w:r>
      <w:r w:rsidR="003F6CB8">
        <w:rPr>
          <w:lang w:val="en-US"/>
        </w:rPr>
        <w:t>consultation</w:t>
      </w:r>
      <w:r w:rsidR="003F6CB8" w:rsidRPr="003F6CB8">
        <w:rPr>
          <w:lang w:val="en-US"/>
        </w:rPr>
        <w:t xml:space="preserve"> </w:t>
      </w:r>
      <w:r w:rsidR="003F6CB8">
        <w:rPr>
          <w:lang w:val="en-US"/>
        </w:rPr>
        <w:t>between</w:t>
      </w:r>
      <w:r w:rsidR="003F6CB8" w:rsidRPr="003F6CB8">
        <w:rPr>
          <w:lang w:val="en-US"/>
        </w:rPr>
        <w:t xml:space="preserve"> </w:t>
      </w:r>
      <w:r w:rsidR="003F6CB8">
        <w:rPr>
          <w:lang w:val="en-US"/>
        </w:rPr>
        <w:t>TSB</w:t>
      </w:r>
      <w:r w:rsidR="003F6CB8" w:rsidRPr="003F6CB8">
        <w:rPr>
          <w:lang w:val="en-US"/>
        </w:rPr>
        <w:t xml:space="preserve"> </w:t>
      </w:r>
      <w:r w:rsidR="003F6CB8">
        <w:rPr>
          <w:lang w:val="en-US"/>
        </w:rPr>
        <w:t>Director</w:t>
      </w:r>
      <w:r w:rsidR="003F6CB8" w:rsidRPr="003F6CB8">
        <w:rPr>
          <w:lang w:val="en-US"/>
        </w:rPr>
        <w:t xml:space="preserve"> </w:t>
      </w:r>
      <w:r w:rsidR="003F6CB8">
        <w:rPr>
          <w:lang w:val="en-US"/>
        </w:rPr>
        <w:t>and</w:t>
      </w:r>
      <w:r w:rsidR="003F6CB8" w:rsidRPr="003F6CB8">
        <w:rPr>
          <w:lang w:val="en-US"/>
        </w:rPr>
        <w:t xml:space="preserve"> </w:t>
      </w:r>
      <w:r w:rsidR="003F6CB8">
        <w:rPr>
          <w:lang w:val="en-US"/>
        </w:rPr>
        <w:t>TSAG, at its meeting in 2018,</w:t>
      </w:r>
      <w:r w:rsidR="003F6CB8" w:rsidRPr="003F6CB8">
        <w:rPr>
          <w:lang w:val="en-US"/>
        </w:rPr>
        <w:t xml:space="preserve"> on the submission of additional work</w:t>
      </w:r>
      <w:r w:rsidR="003F6CB8">
        <w:rPr>
          <w:lang w:val="en-US"/>
        </w:rPr>
        <w:t>’s</w:t>
      </w:r>
      <w:r w:rsidR="003F6CB8" w:rsidRPr="003F6CB8">
        <w:rPr>
          <w:lang w:val="en-US"/>
        </w:rPr>
        <w:t xml:space="preserve"> results for consideration by the Council 2018</w:t>
      </w:r>
      <w:r w:rsidR="003F6CB8">
        <w:rPr>
          <w:lang w:val="en-US"/>
        </w:rPr>
        <w:t>, i</w:t>
      </w:r>
      <w:r w:rsidR="003F6CB8" w:rsidRPr="003F6CB8">
        <w:rPr>
          <w:lang w:val="en-US"/>
        </w:rPr>
        <w:t>f necessary</w:t>
      </w:r>
      <w:r w:rsidR="003F6CB8">
        <w:rPr>
          <w:lang w:val="en-US"/>
        </w:rPr>
        <w:t>.</w:t>
      </w:r>
      <w:r w:rsidR="003F6CB8" w:rsidRPr="003F6CB8">
        <w:rPr>
          <w:lang w:val="en-US"/>
        </w:rPr>
        <w:t xml:space="preserve"> </w:t>
      </w:r>
    </w:p>
    <w:p w14:paraId="652DA755" w14:textId="77777777" w:rsidR="00C42125" w:rsidRPr="003F6CB8" w:rsidRDefault="00C42125" w:rsidP="00DE3062"/>
    <w:p w14:paraId="2B3B28A6" w14:textId="57857510" w:rsidR="00794F4F" w:rsidRDefault="00394DBF" w:rsidP="004D1ACB">
      <w:pPr>
        <w:jc w:val="center"/>
      </w:pPr>
      <w:r>
        <w:t>_______________________</w:t>
      </w:r>
    </w:p>
    <w:sectPr w:rsidR="00794F4F" w:rsidSect="00C42125">
      <w:headerReference w:type="default" r:id="rId1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FA398" w14:textId="77777777" w:rsidR="008D5139" w:rsidRDefault="008D5139" w:rsidP="00C42125">
      <w:pPr>
        <w:spacing w:before="0"/>
      </w:pPr>
      <w:r>
        <w:separator/>
      </w:r>
    </w:p>
  </w:endnote>
  <w:endnote w:type="continuationSeparator" w:id="0">
    <w:p w14:paraId="461CCD76" w14:textId="77777777" w:rsidR="008D5139" w:rsidRDefault="008D513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6159C" w14:textId="77777777" w:rsidR="008D5139" w:rsidRDefault="008D5139" w:rsidP="00C42125">
      <w:pPr>
        <w:spacing w:before="0"/>
      </w:pPr>
      <w:r>
        <w:separator/>
      </w:r>
    </w:p>
  </w:footnote>
  <w:footnote w:type="continuationSeparator" w:id="0">
    <w:p w14:paraId="0C4FBCC7" w14:textId="77777777" w:rsidR="008D5139" w:rsidRDefault="008D5139"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CD52EB">
      <w:rPr>
        <w:noProof/>
      </w:rPr>
      <w:t>2</w:t>
    </w:r>
    <w:r w:rsidRPr="00C42125">
      <w:fldChar w:fldCharType="end"/>
    </w:r>
    <w:r w:rsidRPr="00C42125">
      <w:t xml:space="preserve"> -</w:t>
    </w:r>
  </w:p>
  <w:p w14:paraId="2360415B" w14:textId="40432D9A" w:rsidR="00C42125" w:rsidRPr="00C42125" w:rsidRDefault="00253DBE" w:rsidP="007E53E4">
    <w:pPr>
      <w:pStyle w:val="Header"/>
    </w:pPr>
    <w:r>
      <w:fldChar w:fldCharType="begin"/>
    </w:r>
    <w:r>
      <w:instrText xml:space="preserve"> STYLEREF  Docnumber  </w:instrText>
    </w:r>
    <w:r>
      <w:fldChar w:fldCharType="separate"/>
    </w:r>
    <w:r w:rsidR="00CD52EB">
      <w:rPr>
        <w:noProof/>
      </w:rPr>
      <w:t>TSAG-C.22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43734"/>
    <w:multiLevelType w:val="hybridMultilevel"/>
    <w:tmpl w:val="26448326"/>
    <w:lvl w:ilvl="0" w:tplc="8BA4BA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916B7"/>
    <w:multiLevelType w:val="hybridMultilevel"/>
    <w:tmpl w:val="3F3A07C0"/>
    <w:lvl w:ilvl="0" w:tplc="8BA4BA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2E52F0"/>
    <w:multiLevelType w:val="hybridMultilevel"/>
    <w:tmpl w:val="8118FC40"/>
    <w:lvl w:ilvl="0" w:tplc="7ED8A9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171DB"/>
    <w:rsid w:val="00023D9A"/>
    <w:rsid w:val="0002490E"/>
    <w:rsid w:val="00037538"/>
    <w:rsid w:val="00043D75"/>
    <w:rsid w:val="00057000"/>
    <w:rsid w:val="000640E0"/>
    <w:rsid w:val="000A5CA2"/>
    <w:rsid w:val="000B25B1"/>
    <w:rsid w:val="001251DA"/>
    <w:rsid w:val="00125432"/>
    <w:rsid w:val="00126776"/>
    <w:rsid w:val="00137F40"/>
    <w:rsid w:val="001871EC"/>
    <w:rsid w:val="001A670F"/>
    <w:rsid w:val="001C62B8"/>
    <w:rsid w:val="001D6D84"/>
    <w:rsid w:val="001E2728"/>
    <w:rsid w:val="001E7B0E"/>
    <w:rsid w:val="001F141D"/>
    <w:rsid w:val="00200058"/>
    <w:rsid w:val="00200A06"/>
    <w:rsid w:val="00241832"/>
    <w:rsid w:val="00253DBE"/>
    <w:rsid w:val="002622FA"/>
    <w:rsid w:val="00263518"/>
    <w:rsid w:val="002759E7"/>
    <w:rsid w:val="00275ED1"/>
    <w:rsid w:val="00277326"/>
    <w:rsid w:val="002A49E0"/>
    <w:rsid w:val="002C015C"/>
    <w:rsid w:val="002C26C0"/>
    <w:rsid w:val="002C2AF0"/>
    <w:rsid w:val="002C2BC5"/>
    <w:rsid w:val="002E79CB"/>
    <w:rsid w:val="002F2FF5"/>
    <w:rsid w:val="002F7F55"/>
    <w:rsid w:val="0030745F"/>
    <w:rsid w:val="00314630"/>
    <w:rsid w:val="0032090A"/>
    <w:rsid w:val="00321CDE"/>
    <w:rsid w:val="00333E15"/>
    <w:rsid w:val="00336046"/>
    <w:rsid w:val="00350492"/>
    <w:rsid w:val="00360D31"/>
    <w:rsid w:val="0037373C"/>
    <w:rsid w:val="0037422B"/>
    <w:rsid w:val="0038715D"/>
    <w:rsid w:val="00394DBF"/>
    <w:rsid w:val="003957A6"/>
    <w:rsid w:val="00395C05"/>
    <w:rsid w:val="003A2BF1"/>
    <w:rsid w:val="003A43EF"/>
    <w:rsid w:val="003B1FBF"/>
    <w:rsid w:val="003C7445"/>
    <w:rsid w:val="003D2CC8"/>
    <w:rsid w:val="003E26EC"/>
    <w:rsid w:val="003F2BED"/>
    <w:rsid w:val="003F6CB8"/>
    <w:rsid w:val="004012A6"/>
    <w:rsid w:val="00443878"/>
    <w:rsid w:val="004539A8"/>
    <w:rsid w:val="004712CA"/>
    <w:rsid w:val="0047422E"/>
    <w:rsid w:val="0047569C"/>
    <w:rsid w:val="0049674B"/>
    <w:rsid w:val="004C0673"/>
    <w:rsid w:val="004C4E4E"/>
    <w:rsid w:val="004D1ACB"/>
    <w:rsid w:val="004D733E"/>
    <w:rsid w:val="004F3816"/>
    <w:rsid w:val="00543D41"/>
    <w:rsid w:val="00552142"/>
    <w:rsid w:val="0055782F"/>
    <w:rsid w:val="00566EDA"/>
    <w:rsid w:val="00572654"/>
    <w:rsid w:val="00583CED"/>
    <w:rsid w:val="00584AD8"/>
    <w:rsid w:val="005B3023"/>
    <w:rsid w:val="005B5629"/>
    <w:rsid w:val="005C0300"/>
    <w:rsid w:val="005F4B6A"/>
    <w:rsid w:val="005F7D8D"/>
    <w:rsid w:val="006010F3"/>
    <w:rsid w:val="00615A0A"/>
    <w:rsid w:val="006333D4"/>
    <w:rsid w:val="006369B2"/>
    <w:rsid w:val="00647525"/>
    <w:rsid w:val="00650417"/>
    <w:rsid w:val="006570B0"/>
    <w:rsid w:val="00691C94"/>
    <w:rsid w:val="0069210B"/>
    <w:rsid w:val="006A4055"/>
    <w:rsid w:val="006B7A23"/>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806E6"/>
    <w:rsid w:val="007903F8"/>
    <w:rsid w:val="00794F4F"/>
    <w:rsid w:val="00797300"/>
    <w:rsid w:val="007974BE"/>
    <w:rsid w:val="007A0916"/>
    <w:rsid w:val="007A0DFD"/>
    <w:rsid w:val="007A6474"/>
    <w:rsid w:val="007C7122"/>
    <w:rsid w:val="007D3F11"/>
    <w:rsid w:val="007E53E4"/>
    <w:rsid w:val="007E656A"/>
    <w:rsid w:val="007F664D"/>
    <w:rsid w:val="008128CE"/>
    <w:rsid w:val="00841217"/>
    <w:rsid w:val="00842137"/>
    <w:rsid w:val="0089088E"/>
    <w:rsid w:val="00892297"/>
    <w:rsid w:val="008B6F4A"/>
    <w:rsid w:val="008D5139"/>
    <w:rsid w:val="008E0172"/>
    <w:rsid w:val="009048E7"/>
    <w:rsid w:val="00914912"/>
    <w:rsid w:val="009406B5"/>
    <w:rsid w:val="00946166"/>
    <w:rsid w:val="00983164"/>
    <w:rsid w:val="009972EF"/>
    <w:rsid w:val="009B612D"/>
    <w:rsid w:val="009B75B3"/>
    <w:rsid w:val="009C3160"/>
    <w:rsid w:val="009E766E"/>
    <w:rsid w:val="009F1960"/>
    <w:rsid w:val="009F715E"/>
    <w:rsid w:val="00A10DBB"/>
    <w:rsid w:val="00A31D47"/>
    <w:rsid w:val="00A4013E"/>
    <w:rsid w:val="00A4045F"/>
    <w:rsid w:val="00A427CD"/>
    <w:rsid w:val="00A4600B"/>
    <w:rsid w:val="00A50506"/>
    <w:rsid w:val="00A51EF0"/>
    <w:rsid w:val="00A67A81"/>
    <w:rsid w:val="00A730A6"/>
    <w:rsid w:val="00A971A0"/>
    <w:rsid w:val="00AA1F22"/>
    <w:rsid w:val="00AB0B51"/>
    <w:rsid w:val="00AB5CE8"/>
    <w:rsid w:val="00AB7B0F"/>
    <w:rsid w:val="00AE6044"/>
    <w:rsid w:val="00B05821"/>
    <w:rsid w:val="00B26C28"/>
    <w:rsid w:val="00B26E1C"/>
    <w:rsid w:val="00B4174C"/>
    <w:rsid w:val="00B453F5"/>
    <w:rsid w:val="00B61624"/>
    <w:rsid w:val="00B718A5"/>
    <w:rsid w:val="00BC1FAE"/>
    <w:rsid w:val="00BC3A3F"/>
    <w:rsid w:val="00BC62E2"/>
    <w:rsid w:val="00BE0320"/>
    <w:rsid w:val="00C20679"/>
    <w:rsid w:val="00C42125"/>
    <w:rsid w:val="00C4650F"/>
    <w:rsid w:val="00C5306C"/>
    <w:rsid w:val="00C60737"/>
    <w:rsid w:val="00C62814"/>
    <w:rsid w:val="00C71E2B"/>
    <w:rsid w:val="00C74937"/>
    <w:rsid w:val="00CD52EB"/>
    <w:rsid w:val="00D57D7F"/>
    <w:rsid w:val="00D66C41"/>
    <w:rsid w:val="00D73137"/>
    <w:rsid w:val="00DA7A27"/>
    <w:rsid w:val="00DB1307"/>
    <w:rsid w:val="00DB400B"/>
    <w:rsid w:val="00DD1E3C"/>
    <w:rsid w:val="00DD50DE"/>
    <w:rsid w:val="00DE3062"/>
    <w:rsid w:val="00DF0004"/>
    <w:rsid w:val="00E204DD"/>
    <w:rsid w:val="00E2145E"/>
    <w:rsid w:val="00E353EC"/>
    <w:rsid w:val="00E53C24"/>
    <w:rsid w:val="00E625BC"/>
    <w:rsid w:val="00E74134"/>
    <w:rsid w:val="00EB444D"/>
    <w:rsid w:val="00F02294"/>
    <w:rsid w:val="00F04494"/>
    <w:rsid w:val="00F25254"/>
    <w:rsid w:val="00F35F57"/>
    <w:rsid w:val="00F41EB0"/>
    <w:rsid w:val="00F50467"/>
    <w:rsid w:val="00F562A0"/>
    <w:rsid w:val="00F8089F"/>
    <w:rsid w:val="00F867D0"/>
    <w:rsid w:val="00FA2177"/>
    <w:rsid w:val="00FB0A28"/>
    <w:rsid w:val="00FB557E"/>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5B8B80C5-EFCD-4F8D-AA58-EB21792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BalloonText">
    <w:name w:val="Balloon Text"/>
    <w:basedOn w:val="Normal"/>
    <w:link w:val="BalloonTextChar"/>
    <w:uiPriority w:val="99"/>
    <w:semiHidden/>
    <w:unhideWhenUsed/>
    <w:rsid w:val="0037373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3C"/>
    <w:rPr>
      <w:rFonts w:ascii="Tahoma" w:hAnsi="Tahoma" w:cs="Tahoma"/>
      <w:sz w:val="16"/>
      <w:szCs w:val="16"/>
      <w:lang w:val="en-GB" w:eastAsia="ja-JP"/>
    </w:rPr>
  </w:style>
  <w:style w:type="paragraph" w:customStyle="1" w:styleId="Call">
    <w:name w:val="Call"/>
    <w:basedOn w:val="Normal"/>
    <w:next w:val="Normal"/>
    <w:link w:val="CallChar"/>
    <w:rsid w:val="00D66C41"/>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 w:val="22"/>
      <w:szCs w:val="20"/>
      <w:lang w:eastAsia="en-US"/>
    </w:rPr>
  </w:style>
  <w:style w:type="character" w:customStyle="1" w:styleId="CallChar">
    <w:name w:val="Call Char"/>
    <w:basedOn w:val="DefaultParagraphFont"/>
    <w:link w:val="Call"/>
    <w:rsid w:val="00D66C41"/>
    <w:rPr>
      <w:rFonts w:ascii="Times New Roman" w:eastAsia="Times New Roman" w:hAnsi="Times New Roman" w:cs="Times New Roman"/>
      <w:i/>
      <w:szCs w:val="20"/>
      <w:lang w:val="en-GB" w:eastAsia="en-US"/>
    </w:rPr>
  </w:style>
  <w:style w:type="paragraph" w:styleId="ListParagraph">
    <w:name w:val="List Paragraph"/>
    <w:basedOn w:val="Normal"/>
    <w:uiPriority w:val="34"/>
    <w:qFormat/>
    <w:rsid w:val="00DF0004"/>
    <w:pPr>
      <w:ind w:left="720"/>
      <w:contextualSpacing/>
    </w:pPr>
  </w:style>
  <w:style w:type="character" w:styleId="CommentReference">
    <w:name w:val="annotation reference"/>
    <w:basedOn w:val="DefaultParagraphFont"/>
    <w:uiPriority w:val="99"/>
    <w:semiHidden/>
    <w:unhideWhenUsed/>
    <w:rsid w:val="009048E7"/>
    <w:rPr>
      <w:sz w:val="16"/>
      <w:szCs w:val="16"/>
    </w:rPr>
  </w:style>
  <w:style w:type="paragraph" w:styleId="CommentText">
    <w:name w:val="annotation text"/>
    <w:basedOn w:val="Normal"/>
    <w:link w:val="CommentTextChar"/>
    <w:uiPriority w:val="99"/>
    <w:semiHidden/>
    <w:unhideWhenUsed/>
    <w:rsid w:val="009048E7"/>
    <w:pPr>
      <w:spacing w:before="0"/>
    </w:pPr>
    <w:rPr>
      <w:rFonts w:eastAsia="SimSun"/>
      <w:sz w:val="20"/>
      <w:szCs w:val="20"/>
      <w:lang w:val="en-AU" w:eastAsia="en-AU"/>
    </w:rPr>
  </w:style>
  <w:style w:type="character" w:customStyle="1" w:styleId="CommentTextChar">
    <w:name w:val="Comment Text Char"/>
    <w:basedOn w:val="DefaultParagraphFont"/>
    <w:link w:val="CommentText"/>
    <w:uiPriority w:val="99"/>
    <w:semiHidden/>
    <w:rsid w:val="009048E7"/>
    <w:rPr>
      <w:rFonts w:ascii="Times New Roman" w:eastAsia="SimSu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537">
      <w:bodyDiv w:val="1"/>
      <w:marLeft w:val="0"/>
      <w:marRight w:val="0"/>
      <w:marTop w:val="0"/>
      <w:marBottom w:val="0"/>
      <w:divBdr>
        <w:top w:val="none" w:sz="0" w:space="0" w:color="auto"/>
        <w:left w:val="none" w:sz="0" w:space="0" w:color="auto"/>
        <w:bottom w:val="none" w:sz="0" w:space="0" w:color="auto"/>
        <w:right w:val="none" w:sz="0" w:space="0" w:color="auto"/>
      </w:divBdr>
    </w:div>
    <w:div w:id="245186501">
      <w:bodyDiv w:val="1"/>
      <w:marLeft w:val="0"/>
      <w:marRight w:val="0"/>
      <w:marTop w:val="0"/>
      <w:marBottom w:val="0"/>
      <w:divBdr>
        <w:top w:val="none" w:sz="0" w:space="0" w:color="auto"/>
        <w:left w:val="none" w:sz="0" w:space="0" w:color="auto"/>
        <w:bottom w:val="none" w:sz="0" w:space="0" w:color="auto"/>
        <w:right w:val="none" w:sz="0" w:space="0" w:color="auto"/>
      </w:divBdr>
    </w:div>
    <w:div w:id="284627816">
      <w:bodyDiv w:val="1"/>
      <w:marLeft w:val="0"/>
      <w:marRight w:val="0"/>
      <w:marTop w:val="0"/>
      <w:marBottom w:val="0"/>
      <w:divBdr>
        <w:top w:val="none" w:sz="0" w:space="0" w:color="auto"/>
        <w:left w:val="none" w:sz="0" w:space="0" w:color="auto"/>
        <w:bottom w:val="none" w:sz="0" w:space="0" w:color="auto"/>
        <w:right w:val="none" w:sz="0" w:space="0" w:color="auto"/>
      </w:divBdr>
    </w:div>
    <w:div w:id="333847108">
      <w:bodyDiv w:val="1"/>
      <w:marLeft w:val="0"/>
      <w:marRight w:val="0"/>
      <w:marTop w:val="0"/>
      <w:marBottom w:val="0"/>
      <w:divBdr>
        <w:top w:val="none" w:sz="0" w:space="0" w:color="auto"/>
        <w:left w:val="none" w:sz="0" w:space="0" w:color="auto"/>
        <w:bottom w:val="none" w:sz="0" w:space="0" w:color="auto"/>
        <w:right w:val="none" w:sz="0" w:space="0" w:color="auto"/>
      </w:divBdr>
    </w:div>
    <w:div w:id="399527679">
      <w:bodyDiv w:val="1"/>
      <w:marLeft w:val="0"/>
      <w:marRight w:val="0"/>
      <w:marTop w:val="0"/>
      <w:marBottom w:val="0"/>
      <w:divBdr>
        <w:top w:val="none" w:sz="0" w:space="0" w:color="auto"/>
        <w:left w:val="none" w:sz="0" w:space="0" w:color="auto"/>
        <w:bottom w:val="none" w:sz="0" w:space="0" w:color="auto"/>
        <w:right w:val="none" w:sz="0" w:space="0" w:color="auto"/>
      </w:divBdr>
    </w:div>
    <w:div w:id="457068957">
      <w:bodyDiv w:val="1"/>
      <w:marLeft w:val="0"/>
      <w:marRight w:val="0"/>
      <w:marTop w:val="0"/>
      <w:marBottom w:val="0"/>
      <w:divBdr>
        <w:top w:val="none" w:sz="0" w:space="0" w:color="auto"/>
        <w:left w:val="none" w:sz="0" w:space="0" w:color="auto"/>
        <w:bottom w:val="none" w:sz="0" w:space="0" w:color="auto"/>
        <w:right w:val="none" w:sz="0" w:space="0" w:color="auto"/>
      </w:divBdr>
    </w:div>
    <w:div w:id="779422697">
      <w:bodyDiv w:val="1"/>
      <w:marLeft w:val="0"/>
      <w:marRight w:val="0"/>
      <w:marTop w:val="0"/>
      <w:marBottom w:val="0"/>
      <w:divBdr>
        <w:top w:val="none" w:sz="0" w:space="0" w:color="auto"/>
        <w:left w:val="none" w:sz="0" w:space="0" w:color="auto"/>
        <w:bottom w:val="none" w:sz="0" w:space="0" w:color="auto"/>
        <w:right w:val="none" w:sz="0" w:space="0" w:color="auto"/>
      </w:divBdr>
    </w:div>
    <w:div w:id="785662636">
      <w:bodyDiv w:val="1"/>
      <w:marLeft w:val="0"/>
      <w:marRight w:val="0"/>
      <w:marTop w:val="0"/>
      <w:marBottom w:val="0"/>
      <w:divBdr>
        <w:top w:val="none" w:sz="0" w:space="0" w:color="auto"/>
        <w:left w:val="none" w:sz="0" w:space="0" w:color="auto"/>
        <w:bottom w:val="none" w:sz="0" w:space="0" w:color="auto"/>
        <w:right w:val="none" w:sz="0" w:space="0" w:color="auto"/>
      </w:divBdr>
    </w:div>
    <w:div w:id="817650473">
      <w:bodyDiv w:val="1"/>
      <w:marLeft w:val="0"/>
      <w:marRight w:val="0"/>
      <w:marTop w:val="0"/>
      <w:marBottom w:val="0"/>
      <w:divBdr>
        <w:top w:val="none" w:sz="0" w:space="0" w:color="auto"/>
        <w:left w:val="none" w:sz="0" w:space="0" w:color="auto"/>
        <w:bottom w:val="none" w:sz="0" w:space="0" w:color="auto"/>
        <w:right w:val="none" w:sz="0" w:space="0" w:color="auto"/>
      </w:divBdr>
    </w:div>
    <w:div w:id="844436414">
      <w:bodyDiv w:val="1"/>
      <w:marLeft w:val="0"/>
      <w:marRight w:val="0"/>
      <w:marTop w:val="0"/>
      <w:marBottom w:val="0"/>
      <w:divBdr>
        <w:top w:val="none" w:sz="0" w:space="0" w:color="auto"/>
        <w:left w:val="none" w:sz="0" w:space="0" w:color="auto"/>
        <w:bottom w:val="none" w:sz="0" w:space="0" w:color="auto"/>
        <w:right w:val="none" w:sz="0" w:space="0" w:color="auto"/>
      </w:divBdr>
    </w:div>
    <w:div w:id="855853462">
      <w:bodyDiv w:val="1"/>
      <w:marLeft w:val="0"/>
      <w:marRight w:val="0"/>
      <w:marTop w:val="0"/>
      <w:marBottom w:val="0"/>
      <w:divBdr>
        <w:top w:val="none" w:sz="0" w:space="0" w:color="auto"/>
        <w:left w:val="none" w:sz="0" w:space="0" w:color="auto"/>
        <w:bottom w:val="none" w:sz="0" w:space="0" w:color="auto"/>
        <w:right w:val="none" w:sz="0" w:space="0" w:color="auto"/>
      </w:divBdr>
    </w:div>
    <w:div w:id="1074887551">
      <w:bodyDiv w:val="1"/>
      <w:marLeft w:val="0"/>
      <w:marRight w:val="0"/>
      <w:marTop w:val="0"/>
      <w:marBottom w:val="0"/>
      <w:divBdr>
        <w:top w:val="none" w:sz="0" w:space="0" w:color="auto"/>
        <w:left w:val="none" w:sz="0" w:space="0" w:color="auto"/>
        <w:bottom w:val="none" w:sz="0" w:space="0" w:color="auto"/>
        <w:right w:val="none" w:sz="0" w:space="0" w:color="auto"/>
      </w:divBdr>
    </w:div>
    <w:div w:id="1087001253">
      <w:bodyDiv w:val="1"/>
      <w:marLeft w:val="0"/>
      <w:marRight w:val="0"/>
      <w:marTop w:val="0"/>
      <w:marBottom w:val="0"/>
      <w:divBdr>
        <w:top w:val="none" w:sz="0" w:space="0" w:color="auto"/>
        <w:left w:val="none" w:sz="0" w:space="0" w:color="auto"/>
        <w:bottom w:val="none" w:sz="0" w:space="0" w:color="auto"/>
        <w:right w:val="none" w:sz="0" w:space="0" w:color="auto"/>
      </w:divBdr>
    </w:div>
    <w:div w:id="1159924878">
      <w:bodyDiv w:val="1"/>
      <w:marLeft w:val="0"/>
      <w:marRight w:val="0"/>
      <w:marTop w:val="0"/>
      <w:marBottom w:val="0"/>
      <w:divBdr>
        <w:top w:val="none" w:sz="0" w:space="0" w:color="auto"/>
        <w:left w:val="none" w:sz="0" w:space="0" w:color="auto"/>
        <w:bottom w:val="none" w:sz="0" w:space="0" w:color="auto"/>
        <w:right w:val="none" w:sz="0" w:space="0" w:color="auto"/>
      </w:divBdr>
    </w:div>
    <w:div w:id="1404451062">
      <w:bodyDiv w:val="1"/>
      <w:marLeft w:val="0"/>
      <w:marRight w:val="0"/>
      <w:marTop w:val="0"/>
      <w:marBottom w:val="0"/>
      <w:divBdr>
        <w:top w:val="none" w:sz="0" w:space="0" w:color="auto"/>
        <w:left w:val="none" w:sz="0" w:space="0" w:color="auto"/>
        <w:bottom w:val="none" w:sz="0" w:space="0" w:color="auto"/>
        <w:right w:val="none" w:sz="0" w:space="0" w:color="auto"/>
      </w:divBdr>
    </w:div>
    <w:div w:id="1498963193">
      <w:bodyDiv w:val="1"/>
      <w:marLeft w:val="0"/>
      <w:marRight w:val="0"/>
      <w:marTop w:val="0"/>
      <w:marBottom w:val="0"/>
      <w:divBdr>
        <w:top w:val="none" w:sz="0" w:space="0" w:color="auto"/>
        <w:left w:val="none" w:sz="0" w:space="0" w:color="auto"/>
        <w:bottom w:val="none" w:sz="0" w:space="0" w:color="auto"/>
        <w:right w:val="none" w:sz="0" w:space="0" w:color="auto"/>
      </w:divBdr>
    </w:div>
    <w:div w:id="1617718373">
      <w:bodyDiv w:val="1"/>
      <w:marLeft w:val="0"/>
      <w:marRight w:val="0"/>
      <w:marTop w:val="0"/>
      <w:marBottom w:val="0"/>
      <w:divBdr>
        <w:top w:val="none" w:sz="0" w:space="0" w:color="auto"/>
        <w:left w:val="none" w:sz="0" w:space="0" w:color="auto"/>
        <w:bottom w:val="none" w:sz="0" w:space="0" w:color="auto"/>
        <w:right w:val="none" w:sz="0" w:space="0" w:color="auto"/>
      </w:divBdr>
    </w:div>
    <w:div w:id="1836677666">
      <w:bodyDiv w:val="1"/>
      <w:marLeft w:val="0"/>
      <w:marRight w:val="0"/>
      <w:marTop w:val="0"/>
      <w:marBottom w:val="0"/>
      <w:divBdr>
        <w:top w:val="none" w:sz="0" w:space="0" w:color="auto"/>
        <w:left w:val="none" w:sz="0" w:space="0" w:color="auto"/>
        <w:bottom w:val="none" w:sz="0" w:space="0" w:color="auto"/>
        <w:right w:val="none" w:sz="0" w:space="0" w:color="auto"/>
      </w:divBdr>
    </w:div>
    <w:div w:id="1947076343">
      <w:bodyDiv w:val="1"/>
      <w:marLeft w:val="0"/>
      <w:marRight w:val="0"/>
      <w:marTop w:val="0"/>
      <w:marBottom w:val="0"/>
      <w:divBdr>
        <w:top w:val="none" w:sz="0" w:space="0" w:color="auto"/>
        <w:left w:val="none" w:sz="0" w:space="0" w:color="auto"/>
        <w:bottom w:val="none" w:sz="0" w:space="0" w:color="auto"/>
        <w:right w:val="none" w:sz="0" w:space="0" w:color="auto"/>
      </w:divBdr>
    </w:div>
    <w:div w:id="2115587194">
      <w:bodyDiv w:val="1"/>
      <w:marLeft w:val="0"/>
      <w:marRight w:val="0"/>
      <w:marTop w:val="0"/>
      <w:marBottom w:val="0"/>
      <w:divBdr>
        <w:top w:val="none" w:sz="0" w:space="0" w:color="auto"/>
        <w:left w:val="none" w:sz="0" w:space="0" w:color="auto"/>
        <w:bottom w:val="none" w:sz="0" w:space="0" w:color="auto"/>
        <w:right w:val="none" w:sz="0" w:space="0" w:color="auto"/>
      </w:divBdr>
    </w:div>
    <w:div w:id="21290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xey.borodin@rt.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niir.r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PlaceholderText"/>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PlaceholderText"/>
            </w:rPr>
            <w:t>Click here to enter text.</w:t>
          </w:r>
        </w:p>
      </w:docPartBody>
    </w:docPart>
    <w:docPart>
      <w:docPartPr>
        <w:name w:val="5E08607CCF044DD3A515AE3C2C01207D"/>
        <w:category>
          <w:name w:val="Общие"/>
          <w:gallery w:val="placeholder"/>
        </w:category>
        <w:types>
          <w:type w:val="bbPlcHdr"/>
        </w:types>
        <w:behaviors>
          <w:behavior w:val="content"/>
        </w:behaviors>
        <w:guid w:val="{93E20C0D-BB01-4D0A-BBCC-35B08704107D}"/>
      </w:docPartPr>
      <w:docPartBody>
        <w:p w:rsidR="001F5446" w:rsidRDefault="00075D0F" w:rsidP="00075D0F">
          <w:pPr>
            <w:pStyle w:val="5E08607CCF044DD3A515AE3C2C01207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24164"/>
    <w:rsid w:val="00037F0A"/>
    <w:rsid w:val="00047ABF"/>
    <w:rsid w:val="00075D0F"/>
    <w:rsid w:val="000A36B3"/>
    <w:rsid w:val="001F5446"/>
    <w:rsid w:val="00256D54"/>
    <w:rsid w:val="00325869"/>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9071C"/>
    <w:rsid w:val="00A33DD7"/>
    <w:rsid w:val="00A3586C"/>
    <w:rsid w:val="00AC7F00"/>
    <w:rsid w:val="00AF3CAC"/>
    <w:rsid w:val="00C06AB2"/>
    <w:rsid w:val="00C537FF"/>
    <w:rsid w:val="00C65FA6"/>
    <w:rsid w:val="00C7519D"/>
    <w:rsid w:val="00D40096"/>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D0F"/>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253FF821256442D6B5D149431CF865E2">
    <w:name w:val="253FF821256442D6B5D149431CF865E2"/>
    <w:rsid w:val="00075D0F"/>
    <w:pPr>
      <w:spacing w:after="200" w:line="276" w:lineRule="auto"/>
    </w:pPr>
    <w:rPr>
      <w:lang w:val="ru-RU" w:eastAsia="ru-RU"/>
    </w:rPr>
  </w:style>
  <w:style w:type="paragraph" w:customStyle="1" w:styleId="EDA875994E114FF7AA175EC8BDBCB97B">
    <w:name w:val="EDA875994E114FF7AA175EC8BDBCB97B"/>
    <w:rsid w:val="00075D0F"/>
    <w:pPr>
      <w:spacing w:after="200" w:line="276" w:lineRule="auto"/>
    </w:pPr>
    <w:rPr>
      <w:lang w:val="ru-RU" w:eastAsia="ru-RU"/>
    </w:rPr>
  </w:style>
  <w:style w:type="paragraph" w:customStyle="1" w:styleId="33DF38E0567F4B18A14C5A5C45258079">
    <w:name w:val="33DF38E0567F4B18A14C5A5C45258079"/>
    <w:rsid w:val="00075D0F"/>
    <w:pPr>
      <w:spacing w:after="200" w:line="276" w:lineRule="auto"/>
    </w:pPr>
    <w:rPr>
      <w:lang w:val="ru-RU" w:eastAsia="ru-RU"/>
    </w:rPr>
  </w:style>
  <w:style w:type="paragraph" w:customStyle="1" w:styleId="5E08607CCF044DD3A515AE3C2C01207D">
    <w:name w:val="5E08607CCF044DD3A515AE3C2C01207D"/>
    <w:rsid w:val="00075D0F"/>
    <w:pPr>
      <w:spacing w:after="200" w:line="276" w:lineRule="auto"/>
    </w:pPr>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contribution proposes to create Correspondence Group to consider ITRs issues within ITU-T and to invite SGs ITU-T and TSAG to prepare appropriate information under its responsibilities in regard to consideration ITR issues in the EG-ITR as well as in the ITU Council.</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TSAG-C.22</ShortName>
    <Place xmlns="3f6fad35-1f81-480e-a4e5-6e5474dcfb96">Geneva</Place>
    <IsTooLateSubmitted xmlns="3f6fad35-1f81-480e-a4e5-6e5474dcfb96">false</IsTooLateSubmitted>
    <Observations xmlns="3f6fad35-1f81-480e-a4e5-6e5474dcfb96" xsi:nil="true"/>
    <DocumentSource xmlns="3f6fad35-1f81-480e-a4e5-6e5474dcfb96">Russian Federation</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purl.org/dc/dcmitype/"/>
    <ds:schemaRef ds:uri="http://schemas.openxmlformats.org/package/2006/metadata/core-properties"/>
    <ds:schemaRef ds:uri="http://purl.org/dc/elements/1.1/"/>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3f6fad35-1f81-480e-a4e5-6e5474dcfb96"/>
    <ds:schemaRef ds:uri="http://purl.org/dc/term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67</TotalTime>
  <Pages>3</Pages>
  <Words>1092</Words>
  <Characters>6231</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On ITU-T SGs and TSAG activities in regard to consideration ITR issues  </vt:lpstr>
      <vt:lpstr/>
    </vt:vector>
  </TitlesOfParts>
  <Company>ITU</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ITU-T SGs and TSAG activities in regard to consideration ITR issues</dc:title>
  <dc:creator>Guy, Florence</dc:creator>
  <cp:keywords>ITR; EG-ITR; Council 2018 report</cp:keywords>
  <cp:lastModifiedBy>Al-Mnini, Lara</cp:lastModifiedBy>
  <cp:revision>7</cp:revision>
  <cp:lastPrinted>2017-02-22T09:55:00Z</cp:lastPrinted>
  <dcterms:created xsi:type="dcterms:W3CDTF">2017-04-18T13:31:00Z</dcterms:created>
  <dcterms:modified xsi:type="dcterms:W3CDTF">2017-04-19T08:05:00Z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