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37415F" w14:paraId="0867C755" w14:textId="77777777" w:rsidTr="009B75B3">
        <w:trPr>
          <w:cantSplit/>
          <w:jc w:val="center"/>
        </w:trPr>
        <w:tc>
          <w:tcPr>
            <w:tcW w:w="1134" w:type="dxa"/>
            <w:vMerge w:val="restart"/>
            <w:vAlign w:val="center"/>
          </w:tcPr>
          <w:p w14:paraId="1F4D3F2E" w14:textId="650B48E2" w:rsidR="00691C94" w:rsidRPr="007F664D" w:rsidRDefault="00691C94" w:rsidP="00691C94">
            <w:pPr>
              <w:jc w:val="center"/>
              <w:rPr>
                <w:sz w:val="20"/>
                <w:szCs w:val="20"/>
              </w:rPr>
            </w:pPr>
            <w:r>
              <w:rPr>
                <w:noProof/>
                <w:sz w:val="20"/>
                <w:szCs w:val="20"/>
                <w:lang w:eastAsia="zh-CN"/>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49A5F090" w14:textId="77777777" w:rsidR="00691C94" w:rsidRPr="00F70513" w:rsidRDefault="00691C94" w:rsidP="00691C94">
            <w:pPr>
              <w:rPr>
                <w:sz w:val="16"/>
                <w:szCs w:val="16"/>
              </w:rPr>
            </w:pPr>
            <w:r w:rsidRPr="00F70513">
              <w:rPr>
                <w:sz w:val="16"/>
                <w:szCs w:val="16"/>
              </w:rPr>
              <w:t>INTERNATIONAL TELECOMMUNICATION UNION</w:t>
            </w:r>
          </w:p>
          <w:p w14:paraId="7E0A9169" w14:textId="77777777" w:rsidR="00691C94" w:rsidRPr="006264C9" w:rsidRDefault="00691C94" w:rsidP="00691C94">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537" w:type="dxa"/>
            <w:gridSpan w:val="3"/>
            <w:vAlign w:val="center"/>
          </w:tcPr>
          <w:p w14:paraId="23EE4F5F" w14:textId="6682DAD2" w:rsidR="00691C94" w:rsidRPr="00314630" w:rsidRDefault="00A32D4E" w:rsidP="00E7298B">
            <w:pPr>
              <w:pStyle w:val="Docnumber"/>
            </w:pPr>
            <w:sdt>
              <w:sdt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D6D84" w:rsidRPr="00972900">
                  <w:rPr>
                    <w:lang w:val="en-US"/>
                  </w:rPr>
                  <w:t>TSAG</w:t>
                </w:r>
                <w:r w:rsidR="00691C94" w:rsidRPr="00972900">
                  <w:rPr>
                    <w:lang w:val="en-US"/>
                  </w:rPr>
                  <w:t>-C.</w:t>
                </w:r>
                <w:r w:rsidR="00E7298B">
                  <w:rPr>
                    <w:lang w:val="en-US"/>
                  </w:rPr>
                  <w:t>20</w:t>
                </w:r>
              </w:sdtContent>
            </w:sdt>
          </w:p>
        </w:tc>
      </w:tr>
      <w:tr w:rsidR="00691C94" w:rsidRPr="0037415F" w14:paraId="69A404E2" w14:textId="77777777" w:rsidTr="009B75B3">
        <w:trPr>
          <w:cantSplit/>
          <w:jc w:val="center"/>
        </w:trPr>
        <w:tc>
          <w:tcPr>
            <w:tcW w:w="1134" w:type="dxa"/>
            <w:vMerge/>
          </w:tcPr>
          <w:p w14:paraId="1E90CF83" w14:textId="77777777" w:rsidR="00691C94" w:rsidRPr="00072A4E" w:rsidRDefault="00691C94" w:rsidP="00691C94">
            <w:pPr>
              <w:rPr>
                <w:smallCaps/>
                <w:sz w:val="20"/>
              </w:rPr>
            </w:pPr>
          </w:p>
        </w:tc>
        <w:tc>
          <w:tcPr>
            <w:tcW w:w="3969" w:type="dxa"/>
            <w:gridSpan w:val="2"/>
            <w:vMerge/>
          </w:tcPr>
          <w:p w14:paraId="1056B6DD" w14:textId="2F81B887" w:rsidR="00691C94" w:rsidRPr="00072A4E" w:rsidRDefault="00691C94" w:rsidP="00691C94">
            <w:pPr>
              <w:rPr>
                <w:smallCaps/>
                <w:sz w:val="20"/>
              </w:rPr>
            </w:pPr>
            <w:bookmarkStart w:id="0" w:name="ddate" w:colFirst="2" w:colLast="2"/>
          </w:p>
        </w:tc>
        <w:sdt>
          <w:sdtPr>
            <w:rPr>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69B1EB7D" w14:textId="3BBECCCF" w:rsidR="00691C94" w:rsidRPr="00715CA6" w:rsidRDefault="001D6D84" w:rsidP="001D6D84">
                <w:pPr>
                  <w:jc w:val="right"/>
                  <w:rPr>
                    <w:b/>
                    <w:bCs/>
                    <w:sz w:val="28"/>
                    <w:szCs w:val="28"/>
                  </w:rPr>
                </w:pPr>
                <w:r w:rsidRPr="00BC3A3F">
                  <w:rPr>
                    <w:b/>
                    <w:bCs/>
                    <w:sz w:val="28"/>
                    <w:szCs w:val="28"/>
                    <w:lang w:val="en-US"/>
                  </w:rPr>
                  <w:t>TSAG</w:t>
                </w:r>
              </w:p>
            </w:tc>
          </w:sdtContent>
        </w:sdt>
      </w:tr>
      <w:tr w:rsidR="00691C94" w:rsidRPr="0037415F" w14:paraId="2A208DDE" w14:textId="77777777" w:rsidTr="009B75B3">
        <w:trPr>
          <w:cantSplit/>
          <w:jc w:val="center"/>
        </w:trPr>
        <w:tc>
          <w:tcPr>
            <w:tcW w:w="1134" w:type="dxa"/>
            <w:vMerge/>
            <w:tcBorders>
              <w:bottom w:val="single" w:sz="12" w:space="0" w:color="auto"/>
            </w:tcBorders>
          </w:tcPr>
          <w:p w14:paraId="6169B641" w14:textId="77777777" w:rsidR="00691C94" w:rsidRPr="0037415F" w:rsidRDefault="00691C94" w:rsidP="00691C94">
            <w:pPr>
              <w:rPr>
                <w:b/>
                <w:bCs/>
                <w:sz w:val="26"/>
              </w:rPr>
            </w:pPr>
          </w:p>
        </w:tc>
        <w:tc>
          <w:tcPr>
            <w:tcW w:w="3969" w:type="dxa"/>
            <w:gridSpan w:val="2"/>
            <w:vMerge/>
            <w:tcBorders>
              <w:bottom w:val="single" w:sz="12" w:space="0" w:color="auto"/>
            </w:tcBorders>
          </w:tcPr>
          <w:p w14:paraId="545C3036" w14:textId="32E39F79" w:rsidR="00691C94" w:rsidRPr="0037415F" w:rsidRDefault="00691C94" w:rsidP="00691C94">
            <w:pPr>
              <w:rPr>
                <w:b/>
                <w:bCs/>
                <w:sz w:val="26"/>
              </w:rPr>
            </w:pPr>
            <w:bookmarkStart w:id="1" w:name="dorlang" w:colFirst="2" w:colLast="2"/>
            <w:bookmarkEnd w:id="0"/>
          </w:p>
        </w:tc>
        <w:tc>
          <w:tcPr>
            <w:tcW w:w="4537" w:type="dxa"/>
            <w:gridSpan w:val="3"/>
            <w:tcBorders>
              <w:bottom w:val="single" w:sz="12" w:space="0" w:color="auto"/>
            </w:tcBorders>
            <w:vAlign w:val="center"/>
          </w:tcPr>
          <w:p w14:paraId="6FB266D9" w14:textId="470B58AE"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37415F" w14:paraId="1AF38BFE" w14:textId="77777777" w:rsidTr="00D57D7F">
        <w:trPr>
          <w:cantSplit/>
          <w:jc w:val="center"/>
        </w:trPr>
        <w:tc>
          <w:tcPr>
            <w:tcW w:w="1418" w:type="dxa"/>
            <w:gridSpan w:val="2"/>
          </w:tcPr>
          <w:p w14:paraId="3DEF3B04" w14:textId="77777777" w:rsidR="00691C94" w:rsidRPr="0037415F" w:rsidRDefault="00691C94" w:rsidP="00691C94">
            <w:pPr>
              <w:rPr>
                <w:b/>
                <w:bCs/>
              </w:rPr>
            </w:pPr>
            <w:bookmarkStart w:id="2" w:name="dbluepink" w:colFirst="1" w:colLast="1"/>
            <w:bookmarkEnd w:id="1"/>
            <w:r w:rsidRPr="0037415F">
              <w:rPr>
                <w:b/>
                <w:bCs/>
              </w:rPr>
              <w:t>Question(s):</w:t>
            </w:r>
          </w:p>
        </w:tc>
        <w:sdt>
          <w:sdt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1DB7D93A" w14:textId="4C13E6CD" w:rsidR="00691C94" w:rsidRPr="0037415F" w:rsidRDefault="001D6D84" w:rsidP="001D6D84">
                <w:r>
                  <w:t>N/A</w:t>
                </w:r>
              </w:p>
            </w:tc>
          </w:sdtContent>
        </w:sdt>
        <w:tc>
          <w:tcPr>
            <w:tcW w:w="4395" w:type="dxa"/>
            <w:gridSpan w:val="2"/>
          </w:tcPr>
          <w:p w14:paraId="31155891" w14:textId="70922C81" w:rsidR="00691C94" w:rsidRPr="0037415F" w:rsidRDefault="00A32D4E" w:rsidP="00A32D4E">
            <w:pPr>
              <w:jc w:val="right"/>
            </w:pPr>
            <w:sdt>
              <w:sdt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t>Geneva</w:t>
                </w:r>
              </w:sdtContent>
            </w:sdt>
            <w:r w:rsidR="00691C94">
              <w:t xml:space="preserve">, </w:t>
            </w:r>
            <w:sdt>
              <w:sdt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D66C41">
                  <w:t>1–4 May 2017</w:t>
                </w:r>
              </w:sdtContent>
            </w:sdt>
          </w:p>
        </w:tc>
      </w:tr>
      <w:bookmarkEnd w:id="2"/>
      <w:tr w:rsidR="00691C94" w:rsidRPr="00A4045F" w14:paraId="345A6F48" w14:textId="77777777" w:rsidTr="00BC1FAE">
        <w:trPr>
          <w:cantSplit/>
          <w:jc w:val="center"/>
        </w:trPr>
        <w:tc>
          <w:tcPr>
            <w:tcW w:w="9640" w:type="dxa"/>
            <w:gridSpan w:val="6"/>
          </w:tcPr>
          <w:p w14:paraId="0C4E5689" w14:textId="0D25FC50" w:rsidR="00691C94" w:rsidRPr="007E656A" w:rsidRDefault="00A32D4E" w:rsidP="00691C94">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691C94" w:rsidRPr="007E656A">
                  <w:rPr>
                    <w:b/>
                    <w:bCs/>
                  </w:rPr>
                  <w:t>CONTRIBUTION</w:t>
                </w:r>
              </w:sdtContent>
            </w:sdt>
          </w:p>
        </w:tc>
      </w:tr>
      <w:tr w:rsidR="00691C94" w:rsidRPr="0037415F" w14:paraId="36F226DD" w14:textId="77777777" w:rsidTr="00D57D7F">
        <w:trPr>
          <w:cantSplit/>
          <w:jc w:val="center"/>
        </w:trPr>
        <w:tc>
          <w:tcPr>
            <w:tcW w:w="1418" w:type="dxa"/>
            <w:gridSpan w:val="2"/>
          </w:tcPr>
          <w:p w14:paraId="0C6BE8C3" w14:textId="77777777" w:rsidR="00691C94" w:rsidRPr="0037415F" w:rsidRDefault="00691C94" w:rsidP="00691C94">
            <w:pPr>
              <w:rPr>
                <w:b/>
                <w:bCs/>
              </w:rPr>
            </w:pPr>
            <w:r>
              <w:rPr>
                <w:b/>
                <w:bCs/>
              </w:rPr>
              <w:t>Source:</w:t>
            </w:r>
          </w:p>
        </w:tc>
        <w:sdt>
          <w:sdt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22CD3EE2" w14:textId="0C733449" w:rsidR="00691C94" w:rsidRDefault="00D66C41" w:rsidP="00691C94">
                <w:r>
                  <w:t>Russian Federation</w:t>
                </w:r>
              </w:p>
            </w:tc>
          </w:sdtContent>
        </w:sdt>
      </w:tr>
      <w:tr w:rsidR="00691C94" w:rsidRPr="0037415F" w14:paraId="0B1F3ADC" w14:textId="77777777" w:rsidTr="00D57D7F">
        <w:trPr>
          <w:cantSplit/>
          <w:jc w:val="center"/>
        </w:trPr>
        <w:tc>
          <w:tcPr>
            <w:tcW w:w="1418" w:type="dxa"/>
            <w:gridSpan w:val="2"/>
          </w:tcPr>
          <w:p w14:paraId="02C9C00F" w14:textId="77777777" w:rsidR="00691C94" w:rsidRPr="0037415F" w:rsidRDefault="00691C94" w:rsidP="00691C94">
            <w:r w:rsidRPr="0037415F">
              <w:rPr>
                <w:b/>
                <w:bCs/>
              </w:rPr>
              <w:t>Title:</w:t>
            </w:r>
          </w:p>
        </w:tc>
        <w:tc>
          <w:tcPr>
            <w:tcW w:w="8222" w:type="dxa"/>
            <w:gridSpan w:val="4"/>
          </w:tcPr>
          <w:p w14:paraId="10D9B5C7" w14:textId="3C58D056" w:rsidR="00691C94" w:rsidRPr="0037415F" w:rsidRDefault="00A32D4E" w:rsidP="00650417">
            <w:sdt>
              <w:sdt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650417">
                  <w:t>On implementation  Resolution 44 (Rev. Hammamet, 2016) – Bridging the Standardization Gap between developing and developed countries</w:t>
                </w:r>
              </w:sdtContent>
            </w:sdt>
          </w:p>
        </w:tc>
      </w:tr>
      <w:tr w:rsidR="00691C94" w:rsidRPr="0037415F" w14:paraId="3F7DB1A4" w14:textId="77777777" w:rsidTr="00D57D7F">
        <w:trPr>
          <w:cantSplit/>
          <w:jc w:val="center"/>
        </w:trPr>
        <w:tc>
          <w:tcPr>
            <w:tcW w:w="1418" w:type="dxa"/>
            <w:gridSpan w:val="2"/>
            <w:tcBorders>
              <w:bottom w:val="single" w:sz="6" w:space="0" w:color="auto"/>
            </w:tcBorders>
          </w:tcPr>
          <w:p w14:paraId="4821D0CE" w14:textId="77777777" w:rsidR="00691C94" w:rsidRPr="0037415F" w:rsidRDefault="00691C94" w:rsidP="00691C94">
            <w:pPr>
              <w:rPr>
                <w:b/>
                <w:bCs/>
              </w:rPr>
            </w:pPr>
            <w:r w:rsidRPr="008F7104">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displayText="[Purpose]" w:value=""/>
            </w:dropDownList>
          </w:sdtPr>
          <w:sdtEndPr/>
          <w:sdtContent>
            <w:tc>
              <w:tcPr>
                <w:tcW w:w="8222" w:type="dxa"/>
                <w:gridSpan w:val="4"/>
                <w:tcBorders>
                  <w:bottom w:val="single" w:sz="6" w:space="0" w:color="auto"/>
                </w:tcBorders>
              </w:tcPr>
              <w:p w14:paraId="5454423B" w14:textId="6F347F64" w:rsidR="00691C94" w:rsidRPr="00B4174C" w:rsidRDefault="0037373C" w:rsidP="00691C94">
                <w:r>
                  <w:t>Proposal</w:t>
                </w:r>
              </w:p>
            </w:tc>
          </w:sdtContent>
        </w:sdt>
      </w:tr>
      <w:tr w:rsidR="00F93322" w:rsidRPr="0037415F" w14:paraId="210DC6FA" w14:textId="77777777" w:rsidTr="00D57D7F">
        <w:trPr>
          <w:cantSplit/>
          <w:jc w:val="center"/>
        </w:trPr>
        <w:tc>
          <w:tcPr>
            <w:tcW w:w="1418" w:type="dxa"/>
            <w:gridSpan w:val="2"/>
            <w:tcBorders>
              <w:top w:val="single" w:sz="6" w:space="0" w:color="auto"/>
              <w:bottom w:val="single" w:sz="6" w:space="0" w:color="auto"/>
            </w:tcBorders>
          </w:tcPr>
          <w:p w14:paraId="47436BE0" w14:textId="77777777" w:rsidR="00F93322" w:rsidRDefault="00F93322" w:rsidP="0018403A">
            <w:pPr>
              <w:rPr>
                <w:b/>
                <w:bCs/>
              </w:rPr>
            </w:pPr>
            <w:r w:rsidRPr="008F7104">
              <w:rPr>
                <w:b/>
                <w:bCs/>
              </w:rPr>
              <w:t>Contact:</w:t>
            </w:r>
          </w:p>
          <w:p w14:paraId="100CA9E2" w14:textId="77777777" w:rsidR="00F93322" w:rsidRPr="008F7104" w:rsidRDefault="00F93322" w:rsidP="00691C94">
            <w:pPr>
              <w:rPr>
                <w:b/>
                <w:bCs/>
              </w:rPr>
            </w:pPr>
          </w:p>
        </w:tc>
        <w:tc>
          <w:tcPr>
            <w:tcW w:w="4111" w:type="dxa"/>
            <w:gridSpan w:val="3"/>
            <w:tcBorders>
              <w:top w:val="single" w:sz="6" w:space="0" w:color="auto"/>
              <w:bottom w:val="single" w:sz="6" w:space="0" w:color="auto"/>
            </w:tcBorders>
          </w:tcPr>
          <w:p w14:paraId="50DE003E" w14:textId="01D4FC30" w:rsidR="00F93322" w:rsidRDefault="00A32D4E" w:rsidP="00F93322">
            <w:pPr>
              <w:rPr>
                <w:lang w:val="en-US"/>
              </w:rPr>
            </w:pPr>
            <w:sdt>
              <w:sdtPr>
                <w:rPr>
                  <w:lang w:val="en-US"/>
                </w:rPr>
                <w:alias w:val="ContactNameOrgCountry"/>
                <w:tag w:val="ContactNameOrgCountry"/>
                <w:id w:val="18669212"/>
                <w:placeholder>
                  <w:docPart w:val="4FDB9DA50D824CF58E0A017716EB8002"/>
                </w:placeholder>
                <w:text w:multiLine="1"/>
              </w:sdtPr>
              <w:sdtEndPr/>
              <w:sdtContent>
                <w:r w:rsidR="00F93322">
                  <w:rPr>
                    <w:lang w:val="en-US"/>
                  </w:rPr>
                  <w:t>Alexander Grishchenko</w:t>
                </w:r>
                <w:r w:rsidR="00F93322" w:rsidRPr="00650417">
                  <w:rPr>
                    <w:lang w:val="en-US"/>
                  </w:rPr>
                  <w:br/>
                  <w:t>Russian administration</w:t>
                </w:r>
                <w:r w:rsidR="00F93322" w:rsidRPr="00650417">
                  <w:rPr>
                    <w:lang w:val="en-US"/>
                  </w:rPr>
                  <w:br/>
                </w:r>
                <w:r w:rsidR="00F93322">
                  <w:rPr>
                    <w:lang w:val="en-US"/>
                  </w:rPr>
                  <w:t>Mincomsvyaz of Russia</w:t>
                </w:r>
                <w:r w:rsidR="00F93322" w:rsidRPr="00650417">
                  <w:rPr>
                    <w:lang w:val="en-US"/>
                  </w:rPr>
                  <w:br/>
                  <w:t>Russian Federation</w:t>
                </w:r>
              </w:sdtContent>
            </w:sdt>
          </w:p>
        </w:tc>
        <w:tc>
          <w:tcPr>
            <w:tcW w:w="4111" w:type="dxa"/>
            <w:tcBorders>
              <w:top w:val="single" w:sz="6" w:space="0" w:color="auto"/>
              <w:bottom w:val="single" w:sz="6" w:space="0" w:color="auto"/>
            </w:tcBorders>
          </w:tcPr>
          <w:p w14:paraId="6FBC2CC0" w14:textId="1D08FF20" w:rsidR="00F93322" w:rsidRPr="00666A24" w:rsidRDefault="00F93322" w:rsidP="00F93322">
            <w:r w:rsidRPr="00666A24">
              <w:t>Tel</w:t>
            </w:r>
            <w:r w:rsidRPr="00972900">
              <w:rPr>
                <w:lang w:val="en-US"/>
              </w:rPr>
              <w:t>: +7</w:t>
            </w:r>
            <w:r w:rsidRPr="00666A24">
              <w:rPr>
                <w:lang w:val="en-US"/>
              </w:rPr>
              <w:t> </w:t>
            </w:r>
            <w:r>
              <w:rPr>
                <w:lang w:val="en-US"/>
              </w:rPr>
              <w:t>495 771-8000</w:t>
            </w:r>
            <w:r w:rsidRPr="00972900">
              <w:rPr>
                <w:lang w:val="en-US"/>
              </w:rPr>
              <w:br/>
            </w:r>
            <w:r w:rsidRPr="00666A24">
              <w:t xml:space="preserve">E-mail: </w:t>
            </w:r>
            <w:hyperlink r:id="rId11" w:history="1">
              <w:r w:rsidR="00A32D4E" w:rsidRPr="00D96254">
                <w:rPr>
                  <w:rStyle w:val="Hyperlink"/>
                  <w:rFonts w:ascii="Times New Roman" w:hAnsi="Times New Roman"/>
                </w:rPr>
                <w:t>gsmnet</w:t>
              </w:r>
              <w:r w:rsidR="00A32D4E" w:rsidRPr="00D96254">
                <w:rPr>
                  <w:rStyle w:val="Hyperlink"/>
                  <w:rFonts w:ascii="Times New Roman" w:hAnsi="Times New Roman"/>
                  <w:lang w:val="en-US"/>
                </w:rPr>
                <w:t>@list.ru</w:t>
              </w:r>
            </w:hyperlink>
            <w:r w:rsidR="00A32D4E">
              <w:rPr>
                <w:lang w:val="en-US"/>
              </w:rPr>
              <w:t xml:space="preserve"> </w:t>
            </w:r>
          </w:p>
        </w:tc>
      </w:tr>
      <w:tr w:rsidR="00F93322" w:rsidRPr="0037415F" w14:paraId="54FDCF36" w14:textId="77777777" w:rsidTr="00D57D7F">
        <w:trPr>
          <w:cantSplit/>
          <w:jc w:val="center"/>
        </w:trPr>
        <w:tc>
          <w:tcPr>
            <w:tcW w:w="1418" w:type="dxa"/>
            <w:gridSpan w:val="2"/>
            <w:tcBorders>
              <w:top w:val="single" w:sz="6" w:space="0" w:color="auto"/>
              <w:bottom w:val="single" w:sz="6" w:space="0" w:color="auto"/>
            </w:tcBorders>
          </w:tcPr>
          <w:p w14:paraId="5414C31C" w14:textId="41559BF0" w:rsidR="00F93322" w:rsidRDefault="00F93322" w:rsidP="00691C94">
            <w:pPr>
              <w:rPr>
                <w:b/>
                <w:bCs/>
              </w:rPr>
            </w:pPr>
            <w:r w:rsidRPr="008F7104">
              <w:rPr>
                <w:b/>
                <w:bCs/>
              </w:rPr>
              <w:t>Contact:</w:t>
            </w:r>
          </w:p>
          <w:p w14:paraId="0C4C0A9A" w14:textId="77777777" w:rsidR="00F93322" w:rsidRPr="00F93322" w:rsidRDefault="00F93322" w:rsidP="00F93322">
            <w:pPr>
              <w:jc w:val="center"/>
            </w:pPr>
          </w:p>
        </w:tc>
        <w:tc>
          <w:tcPr>
            <w:tcW w:w="4111" w:type="dxa"/>
            <w:gridSpan w:val="3"/>
            <w:tcBorders>
              <w:top w:val="single" w:sz="6" w:space="0" w:color="auto"/>
              <w:bottom w:val="single" w:sz="6" w:space="0" w:color="auto"/>
            </w:tcBorders>
          </w:tcPr>
          <w:p w14:paraId="3B8DDD8B" w14:textId="253C68B9" w:rsidR="00F93322" w:rsidRPr="00650417" w:rsidRDefault="00A32D4E" w:rsidP="00650417">
            <w:pPr>
              <w:rPr>
                <w:lang w:val="en-US"/>
              </w:rPr>
            </w:pPr>
            <w:sdt>
              <w:sdtPr>
                <w:rPr>
                  <w:lang w:val="en-US"/>
                </w:rPr>
                <w:alias w:val="ContactNameOrgCountry"/>
                <w:tag w:val="ContactNameOrgCountry"/>
                <w:id w:val="-450624836"/>
                <w:placeholder>
                  <w:docPart w:val="DCBE95B8AB9F42238BB4D57540009484"/>
                </w:placeholder>
                <w:text w:multiLine="1"/>
              </w:sdtPr>
              <w:sdtEndPr/>
              <w:sdtContent>
                <w:r w:rsidR="00F93322" w:rsidRPr="00650417">
                  <w:rPr>
                    <w:lang w:val="en-US"/>
                  </w:rPr>
                  <w:t>Evgeny Tonkikh</w:t>
                </w:r>
                <w:r w:rsidR="00F93322" w:rsidRPr="00650417">
                  <w:rPr>
                    <w:lang w:val="en-US"/>
                  </w:rPr>
                  <w:br/>
                  <w:t>Russian administration</w:t>
                </w:r>
                <w:r w:rsidR="00F93322" w:rsidRPr="00650417">
                  <w:rPr>
                    <w:lang w:val="en-US"/>
                  </w:rPr>
                  <w:br/>
                  <w:t>Radio research and development institute</w:t>
                </w:r>
                <w:r w:rsidR="00F93322" w:rsidRPr="00650417">
                  <w:rPr>
                    <w:lang w:val="en-US"/>
                  </w:rPr>
                  <w:br/>
                  <w:t>Russian Federation</w:t>
                </w:r>
              </w:sdtContent>
            </w:sdt>
          </w:p>
        </w:tc>
        <w:tc>
          <w:tcPr>
            <w:tcW w:w="4111" w:type="dxa"/>
            <w:tcBorders>
              <w:top w:val="single" w:sz="6" w:space="0" w:color="auto"/>
              <w:bottom w:val="single" w:sz="6" w:space="0" w:color="auto"/>
            </w:tcBorders>
          </w:tcPr>
          <w:p w14:paraId="4C78E534" w14:textId="4B33B0AF" w:rsidR="00F93322" w:rsidRDefault="00F93322" w:rsidP="00A32D4E">
            <w:r w:rsidRPr="00666A24">
              <w:t>Tel</w:t>
            </w:r>
            <w:r w:rsidRPr="00972900">
              <w:rPr>
                <w:lang w:val="en-US"/>
              </w:rPr>
              <w:t>: +7</w:t>
            </w:r>
            <w:r w:rsidRPr="00666A24">
              <w:rPr>
                <w:lang w:val="en-US"/>
              </w:rPr>
              <w:t> </w:t>
            </w:r>
            <w:r w:rsidRPr="00972900">
              <w:rPr>
                <w:lang w:val="en-US"/>
              </w:rPr>
              <w:t>495</w:t>
            </w:r>
            <w:r w:rsidRPr="00666A24">
              <w:rPr>
                <w:lang w:val="en-US"/>
              </w:rPr>
              <w:t> </w:t>
            </w:r>
            <w:r w:rsidR="00A32D4E">
              <w:rPr>
                <w:lang w:val="en-US"/>
              </w:rPr>
              <w:t>647-1734</w:t>
            </w:r>
            <w:r w:rsidRPr="00972900">
              <w:rPr>
                <w:lang w:val="en-US"/>
              </w:rPr>
              <w:br/>
            </w:r>
            <w:r w:rsidRPr="00666A24">
              <w:t xml:space="preserve">E-mail: </w:t>
            </w:r>
            <w:hyperlink r:id="rId12" w:history="1">
              <w:r w:rsidR="00A32D4E" w:rsidRPr="00D96254">
                <w:rPr>
                  <w:rStyle w:val="Hyperlink"/>
                  <w:rFonts w:ascii="Times New Roman" w:hAnsi="Times New Roman"/>
                  <w:lang w:val="en-US"/>
                </w:rPr>
                <w:t>et@niir.ru</w:t>
              </w:r>
            </w:hyperlink>
            <w:r w:rsidR="00A32D4E">
              <w:rPr>
                <w:lang w:val="en-US"/>
              </w:rPr>
              <w:t xml:space="preserve"> </w:t>
            </w:r>
          </w:p>
        </w:tc>
      </w:tr>
      <w:tr w:rsidR="00F93322" w:rsidRPr="0037415F" w14:paraId="00C4D844" w14:textId="77777777" w:rsidTr="00D57D7F">
        <w:trPr>
          <w:cantSplit/>
          <w:jc w:val="center"/>
        </w:trPr>
        <w:tc>
          <w:tcPr>
            <w:tcW w:w="1418" w:type="dxa"/>
            <w:gridSpan w:val="2"/>
            <w:tcBorders>
              <w:top w:val="single" w:sz="6" w:space="0" w:color="auto"/>
              <w:bottom w:val="single" w:sz="6" w:space="0" w:color="auto"/>
            </w:tcBorders>
          </w:tcPr>
          <w:p w14:paraId="280323DC" w14:textId="77777777" w:rsidR="00F93322" w:rsidRPr="008F7104" w:rsidRDefault="00F93322" w:rsidP="00691C94">
            <w:pPr>
              <w:rPr>
                <w:b/>
                <w:bCs/>
              </w:rPr>
            </w:pPr>
            <w:r w:rsidRPr="008F7104">
              <w:rPr>
                <w:b/>
                <w:bCs/>
              </w:rPr>
              <w:t>Contact:</w:t>
            </w:r>
          </w:p>
        </w:tc>
        <w:tc>
          <w:tcPr>
            <w:tcW w:w="4111" w:type="dxa"/>
            <w:gridSpan w:val="3"/>
            <w:tcBorders>
              <w:top w:val="single" w:sz="6" w:space="0" w:color="auto"/>
              <w:bottom w:val="single" w:sz="6" w:space="0" w:color="auto"/>
            </w:tcBorders>
          </w:tcPr>
          <w:p w14:paraId="1B836F37" w14:textId="65550AAC" w:rsidR="00F93322" w:rsidRDefault="00A32D4E" w:rsidP="007D5D9A">
            <w:sdt>
              <w:sdtPr>
                <w:rPr>
                  <w:lang w:val="en-US"/>
                </w:rPr>
                <w:alias w:val="ContactNameOrgCountry"/>
                <w:tag w:val="ContactNameOrgCountry"/>
                <w:id w:val="997003386"/>
                <w:placeholder>
                  <w:docPart w:val="7A0DEF2645214247BFC4882F6F1A3B46"/>
                </w:placeholder>
                <w:text w:multiLine="1"/>
              </w:sdtPr>
              <w:sdtEndPr/>
              <w:sdtContent>
                <w:r w:rsidR="00F93322" w:rsidRPr="007D5D9A">
                  <w:rPr>
                    <w:lang w:val="en-US"/>
                  </w:rPr>
                  <w:t>Alexey Borodin</w:t>
                </w:r>
                <w:r w:rsidR="00F93322" w:rsidRPr="007D5D9A">
                  <w:rPr>
                    <w:lang w:val="en-US"/>
                  </w:rPr>
                  <w:br/>
                  <w:t>Rostelecom</w:t>
                </w:r>
                <w:r w:rsidR="00F93322" w:rsidRPr="007D5D9A">
                  <w:rPr>
                    <w:lang w:val="en-US"/>
                  </w:rPr>
                  <w:br/>
                  <w:t>Russian Federation</w:t>
                </w:r>
              </w:sdtContent>
            </w:sdt>
          </w:p>
        </w:tc>
        <w:sdt>
          <w:sdtPr>
            <w:alias w:val="ContactTelFaxEmail"/>
            <w:tag w:val="ContactTelFaxEmail"/>
            <w:id w:val="1050803327"/>
            <w:placeholder>
              <w:docPart w:val="B7CF5392FCB74FB1934F0B6A04F2D1F7"/>
            </w:placeholder>
          </w:sdtPr>
          <w:sdtEndPr/>
          <w:sdtContent>
            <w:tc>
              <w:tcPr>
                <w:tcW w:w="4111" w:type="dxa"/>
                <w:tcBorders>
                  <w:top w:val="single" w:sz="6" w:space="0" w:color="auto"/>
                  <w:bottom w:val="single" w:sz="6" w:space="0" w:color="auto"/>
                </w:tcBorders>
              </w:tcPr>
              <w:p w14:paraId="1C4E3E9D" w14:textId="4C4CB062" w:rsidR="00F93322" w:rsidRDefault="00F93322" w:rsidP="00A32D4E">
                <w:r>
                  <w:t xml:space="preserve">Tel: </w:t>
                </w:r>
                <w:r w:rsidRPr="007D5D9A">
                  <w:rPr>
                    <w:rFonts w:eastAsia="Batang"/>
                  </w:rPr>
                  <w:t>+79853649319</w:t>
                </w:r>
                <w:r>
                  <w:br/>
                  <w:t xml:space="preserve">E-mail: </w:t>
                </w:r>
                <w:hyperlink r:id="rId13" w:history="1">
                  <w:r w:rsidRPr="007D5D9A">
                    <w:rPr>
                      <w:rStyle w:val="Hyperlink"/>
                      <w:rFonts w:eastAsia="Batang"/>
                    </w:rPr>
                    <w:t>alexey.borodin@rt.ru</w:t>
                  </w:r>
                </w:hyperlink>
              </w:p>
            </w:tc>
          </w:sdtContent>
        </w:sdt>
      </w:tr>
    </w:tbl>
    <w:p w14:paraId="1AA96A45" w14:textId="77777777" w:rsidR="0089088E" w:rsidRDefault="0089088E" w:rsidP="0089088E">
      <w:bookmarkStart w:id="3"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37415F" w14:paraId="3B2E1AE1" w14:textId="77777777" w:rsidTr="00D57D7F">
        <w:trPr>
          <w:cantSplit/>
          <w:jc w:val="center"/>
        </w:trPr>
        <w:tc>
          <w:tcPr>
            <w:tcW w:w="1418" w:type="dxa"/>
          </w:tcPr>
          <w:p w14:paraId="705E8A11" w14:textId="77777777" w:rsidR="0089088E" w:rsidRPr="008F7104" w:rsidRDefault="0089088E" w:rsidP="00EB6775">
            <w:pPr>
              <w:rPr>
                <w:b/>
                <w:bCs/>
              </w:rPr>
            </w:pPr>
            <w:r w:rsidRPr="008F7104">
              <w:rPr>
                <w:b/>
                <w:bCs/>
              </w:rPr>
              <w:t>Keywords:</w:t>
            </w:r>
          </w:p>
        </w:tc>
        <w:tc>
          <w:tcPr>
            <w:tcW w:w="8222" w:type="dxa"/>
          </w:tcPr>
          <w:p w14:paraId="75E3B1EF" w14:textId="5D681654" w:rsidR="0089088E" w:rsidRDefault="00A32D4E" w:rsidP="00650417">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650417">
                  <w:t>Resolution 44; Bridging the Standardization Gap; BSG; WTSA-16</w:t>
                </w:r>
                <w:r w:rsidR="00AB5CE8">
                  <w:t xml:space="preserve">; development countries’ </w:t>
                </w:r>
              </w:sdtContent>
            </w:sdt>
          </w:p>
        </w:tc>
      </w:tr>
      <w:tr w:rsidR="0089088E" w:rsidRPr="00AB5CE8" w14:paraId="7D0F8B1C" w14:textId="77777777" w:rsidTr="00D57D7F">
        <w:trPr>
          <w:cantSplit/>
          <w:jc w:val="center"/>
        </w:trPr>
        <w:tc>
          <w:tcPr>
            <w:tcW w:w="1418" w:type="dxa"/>
          </w:tcPr>
          <w:p w14:paraId="72CA09B8" w14:textId="77777777" w:rsidR="0089088E" w:rsidRPr="008F7104" w:rsidRDefault="0089088E" w:rsidP="00EB6775">
            <w:pPr>
              <w:rPr>
                <w:b/>
                <w:bCs/>
              </w:rPr>
            </w:pPr>
            <w:r w:rsidRPr="008F7104">
              <w:rPr>
                <w:b/>
                <w:bCs/>
              </w:rPr>
              <w:t>Abstract:</w:t>
            </w:r>
          </w:p>
        </w:tc>
        <w:sdt>
          <w:sdtPr>
            <w:rPr>
              <w:lang w:val="en-US"/>
            </w:r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4BE3CBD5" w14:textId="4D79C42B" w:rsidR="0089088E" w:rsidRPr="00AB5CE8" w:rsidRDefault="003A2BF1" w:rsidP="00972900">
                <w:pPr>
                  <w:jc w:val="both"/>
                  <w:rPr>
                    <w:lang w:val="en-US"/>
                  </w:rPr>
                </w:pPr>
                <w:r w:rsidRPr="003A2BF1">
                  <w:rPr>
                    <w:lang w:val="en-US"/>
                  </w:rPr>
                  <w:t>Recognizing the importance of actions to bridge the standardization gap between developed and developing countries, this contribution proposes to identify the necessary steps on implementation of the Resolution 44 in order to maximize the effectiveness of such steps and optimize of the Sector's resources</w:t>
                </w:r>
                <w:r>
                  <w:rPr>
                    <w:lang w:val="en-US"/>
                  </w:rPr>
                  <w:t xml:space="preserve"> </w:t>
                </w:r>
                <w:r w:rsidRPr="003A2BF1">
                  <w:rPr>
                    <w:lang w:val="en-US"/>
                  </w:rPr>
                  <w:t>expenditure.</w:t>
                </w:r>
              </w:p>
            </w:tc>
          </w:sdtContent>
        </w:sdt>
      </w:tr>
      <w:bookmarkEnd w:id="3"/>
    </w:tbl>
    <w:p w14:paraId="58589E1E" w14:textId="7B2A27FA" w:rsidR="0089088E" w:rsidRPr="00AB5CE8" w:rsidRDefault="0089088E" w:rsidP="0089088E">
      <w:pPr>
        <w:rPr>
          <w:lang w:val="en-US"/>
        </w:rPr>
      </w:pPr>
    </w:p>
    <w:p w14:paraId="40328F41" w14:textId="77777777" w:rsidR="00D66C41" w:rsidRPr="00972900" w:rsidRDefault="00D66C41" w:rsidP="00D66C41">
      <w:pPr>
        <w:overflowPunct w:val="0"/>
        <w:autoSpaceDE w:val="0"/>
        <w:autoSpaceDN w:val="0"/>
        <w:adjustRightInd w:val="0"/>
        <w:ind w:left="567" w:hanging="567"/>
        <w:textAlignment w:val="baseline"/>
        <w:rPr>
          <w:b/>
          <w:lang w:val="en-US"/>
        </w:rPr>
      </w:pPr>
      <w:r w:rsidRPr="00EA3216">
        <w:rPr>
          <w:b/>
        </w:rPr>
        <w:t>I</w:t>
      </w:r>
      <w:r w:rsidRPr="00972900">
        <w:rPr>
          <w:b/>
          <w:lang w:val="en-US"/>
        </w:rPr>
        <w:t xml:space="preserve">.     </w:t>
      </w:r>
      <w:r w:rsidRPr="00EA3216">
        <w:rPr>
          <w:b/>
          <w:lang w:val="en-US"/>
        </w:rPr>
        <w:t>Introduction</w:t>
      </w:r>
    </w:p>
    <w:p w14:paraId="451960ED" w14:textId="05BB6021" w:rsidR="00AB5CE8" w:rsidRPr="003A2BF1" w:rsidRDefault="00AB5CE8" w:rsidP="00972900">
      <w:pPr>
        <w:pStyle w:val="Call"/>
        <w:ind w:left="0"/>
        <w:jc w:val="both"/>
        <w:rPr>
          <w:i w:val="0"/>
          <w:sz w:val="24"/>
          <w:szCs w:val="24"/>
          <w:lang w:val="en-US"/>
        </w:rPr>
      </w:pPr>
      <w:r w:rsidRPr="00AB5CE8">
        <w:rPr>
          <w:i w:val="0"/>
          <w:sz w:val="24"/>
          <w:szCs w:val="24"/>
        </w:rPr>
        <w:t>Resolution</w:t>
      </w:r>
      <w:r w:rsidRPr="00AB5CE8">
        <w:rPr>
          <w:i w:val="0"/>
          <w:sz w:val="24"/>
          <w:szCs w:val="24"/>
          <w:lang w:val="en-US"/>
        </w:rPr>
        <w:t xml:space="preserve"> 44 (</w:t>
      </w:r>
      <w:r w:rsidRPr="00AB5CE8">
        <w:rPr>
          <w:i w:val="0"/>
          <w:sz w:val="24"/>
          <w:szCs w:val="24"/>
        </w:rPr>
        <w:t>Rev</w:t>
      </w:r>
      <w:r w:rsidRPr="00AB5CE8">
        <w:rPr>
          <w:i w:val="0"/>
          <w:sz w:val="24"/>
          <w:szCs w:val="24"/>
          <w:lang w:val="en-US"/>
        </w:rPr>
        <w:t xml:space="preserve">. </w:t>
      </w:r>
      <w:r w:rsidRPr="00AB5CE8">
        <w:rPr>
          <w:i w:val="0"/>
          <w:sz w:val="24"/>
          <w:szCs w:val="24"/>
        </w:rPr>
        <w:t>Hammamet</w:t>
      </w:r>
      <w:r w:rsidRPr="00AB5CE8">
        <w:rPr>
          <w:i w:val="0"/>
          <w:sz w:val="24"/>
          <w:szCs w:val="24"/>
          <w:lang w:val="en-US"/>
        </w:rPr>
        <w:t xml:space="preserve">, 2016) – </w:t>
      </w:r>
      <w:r w:rsidRPr="00AB5CE8">
        <w:rPr>
          <w:i w:val="0"/>
          <w:sz w:val="24"/>
          <w:szCs w:val="24"/>
        </w:rPr>
        <w:t>Bridging</w:t>
      </w:r>
      <w:r w:rsidRPr="00AB5CE8">
        <w:rPr>
          <w:i w:val="0"/>
          <w:sz w:val="24"/>
          <w:szCs w:val="24"/>
          <w:lang w:val="en-US"/>
        </w:rPr>
        <w:t xml:space="preserve"> </w:t>
      </w:r>
      <w:r w:rsidRPr="00AB5CE8">
        <w:rPr>
          <w:i w:val="0"/>
          <w:sz w:val="24"/>
          <w:szCs w:val="24"/>
        </w:rPr>
        <w:t>the</w:t>
      </w:r>
      <w:r w:rsidRPr="00AB5CE8">
        <w:rPr>
          <w:i w:val="0"/>
          <w:sz w:val="24"/>
          <w:szCs w:val="24"/>
          <w:lang w:val="en-US"/>
        </w:rPr>
        <w:t xml:space="preserve"> </w:t>
      </w:r>
      <w:r w:rsidRPr="00AB5CE8">
        <w:rPr>
          <w:i w:val="0"/>
          <w:sz w:val="24"/>
          <w:szCs w:val="24"/>
        </w:rPr>
        <w:t>Standardization</w:t>
      </w:r>
      <w:r w:rsidRPr="00AB5CE8">
        <w:rPr>
          <w:i w:val="0"/>
          <w:sz w:val="24"/>
          <w:szCs w:val="24"/>
          <w:lang w:val="en-US"/>
        </w:rPr>
        <w:t xml:space="preserve"> </w:t>
      </w:r>
      <w:r w:rsidRPr="00AB5CE8">
        <w:rPr>
          <w:i w:val="0"/>
          <w:sz w:val="24"/>
          <w:szCs w:val="24"/>
        </w:rPr>
        <w:t>Gap</w:t>
      </w:r>
      <w:r w:rsidRPr="00AB5CE8">
        <w:rPr>
          <w:i w:val="0"/>
          <w:sz w:val="24"/>
          <w:szCs w:val="24"/>
          <w:lang w:val="en-US"/>
        </w:rPr>
        <w:t xml:space="preserve"> </w:t>
      </w:r>
      <w:r w:rsidRPr="00AB5CE8">
        <w:rPr>
          <w:i w:val="0"/>
          <w:sz w:val="24"/>
          <w:szCs w:val="24"/>
        </w:rPr>
        <w:t>between</w:t>
      </w:r>
      <w:r w:rsidRPr="00AB5CE8">
        <w:rPr>
          <w:i w:val="0"/>
          <w:sz w:val="24"/>
          <w:szCs w:val="24"/>
          <w:lang w:val="en-US"/>
        </w:rPr>
        <w:t xml:space="preserve"> </w:t>
      </w:r>
      <w:r w:rsidRPr="00AB5CE8">
        <w:rPr>
          <w:i w:val="0"/>
          <w:sz w:val="24"/>
          <w:szCs w:val="24"/>
        </w:rPr>
        <w:t>developing</w:t>
      </w:r>
      <w:r w:rsidRPr="00AB5CE8">
        <w:rPr>
          <w:i w:val="0"/>
          <w:sz w:val="24"/>
          <w:szCs w:val="24"/>
          <w:lang w:val="en-US"/>
        </w:rPr>
        <w:t xml:space="preserve"> </w:t>
      </w:r>
      <w:r w:rsidRPr="00AB5CE8">
        <w:rPr>
          <w:i w:val="0"/>
          <w:sz w:val="24"/>
          <w:szCs w:val="24"/>
        </w:rPr>
        <w:t>and</w:t>
      </w:r>
      <w:r w:rsidRPr="00AB5CE8">
        <w:rPr>
          <w:i w:val="0"/>
          <w:sz w:val="24"/>
          <w:szCs w:val="24"/>
          <w:lang w:val="en-US"/>
        </w:rPr>
        <w:t xml:space="preserve"> </w:t>
      </w:r>
      <w:r w:rsidRPr="00AB5CE8">
        <w:rPr>
          <w:i w:val="0"/>
          <w:sz w:val="24"/>
          <w:szCs w:val="24"/>
        </w:rPr>
        <w:t>developed</w:t>
      </w:r>
      <w:r w:rsidRPr="00AB5CE8">
        <w:rPr>
          <w:i w:val="0"/>
          <w:sz w:val="24"/>
          <w:szCs w:val="24"/>
          <w:lang w:val="en-US"/>
        </w:rPr>
        <w:t xml:space="preserve"> </w:t>
      </w:r>
      <w:r w:rsidRPr="00AB5CE8">
        <w:rPr>
          <w:i w:val="0"/>
          <w:sz w:val="24"/>
          <w:szCs w:val="24"/>
        </w:rPr>
        <w:t>countries</w:t>
      </w:r>
      <w:r w:rsidRPr="00AB5CE8">
        <w:rPr>
          <w:sz w:val="24"/>
          <w:szCs w:val="24"/>
          <w:lang w:val="en-US"/>
        </w:rPr>
        <w:t xml:space="preserve">, </w:t>
      </w:r>
      <w:r w:rsidRPr="00AB5CE8">
        <w:rPr>
          <w:i w:val="0"/>
          <w:sz w:val="24"/>
          <w:szCs w:val="24"/>
          <w:lang w:val="en-US"/>
        </w:rPr>
        <w:t xml:space="preserve">was revised </w:t>
      </w:r>
      <w:r>
        <w:rPr>
          <w:i w:val="0"/>
          <w:sz w:val="24"/>
          <w:szCs w:val="24"/>
        </w:rPr>
        <w:t>by</w:t>
      </w:r>
      <w:r w:rsidRPr="00AB5CE8">
        <w:rPr>
          <w:i w:val="0"/>
          <w:sz w:val="24"/>
          <w:szCs w:val="24"/>
          <w:lang w:val="en-US"/>
        </w:rPr>
        <w:t xml:space="preserve"> </w:t>
      </w:r>
      <w:r w:rsidRPr="00AB5CE8">
        <w:rPr>
          <w:i w:val="0"/>
          <w:sz w:val="24"/>
          <w:szCs w:val="24"/>
        </w:rPr>
        <w:t>World Telecommunication Standardization Assembly 2016 (WTSA 16)</w:t>
      </w:r>
      <w:r>
        <w:rPr>
          <w:i w:val="0"/>
          <w:sz w:val="24"/>
          <w:szCs w:val="24"/>
        </w:rPr>
        <w:t xml:space="preserve">. </w:t>
      </w:r>
      <w:r w:rsidR="003A2BF1" w:rsidRPr="003A2BF1">
        <w:rPr>
          <w:i w:val="0"/>
          <w:sz w:val="24"/>
          <w:szCs w:val="24"/>
        </w:rPr>
        <w:t>This Resolution contains some section</w:t>
      </w:r>
      <w:r w:rsidR="003A2BF1">
        <w:rPr>
          <w:i w:val="0"/>
          <w:sz w:val="24"/>
          <w:szCs w:val="24"/>
        </w:rPr>
        <w:t>s</w:t>
      </w:r>
      <w:r w:rsidR="003A2BF1" w:rsidRPr="003A2BF1">
        <w:rPr>
          <w:i w:val="0"/>
          <w:sz w:val="24"/>
          <w:szCs w:val="24"/>
        </w:rPr>
        <w:t xml:space="preserve"> which calls to actions are dedicated to </w:t>
      </w:r>
      <w:r w:rsidR="003A2BF1">
        <w:rPr>
          <w:i w:val="0"/>
          <w:sz w:val="24"/>
          <w:szCs w:val="24"/>
        </w:rPr>
        <w:t>different</w:t>
      </w:r>
      <w:r w:rsidR="003A2BF1" w:rsidRPr="003A2BF1">
        <w:rPr>
          <w:i w:val="0"/>
          <w:sz w:val="24"/>
          <w:szCs w:val="24"/>
        </w:rPr>
        <w:t xml:space="preserve"> approaches and measures </w:t>
      </w:r>
      <w:r w:rsidR="003A2BF1">
        <w:rPr>
          <w:i w:val="0"/>
          <w:sz w:val="24"/>
          <w:szCs w:val="24"/>
        </w:rPr>
        <w:t xml:space="preserve">to </w:t>
      </w:r>
      <w:r w:rsidR="003A2BF1" w:rsidRPr="003A2BF1">
        <w:rPr>
          <w:i w:val="0"/>
          <w:sz w:val="24"/>
          <w:szCs w:val="24"/>
        </w:rPr>
        <w:t xml:space="preserve"> improve the application of ITU-T Recommendations in developing countries in order to </w:t>
      </w:r>
      <w:r w:rsidR="003A2BF1">
        <w:rPr>
          <w:i w:val="0"/>
          <w:sz w:val="24"/>
          <w:szCs w:val="24"/>
        </w:rPr>
        <w:t xml:space="preserve">bringing </w:t>
      </w:r>
      <w:r w:rsidR="003A2BF1" w:rsidRPr="003A2BF1">
        <w:rPr>
          <w:i w:val="0"/>
          <w:sz w:val="24"/>
          <w:szCs w:val="24"/>
        </w:rPr>
        <w:t>the standardization gap, in particular:</w:t>
      </w:r>
    </w:p>
    <w:p w14:paraId="0CE22376" w14:textId="241FED25" w:rsidR="00AB5CE8" w:rsidRPr="00AE6044" w:rsidRDefault="00AB5CE8" w:rsidP="00972900">
      <w:pPr>
        <w:jc w:val="both"/>
        <w:rPr>
          <w:lang w:val="en-US" w:eastAsia="en-US"/>
        </w:rPr>
      </w:pPr>
      <w:r w:rsidRPr="00AB5CE8">
        <w:rPr>
          <w:lang w:val="en-US" w:eastAsia="en-US"/>
        </w:rPr>
        <w:t xml:space="preserve">In this resolution, many "decisive" sections are dedicated to various approaches and measures that </w:t>
      </w:r>
      <w:r w:rsidRPr="00AE6044">
        <w:rPr>
          <w:lang w:val="en-US" w:eastAsia="en-US"/>
        </w:rPr>
        <w:t>will improve the application of ITU-T Recommendations in developing countries in order to narrow the standardization gap, in particular:</w:t>
      </w:r>
    </w:p>
    <w:p w14:paraId="3E4C1F52" w14:textId="77777777" w:rsidR="00AB5CE8" w:rsidRPr="00AE6044" w:rsidRDefault="00AB5CE8" w:rsidP="00972900">
      <w:pPr>
        <w:pStyle w:val="Call"/>
        <w:ind w:left="0"/>
        <w:jc w:val="both"/>
        <w:rPr>
          <w:i w:val="0"/>
          <w:sz w:val="24"/>
          <w:szCs w:val="24"/>
          <w:lang w:val="en-US"/>
        </w:rPr>
      </w:pPr>
      <w:r w:rsidRPr="00AE6044">
        <w:rPr>
          <w:i w:val="0"/>
          <w:sz w:val="24"/>
          <w:szCs w:val="24"/>
          <w:lang w:val="en-US"/>
        </w:rPr>
        <w:lastRenderedPageBreak/>
        <w:t>«…</w:t>
      </w:r>
    </w:p>
    <w:p w14:paraId="5E0ED91B" w14:textId="77777777" w:rsidR="00AE6044" w:rsidRPr="00AE6044" w:rsidRDefault="00AE6044" w:rsidP="00972900">
      <w:pPr>
        <w:keepNext/>
        <w:keepLines/>
        <w:tabs>
          <w:tab w:val="left" w:pos="794"/>
          <w:tab w:val="left" w:pos="1191"/>
          <w:tab w:val="left" w:pos="1588"/>
          <w:tab w:val="left" w:pos="1985"/>
        </w:tabs>
        <w:overflowPunct w:val="0"/>
        <w:autoSpaceDE w:val="0"/>
        <w:autoSpaceDN w:val="0"/>
        <w:adjustRightInd w:val="0"/>
        <w:spacing w:before="240" w:line="280" w:lineRule="exact"/>
        <w:ind w:left="794"/>
        <w:jc w:val="both"/>
        <w:rPr>
          <w:rFonts w:eastAsia="SimSun"/>
          <w:i/>
          <w:lang w:eastAsia="en-US"/>
        </w:rPr>
      </w:pPr>
      <w:r w:rsidRPr="00AE6044">
        <w:rPr>
          <w:rFonts w:eastAsia="SimSun"/>
          <w:i/>
          <w:lang w:eastAsia="en-US"/>
        </w:rPr>
        <w:t>instructs the Director of the Telecommunication Standardization Bureau, in collaboration with the Directors of the Radiocommunication Bureau and the Telecommunication Development Bureau</w:t>
      </w:r>
    </w:p>
    <w:p w14:paraId="66EC7F32" w14:textId="77777777" w:rsidR="00AB5CE8" w:rsidRPr="00AE6044" w:rsidRDefault="00AB5CE8" w:rsidP="00972900">
      <w:pPr>
        <w:overflowPunct w:val="0"/>
        <w:autoSpaceDE w:val="0"/>
        <w:autoSpaceDN w:val="0"/>
        <w:adjustRightInd w:val="0"/>
        <w:ind w:left="567" w:hanging="567"/>
        <w:jc w:val="both"/>
        <w:textAlignment w:val="baseline"/>
        <w:rPr>
          <w:i/>
          <w:iCs/>
          <w:lang w:val="en-US"/>
        </w:rPr>
      </w:pPr>
      <w:r w:rsidRPr="00AE6044">
        <w:rPr>
          <w:i/>
          <w:iCs/>
          <w:lang w:val="en-US"/>
        </w:rPr>
        <w:t>…</w:t>
      </w:r>
    </w:p>
    <w:p w14:paraId="122526CE" w14:textId="77777777" w:rsidR="00AE6044" w:rsidRPr="00AE6044" w:rsidRDefault="00AE6044" w:rsidP="00972900">
      <w:pPr>
        <w:tabs>
          <w:tab w:val="left" w:pos="794"/>
          <w:tab w:val="left" w:pos="1191"/>
          <w:tab w:val="left" w:pos="1588"/>
          <w:tab w:val="left" w:pos="1985"/>
        </w:tabs>
        <w:overflowPunct w:val="0"/>
        <w:autoSpaceDE w:val="0"/>
        <w:autoSpaceDN w:val="0"/>
        <w:adjustRightInd w:val="0"/>
        <w:spacing w:before="160" w:line="280" w:lineRule="exact"/>
        <w:jc w:val="both"/>
        <w:rPr>
          <w:rFonts w:eastAsia="Times New Roman"/>
          <w:lang w:eastAsia="en-US"/>
        </w:rPr>
      </w:pPr>
      <w:r w:rsidRPr="00AE6044">
        <w:rPr>
          <w:rFonts w:eastAsia="Times New Roman"/>
          <w:lang w:eastAsia="en-US"/>
        </w:rPr>
        <w:t>3</w:t>
      </w:r>
      <w:r w:rsidRPr="00AE6044">
        <w:rPr>
          <w:rFonts w:eastAsia="Times New Roman"/>
          <w:lang w:eastAsia="en-US"/>
        </w:rPr>
        <w:tab/>
        <w:t>to consider, whenever possible, holding workshops concurrently with meetings of the ITU</w:t>
      </w:r>
      <w:r w:rsidRPr="00AE6044">
        <w:rPr>
          <w:rFonts w:eastAsia="Times New Roman"/>
          <w:lang w:eastAsia="en-US"/>
        </w:rPr>
        <w:noBreakHyphen/>
        <w:t>T regional groups, in coordination and collaboration with the Director of BDT;</w:t>
      </w:r>
    </w:p>
    <w:p w14:paraId="364E5DEA" w14:textId="77777777" w:rsidR="00AE6044" w:rsidRPr="00AE6044" w:rsidRDefault="00AE6044" w:rsidP="00972900">
      <w:pPr>
        <w:tabs>
          <w:tab w:val="left" w:pos="794"/>
          <w:tab w:val="left" w:pos="1191"/>
          <w:tab w:val="left" w:pos="1588"/>
          <w:tab w:val="left" w:pos="1985"/>
        </w:tabs>
        <w:overflowPunct w:val="0"/>
        <w:autoSpaceDE w:val="0"/>
        <w:autoSpaceDN w:val="0"/>
        <w:adjustRightInd w:val="0"/>
        <w:spacing w:before="160" w:line="280" w:lineRule="exact"/>
        <w:jc w:val="both"/>
        <w:rPr>
          <w:rFonts w:eastAsia="Times New Roman"/>
          <w:lang w:eastAsia="en-US"/>
        </w:rPr>
      </w:pPr>
      <w:r w:rsidRPr="00AE6044">
        <w:rPr>
          <w:rFonts w:eastAsia="Times New Roman"/>
          <w:lang w:eastAsia="en-US"/>
        </w:rPr>
        <w:t>4</w:t>
      </w:r>
      <w:r w:rsidRPr="00AE6044">
        <w:rPr>
          <w:rFonts w:eastAsia="Times New Roman"/>
          <w:lang w:eastAsia="en-US"/>
        </w:rPr>
        <w:tab/>
        <w:t>to assist developing countries with their studies, particularly in respect of their priority questions and towards developing and implementing ITU</w:t>
      </w:r>
      <w:r w:rsidRPr="00AE6044">
        <w:rPr>
          <w:rFonts w:eastAsia="Times New Roman"/>
          <w:lang w:eastAsia="en-US"/>
        </w:rPr>
        <w:noBreakHyphen/>
        <w:t>T Recommendations;</w:t>
      </w:r>
    </w:p>
    <w:p w14:paraId="256EA120" w14:textId="77777777" w:rsidR="00AB5CE8" w:rsidRPr="00AE6044" w:rsidRDefault="00AB5CE8" w:rsidP="00972900">
      <w:pPr>
        <w:pStyle w:val="Call"/>
        <w:ind w:left="0"/>
        <w:jc w:val="both"/>
        <w:rPr>
          <w:i w:val="0"/>
          <w:sz w:val="24"/>
          <w:szCs w:val="24"/>
          <w:lang w:val="en-US"/>
        </w:rPr>
      </w:pPr>
      <w:r w:rsidRPr="00AE6044">
        <w:rPr>
          <w:i w:val="0"/>
          <w:sz w:val="24"/>
          <w:szCs w:val="24"/>
          <w:lang w:val="en-US"/>
        </w:rPr>
        <w:t>…</w:t>
      </w:r>
    </w:p>
    <w:p w14:paraId="00462537" w14:textId="77777777" w:rsidR="00AE6044" w:rsidRPr="00AE6044" w:rsidRDefault="00AE6044" w:rsidP="00972900">
      <w:pPr>
        <w:tabs>
          <w:tab w:val="left" w:pos="794"/>
          <w:tab w:val="left" w:pos="1191"/>
          <w:tab w:val="left" w:pos="1588"/>
          <w:tab w:val="left" w:pos="1985"/>
        </w:tabs>
        <w:overflowPunct w:val="0"/>
        <w:autoSpaceDE w:val="0"/>
        <w:autoSpaceDN w:val="0"/>
        <w:adjustRightInd w:val="0"/>
        <w:spacing w:before="160" w:line="280" w:lineRule="exact"/>
        <w:jc w:val="both"/>
        <w:rPr>
          <w:rFonts w:eastAsia="Times New Roman"/>
          <w:lang w:eastAsia="en-US"/>
        </w:rPr>
      </w:pPr>
      <w:r w:rsidRPr="00AE6044">
        <w:rPr>
          <w:rFonts w:eastAsia="Times New Roman"/>
          <w:lang w:eastAsia="en-US"/>
        </w:rPr>
        <w:t>9</w:t>
      </w:r>
      <w:r w:rsidRPr="00AE6044">
        <w:rPr>
          <w:rFonts w:eastAsia="Times New Roman"/>
          <w:lang w:eastAsia="en-US"/>
        </w:rPr>
        <w:tab/>
        <w:t>to provide support and assistance to developing countries, if requested, in drafting/developing a set of guidelines on the application of ITU</w:t>
      </w:r>
      <w:r w:rsidRPr="00AE6044">
        <w:rPr>
          <w:rFonts w:eastAsia="Times New Roman"/>
          <w:lang w:eastAsia="en-US"/>
        </w:rPr>
        <w:noBreakHyphen/>
        <w:t>T Recommendations at the national level in order to enhance their participation in ITU</w:t>
      </w:r>
      <w:r w:rsidRPr="00AE6044">
        <w:rPr>
          <w:rFonts w:eastAsia="Times New Roman"/>
          <w:lang w:eastAsia="en-US"/>
        </w:rPr>
        <w:noBreakHyphen/>
        <w:t>T study groups, with the assistance of the ITU regional offices, for bridging the standardization gap;</w:t>
      </w:r>
    </w:p>
    <w:p w14:paraId="3C635C10" w14:textId="77777777" w:rsidR="00AB5CE8" w:rsidRPr="00AE6044" w:rsidRDefault="00AB5CE8" w:rsidP="00972900">
      <w:pPr>
        <w:pStyle w:val="Call"/>
        <w:ind w:left="0"/>
        <w:jc w:val="both"/>
        <w:rPr>
          <w:i w:val="0"/>
          <w:sz w:val="24"/>
          <w:szCs w:val="24"/>
          <w:lang w:val="en-US"/>
        </w:rPr>
      </w:pPr>
      <w:r w:rsidRPr="00AE6044">
        <w:rPr>
          <w:i w:val="0"/>
          <w:sz w:val="24"/>
          <w:szCs w:val="24"/>
          <w:lang w:val="en-US"/>
        </w:rPr>
        <w:t>…</w:t>
      </w:r>
    </w:p>
    <w:p w14:paraId="25AFD4CC" w14:textId="77777777" w:rsidR="00AE6044" w:rsidRPr="00AE6044" w:rsidRDefault="00AE6044" w:rsidP="00972900">
      <w:pPr>
        <w:keepNext/>
        <w:keepLines/>
        <w:tabs>
          <w:tab w:val="left" w:pos="794"/>
          <w:tab w:val="left" w:pos="1191"/>
          <w:tab w:val="left" w:pos="1588"/>
          <w:tab w:val="left" w:pos="1985"/>
        </w:tabs>
        <w:overflowPunct w:val="0"/>
        <w:autoSpaceDE w:val="0"/>
        <w:autoSpaceDN w:val="0"/>
        <w:adjustRightInd w:val="0"/>
        <w:spacing w:before="240" w:line="280" w:lineRule="exact"/>
        <w:ind w:left="794"/>
        <w:jc w:val="both"/>
        <w:rPr>
          <w:rFonts w:eastAsia="SimSun"/>
          <w:i/>
          <w:lang w:eastAsia="en-US"/>
        </w:rPr>
      </w:pPr>
      <w:r w:rsidRPr="00AE6044">
        <w:rPr>
          <w:rFonts w:eastAsia="SimSun"/>
          <w:i/>
          <w:lang w:eastAsia="en-US"/>
        </w:rPr>
        <w:t>instructs study groups of the ITU Telecommunication Standardization Sector and the Telecommunication Standardization Advisory Group</w:t>
      </w:r>
    </w:p>
    <w:p w14:paraId="4965A75C" w14:textId="77777777" w:rsidR="00AB5CE8" w:rsidRPr="00AE6044" w:rsidRDefault="00AB5CE8" w:rsidP="00972900">
      <w:pPr>
        <w:pStyle w:val="Call"/>
        <w:ind w:left="0"/>
        <w:jc w:val="both"/>
        <w:rPr>
          <w:i w:val="0"/>
          <w:sz w:val="24"/>
          <w:szCs w:val="24"/>
          <w:lang w:val="en-US"/>
        </w:rPr>
      </w:pPr>
      <w:r w:rsidRPr="00AE6044">
        <w:rPr>
          <w:i w:val="0"/>
          <w:sz w:val="24"/>
          <w:szCs w:val="24"/>
          <w:lang w:val="en-US"/>
        </w:rPr>
        <w:t>…</w:t>
      </w:r>
    </w:p>
    <w:p w14:paraId="4F2EA4B5" w14:textId="77777777" w:rsidR="00AE6044" w:rsidRPr="00AE6044" w:rsidRDefault="00AE6044" w:rsidP="00972900">
      <w:pPr>
        <w:tabs>
          <w:tab w:val="left" w:pos="794"/>
          <w:tab w:val="left" w:pos="1191"/>
          <w:tab w:val="left" w:pos="1588"/>
          <w:tab w:val="left" w:pos="1985"/>
        </w:tabs>
        <w:overflowPunct w:val="0"/>
        <w:autoSpaceDE w:val="0"/>
        <w:autoSpaceDN w:val="0"/>
        <w:adjustRightInd w:val="0"/>
        <w:spacing w:before="160" w:line="280" w:lineRule="exact"/>
        <w:jc w:val="both"/>
        <w:rPr>
          <w:rFonts w:eastAsia="Times New Roman"/>
          <w:lang w:eastAsia="en-US"/>
        </w:rPr>
      </w:pPr>
      <w:r w:rsidRPr="00AE6044">
        <w:rPr>
          <w:rFonts w:eastAsia="Times New Roman"/>
          <w:lang w:eastAsia="en-US"/>
        </w:rPr>
        <w:t>2</w:t>
      </w:r>
      <w:r w:rsidRPr="00AE6044">
        <w:rPr>
          <w:rFonts w:eastAsia="Times New Roman"/>
          <w:lang w:eastAsia="en-US"/>
        </w:rPr>
        <w:tab/>
        <w:t>to consider including implementation guidelines for ITU</w:t>
      </w:r>
      <w:r w:rsidRPr="00AE6044">
        <w:rPr>
          <w:rFonts w:eastAsia="Times New Roman"/>
          <w:lang w:eastAsia="en-US"/>
        </w:rPr>
        <w:noBreakHyphen/>
        <w:t>T Recommendations where these could provide advice to assist developing countries in adopting them, with emphasis on Recommendations having regulatory and policy implications;</w:t>
      </w:r>
    </w:p>
    <w:p w14:paraId="6C8757B8" w14:textId="77777777" w:rsidR="00AB5CE8" w:rsidRPr="00AE6044" w:rsidRDefault="00AB5CE8" w:rsidP="00972900">
      <w:pPr>
        <w:overflowPunct w:val="0"/>
        <w:autoSpaceDE w:val="0"/>
        <w:autoSpaceDN w:val="0"/>
        <w:adjustRightInd w:val="0"/>
        <w:ind w:left="567" w:hanging="567"/>
        <w:jc w:val="both"/>
        <w:textAlignment w:val="baseline"/>
        <w:rPr>
          <w:iCs/>
          <w:lang w:val="en-US"/>
        </w:rPr>
      </w:pPr>
      <w:r w:rsidRPr="00AE6044">
        <w:rPr>
          <w:iCs/>
          <w:lang w:val="en-US"/>
        </w:rPr>
        <w:t>…</w:t>
      </w:r>
    </w:p>
    <w:p w14:paraId="459D4D9E" w14:textId="77777777" w:rsidR="00AE6044" w:rsidRPr="00AE6044" w:rsidRDefault="00AE6044" w:rsidP="00972900">
      <w:pPr>
        <w:keepNext/>
        <w:keepLines/>
        <w:tabs>
          <w:tab w:val="left" w:pos="794"/>
          <w:tab w:val="left" w:pos="1191"/>
          <w:tab w:val="left" w:pos="1588"/>
          <w:tab w:val="left" w:pos="1985"/>
        </w:tabs>
        <w:overflowPunct w:val="0"/>
        <w:autoSpaceDE w:val="0"/>
        <w:autoSpaceDN w:val="0"/>
        <w:adjustRightInd w:val="0"/>
        <w:spacing w:before="240" w:line="280" w:lineRule="exact"/>
        <w:ind w:left="794"/>
        <w:jc w:val="both"/>
        <w:rPr>
          <w:rFonts w:eastAsia="SimSun"/>
          <w:i/>
          <w:lang w:eastAsia="en-US"/>
        </w:rPr>
      </w:pPr>
      <w:r w:rsidRPr="00AE6044">
        <w:rPr>
          <w:rFonts w:eastAsia="SimSun"/>
          <w:i/>
          <w:lang w:eastAsia="en-US"/>
        </w:rPr>
        <w:t>further instructs the study groups</w:t>
      </w:r>
    </w:p>
    <w:p w14:paraId="05595F5C" w14:textId="77777777" w:rsidR="00AB5CE8" w:rsidRPr="00AE6044" w:rsidRDefault="00AB5CE8" w:rsidP="00972900">
      <w:pPr>
        <w:overflowPunct w:val="0"/>
        <w:autoSpaceDE w:val="0"/>
        <w:autoSpaceDN w:val="0"/>
        <w:adjustRightInd w:val="0"/>
        <w:ind w:left="567" w:hanging="567"/>
        <w:jc w:val="both"/>
        <w:textAlignment w:val="baseline"/>
        <w:rPr>
          <w:lang w:val="en-US"/>
        </w:rPr>
      </w:pPr>
      <w:r w:rsidRPr="00AE6044">
        <w:rPr>
          <w:lang w:val="en-US"/>
        </w:rPr>
        <w:t>…</w:t>
      </w:r>
    </w:p>
    <w:p w14:paraId="5AA81C59" w14:textId="77777777" w:rsidR="00AE6044" w:rsidRPr="00AE6044" w:rsidRDefault="00AE6044" w:rsidP="00972900">
      <w:pPr>
        <w:tabs>
          <w:tab w:val="left" w:pos="794"/>
          <w:tab w:val="left" w:pos="1191"/>
          <w:tab w:val="left" w:pos="1588"/>
          <w:tab w:val="left" w:pos="1985"/>
        </w:tabs>
        <w:overflowPunct w:val="0"/>
        <w:autoSpaceDE w:val="0"/>
        <w:autoSpaceDN w:val="0"/>
        <w:adjustRightInd w:val="0"/>
        <w:spacing w:before="160" w:line="280" w:lineRule="exact"/>
        <w:jc w:val="both"/>
        <w:rPr>
          <w:rFonts w:eastAsia="Times New Roman"/>
          <w:lang w:eastAsia="en-US"/>
        </w:rPr>
      </w:pPr>
      <w:r w:rsidRPr="00AE6044">
        <w:rPr>
          <w:rFonts w:eastAsia="Times New Roman"/>
          <w:lang w:eastAsia="en-US"/>
        </w:rPr>
        <w:t>3</w:t>
      </w:r>
      <w:r w:rsidRPr="00AE6044">
        <w:rPr>
          <w:rFonts w:eastAsia="Times New Roman"/>
          <w:lang w:eastAsia="en-US"/>
        </w:rPr>
        <w:tab/>
        <w:t>to continue liaising with ITU</w:t>
      </w:r>
      <w:r w:rsidRPr="00AE6044">
        <w:rPr>
          <w:rFonts w:eastAsia="Times New Roman"/>
          <w:lang w:eastAsia="en-US"/>
        </w:rPr>
        <w:noBreakHyphen/>
        <w:t>D study groups, where appropriate, when developing new or revised ITU</w:t>
      </w:r>
      <w:r w:rsidRPr="00AE6044">
        <w:rPr>
          <w:rFonts w:eastAsia="Times New Roman"/>
          <w:lang w:eastAsia="en-US"/>
        </w:rPr>
        <w:noBreakHyphen/>
        <w:t>T Recommendations, on the specific needs and requirements of developing countries, in order to broaden the appeal and applicability of the Recommendations in those countries;</w:t>
      </w:r>
    </w:p>
    <w:p w14:paraId="7E546A67" w14:textId="77777777" w:rsidR="00AE6044" w:rsidRPr="00AE6044" w:rsidRDefault="00AE6044" w:rsidP="00972900">
      <w:pPr>
        <w:tabs>
          <w:tab w:val="left" w:pos="794"/>
          <w:tab w:val="left" w:pos="1191"/>
          <w:tab w:val="left" w:pos="1588"/>
          <w:tab w:val="left" w:pos="1985"/>
        </w:tabs>
        <w:overflowPunct w:val="0"/>
        <w:autoSpaceDE w:val="0"/>
        <w:autoSpaceDN w:val="0"/>
        <w:adjustRightInd w:val="0"/>
        <w:spacing w:before="160" w:line="280" w:lineRule="exact"/>
        <w:jc w:val="both"/>
        <w:rPr>
          <w:rFonts w:eastAsia="Times New Roman"/>
          <w:lang w:eastAsia="en-US"/>
        </w:rPr>
      </w:pPr>
      <w:r w:rsidRPr="00AE6044">
        <w:rPr>
          <w:rFonts w:eastAsia="Times New Roman"/>
          <w:lang w:eastAsia="en-US"/>
        </w:rPr>
        <w:t>4</w:t>
      </w:r>
      <w:r w:rsidRPr="00AE6044">
        <w:rPr>
          <w:rFonts w:eastAsia="Times New Roman"/>
          <w:lang w:eastAsia="en-US"/>
        </w:rPr>
        <w:tab/>
        <w:t>to identify the challenges that developing countries are facing with a view to bridging the standardization gap among Member States,</w:t>
      </w:r>
    </w:p>
    <w:p w14:paraId="5126D875" w14:textId="77777777" w:rsidR="00AB5CE8" w:rsidRPr="00AE6044" w:rsidRDefault="00AB5CE8" w:rsidP="00972900">
      <w:pPr>
        <w:pStyle w:val="Call"/>
        <w:ind w:left="0"/>
        <w:jc w:val="both"/>
        <w:rPr>
          <w:i w:val="0"/>
          <w:sz w:val="24"/>
          <w:szCs w:val="24"/>
          <w:lang w:val="en-US"/>
        </w:rPr>
      </w:pPr>
      <w:r w:rsidRPr="00AE6044">
        <w:rPr>
          <w:i w:val="0"/>
          <w:sz w:val="24"/>
          <w:szCs w:val="24"/>
          <w:lang w:val="en-US"/>
        </w:rPr>
        <w:t>…</w:t>
      </w:r>
    </w:p>
    <w:p w14:paraId="593665E3" w14:textId="77777777" w:rsidR="00AE6044" w:rsidRPr="00AE6044" w:rsidRDefault="00AE6044" w:rsidP="00972900">
      <w:pPr>
        <w:keepNext/>
        <w:keepLines/>
        <w:tabs>
          <w:tab w:val="left" w:pos="794"/>
          <w:tab w:val="left" w:pos="1191"/>
          <w:tab w:val="left" w:pos="1588"/>
          <w:tab w:val="left" w:pos="1985"/>
        </w:tabs>
        <w:overflowPunct w:val="0"/>
        <w:autoSpaceDE w:val="0"/>
        <w:autoSpaceDN w:val="0"/>
        <w:adjustRightInd w:val="0"/>
        <w:spacing w:before="240" w:line="280" w:lineRule="exact"/>
        <w:ind w:left="794"/>
        <w:jc w:val="both"/>
        <w:rPr>
          <w:rFonts w:eastAsia="SimSun"/>
          <w:i/>
          <w:lang w:eastAsia="en-US"/>
        </w:rPr>
      </w:pPr>
      <w:r w:rsidRPr="00AE6044">
        <w:rPr>
          <w:rFonts w:eastAsia="SimSun"/>
          <w:i/>
          <w:lang w:eastAsia="en-US"/>
        </w:rPr>
        <w:t>invites regions and their Member States</w:t>
      </w:r>
    </w:p>
    <w:p w14:paraId="7CA8EE2B" w14:textId="77777777" w:rsidR="00AE6044" w:rsidRPr="00AE6044" w:rsidRDefault="00AE6044" w:rsidP="00972900">
      <w:pPr>
        <w:tabs>
          <w:tab w:val="left" w:pos="794"/>
          <w:tab w:val="left" w:pos="1191"/>
          <w:tab w:val="left" w:pos="1588"/>
          <w:tab w:val="left" w:pos="1985"/>
        </w:tabs>
        <w:overflowPunct w:val="0"/>
        <w:autoSpaceDE w:val="0"/>
        <w:autoSpaceDN w:val="0"/>
        <w:adjustRightInd w:val="0"/>
        <w:spacing w:before="160" w:line="280" w:lineRule="exact"/>
        <w:jc w:val="both"/>
        <w:rPr>
          <w:rFonts w:eastAsia="Times New Roman"/>
          <w:lang w:eastAsia="en-US"/>
        </w:rPr>
      </w:pPr>
      <w:r w:rsidRPr="00AE6044">
        <w:rPr>
          <w:rFonts w:eastAsia="Times New Roman"/>
          <w:lang w:eastAsia="en-US"/>
        </w:rPr>
        <w:t>1</w:t>
      </w:r>
      <w:r w:rsidRPr="00AE6044">
        <w:rPr>
          <w:rFonts w:eastAsia="Times New Roman"/>
          <w:lang w:eastAsia="en-US"/>
        </w:rPr>
        <w:tab/>
        <w:t>to pursue the creation of regional groups of parent ITU</w:t>
      </w:r>
      <w:r w:rsidRPr="00AE6044">
        <w:rPr>
          <w:rFonts w:eastAsia="Times New Roman"/>
          <w:lang w:eastAsia="en-US"/>
        </w:rPr>
        <w:noBreakHyphen/>
        <w:t xml:space="preserve">T study groups in their respective regions in accordance with </w:t>
      </w:r>
      <w:r w:rsidRPr="00AE6044">
        <w:rPr>
          <w:rFonts w:eastAsia="Times New Roman"/>
          <w:i/>
          <w:iCs/>
          <w:lang w:eastAsia="en-US"/>
        </w:rPr>
        <w:t>resolves</w:t>
      </w:r>
      <w:r w:rsidRPr="00AE6044">
        <w:rPr>
          <w:rFonts w:eastAsia="Times New Roman"/>
          <w:lang w:eastAsia="en-US"/>
        </w:rPr>
        <w:t xml:space="preserve"> 4 of this resolution and Resolution 54 (Rev. Hammamet, 2016) of this assembly, and to support their meetings and activities, as appropriate, in coordination with TSB; </w:t>
      </w:r>
    </w:p>
    <w:p w14:paraId="0884AD7B" w14:textId="77777777" w:rsidR="00AB5CE8" w:rsidRPr="00AE6044" w:rsidRDefault="00AB5CE8" w:rsidP="00972900">
      <w:pPr>
        <w:pStyle w:val="Call"/>
        <w:ind w:left="0"/>
        <w:jc w:val="both"/>
        <w:rPr>
          <w:i w:val="0"/>
          <w:sz w:val="24"/>
          <w:szCs w:val="24"/>
          <w:lang w:val="en-US"/>
        </w:rPr>
      </w:pPr>
      <w:r w:rsidRPr="00AE6044">
        <w:rPr>
          <w:i w:val="0"/>
          <w:sz w:val="24"/>
          <w:szCs w:val="24"/>
          <w:lang w:val="en-US"/>
        </w:rPr>
        <w:lastRenderedPageBreak/>
        <w:t>…</w:t>
      </w:r>
    </w:p>
    <w:p w14:paraId="64FFF011" w14:textId="462EBDD2" w:rsidR="00AB5CE8" w:rsidRPr="00AE6044" w:rsidRDefault="00AE6044" w:rsidP="00972900">
      <w:pPr>
        <w:pStyle w:val="Call"/>
        <w:ind w:left="0"/>
        <w:jc w:val="both"/>
        <w:rPr>
          <w:i w:val="0"/>
          <w:sz w:val="24"/>
          <w:szCs w:val="24"/>
          <w:lang w:val="en-US"/>
        </w:rPr>
      </w:pPr>
      <w:r w:rsidRPr="00AE6044">
        <w:rPr>
          <w:rFonts w:eastAsia="SimSun"/>
          <w:i w:val="0"/>
          <w:sz w:val="24"/>
          <w:szCs w:val="24"/>
          <w:lang w:eastAsia="ja-JP"/>
        </w:rPr>
        <w:t>5</w:t>
      </w:r>
      <w:r w:rsidRPr="00AE6044">
        <w:rPr>
          <w:rFonts w:eastAsia="SimSun"/>
          <w:i w:val="0"/>
          <w:sz w:val="24"/>
          <w:szCs w:val="24"/>
          <w:lang w:eastAsia="ja-JP"/>
        </w:rPr>
        <w:tab/>
        <w:t>to share information on utilizing ITU</w:t>
      </w:r>
      <w:r w:rsidRPr="00AE6044">
        <w:rPr>
          <w:rFonts w:eastAsia="SimSun"/>
          <w:i w:val="0"/>
          <w:sz w:val="24"/>
          <w:szCs w:val="24"/>
          <w:lang w:eastAsia="ja-JP"/>
        </w:rPr>
        <w:noBreakHyphen/>
        <w:t>T Recommendations,</w:t>
      </w:r>
    </w:p>
    <w:p w14:paraId="49A9B8B5" w14:textId="77777777" w:rsidR="00AB5CE8" w:rsidRPr="00AE6044" w:rsidRDefault="00AB5CE8" w:rsidP="00972900">
      <w:pPr>
        <w:pStyle w:val="Call"/>
        <w:ind w:left="0"/>
        <w:jc w:val="both"/>
        <w:rPr>
          <w:i w:val="0"/>
          <w:sz w:val="24"/>
          <w:szCs w:val="24"/>
          <w:lang w:val="en-US"/>
        </w:rPr>
      </w:pPr>
      <w:r w:rsidRPr="00AE6044">
        <w:rPr>
          <w:i w:val="0"/>
          <w:sz w:val="24"/>
          <w:szCs w:val="24"/>
          <w:lang w:val="en-US"/>
        </w:rPr>
        <w:t>…»</w:t>
      </w:r>
    </w:p>
    <w:p w14:paraId="0F1FCD40" w14:textId="10598901" w:rsidR="00AB5CE8" w:rsidRPr="00AB5CE8" w:rsidRDefault="00AE6044" w:rsidP="00972900">
      <w:pPr>
        <w:pStyle w:val="Call"/>
        <w:ind w:left="0"/>
        <w:jc w:val="both"/>
        <w:rPr>
          <w:i w:val="0"/>
          <w:sz w:val="24"/>
          <w:szCs w:val="24"/>
          <w:lang w:val="en-US"/>
        </w:rPr>
      </w:pPr>
      <w:r w:rsidRPr="00AE6044">
        <w:rPr>
          <w:i w:val="0"/>
          <w:sz w:val="24"/>
          <w:szCs w:val="24"/>
          <w:lang w:val="en-US"/>
        </w:rPr>
        <w:t xml:space="preserve">At the same time, United States have been contributed to Study Groups proposals with steps to implement Resolution 44 based only on one of the provisions </w:t>
      </w:r>
      <w:r w:rsidR="00F8089F">
        <w:rPr>
          <w:i w:val="0"/>
          <w:sz w:val="24"/>
          <w:szCs w:val="24"/>
          <w:lang w:val="en-US"/>
        </w:rPr>
        <w:t>–</w:t>
      </w:r>
      <w:r w:rsidRPr="00AE6044">
        <w:rPr>
          <w:i w:val="0"/>
          <w:sz w:val="24"/>
          <w:szCs w:val="24"/>
          <w:lang w:val="en-US"/>
        </w:rPr>
        <w:t xml:space="preserve"> </w:t>
      </w:r>
      <w:r w:rsidR="00F8089F">
        <w:rPr>
          <w:i w:val="0"/>
          <w:sz w:val="24"/>
          <w:szCs w:val="24"/>
          <w:lang w:val="en-US"/>
        </w:rPr>
        <w:t>bullet</w:t>
      </w:r>
      <w:r w:rsidRPr="00AE6044">
        <w:rPr>
          <w:i w:val="0"/>
          <w:sz w:val="24"/>
          <w:szCs w:val="24"/>
          <w:lang w:val="en-US"/>
        </w:rPr>
        <w:t xml:space="preserve"> 9 of the section “</w:t>
      </w:r>
      <w:r w:rsidRPr="00AE6044">
        <w:rPr>
          <w:i w:val="0"/>
          <w:sz w:val="24"/>
          <w:szCs w:val="24"/>
        </w:rPr>
        <w:t>instructs the Director of the Telecommunication Standardization Bureau, in collaboration with the Directors of the Radiocommunication Bureau and the Telecommunication Development Bureau</w:t>
      </w:r>
      <w:r>
        <w:rPr>
          <w:i w:val="0"/>
          <w:sz w:val="24"/>
          <w:szCs w:val="24"/>
          <w:lang w:val="en-US"/>
        </w:rPr>
        <w:t xml:space="preserve">”. </w:t>
      </w:r>
      <w:r w:rsidRPr="00AE6044">
        <w:rPr>
          <w:i w:val="0"/>
          <w:sz w:val="24"/>
          <w:szCs w:val="24"/>
          <w:lang w:val="en-US"/>
        </w:rPr>
        <w:t xml:space="preserve">In particular, </w:t>
      </w:r>
      <w:r w:rsidR="00F8089F">
        <w:rPr>
          <w:i w:val="0"/>
          <w:sz w:val="24"/>
          <w:szCs w:val="24"/>
          <w:lang w:val="en-US"/>
        </w:rPr>
        <w:t>SGs</w:t>
      </w:r>
      <w:r w:rsidRPr="00AE6044">
        <w:rPr>
          <w:i w:val="0"/>
          <w:sz w:val="24"/>
          <w:szCs w:val="24"/>
          <w:lang w:val="en-US"/>
        </w:rPr>
        <w:t xml:space="preserve"> are invited to encourage developing countries to </w:t>
      </w:r>
      <w:r w:rsidR="00F8089F" w:rsidRPr="00F8089F">
        <w:rPr>
          <w:i w:val="0"/>
          <w:sz w:val="24"/>
          <w:szCs w:val="24"/>
        </w:rPr>
        <w:t xml:space="preserve">identify </w:t>
      </w:r>
      <w:r w:rsidRPr="00AE6044">
        <w:rPr>
          <w:i w:val="0"/>
          <w:sz w:val="24"/>
          <w:szCs w:val="24"/>
          <w:lang w:val="en-US"/>
        </w:rPr>
        <w:t xml:space="preserve">the necessary list of ITU-T Recommendations, and the relevant editors and rapporteurs to develop the </w:t>
      </w:r>
      <w:r w:rsidR="00F8089F" w:rsidRPr="00F8089F">
        <w:rPr>
          <w:i w:val="0"/>
          <w:sz w:val="24"/>
          <w:szCs w:val="24"/>
        </w:rPr>
        <w:t>appropriate</w:t>
      </w:r>
      <w:r w:rsidR="00F8089F">
        <w:rPr>
          <w:i w:val="0"/>
          <w:sz w:val="24"/>
          <w:szCs w:val="24"/>
        </w:rPr>
        <w:t xml:space="preserve"> </w:t>
      </w:r>
      <w:r w:rsidRPr="00AE6044">
        <w:rPr>
          <w:i w:val="0"/>
          <w:sz w:val="24"/>
          <w:szCs w:val="24"/>
          <w:lang w:val="en-US"/>
        </w:rPr>
        <w:t xml:space="preserve">guidelines </w:t>
      </w:r>
      <w:r w:rsidR="00F8089F">
        <w:rPr>
          <w:i w:val="0"/>
          <w:sz w:val="24"/>
          <w:szCs w:val="24"/>
          <w:lang w:val="en-US"/>
        </w:rPr>
        <w:t xml:space="preserve">on </w:t>
      </w:r>
      <w:r w:rsidRPr="00AE6044">
        <w:rPr>
          <w:i w:val="0"/>
          <w:sz w:val="24"/>
          <w:szCs w:val="24"/>
          <w:lang w:val="en-US"/>
        </w:rPr>
        <w:t xml:space="preserve"> ITU-T Recommendations </w:t>
      </w:r>
      <w:r w:rsidR="00F8089F">
        <w:rPr>
          <w:i w:val="0"/>
          <w:sz w:val="24"/>
          <w:szCs w:val="24"/>
          <w:lang w:val="en-US"/>
        </w:rPr>
        <w:t xml:space="preserve">application </w:t>
      </w:r>
      <w:r w:rsidRPr="00AE6044">
        <w:rPr>
          <w:i w:val="0"/>
          <w:sz w:val="24"/>
          <w:szCs w:val="24"/>
          <w:lang w:val="en-US"/>
        </w:rPr>
        <w:t xml:space="preserve">referred to in </w:t>
      </w:r>
      <w:r w:rsidR="00F8089F">
        <w:rPr>
          <w:i w:val="0"/>
          <w:sz w:val="24"/>
          <w:szCs w:val="24"/>
          <w:lang w:val="en-US"/>
        </w:rPr>
        <w:t>bullet</w:t>
      </w:r>
      <w:r w:rsidRPr="00AE6044">
        <w:rPr>
          <w:i w:val="0"/>
          <w:sz w:val="24"/>
          <w:szCs w:val="24"/>
          <w:lang w:val="en-US"/>
        </w:rPr>
        <w:t xml:space="preserve"> 9.</w:t>
      </w:r>
    </w:p>
    <w:p w14:paraId="2C68772E" w14:textId="77777777" w:rsidR="00D66C41" w:rsidRPr="00EA3216" w:rsidRDefault="00D66C41" w:rsidP="00972900">
      <w:pPr>
        <w:overflowPunct w:val="0"/>
        <w:autoSpaceDE w:val="0"/>
        <w:autoSpaceDN w:val="0"/>
        <w:adjustRightInd w:val="0"/>
        <w:ind w:left="567" w:hanging="567"/>
        <w:jc w:val="both"/>
        <w:textAlignment w:val="baseline"/>
        <w:rPr>
          <w:lang w:val="en-US"/>
        </w:rPr>
      </w:pPr>
    </w:p>
    <w:p w14:paraId="3EB0D895" w14:textId="77777777" w:rsidR="00D66C41" w:rsidRPr="00BE0320" w:rsidRDefault="00D66C41" w:rsidP="00972900">
      <w:pPr>
        <w:overflowPunct w:val="0"/>
        <w:autoSpaceDE w:val="0"/>
        <w:autoSpaceDN w:val="0"/>
        <w:adjustRightInd w:val="0"/>
        <w:ind w:left="567" w:hanging="567"/>
        <w:jc w:val="both"/>
        <w:textAlignment w:val="baseline"/>
        <w:rPr>
          <w:b/>
          <w:lang w:val="en-US"/>
        </w:rPr>
      </w:pPr>
      <w:r w:rsidRPr="00EA3216">
        <w:rPr>
          <w:b/>
        </w:rPr>
        <w:t>II</w:t>
      </w:r>
      <w:r w:rsidRPr="00BE0320">
        <w:rPr>
          <w:b/>
          <w:lang w:val="en-US"/>
        </w:rPr>
        <w:t xml:space="preserve">         </w:t>
      </w:r>
      <w:r w:rsidRPr="00EA3216">
        <w:rPr>
          <w:b/>
          <w:lang w:val="en-US"/>
        </w:rPr>
        <w:t>Proposal</w:t>
      </w:r>
      <w:r w:rsidRPr="00BE0320">
        <w:rPr>
          <w:b/>
          <w:lang w:val="en-US"/>
        </w:rPr>
        <w:t>:</w:t>
      </w:r>
    </w:p>
    <w:p w14:paraId="59D36507" w14:textId="498A5F05" w:rsidR="00DA7A27" w:rsidRDefault="00DA7A27" w:rsidP="00972900">
      <w:pPr>
        <w:pStyle w:val="Call"/>
        <w:ind w:left="0"/>
        <w:jc w:val="both"/>
        <w:rPr>
          <w:i w:val="0"/>
          <w:sz w:val="24"/>
          <w:szCs w:val="24"/>
          <w:lang w:val="en-US"/>
        </w:rPr>
      </w:pPr>
      <w:r>
        <w:rPr>
          <w:i w:val="0"/>
          <w:sz w:val="24"/>
          <w:szCs w:val="24"/>
          <w:lang w:val="en-US"/>
        </w:rPr>
        <w:t>Taking into account abovementioned sections an</w:t>
      </w:r>
      <w:r w:rsidR="00BE0320">
        <w:rPr>
          <w:i w:val="0"/>
          <w:sz w:val="24"/>
          <w:szCs w:val="24"/>
          <w:lang w:val="en-US"/>
        </w:rPr>
        <w:t>d</w:t>
      </w:r>
      <w:r>
        <w:rPr>
          <w:i w:val="0"/>
          <w:sz w:val="24"/>
          <w:szCs w:val="24"/>
          <w:lang w:val="en-US"/>
        </w:rPr>
        <w:t xml:space="preserve"> bullets form </w:t>
      </w:r>
      <w:r w:rsidRPr="00DA7A27">
        <w:rPr>
          <w:i w:val="0"/>
          <w:sz w:val="24"/>
          <w:szCs w:val="24"/>
        </w:rPr>
        <w:t>Resolution</w:t>
      </w:r>
      <w:r w:rsidRPr="00DA7A27">
        <w:rPr>
          <w:i w:val="0"/>
          <w:sz w:val="24"/>
          <w:szCs w:val="24"/>
          <w:lang w:val="en-US"/>
        </w:rPr>
        <w:t xml:space="preserve"> 44 (</w:t>
      </w:r>
      <w:r w:rsidRPr="00DA7A27">
        <w:rPr>
          <w:i w:val="0"/>
          <w:sz w:val="24"/>
          <w:szCs w:val="24"/>
        </w:rPr>
        <w:t>Rev</w:t>
      </w:r>
      <w:r w:rsidRPr="00DA7A27">
        <w:rPr>
          <w:i w:val="0"/>
          <w:sz w:val="24"/>
          <w:szCs w:val="24"/>
          <w:lang w:val="en-US"/>
        </w:rPr>
        <w:t xml:space="preserve">. </w:t>
      </w:r>
      <w:r w:rsidRPr="00DA7A27">
        <w:rPr>
          <w:i w:val="0"/>
          <w:sz w:val="24"/>
          <w:szCs w:val="24"/>
        </w:rPr>
        <w:t>Hammamet</w:t>
      </w:r>
      <w:r w:rsidRPr="00DA7A27">
        <w:rPr>
          <w:i w:val="0"/>
          <w:sz w:val="24"/>
          <w:szCs w:val="24"/>
          <w:lang w:val="en-US"/>
        </w:rPr>
        <w:t>, 2016</w:t>
      </w:r>
      <w:r>
        <w:rPr>
          <w:i w:val="0"/>
          <w:sz w:val="24"/>
          <w:szCs w:val="24"/>
          <w:lang w:val="en-US"/>
        </w:rPr>
        <w:t xml:space="preserve">) Russian Federation </w:t>
      </w:r>
      <w:r w:rsidR="00AE6044">
        <w:rPr>
          <w:i w:val="0"/>
          <w:sz w:val="24"/>
          <w:szCs w:val="24"/>
          <w:lang w:val="en-US"/>
        </w:rPr>
        <w:t xml:space="preserve">believes that TSAG should consider issues of practical steps to implementation revised Resolution 44, considering following </w:t>
      </w:r>
      <w:r w:rsidR="00AE6044" w:rsidRPr="00AE6044">
        <w:rPr>
          <w:i w:val="0"/>
          <w:sz w:val="24"/>
          <w:szCs w:val="24"/>
          <w:lang w:val="en-US"/>
        </w:rPr>
        <w:t>proposition</w:t>
      </w:r>
      <w:r w:rsidR="00AE6044">
        <w:rPr>
          <w:i w:val="0"/>
          <w:sz w:val="24"/>
          <w:szCs w:val="24"/>
          <w:lang w:val="en-US"/>
        </w:rPr>
        <w:t xml:space="preserve">: </w:t>
      </w:r>
    </w:p>
    <w:p w14:paraId="796F2DCD" w14:textId="0189558E" w:rsidR="00F8089F" w:rsidRDefault="00F8089F" w:rsidP="00972900">
      <w:pPr>
        <w:pStyle w:val="Call"/>
        <w:numPr>
          <w:ilvl w:val="0"/>
          <w:numId w:val="11"/>
        </w:numPr>
        <w:jc w:val="both"/>
        <w:rPr>
          <w:i w:val="0"/>
          <w:sz w:val="24"/>
          <w:szCs w:val="24"/>
          <w:lang w:val="en-US"/>
        </w:rPr>
      </w:pPr>
      <w:r w:rsidRPr="00F8089F">
        <w:rPr>
          <w:i w:val="0"/>
          <w:sz w:val="24"/>
          <w:szCs w:val="24"/>
          <w:lang w:val="en-US"/>
        </w:rPr>
        <w:t xml:space="preserve">an initiative to identify ITU-T Recommendations requiring further clarification and/or development of guidelines </w:t>
      </w:r>
      <w:r>
        <w:rPr>
          <w:i w:val="0"/>
          <w:sz w:val="24"/>
          <w:szCs w:val="24"/>
          <w:lang w:val="en-US"/>
        </w:rPr>
        <w:t xml:space="preserve">of implementation on national level </w:t>
      </w:r>
      <w:r w:rsidRPr="00F8089F">
        <w:rPr>
          <w:i w:val="0"/>
          <w:sz w:val="24"/>
          <w:szCs w:val="24"/>
          <w:lang w:val="en-US"/>
        </w:rPr>
        <w:t xml:space="preserve">should </w:t>
      </w:r>
      <w:r>
        <w:rPr>
          <w:i w:val="0"/>
          <w:sz w:val="24"/>
          <w:szCs w:val="24"/>
          <w:lang w:val="en-US"/>
        </w:rPr>
        <w:t xml:space="preserve">started by </w:t>
      </w:r>
      <w:r w:rsidRPr="00F8089F">
        <w:rPr>
          <w:i w:val="0"/>
          <w:sz w:val="24"/>
          <w:szCs w:val="24"/>
          <w:lang w:val="en-US"/>
        </w:rPr>
        <w:t>interested Member States themselves from developing countries;</w:t>
      </w:r>
    </w:p>
    <w:p w14:paraId="084FD370" w14:textId="178B3095" w:rsidR="00F8089F" w:rsidRPr="003E26EC" w:rsidRDefault="00F8089F" w:rsidP="00972900">
      <w:pPr>
        <w:pStyle w:val="Call"/>
        <w:numPr>
          <w:ilvl w:val="0"/>
          <w:numId w:val="11"/>
        </w:numPr>
        <w:jc w:val="both"/>
        <w:rPr>
          <w:i w:val="0"/>
          <w:sz w:val="24"/>
          <w:szCs w:val="24"/>
          <w:lang w:val="en-US"/>
        </w:rPr>
      </w:pPr>
      <w:r w:rsidRPr="003E26EC">
        <w:rPr>
          <w:i w:val="0"/>
          <w:sz w:val="24"/>
          <w:szCs w:val="24"/>
          <w:lang w:val="en-US"/>
        </w:rPr>
        <w:t>taking into account that level of ITU-T Recommendations</w:t>
      </w:r>
      <w:r w:rsidR="003E26EC">
        <w:rPr>
          <w:i w:val="0"/>
          <w:sz w:val="24"/>
          <w:szCs w:val="24"/>
          <w:lang w:val="en-US"/>
        </w:rPr>
        <w:t>’</w:t>
      </w:r>
      <w:r w:rsidRPr="003E26EC">
        <w:rPr>
          <w:i w:val="0"/>
          <w:sz w:val="24"/>
          <w:szCs w:val="24"/>
          <w:lang w:val="en-US"/>
        </w:rPr>
        <w:t xml:space="preserve"> implementation in the developing countries may differ, as well as </w:t>
      </w:r>
      <w:r w:rsidR="00BE0320" w:rsidRPr="003E26EC">
        <w:rPr>
          <w:i w:val="0"/>
          <w:sz w:val="24"/>
          <w:szCs w:val="24"/>
          <w:lang w:val="en-US"/>
        </w:rPr>
        <w:t xml:space="preserve">these developing countries may have </w:t>
      </w:r>
      <w:r w:rsidRPr="003E26EC">
        <w:rPr>
          <w:i w:val="0"/>
          <w:sz w:val="24"/>
          <w:szCs w:val="24"/>
          <w:lang w:val="en-US"/>
        </w:rPr>
        <w:t xml:space="preserve">different interests and </w:t>
      </w:r>
      <w:r w:rsidR="00BE0320" w:rsidRPr="003E26EC">
        <w:rPr>
          <w:i w:val="0"/>
          <w:sz w:val="24"/>
          <w:szCs w:val="24"/>
          <w:lang w:val="en-US"/>
        </w:rPr>
        <w:t>priorities in regard to</w:t>
      </w:r>
      <w:r w:rsidRPr="003E26EC">
        <w:rPr>
          <w:i w:val="0"/>
          <w:sz w:val="24"/>
          <w:szCs w:val="24"/>
          <w:lang w:val="en-US"/>
        </w:rPr>
        <w:t xml:space="preserve"> topics of </w:t>
      </w:r>
      <w:r w:rsidR="00BE0320" w:rsidRPr="003E26EC">
        <w:rPr>
          <w:i w:val="0"/>
          <w:sz w:val="24"/>
          <w:szCs w:val="24"/>
          <w:lang w:val="en-US"/>
        </w:rPr>
        <w:t>these</w:t>
      </w:r>
      <w:r w:rsidRPr="003E26EC">
        <w:rPr>
          <w:i w:val="0"/>
          <w:sz w:val="24"/>
          <w:szCs w:val="24"/>
          <w:lang w:val="en-US"/>
        </w:rPr>
        <w:t xml:space="preserve"> ITU-T Recommendations, it </w:t>
      </w:r>
      <w:r w:rsidR="00BE0320" w:rsidRPr="003E26EC">
        <w:rPr>
          <w:i w:val="0"/>
          <w:sz w:val="24"/>
          <w:szCs w:val="24"/>
          <w:lang w:val="en-US"/>
        </w:rPr>
        <w:t xml:space="preserve">would be preferable </w:t>
      </w:r>
      <w:r w:rsidRPr="003E26EC">
        <w:rPr>
          <w:i w:val="0"/>
          <w:sz w:val="24"/>
          <w:szCs w:val="24"/>
          <w:lang w:val="en-US"/>
        </w:rPr>
        <w:t xml:space="preserve">to use the capabilities of the ITU-T </w:t>
      </w:r>
      <w:r w:rsidR="00BE0320" w:rsidRPr="003E26EC">
        <w:rPr>
          <w:i w:val="0"/>
          <w:sz w:val="24"/>
          <w:szCs w:val="24"/>
          <w:lang w:val="en-US"/>
        </w:rPr>
        <w:t xml:space="preserve">Regional groups in related </w:t>
      </w:r>
      <w:r w:rsidRPr="003E26EC">
        <w:rPr>
          <w:i w:val="0"/>
          <w:sz w:val="24"/>
          <w:szCs w:val="24"/>
          <w:lang w:val="en-US"/>
        </w:rPr>
        <w:t>Study Group</w:t>
      </w:r>
      <w:r w:rsidR="00BE0320" w:rsidRPr="003E26EC">
        <w:rPr>
          <w:i w:val="0"/>
          <w:sz w:val="24"/>
          <w:szCs w:val="24"/>
          <w:lang w:val="en-US"/>
        </w:rPr>
        <w:t>s</w:t>
      </w:r>
      <w:r w:rsidRPr="003E26EC">
        <w:rPr>
          <w:i w:val="0"/>
          <w:sz w:val="24"/>
          <w:szCs w:val="24"/>
          <w:lang w:val="en-US"/>
        </w:rPr>
        <w:t xml:space="preserve"> (as the </w:t>
      </w:r>
      <w:r w:rsidR="00BE0320" w:rsidRPr="003E26EC">
        <w:rPr>
          <w:i w:val="0"/>
          <w:sz w:val="24"/>
          <w:szCs w:val="24"/>
          <w:lang w:val="en-US"/>
        </w:rPr>
        <w:t>indicator of most d</w:t>
      </w:r>
      <w:r w:rsidRPr="003E26EC">
        <w:rPr>
          <w:i w:val="0"/>
          <w:sz w:val="24"/>
          <w:szCs w:val="24"/>
          <w:lang w:val="en-US"/>
        </w:rPr>
        <w:t xml:space="preserve">emanded directions on standardization) and ITU Regional Offices </w:t>
      </w:r>
      <w:r w:rsidR="00BE0320" w:rsidRPr="003E26EC">
        <w:rPr>
          <w:i w:val="0"/>
          <w:sz w:val="24"/>
          <w:szCs w:val="24"/>
          <w:lang w:val="en-US"/>
        </w:rPr>
        <w:t xml:space="preserve">to identify such </w:t>
      </w:r>
      <w:r w:rsidRPr="003E26EC">
        <w:rPr>
          <w:i w:val="0"/>
          <w:sz w:val="24"/>
          <w:szCs w:val="24"/>
          <w:lang w:val="en-US"/>
        </w:rPr>
        <w:t>Recommendations</w:t>
      </w:r>
      <w:r w:rsidR="00BE0320" w:rsidRPr="003E26EC">
        <w:rPr>
          <w:i w:val="0"/>
          <w:sz w:val="24"/>
          <w:szCs w:val="24"/>
          <w:lang w:val="en-US"/>
        </w:rPr>
        <w:t>’ list</w:t>
      </w:r>
      <w:r w:rsidRPr="003E26EC">
        <w:rPr>
          <w:i w:val="0"/>
          <w:sz w:val="24"/>
          <w:szCs w:val="24"/>
          <w:lang w:val="en-US"/>
        </w:rPr>
        <w:t xml:space="preserve">. In addition, if possible, </w:t>
      </w:r>
      <w:r w:rsidR="00BE0320" w:rsidRPr="003E26EC">
        <w:rPr>
          <w:i w:val="0"/>
          <w:sz w:val="24"/>
          <w:szCs w:val="24"/>
          <w:lang w:val="en-US"/>
        </w:rPr>
        <w:t xml:space="preserve">to </w:t>
      </w:r>
      <w:r w:rsidRPr="003E26EC">
        <w:rPr>
          <w:i w:val="0"/>
          <w:sz w:val="24"/>
          <w:szCs w:val="24"/>
          <w:lang w:val="en-US"/>
        </w:rPr>
        <w:t xml:space="preserve">use the Regional Groups as platforms for discussing and developing guidelines </w:t>
      </w:r>
      <w:r w:rsidR="00BE0320" w:rsidRPr="003E26EC">
        <w:rPr>
          <w:i w:val="0"/>
          <w:sz w:val="24"/>
          <w:szCs w:val="24"/>
          <w:lang w:val="en-US"/>
        </w:rPr>
        <w:t>on</w:t>
      </w:r>
      <w:r w:rsidRPr="003E26EC">
        <w:rPr>
          <w:i w:val="0"/>
          <w:sz w:val="24"/>
          <w:szCs w:val="24"/>
          <w:lang w:val="en-US"/>
        </w:rPr>
        <w:t xml:space="preserve"> the</w:t>
      </w:r>
      <w:r w:rsidR="00BE0320" w:rsidRPr="003E26EC">
        <w:rPr>
          <w:i w:val="0"/>
          <w:sz w:val="24"/>
          <w:szCs w:val="24"/>
          <w:lang w:val="en-US"/>
        </w:rPr>
        <w:t xml:space="preserve"> ITU-T</w:t>
      </w:r>
      <w:r w:rsidRPr="003E26EC">
        <w:rPr>
          <w:i w:val="0"/>
          <w:sz w:val="24"/>
          <w:szCs w:val="24"/>
          <w:lang w:val="en-US"/>
        </w:rPr>
        <w:t xml:space="preserve"> </w:t>
      </w:r>
      <w:r w:rsidR="00BE0320" w:rsidRPr="003E26EC">
        <w:rPr>
          <w:i w:val="0"/>
          <w:sz w:val="24"/>
          <w:szCs w:val="24"/>
          <w:lang w:val="en-US"/>
        </w:rPr>
        <w:t xml:space="preserve">Recommendations’ </w:t>
      </w:r>
      <w:r w:rsidRPr="003E26EC">
        <w:rPr>
          <w:i w:val="0"/>
          <w:sz w:val="24"/>
          <w:szCs w:val="24"/>
          <w:lang w:val="en-US"/>
        </w:rPr>
        <w:t>implementation;</w:t>
      </w:r>
    </w:p>
    <w:p w14:paraId="4E301FFC" w14:textId="572ACA71" w:rsidR="00DF0004" w:rsidRPr="00DF0004" w:rsidRDefault="00DF0004" w:rsidP="00972900">
      <w:pPr>
        <w:pStyle w:val="Call"/>
        <w:numPr>
          <w:ilvl w:val="0"/>
          <w:numId w:val="11"/>
        </w:numPr>
        <w:jc w:val="both"/>
        <w:rPr>
          <w:i w:val="0"/>
          <w:sz w:val="24"/>
          <w:szCs w:val="24"/>
        </w:rPr>
      </w:pPr>
      <w:r w:rsidRPr="003E26EC">
        <w:rPr>
          <w:i w:val="0"/>
          <w:sz w:val="24"/>
          <w:szCs w:val="24"/>
          <w:lang w:val="en-US"/>
        </w:rPr>
        <w:t>the development of the application guidelines should not become a "mandatory" part of the</w:t>
      </w:r>
      <w:r w:rsidRPr="00DF0004">
        <w:rPr>
          <w:i w:val="0"/>
          <w:sz w:val="24"/>
          <w:szCs w:val="24"/>
          <w:lang w:val="en-US"/>
        </w:rPr>
        <w:t xml:space="preserve"> ITU-T Recommendations de-facto, but should  be considered as a solution for the difficulties faced by developing countries only in case  when the ITU-T Regional Groups and ITU Regional Offices cannot provide appropriate instructions;</w:t>
      </w:r>
    </w:p>
    <w:p w14:paraId="5F928736" w14:textId="441D2659" w:rsidR="00DF0004" w:rsidRDefault="00DF0004" w:rsidP="00972900">
      <w:pPr>
        <w:pStyle w:val="Call"/>
        <w:numPr>
          <w:ilvl w:val="0"/>
          <w:numId w:val="11"/>
        </w:numPr>
        <w:jc w:val="both"/>
        <w:rPr>
          <w:i w:val="0"/>
          <w:sz w:val="24"/>
          <w:szCs w:val="24"/>
          <w:lang w:val="en-US"/>
        </w:rPr>
      </w:pPr>
      <w:r w:rsidRPr="00DF0004">
        <w:rPr>
          <w:i w:val="0"/>
          <w:sz w:val="24"/>
          <w:szCs w:val="24"/>
          <w:lang w:val="en-US"/>
        </w:rPr>
        <w:t>the tasks on guidelines’ development  send to the SG level for consideration  should cover the largest possible number of countries interested and in need of assistance in the implementation of ITU-T Recommendations, to guarantee  the effectively use of  ITU-T financial and human resources;</w:t>
      </w:r>
    </w:p>
    <w:p w14:paraId="259D8EBE" w14:textId="05BFA4B3" w:rsidR="00797300" w:rsidRDefault="00797300" w:rsidP="00972900">
      <w:pPr>
        <w:pStyle w:val="Call"/>
        <w:numPr>
          <w:ilvl w:val="0"/>
          <w:numId w:val="11"/>
        </w:numPr>
        <w:jc w:val="both"/>
        <w:rPr>
          <w:i w:val="0"/>
          <w:sz w:val="24"/>
          <w:szCs w:val="24"/>
          <w:lang w:val="en-US"/>
        </w:rPr>
      </w:pPr>
      <w:r w:rsidRPr="00797300">
        <w:rPr>
          <w:i w:val="0"/>
          <w:sz w:val="24"/>
          <w:szCs w:val="24"/>
          <w:lang w:val="en-US"/>
        </w:rPr>
        <w:t>the development of such guidance sho</w:t>
      </w:r>
      <w:bookmarkStart w:id="4" w:name="_GoBack"/>
      <w:bookmarkEnd w:id="4"/>
      <w:r w:rsidRPr="00797300">
        <w:rPr>
          <w:i w:val="0"/>
          <w:sz w:val="24"/>
          <w:szCs w:val="24"/>
          <w:lang w:val="en-US"/>
        </w:rPr>
        <w:t xml:space="preserve">uld not affect the timeframe of the ITU-T Recommendations’ development  itself  in the case of new Recommendations. In addition, it seems </w:t>
      </w:r>
      <w:r>
        <w:rPr>
          <w:i w:val="0"/>
          <w:sz w:val="24"/>
          <w:szCs w:val="24"/>
          <w:lang w:val="en-US"/>
        </w:rPr>
        <w:t>rational</w:t>
      </w:r>
      <w:r w:rsidRPr="00797300">
        <w:rPr>
          <w:i w:val="0"/>
          <w:sz w:val="24"/>
          <w:szCs w:val="24"/>
          <w:lang w:val="en-US"/>
        </w:rPr>
        <w:t xml:space="preserve"> to assess the necessity of preparation such application guidance only after obtaining a stable text of the </w:t>
      </w:r>
      <w:r>
        <w:rPr>
          <w:i w:val="0"/>
          <w:sz w:val="24"/>
          <w:szCs w:val="24"/>
          <w:lang w:val="en-US"/>
        </w:rPr>
        <w:t xml:space="preserve">ITU-T </w:t>
      </w:r>
      <w:r w:rsidR="00972900">
        <w:rPr>
          <w:i w:val="0"/>
          <w:sz w:val="24"/>
          <w:szCs w:val="24"/>
          <w:lang w:val="en-US"/>
        </w:rPr>
        <w:t>Recommendation;</w:t>
      </w:r>
    </w:p>
    <w:p w14:paraId="2BE480E5" w14:textId="2FF86A7C" w:rsidR="00797300" w:rsidRPr="00797300" w:rsidRDefault="00797300" w:rsidP="00972900">
      <w:pPr>
        <w:pStyle w:val="Call"/>
        <w:numPr>
          <w:ilvl w:val="0"/>
          <w:numId w:val="11"/>
        </w:numPr>
        <w:jc w:val="both"/>
        <w:rPr>
          <w:i w:val="0"/>
          <w:sz w:val="24"/>
          <w:szCs w:val="24"/>
          <w:lang w:val="en-US"/>
        </w:rPr>
      </w:pPr>
      <w:r w:rsidRPr="00797300">
        <w:rPr>
          <w:i w:val="0"/>
          <w:sz w:val="24"/>
          <w:szCs w:val="24"/>
          <w:lang w:val="en-US"/>
        </w:rPr>
        <w:t>Guideline</w:t>
      </w:r>
      <w:r>
        <w:rPr>
          <w:i w:val="0"/>
          <w:sz w:val="24"/>
          <w:szCs w:val="24"/>
          <w:lang w:val="en-US"/>
        </w:rPr>
        <w:t>(</w:t>
      </w:r>
      <w:r w:rsidRPr="00797300">
        <w:rPr>
          <w:i w:val="0"/>
          <w:sz w:val="24"/>
          <w:szCs w:val="24"/>
          <w:lang w:val="en-US"/>
        </w:rPr>
        <w:t>s</w:t>
      </w:r>
      <w:r>
        <w:rPr>
          <w:i w:val="0"/>
          <w:sz w:val="24"/>
          <w:szCs w:val="24"/>
          <w:lang w:val="en-US"/>
        </w:rPr>
        <w:t>)</w:t>
      </w:r>
      <w:r w:rsidRPr="00797300">
        <w:rPr>
          <w:i w:val="0"/>
          <w:sz w:val="24"/>
          <w:szCs w:val="24"/>
          <w:lang w:val="en-US"/>
        </w:rPr>
        <w:t xml:space="preserve"> </w:t>
      </w:r>
      <w:r>
        <w:rPr>
          <w:i w:val="0"/>
          <w:sz w:val="24"/>
          <w:szCs w:val="24"/>
          <w:lang w:val="en-US"/>
        </w:rPr>
        <w:t xml:space="preserve">on </w:t>
      </w:r>
      <w:r w:rsidRPr="00797300">
        <w:rPr>
          <w:i w:val="0"/>
          <w:sz w:val="24"/>
          <w:szCs w:val="24"/>
          <w:lang w:val="en-US"/>
        </w:rPr>
        <w:t xml:space="preserve">application of the </w:t>
      </w:r>
      <w:r>
        <w:rPr>
          <w:i w:val="0"/>
          <w:sz w:val="24"/>
          <w:szCs w:val="24"/>
          <w:lang w:val="en-US"/>
        </w:rPr>
        <w:t xml:space="preserve">ITU-T </w:t>
      </w:r>
      <w:r w:rsidRPr="00797300">
        <w:rPr>
          <w:i w:val="0"/>
          <w:sz w:val="24"/>
          <w:szCs w:val="24"/>
          <w:lang w:val="en-US"/>
        </w:rPr>
        <w:t xml:space="preserve">Recommendations should be developed after </w:t>
      </w:r>
      <w:r>
        <w:rPr>
          <w:i w:val="0"/>
          <w:sz w:val="24"/>
          <w:szCs w:val="24"/>
          <w:lang w:val="en-US"/>
        </w:rPr>
        <w:t xml:space="preserve">its </w:t>
      </w:r>
      <w:r w:rsidRPr="00797300">
        <w:rPr>
          <w:i w:val="0"/>
          <w:sz w:val="24"/>
          <w:szCs w:val="24"/>
          <w:lang w:val="en-US"/>
        </w:rPr>
        <w:t>adoption.</w:t>
      </w:r>
    </w:p>
    <w:p w14:paraId="198C0226" w14:textId="77777777" w:rsidR="00394DBF" w:rsidRDefault="00394DBF" w:rsidP="00A32D4E">
      <w:pPr>
        <w:jc w:val="center"/>
      </w:pPr>
      <w:r>
        <w:t>_______________________</w:t>
      </w:r>
    </w:p>
    <w:p w14:paraId="2B3B28A6" w14:textId="77777777" w:rsidR="00794F4F" w:rsidRDefault="00794F4F" w:rsidP="0089088E"/>
    <w:sectPr w:rsidR="00794F4F" w:rsidSect="00C42125">
      <w:headerReference w:type="default" r:id="rId14"/>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F813D" w14:textId="77777777" w:rsidR="00695478" w:rsidRDefault="00695478" w:rsidP="00C42125">
      <w:pPr>
        <w:spacing w:before="0"/>
      </w:pPr>
      <w:r>
        <w:separator/>
      </w:r>
    </w:p>
  </w:endnote>
  <w:endnote w:type="continuationSeparator" w:id="0">
    <w:p w14:paraId="76090312" w14:textId="77777777" w:rsidR="00695478" w:rsidRDefault="0069547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ＭＳ 明朝"/>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CEE6C" w14:textId="77777777" w:rsidR="00695478" w:rsidRDefault="00695478" w:rsidP="00C42125">
      <w:pPr>
        <w:spacing w:before="0"/>
      </w:pPr>
      <w:r>
        <w:separator/>
      </w:r>
    </w:p>
  </w:footnote>
  <w:footnote w:type="continuationSeparator" w:id="0">
    <w:p w14:paraId="025497B9" w14:textId="77777777" w:rsidR="00695478" w:rsidRDefault="00695478"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F8BE"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A32D4E">
      <w:rPr>
        <w:noProof/>
      </w:rPr>
      <w:t>3</w:t>
    </w:r>
    <w:r w:rsidRPr="00C42125">
      <w:fldChar w:fldCharType="end"/>
    </w:r>
    <w:r w:rsidRPr="00C42125">
      <w:t xml:space="preserve"> -</w:t>
    </w:r>
  </w:p>
  <w:p w14:paraId="2360415B" w14:textId="40432D9A" w:rsidR="00C42125" w:rsidRPr="00C42125" w:rsidRDefault="00253DBE" w:rsidP="007E53E4">
    <w:pPr>
      <w:pStyle w:val="Header"/>
    </w:pPr>
    <w:r>
      <w:fldChar w:fldCharType="begin"/>
    </w:r>
    <w:r>
      <w:instrText xml:space="preserve"> STYLEREF  Docnumber  </w:instrText>
    </w:r>
    <w:r>
      <w:fldChar w:fldCharType="separate"/>
    </w:r>
    <w:r w:rsidR="00A32D4E">
      <w:rPr>
        <w:noProof/>
      </w:rPr>
      <w:t>TSAG-C.20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A916B7"/>
    <w:multiLevelType w:val="hybridMultilevel"/>
    <w:tmpl w:val="3F3A07C0"/>
    <w:lvl w:ilvl="0" w:tplc="8BA4BAD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2E52F0"/>
    <w:multiLevelType w:val="hybridMultilevel"/>
    <w:tmpl w:val="8118FC40"/>
    <w:lvl w:ilvl="0" w:tplc="7ED8A9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00"/>
    <w:rsid w:val="000171DB"/>
    <w:rsid w:val="00023D9A"/>
    <w:rsid w:val="0002490E"/>
    <w:rsid w:val="000368B5"/>
    <w:rsid w:val="00037538"/>
    <w:rsid w:val="00043D75"/>
    <w:rsid w:val="00057000"/>
    <w:rsid w:val="000640E0"/>
    <w:rsid w:val="000A5CA2"/>
    <w:rsid w:val="000B25B1"/>
    <w:rsid w:val="001251DA"/>
    <w:rsid w:val="00125432"/>
    <w:rsid w:val="00137F40"/>
    <w:rsid w:val="00166AEC"/>
    <w:rsid w:val="001871EC"/>
    <w:rsid w:val="001A670F"/>
    <w:rsid w:val="001C62B8"/>
    <w:rsid w:val="001D6D84"/>
    <w:rsid w:val="001E7B0E"/>
    <w:rsid w:val="001F141D"/>
    <w:rsid w:val="00200058"/>
    <w:rsid w:val="00200A06"/>
    <w:rsid w:val="00241832"/>
    <w:rsid w:val="00253DBE"/>
    <w:rsid w:val="002622FA"/>
    <w:rsid w:val="00263518"/>
    <w:rsid w:val="002759E7"/>
    <w:rsid w:val="00275ED1"/>
    <w:rsid w:val="00277326"/>
    <w:rsid w:val="002A49E0"/>
    <w:rsid w:val="002C015C"/>
    <w:rsid w:val="002C26C0"/>
    <w:rsid w:val="002C2BC5"/>
    <w:rsid w:val="002E79CB"/>
    <w:rsid w:val="002F7F55"/>
    <w:rsid w:val="0030745F"/>
    <w:rsid w:val="00314630"/>
    <w:rsid w:val="0032090A"/>
    <w:rsid w:val="00321CDE"/>
    <w:rsid w:val="00333E15"/>
    <w:rsid w:val="00336046"/>
    <w:rsid w:val="00350492"/>
    <w:rsid w:val="00360D31"/>
    <w:rsid w:val="0037373C"/>
    <w:rsid w:val="0037422B"/>
    <w:rsid w:val="0038715D"/>
    <w:rsid w:val="00394DBF"/>
    <w:rsid w:val="003957A6"/>
    <w:rsid w:val="00395C05"/>
    <w:rsid w:val="003A2BF1"/>
    <w:rsid w:val="003A43EF"/>
    <w:rsid w:val="003C7445"/>
    <w:rsid w:val="003D2CC8"/>
    <w:rsid w:val="003E26EC"/>
    <w:rsid w:val="003F2BED"/>
    <w:rsid w:val="004012A6"/>
    <w:rsid w:val="00443878"/>
    <w:rsid w:val="004539A8"/>
    <w:rsid w:val="004712CA"/>
    <w:rsid w:val="0047422E"/>
    <w:rsid w:val="0049674B"/>
    <w:rsid w:val="004C0673"/>
    <w:rsid w:val="004C4E4E"/>
    <w:rsid w:val="004F3816"/>
    <w:rsid w:val="00543D41"/>
    <w:rsid w:val="00552142"/>
    <w:rsid w:val="0055782F"/>
    <w:rsid w:val="00566EDA"/>
    <w:rsid w:val="00572654"/>
    <w:rsid w:val="00583CED"/>
    <w:rsid w:val="005B3023"/>
    <w:rsid w:val="005B5629"/>
    <w:rsid w:val="005C0300"/>
    <w:rsid w:val="005F4B6A"/>
    <w:rsid w:val="006010F3"/>
    <w:rsid w:val="00615A0A"/>
    <w:rsid w:val="006333D4"/>
    <w:rsid w:val="006369B2"/>
    <w:rsid w:val="00647525"/>
    <w:rsid w:val="00650417"/>
    <w:rsid w:val="006570B0"/>
    <w:rsid w:val="00691C94"/>
    <w:rsid w:val="0069210B"/>
    <w:rsid w:val="00695478"/>
    <w:rsid w:val="006A4055"/>
    <w:rsid w:val="006C5641"/>
    <w:rsid w:val="006D1089"/>
    <w:rsid w:val="006D1B86"/>
    <w:rsid w:val="006D7355"/>
    <w:rsid w:val="006F2ACE"/>
    <w:rsid w:val="00715CA6"/>
    <w:rsid w:val="00731135"/>
    <w:rsid w:val="007324AF"/>
    <w:rsid w:val="007409B4"/>
    <w:rsid w:val="00741974"/>
    <w:rsid w:val="0075525E"/>
    <w:rsid w:val="00756D3D"/>
    <w:rsid w:val="007745D0"/>
    <w:rsid w:val="007806C2"/>
    <w:rsid w:val="007806E6"/>
    <w:rsid w:val="007903F8"/>
    <w:rsid w:val="00794F4F"/>
    <w:rsid w:val="00797300"/>
    <w:rsid w:val="007974BE"/>
    <w:rsid w:val="007A0916"/>
    <w:rsid w:val="007A0DFD"/>
    <w:rsid w:val="007A6474"/>
    <w:rsid w:val="007C7122"/>
    <w:rsid w:val="007D3F11"/>
    <w:rsid w:val="007D5D9A"/>
    <w:rsid w:val="007E53E4"/>
    <w:rsid w:val="007E656A"/>
    <w:rsid w:val="007F664D"/>
    <w:rsid w:val="008128CE"/>
    <w:rsid w:val="00841217"/>
    <w:rsid w:val="00842137"/>
    <w:rsid w:val="00862268"/>
    <w:rsid w:val="0089088E"/>
    <w:rsid w:val="00892297"/>
    <w:rsid w:val="008B6F4A"/>
    <w:rsid w:val="008E0172"/>
    <w:rsid w:val="00914912"/>
    <w:rsid w:val="009406B5"/>
    <w:rsid w:val="00946166"/>
    <w:rsid w:val="00972900"/>
    <w:rsid w:val="00983164"/>
    <w:rsid w:val="009972EF"/>
    <w:rsid w:val="009B75B3"/>
    <w:rsid w:val="009C3160"/>
    <w:rsid w:val="009E766E"/>
    <w:rsid w:val="009F1960"/>
    <w:rsid w:val="009F715E"/>
    <w:rsid w:val="00A10DBB"/>
    <w:rsid w:val="00A31D47"/>
    <w:rsid w:val="00A32D4E"/>
    <w:rsid w:val="00A4013E"/>
    <w:rsid w:val="00A4045F"/>
    <w:rsid w:val="00A427CD"/>
    <w:rsid w:val="00A4600B"/>
    <w:rsid w:val="00A50506"/>
    <w:rsid w:val="00A51EF0"/>
    <w:rsid w:val="00A67A81"/>
    <w:rsid w:val="00A730A6"/>
    <w:rsid w:val="00A971A0"/>
    <w:rsid w:val="00AA1F22"/>
    <w:rsid w:val="00AB0B51"/>
    <w:rsid w:val="00AB5CE8"/>
    <w:rsid w:val="00AB7B0F"/>
    <w:rsid w:val="00AE6044"/>
    <w:rsid w:val="00B05821"/>
    <w:rsid w:val="00B26C28"/>
    <w:rsid w:val="00B26E1C"/>
    <w:rsid w:val="00B4174C"/>
    <w:rsid w:val="00B453F5"/>
    <w:rsid w:val="00B61624"/>
    <w:rsid w:val="00B718A5"/>
    <w:rsid w:val="00BC1FAE"/>
    <w:rsid w:val="00BC3A3F"/>
    <w:rsid w:val="00BC62E2"/>
    <w:rsid w:val="00BE0320"/>
    <w:rsid w:val="00C42125"/>
    <w:rsid w:val="00C62814"/>
    <w:rsid w:val="00C74937"/>
    <w:rsid w:val="00D33E2C"/>
    <w:rsid w:val="00D57D7F"/>
    <w:rsid w:val="00D66C41"/>
    <w:rsid w:val="00D73137"/>
    <w:rsid w:val="00DA7A27"/>
    <w:rsid w:val="00DB1307"/>
    <w:rsid w:val="00DB400B"/>
    <w:rsid w:val="00DD1E3C"/>
    <w:rsid w:val="00DD50DE"/>
    <w:rsid w:val="00DE3062"/>
    <w:rsid w:val="00DF0004"/>
    <w:rsid w:val="00E204DD"/>
    <w:rsid w:val="00E2145E"/>
    <w:rsid w:val="00E353EC"/>
    <w:rsid w:val="00E53C24"/>
    <w:rsid w:val="00E625BC"/>
    <w:rsid w:val="00E7298B"/>
    <w:rsid w:val="00E74134"/>
    <w:rsid w:val="00EB444D"/>
    <w:rsid w:val="00F02294"/>
    <w:rsid w:val="00F04494"/>
    <w:rsid w:val="00F25254"/>
    <w:rsid w:val="00F35F57"/>
    <w:rsid w:val="00F50467"/>
    <w:rsid w:val="00F562A0"/>
    <w:rsid w:val="00F8089F"/>
    <w:rsid w:val="00F867D0"/>
    <w:rsid w:val="00F93322"/>
    <w:rsid w:val="00FA2177"/>
    <w:rsid w:val="00FB0A28"/>
    <w:rsid w:val="00FD01DA"/>
    <w:rsid w:val="00FD439E"/>
    <w:rsid w:val="00FD76CB"/>
    <w:rsid w:val="00FE191C"/>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docId w15:val="{0C381947-51A9-463B-B0ED-747B43ED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BalloonText">
    <w:name w:val="Balloon Text"/>
    <w:basedOn w:val="Normal"/>
    <w:link w:val="BalloonTextChar"/>
    <w:uiPriority w:val="99"/>
    <w:semiHidden/>
    <w:unhideWhenUsed/>
    <w:rsid w:val="0037373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73C"/>
    <w:rPr>
      <w:rFonts w:ascii="Tahoma" w:hAnsi="Tahoma" w:cs="Tahoma"/>
      <w:sz w:val="16"/>
      <w:szCs w:val="16"/>
      <w:lang w:val="en-GB" w:eastAsia="ja-JP"/>
    </w:rPr>
  </w:style>
  <w:style w:type="paragraph" w:customStyle="1" w:styleId="Call">
    <w:name w:val="Call"/>
    <w:basedOn w:val="Normal"/>
    <w:next w:val="Normal"/>
    <w:link w:val="CallChar"/>
    <w:rsid w:val="00D66C41"/>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sz w:val="22"/>
      <w:szCs w:val="20"/>
      <w:lang w:eastAsia="en-US"/>
    </w:rPr>
  </w:style>
  <w:style w:type="character" w:customStyle="1" w:styleId="CallChar">
    <w:name w:val="Call Char"/>
    <w:basedOn w:val="DefaultParagraphFont"/>
    <w:link w:val="Call"/>
    <w:rsid w:val="00D66C41"/>
    <w:rPr>
      <w:rFonts w:ascii="Times New Roman" w:eastAsia="Times New Roman" w:hAnsi="Times New Roman" w:cs="Times New Roman"/>
      <w:i/>
      <w:szCs w:val="20"/>
      <w:lang w:val="en-GB" w:eastAsia="en-US"/>
    </w:rPr>
  </w:style>
  <w:style w:type="paragraph" w:styleId="ListParagraph">
    <w:name w:val="List Paragraph"/>
    <w:basedOn w:val="Normal"/>
    <w:uiPriority w:val="34"/>
    <w:qFormat/>
    <w:rsid w:val="00DF0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6537">
      <w:bodyDiv w:val="1"/>
      <w:marLeft w:val="0"/>
      <w:marRight w:val="0"/>
      <w:marTop w:val="0"/>
      <w:marBottom w:val="0"/>
      <w:divBdr>
        <w:top w:val="none" w:sz="0" w:space="0" w:color="auto"/>
        <w:left w:val="none" w:sz="0" w:space="0" w:color="auto"/>
        <w:bottom w:val="none" w:sz="0" w:space="0" w:color="auto"/>
        <w:right w:val="none" w:sz="0" w:space="0" w:color="auto"/>
      </w:divBdr>
    </w:div>
    <w:div w:id="245186501">
      <w:bodyDiv w:val="1"/>
      <w:marLeft w:val="0"/>
      <w:marRight w:val="0"/>
      <w:marTop w:val="0"/>
      <w:marBottom w:val="0"/>
      <w:divBdr>
        <w:top w:val="none" w:sz="0" w:space="0" w:color="auto"/>
        <w:left w:val="none" w:sz="0" w:space="0" w:color="auto"/>
        <w:bottom w:val="none" w:sz="0" w:space="0" w:color="auto"/>
        <w:right w:val="none" w:sz="0" w:space="0" w:color="auto"/>
      </w:divBdr>
    </w:div>
    <w:div w:id="284627816">
      <w:bodyDiv w:val="1"/>
      <w:marLeft w:val="0"/>
      <w:marRight w:val="0"/>
      <w:marTop w:val="0"/>
      <w:marBottom w:val="0"/>
      <w:divBdr>
        <w:top w:val="none" w:sz="0" w:space="0" w:color="auto"/>
        <w:left w:val="none" w:sz="0" w:space="0" w:color="auto"/>
        <w:bottom w:val="none" w:sz="0" w:space="0" w:color="auto"/>
        <w:right w:val="none" w:sz="0" w:space="0" w:color="auto"/>
      </w:divBdr>
    </w:div>
    <w:div w:id="399527679">
      <w:bodyDiv w:val="1"/>
      <w:marLeft w:val="0"/>
      <w:marRight w:val="0"/>
      <w:marTop w:val="0"/>
      <w:marBottom w:val="0"/>
      <w:divBdr>
        <w:top w:val="none" w:sz="0" w:space="0" w:color="auto"/>
        <w:left w:val="none" w:sz="0" w:space="0" w:color="auto"/>
        <w:bottom w:val="none" w:sz="0" w:space="0" w:color="auto"/>
        <w:right w:val="none" w:sz="0" w:space="0" w:color="auto"/>
      </w:divBdr>
    </w:div>
    <w:div w:id="457068957">
      <w:bodyDiv w:val="1"/>
      <w:marLeft w:val="0"/>
      <w:marRight w:val="0"/>
      <w:marTop w:val="0"/>
      <w:marBottom w:val="0"/>
      <w:divBdr>
        <w:top w:val="none" w:sz="0" w:space="0" w:color="auto"/>
        <w:left w:val="none" w:sz="0" w:space="0" w:color="auto"/>
        <w:bottom w:val="none" w:sz="0" w:space="0" w:color="auto"/>
        <w:right w:val="none" w:sz="0" w:space="0" w:color="auto"/>
      </w:divBdr>
    </w:div>
    <w:div w:id="785662636">
      <w:bodyDiv w:val="1"/>
      <w:marLeft w:val="0"/>
      <w:marRight w:val="0"/>
      <w:marTop w:val="0"/>
      <w:marBottom w:val="0"/>
      <w:divBdr>
        <w:top w:val="none" w:sz="0" w:space="0" w:color="auto"/>
        <w:left w:val="none" w:sz="0" w:space="0" w:color="auto"/>
        <w:bottom w:val="none" w:sz="0" w:space="0" w:color="auto"/>
        <w:right w:val="none" w:sz="0" w:space="0" w:color="auto"/>
      </w:divBdr>
    </w:div>
    <w:div w:id="817650473">
      <w:bodyDiv w:val="1"/>
      <w:marLeft w:val="0"/>
      <w:marRight w:val="0"/>
      <w:marTop w:val="0"/>
      <w:marBottom w:val="0"/>
      <w:divBdr>
        <w:top w:val="none" w:sz="0" w:space="0" w:color="auto"/>
        <w:left w:val="none" w:sz="0" w:space="0" w:color="auto"/>
        <w:bottom w:val="none" w:sz="0" w:space="0" w:color="auto"/>
        <w:right w:val="none" w:sz="0" w:space="0" w:color="auto"/>
      </w:divBdr>
    </w:div>
    <w:div w:id="844436414">
      <w:bodyDiv w:val="1"/>
      <w:marLeft w:val="0"/>
      <w:marRight w:val="0"/>
      <w:marTop w:val="0"/>
      <w:marBottom w:val="0"/>
      <w:divBdr>
        <w:top w:val="none" w:sz="0" w:space="0" w:color="auto"/>
        <w:left w:val="none" w:sz="0" w:space="0" w:color="auto"/>
        <w:bottom w:val="none" w:sz="0" w:space="0" w:color="auto"/>
        <w:right w:val="none" w:sz="0" w:space="0" w:color="auto"/>
      </w:divBdr>
    </w:div>
    <w:div w:id="855853462">
      <w:bodyDiv w:val="1"/>
      <w:marLeft w:val="0"/>
      <w:marRight w:val="0"/>
      <w:marTop w:val="0"/>
      <w:marBottom w:val="0"/>
      <w:divBdr>
        <w:top w:val="none" w:sz="0" w:space="0" w:color="auto"/>
        <w:left w:val="none" w:sz="0" w:space="0" w:color="auto"/>
        <w:bottom w:val="none" w:sz="0" w:space="0" w:color="auto"/>
        <w:right w:val="none" w:sz="0" w:space="0" w:color="auto"/>
      </w:divBdr>
    </w:div>
    <w:div w:id="1074887551">
      <w:bodyDiv w:val="1"/>
      <w:marLeft w:val="0"/>
      <w:marRight w:val="0"/>
      <w:marTop w:val="0"/>
      <w:marBottom w:val="0"/>
      <w:divBdr>
        <w:top w:val="none" w:sz="0" w:space="0" w:color="auto"/>
        <w:left w:val="none" w:sz="0" w:space="0" w:color="auto"/>
        <w:bottom w:val="none" w:sz="0" w:space="0" w:color="auto"/>
        <w:right w:val="none" w:sz="0" w:space="0" w:color="auto"/>
      </w:divBdr>
    </w:div>
    <w:div w:id="1087001253">
      <w:bodyDiv w:val="1"/>
      <w:marLeft w:val="0"/>
      <w:marRight w:val="0"/>
      <w:marTop w:val="0"/>
      <w:marBottom w:val="0"/>
      <w:divBdr>
        <w:top w:val="none" w:sz="0" w:space="0" w:color="auto"/>
        <w:left w:val="none" w:sz="0" w:space="0" w:color="auto"/>
        <w:bottom w:val="none" w:sz="0" w:space="0" w:color="auto"/>
        <w:right w:val="none" w:sz="0" w:space="0" w:color="auto"/>
      </w:divBdr>
    </w:div>
    <w:div w:id="1159924878">
      <w:bodyDiv w:val="1"/>
      <w:marLeft w:val="0"/>
      <w:marRight w:val="0"/>
      <w:marTop w:val="0"/>
      <w:marBottom w:val="0"/>
      <w:divBdr>
        <w:top w:val="none" w:sz="0" w:space="0" w:color="auto"/>
        <w:left w:val="none" w:sz="0" w:space="0" w:color="auto"/>
        <w:bottom w:val="none" w:sz="0" w:space="0" w:color="auto"/>
        <w:right w:val="none" w:sz="0" w:space="0" w:color="auto"/>
      </w:divBdr>
    </w:div>
    <w:div w:id="1404451062">
      <w:bodyDiv w:val="1"/>
      <w:marLeft w:val="0"/>
      <w:marRight w:val="0"/>
      <w:marTop w:val="0"/>
      <w:marBottom w:val="0"/>
      <w:divBdr>
        <w:top w:val="none" w:sz="0" w:space="0" w:color="auto"/>
        <w:left w:val="none" w:sz="0" w:space="0" w:color="auto"/>
        <w:bottom w:val="none" w:sz="0" w:space="0" w:color="auto"/>
        <w:right w:val="none" w:sz="0" w:space="0" w:color="auto"/>
      </w:divBdr>
    </w:div>
    <w:div w:id="1498963193">
      <w:bodyDiv w:val="1"/>
      <w:marLeft w:val="0"/>
      <w:marRight w:val="0"/>
      <w:marTop w:val="0"/>
      <w:marBottom w:val="0"/>
      <w:divBdr>
        <w:top w:val="none" w:sz="0" w:space="0" w:color="auto"/>
        <w:left w:val="none" w:sz="0" w:space="0" w:color="auto"/>
        <w:bottom w:val="none" w:sz="0" w:space="0" w:color="auto"/>
        <w:right w:val="none" w:sz="0" w:space="0" w:color="auto"/>
      </w:divBdr>
    </w:div>
    <w:div w:id="1617718373">
      <w:bodyDiv w:val="1"/>
      <w:marLeft w:val="0"/>
      <w:marRight w:val="0"/>
      <w:marTop w:val="0"/>
      <w:marBottom w:val="0"/>
      <w:divBdr>
        <w:top w:val="none" w:sz="0" w:space="0" w:color="auto"/>
        <w:left w:val="none" w:sz="0" w:space="0" w:color="auto"/>
        <w:bottom w:val="none" w:sz="0" w:space="0" w:color="auto"/>
        <w:right w:val="none" w:sz="0" w:space="0" w:color="auto"/>
      </w:divBdr>
    </w:div>
    <w:div w:id="1836677666">
      <w:bodyDiv w:val="1"/>
      <w:marLeft w:val="0"/>
      <w:marRight w:val="0"/>
      <w:marTop w:val="0"/>
      <w:marBottom w:val="0"/>
      <w:divBdr>
        <w:top w:val="none" w:sz="0" w:space="0" w:color="auto"/>
        <w:left w:val="none" w:sz="0" w:space="0" w:color="auto"/>
        <w:bottom w:val="none" w:sz="0" w:space="0" w:color="auto"/>
        <w:right w:val="none" w:sz="0" w:space="0" w:color="auto"/>
      </w:divBdr>
    </w:div>
    <w:div w:id="1947076343">
      <w:bodyDiv w:val="1"/>
      <w:marLeft w:val="0"/>
      <w:marRight w:val="0"/>
      <w:marTop w:val="0"/>
      <w:marBottom w:val="0"/>
      <w:divBdr>
        <w:top w:val="none" w:sz="0" w:space="0" w:color="auto"/>
        <w:left w:val="none" w:sz="0" w:space="0" w:color="auto"/>
        <w:bottom w:val="none" w:sz="0" w:space="0" w:color="auto"/>
        <w:right w:val="none" w:sz="0" w:space="0" w:color="auto"/>
      </w:divBdr>
    </w:div>
    <w:div w:id="2115587194">
      <w:bodyDiv w:val="1"/>
      <w:marLeft w:val="0"/>
      <w:marRight w:val="0"/>
      <w:marTop w:val="0"/>
      <w:marBottom w:val="0"/>
      <w:divBdr>
        <w:top w:val="none" w:sz="0" w:space="0" w:color="auto"/>
        <w:left w:val="none" w:sz="0" w:space="0" w:color="auto"/>
        <w:bottom w:val="none" w:sz="0" w:space="0" w:color="auto"/>
        <w:right w:val="none" w:sz="0" w:space="0" w:color="auto"/>
      </w:divBdr>
    </w:div>
    <w:div w:id="212908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exey.borodin@rt.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t@niir.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smnet@list.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PlaceholderText"/>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PlaceholderText"/>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PlaceholderText"/>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PlaceholderText"/>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PlaceholderText"/>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PlaceholderText"/>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PlaceholderText"/>
            </w:rPr>
            <w:t>[Choose a purpose from the dropdown list]</w:t>
          </w:r>
        </w:p>
      </w:docPartBody>
    </w:docPart>
    <w:docPart>
      <w:docPartPr>
        <w:name w:val="4FDB9DA50D824CF58E0A017716EB8002"/>
        <w:category>
          <w:name w:val="Общие"/>
          <w:gallery w:val="placeholder"/>
        </w:category>
        <w:types>
          <w:type w:val="bbPlcHdr"/>
        </w:types>
        <w:behaviors>
          <w:behavior w:val="content"/>
        </w:behaviors>
        <w:guid w:val="{9DC82771-671F-498D-824C-E3B54FC20787}"/>
      </w:docPartPr>
      <w:docPartBody>
        <w:p w:rsidR="002F6E72" w:rsidRDefault="00294E08" w:rsidP="00294E08">
          <w:pPr>
            <w:pStyle w:val="4FDB9DA50D824CF58E0A017716EB8002"/>
          </w:pPr>
          <w:r w:rsidRPr="001229A4">
            <w:rPr>
              <w:rStyle w:val="PlaceholderText"/>
            </w:rPr>
            <w:t>Click here to enter text.</w:t>
          </w:r>
        </w:p>
      </w:docPartBody>
    </w:docPart>
    <w:docPart>
      <w:docPartPr>
        <w:name w:val="DCBE95B8AB9F42238BB4D57540009484"/>
        <w:category>
          <w:name w:val="Общие"/>
          <w:gallery w:val="placeholder"/>
        </w:category>
        <w:types>
          <w:type w:val="bbPlcHdr"/>
        </w:types>
        <w:behaviors>
          <w:behavior w:val="content"/>
        </w:behaviors>
        <w:guid w:val="{9EC33E0D-75EB-440A-9685-1530A6415AF5}"/>
      </w:docPartPr>
      <w:docPartBody>
        <w:p w:rsidR="002F6E72" w:rsidRDefault="00294E08" w:rsidP="00294E08">
          <w:pPr>
            <w:pStyle w:val="DCBE95B8AB9F42238BB4D57540009484"/>
          </w:pPr>
          <w:r w:rsidRPr="001229A4">
            <w:rPr>
              <w:rStyle w:val="PlaceholderText"/>
            </w:rPr>
            <w:t>Click here to enter text.</w:t>
          </w:r>
        </w:p>
      </w:docPartBody>
    </w:docPart>
    <w:docPart>
      <w:docPartPr>
        <w:name w:val="7A0DEF2645214247BFC4882F6F1A3B46"/>
        <w:category>
          <w:name w:val="Общие"/>
          <w:gallery w:val="placeholder"/>
        </w:category>
        <w:types>
          <w:type w:val="bbPlcHdr"/>
        </w:types>
        <w:behaviors>
          <w:behavior w:val="content"/>
        </w:behaviors>
        <w:guid w:val="{397A3F00-6B71-44AC-BDC3-3DEBBC8533B0}"/>
      </w:docPartPr>
      <w:docPartBody>
        <w:p w:rsidR="002F6E72" w:rsidRDefault="00294E08" w:rsidP="00294E08">
          <w:pPr>
            <w:pStyle w:val="7A0DEF2645214247BFC4882F6F1A3B46"/>
          </w:pPr>
          <w:r w:rsidRPr="001229A4">
            <w:rPr>
              <w:rStyle w:val="PlaceholderText"/>
            </w:rPr>
            <w:t>Click here to enter text.</w:t>
          </w:r>
        </w:p>
      </w:docPartBody>
    </w:docPart>
    <w:docPart>
      <w:docPartPr>
        <w:name w:val="B7CF5392FCB74FB1934F0B6A04F2D1F7"/>
        <w:category>
          <w:name w:val="Общие"/>
          <w:gallery w:val="placeholder"/>
        </w:category>
        <w:types>
          <w:type w:val="bbPlcHdr"/>
        </w:types>
        <w:behaviors>
          <w:behavior w:val="content"/>
        </w:behaviors>
        <w:guid w:val="{3681A576-B8A5-41EE-8FF1-4B79DEE1B98A}"/>
      </w:docPartPr>
      <w:docPartBody>
        <w:p w:rsidR="002F6E72" w:rsidRDefault="00294E08" w:rsidP="00294E08">
          <w:pPr>
            <w:pStyle w:val="B7CF5392FCB74FB1934F0B6A04F2D1F7"/>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ＭＳ 明朝"/>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00F46"/>
    <w:rsid w:val="00037F0A"/>
    <w:rsid w:val="00047ABF"/>
    <w:rsid w:val="00075D0F"/>
    <w:rsid w:val="000A36B3"/>
    <w:rsid w:val="00256D54"/>
    <w:rsid w:val="00294E08"/>
    <w:rsid w:val="002F6E72"/>
    <w:rsid w:val="00325869"/>
    <w:rsid w:val="003E3757"/>
    <w:rsid w:val="003F520B"/>
    <w:rsid w:val="00400FFE"/>
    <w:rsid w:val="00403A9C"/>
    <w:rsid w:val="00504131"/>
    <w:rsid w:val="00597798"/>
    <w:rsid w:val="005B38F3"/>
    <w:rsid w:val="005B40DC"/>
    <w:rsid w:val="005E3104"/>
    <w:rsid w:val="00602DFB"/>
    <w:rsid w:val="006431B1"/>
    <w:rsid w:val="00726DDE"/>
    <w:rsid w:val="00731377"/>
    <w:rsid w:val="00747A76"/>
    <w:rsid w:val="0076446A"/>
    <w:rsid w:val="007E7151"/>
    <w:rsid w:val="00825C56"/>
    <w:rsid w:val="00841C9F"/>
    <w:rsid w:val="00883915"/>
    <w:rsid w:val="008A3D52"/>
    <w:rsid w:val="008D554D"/>
    <w:rsid w:val="00947D8D"/>
    <w:rsid w:val="0099071C"/>
    <w:rsid w:val="009B5D67"/>
    <w:rsid w:val="00A33DD7"/>
    <w:rsid w:val="00A3586C"/>
    <w:rsid w:val="00AC7F00"/>
    <w:rsid w:val="00AF3CAC"/>
    <w:rsid w:val="00C06AB2"/>
    <w:rsid w:val="00C537FF"/>
    <w:rsid w:val="00C7519D"/>
    <w:rsid w:val="00C7552B"/>
    <w:rsid w:val="00D40096"/>
    <w:rsid w:val="00E02C8E"/>
    <w:rsid w:val="00E24248"/>
    <w:rsid w:val="00E64C6E"/>
    <w:rsid w:val="00E83FDF"/>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E08"/>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 w:type="paragraph" w:customStyle="1" w:styleId="253FF821256442D6B5D149431CF865E2">
    <w:name w:val="253FF821256442D6B5D149431CF865E2"/>
    <w:rsid w:val="00075D0F"/>
    <w:pPr>
      <w:spacing w:after="200" w:line="276" w:lineRule="auto"/>
    </w:pPr>
    <w:rPr>
      <w:lang w:val="ru-RU" w:eastAsia="ru-RU"/>
    </w:rPr>
  </w:style>
  <w:style w:type="paragraph" w:customStyle="1" w:styleId="EDA875994E114FF7AA175EC8BDBCB97B">
    <w:name w:val="EDA875994E114FF7AA175EC8BDBCB97B"/>
    <w:rsid w:val="00075D0F"/>
    <w:pPr>
      <w:spacing w:after="200" w:line="276" w:lineRule="auto"/>
    </w:pPr>
    <w:rPr>
      <w:lang w:val="ru-RU" w:eastAsia="ru-RU"/>
    </w:rPr>
  </w:style>
  <w:style w:type="paragraph" w:customStyle="1" w:styleId="33DF38E0567F4B18A14C5A5C45258079">
    <w:name w:val="33DF38E0567F4B18A14C5A5C45258079"/>
    <w:rsid w:val="00075D0F"/>
    <w:pPr>
      <w:spacing w:after="200" w:line="276" w:lineRule="auto"/>
    </w:pPr>
    <w:rPr>
      <w:lang w:val="ru-RU" w:eastAsia="ru-RU"/>
    </w:rPr>
  </w:style>
  <w:style w:type="paragraph" w:customStyle="1" w:styleId="5E08607CCF044DD3A515AE3C2C01207D">
    <w:name w:val="5E08607CCF044DD3A515AE3C2C01207D"/>
    <w:rsid w:val="00075D0F"/>
    <w:pPr>
      <w:spacing w:after="200" w:line="276" w:lineRule="auto"/>
    </w:pPr>
    <w:rPr>
      <w:lang w:val="ru-RU" w:eastAsia="ru-RU"/>
    </w:rPr>
  </w:style>
  <w:style w:type="paragraph" w:customStyle="1" w:styleId="4FDB9DA50D824CF58E0A017716EB8002">
    <w:name w:val="4FDB9DA50D824CF58E0A017716EB8002"/>
    <w:rsid w:val="00294E08"/>
    <w:pPr>
      <w:spacing w:after="200" w:line="276" w:lineRule="auto"/>
    </w:pPr>
    <w:rPr>
      <w:lang w:val="ru-RU" w:eastAsia="ru-RU"/>
    </w:rPr>
  </w:style>
  <w:style w:type="paragraph" w:customStyle="1" w:styleId="DCBE95B8AB9F42238BB4D57540009484">
    <w:name w:val="DCBE95B8AB9F42238BB4D57540009484"/>
    <w:rsid w:val="00294E08"/>
    <w:pPr>
      <w:spacing w:after="200" w:line="276" w:lineRule="auto"/>
    </w:pPr>
    <w:rPr>
      <w:lang w:val="ru-RU" w:eastAsia="ru-RU"/>
    </w:rPr>
  </w:style>
  <w:style w:type="paragraph" w:customStyle="1" w:styleId="7A0DEF2645214247BFC4882F6F1A3B46">
    <w:name w:val="7A0DEF2645214247BFC4882F6F1A3B46"/>
    <w:rsid w:val="00294E08"/>
    <w:pPr>
      <w:spacing w:after="200" w:line="276" w:lineRule="auto"/>
    </w:pPr>
    <w:rPr>
      <w:lang w:val="ru-RU" w:eastAsia="ru-RU"/>
    </w:rPr>
  </w:style>
  <w:style w:type="paragraph" w:customStyle="1" w:styleId="B7CF5392FCB74FB1934F0B6A04F2D1F7">
    <w:name w:val="B7CF5392FCB74FB1934F0B6A04F2D1F7"/>
    <w:rsid w:val="00294E08"/>
    <w:pPr>
      <w:spacing w:after="200" w:line="276" w:lineRule="auto"/>
    </w:pPr>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1–4 May 2017</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Recognizing the importance of actions to bridge the standardization gap between developed and developing countries, this contribution proposes to identify the necessary steps on implementation of the Resolution 44 in order to maximize the effectiveness of such steps and optimize of the Sector's resources expenditure.</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TSAG-C.20</ShortName>
    <Place xmlns="3f6fad35-1f81-480e-a4e5-6e5474dcfb96">Geneva</Place>
    <IsTooLateSubmitted xmlns="3f6fad35-1f81-480e-a4e5-6e5474dcfb96">false</IsTooLateSubmitted>
    <Observations xmlns="3f6fad35-1f81-480e-a4e5-6e5474dcfb96" xsi:nil="true"/>
    <DocumentSource xmlns="3f6fad35-1f81-480e-a4e5-6e5474dcfb96">Russian Federation</DocumentSource>
    <IsUpdated xmlns="3f6fad35-1f81-480e-a4e5-6e5474dcfb96">false</IsUpdated>
    <DocStatusText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sharepoint.v3"/>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3f6fad35-1f81-480e-a4e5-6e5474dcfb96"/>
    <ds:schemaRef ds:uri="http://purl.org/dc/terms/"/>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141</TotalTime>
  <Pages>3</Pages>
  <Words>1039</Words>
  <Characters>5925</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On implementation  Resolution 44 (Rev. Hammamet, 2016) – Bridging the Standardization Gap between developing and developed countries</vt:lpstr>
      <vt:lpstr/>
    </vt:vector>
  </TitlesOfParts>
  <Company>ITU</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implementation  Resolution 44 (Rev. Hammamet, 2016) – Bridging the Standardization Gap between developing and developed countries</dc:title>
  <dc:creator>Guy, Florence</dc:creator>
  <cp:keywords>Resolution 44; Bridging the Standardization Gap; BSG; WTSA-16; development countries’ </cp:keywords>
  <cp:lastModifiedBy>Al-Mnini, Lara</cp:lastModifiedBy>
  <cp:revision>10</cp:revision>
  <cp:lastPrinted>2017-02-22T09:55:00Z</cp:lastPrinted>
  <dcterms:created xsi:type="dcterms:W3CDTF">2017-04-13T04:40:00Z</dcterms:created>
  <dcterms:modified xsi:type="dcterms:W3CDTF">2017-04-19T08:08:00Z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