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C35367" w:rsidTr="00614237">
        <w:trPr>
          <w:cantSplit/>
        </w:trPr>
        <w:tc>
          <w:tcPr>
            <w:tcW w:w="1418" w:type="dxa"/>
            <w:vAlign w:val="center"/>
          </w:tcPr>
          <w:p w:rsidR="00427EA6" w:rsidRPr="00C35367" w:rsidRDefault="00427EA6" w:rsidP="0061423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35367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C35367" w:rsidRDefault="00427EA6" w:rsidP="0061423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35367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C35367" w:rsidRDefault="00427EA6" w:rsidP="0061423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3536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C35367" w:rsidRDefault="00427EA6" w:rsidP="00614237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C35367" w:rsidRDefault="002545AA" w:rsidP="006A47A1">
      <w:pPr>
        <w:spacing w:before="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C35367" w:rsidTr="006A47A1">
        <w:trPr>
          <w:cantSplit/>
          <w:trHeight w:val="471"/>
        </w:trPr>
        <w:tc>
          <w:tcPr>
            <w:tcW w:w="1084" w:type="dxa"/>
            <w:gridSpan w:val="2"/>
          </w:tcPr>
          <w:p w:rsidR="002545AA" w:rsidRPr="00C35367" w:rsidRDefault="002545AA" w:rsidP="006A47A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E90BBD" w:rsidRDefault="002545AA" w:rsidP="006A47A1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762" w:type="dxa"/>
          </w:tcPr>
          <w:p w:rsidR="002545AA" w:rsidRPr="00E90BBD" w:rsidRDefault="00643F05" w:rsidP="006A47A1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0" w:after="0"/>
              <w:rPr>
                <w:bCs/>
                <w:szCs w:val="22"/>
              </w:rPr>
            </w:pPr>
            <w:r w:rsidRPr="00E90BBD">
              <w:rPr>
                <w:szCs w:val="22"/>
              </w:rPr>
              <w:t xml:space="preserve">Ginebra, </w:t>
            </w:r>
            <w:r w:rsidR="00024F1A" w:rsidRPr="00E90BBD">
              <w:rPr>
                <w:szCs w:val="22"/>
              </w:rPr>
              <w:t>15</w:t>
            </w:r>
            <w:r w:rsidRPr="00E90BBD">
              <w:rPr>
                <w:szCs w:val="22"/>
              </w:rPr>
              <w:t xml:space="preserve"> de </w:t>
            </w:r>
            <w:r w:rsidR="00024F1A" w:rsidRPr="00E90BBD">
              <w:rPr>
                <w:szCs w:val="22"/>
              </w:rPr>
              <w:t>marzo</w:t>
            </w:r>
            <w:r w:rsidRPr="00E90BBD">
              <w:rPr>
                <w:szCs w:val="22"/>
              </w:rPr>
              <w:t xml:space="preserve"> de 2018</w:t>
            </w:r>
          </w:p>
        </w:tc>
      </w:tr>
      <w:tr w:rsidR="002545AA" w:rsidRPr="00C35367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C35367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35367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643F05" w:rsidRPr="00E90BBD" w:rsidRDefault="00EF4491" w:rsidP="00EF4491">
            <w:pPr>
              <w:tabs>
                <w:tab w:val="left" w:pos="4111"/>
              </w:tabs>
              <w:spacing w:before="40" w:after="40"/>
              <w:ind w:left="57"/>
              <w:rPr>
                <w:b/>
                <w:sz w:val="22"/>
                <w:szCs w:val="22"/>
              </w:rPr>
            </w:pPr>
            <w:proofErr w:type="spellStart"/>
            <w:r w:rsidRPr="00E90BBD">
              <w:rPr>
                <w:b/>
                <w:sz w:val="22"/>
                <w:szCs w:val="22"/>
              </w:rPr>
              <w:t>Addéndum</w:t>
            </w:r>
            <w:proofErr w:type="spellEnd"/>
            <w:r w:rsidRPr="00E90BBD">
              <w:rPr>
                <w:b/>
                <w:sz w:val="22"/>
                <w:szCs w:val="22"/>
              </w:rPr>
              <w:t xml:space="preserve"> 1 a la </w:t>
            </w:r>
            <w:r w:rsidR="00643F05" w:rsidRPr="00E90BBD">
              <w:rPr>
                <w:b/>
                <w:sz w:val="22"/>
                <w:szCs w:val="22"/>
              </w:rPr>
              <w:t>Carta Colectiva TSB</w:t>
            </w:r>
            <w:r w:rsidRPr="00E90BBD">
              <w:rPr>
                <w:b/>
                <w:sz w:val="22"/>
                <w:szCs w:val="22"/>
              </w:rPr>
              <w:t> </w:t>
            </w:r>
            <w:r w:rsidR="00643F05" w:rsidRPr="00E90BBD">
              <w:rPr>
                <w:b/>
                <w:sz w:val="22"/>
                <w:szCs w:val="22"/>
              </w:rPr>
              <w:t>4/20</w:t>
            </w:r>
          </w:p>
          <w:p w:rsidR="002545AA" w:rsidRPr="00E90BBD" w:rsidRDefault="00643F05" w:rsidP="00643F05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  <w:u w:val="single"/>
              </w:rPr>
            </w:pPr>
            <w:bookmarkStart w:id="0" w:name="lt_pId018"/>
            <w:r w:rsidRPr="00E90BBD">
              <w:rPr>
                <w:sz w:val="22"/>
                <w:szCs w:val="22"/>
              </w:rPr>
              <w:t>CE 20/CB</w:t>
            </w:r>
            <w:bookmarkEnd w:id="0"/>
          </w:p>
        </w:tc>
        <w:tc>
          <w:tcPr>
            <w:tcW w:w="4762" w:type="dxa"/>
            <w:vMerge w:val="restart"/>
          </w:tcPr>
          <w:p w:rsidR="00643F05" w:rsidRPr="00E90BBD" w:rsidRDefault="00643F05" w:rsidP="00643F05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r w:rsidRPr="00E90BBD">
              <w:rPr>
                <w:bCs/>
                <w:sz w:val="22"/>
                <w:szCs w:val="22"/>
              </w:rPr>
              <w:t>A:</w:t>
            </w:r>
          </w:p>
          <w:p w:rsidR="00643F05" w:rsidRPr="00E90BBD" w:rsidRDefault="0034080A" w:rsidP="00F41FC0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  <w:rPr>
                <w:sz w:val="22"/>
                <w:szCs w:val="22"/>
              </w:rPr>
            </w:pPr>
            <w:r w:rsidRPr="00E90BBD">
              <w:rPr>
                <w:sz w:val="22"/>
                <w:szCs w:val="22"/>
              </w:rPr>
              <w:t>–</w:t>
            </w:r>
            <w:r w:rsidR="00643F05" w:rsidRPr="00E90BBD">
              <w:rPr>
                <w:sz w:val="22"/>
                <w:szCs w:val="22"/>
              </w:rPr>
              <w:tab/>
            </w:r>
            <w:r w:rsidR="00F41FC0" w:rsidRPr="00E90BBD">
              <w:rPr>
                <w:sz w:val="22"/>
                <w:szCs w:val="22"/>
              </w:rPr>
              <w:t xml:space="preserve">las </w:t>
            </w:r>
            <w:r w:rsidR="00643F05" w:rsidRPr="00E90BBD">
              <w:rPr>
                <w:sz w:val="22"/>
                <w:szCs w:val="22"/>
              </w:rPr>
              <w:t>Administraciones de los Estados Miembros de la Unión;</w:t>
            </w:r>
          </w:p>
          <w:p w:rsidR="00643F05" w:rsidRPr="00E90BBD" w:rsidRDefault="0034080A" w:rsidP="00F41FC0">
            <w:pPr>
              <w:tabs>
                <w:tab w:val="clear" w:pos="794"/>
                <w:tab w:val="left" w:pos="360"/>
              </w:tabs>
              <w:spacing w:before="0" w:after="40"/>
              <w:ind w:left="57"/>
              <w:rPr>
                <w:sz w:val="22"/>
                <w:szCs w:val="22"/>
              </w:rPr>
            </w:pPr>
            <w:r w:rsidRPr="00E90BBD">
              <w:rPr>
                <w:sz w:val="22"/>
                <w:szCs w:val="22"/>
              </w:rPr>
              <w:t>–</w:t>
            </w:r>
            <w:r w:rsidR="00236059" w:rsidRPr="00E90BBD">
              <w:rPr>
                <w:sz w:val="22"/>
                <w:szCs w:val="22"/>
              </w:rPr>
              <w:tab/>
            </w:r>
            <w:r w:rsidR="00F41FC0" w:rsidRPr="00E90BBD">
              <w:rPr>
                <w:sz w:val="22"/>
                <w:szCs w:val="22"/>
              </w:rPr>
              <w:t xml:space="preserve">los </w:t>
            </w:r>
            <w:r w:rsidR="00236059" w:rsidRPr="00E90BBD">
              <w:rPr>
                <w:sz w:val="22"/>
                <w:szCs w:val="22"/>
              </w:rPr>
              <w:t>Miembros de</w:t>
            </w:r>
            <w:r w:rsidR="00643F05" w:rsidRPr="00E90BBD">
              <w:rPr>
                <w:sz w:val="22"/>
                <w:szCs w:val="22"/>
              </w:rPr>
              <w:t xml:space="preserve"> Sector </w:t>
            </w:r>
            <w:r w:rsidR="00236059" w:rsidRPr="00E90BBD">
              <w:rPr>
                <w:sz w:val="22"/>
                <w:szCs w:val="22"/>
              </w:rPr>
              <w:t xml:space="preserve">del </w:t>
            </w:r>
            <w:r w:rsidR="00643F05" w:rsidRPr="00E90BBD">
              <w:rPr>
                <w:sz w:val="22"/>
                <w:szCs w:val="22"/>
              </w:rPr>
              <w:t>UIT</w:t>
            </w:r>
            <w:r w:rsidR="00643F05" w:rsidRPr="00E90BBD">
              <w:rPr>
                <w:sz w:val="22"/>
                <w:szCs w:val="22"/>
              </w:rPr>
              <w:noBreakHyphen/>
              <w:t>T;</w:t>
            </w:r>
          </w:p>
          <w:p w:rsidR="00643F05" w:rsidRPr="00E90BBD" w:rsidRDefault="0034080A" w:rsidP="00F41FC0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  <w:rPr>
                <w:sz w:val="22"/>
                <w:szCs w:val="22"/>
              </w:rPr>
            </w:pPr>
            <w:r w:rsidRPr="00E90BBD">
              <w:rPr>
                <w:sz w:val="22"/>
                <w:szCs w:val="22"/>
              </w:rPr>
              <w:t>–</w:t>
            </w:r>
            <w:r w:rsidR="00643F05" w:rsidRPr="00E90BBD">
              <w:rPr>
                <w:sz w:val="22"/>
                <w:szCs w:val="22"/>
              </w:rPr>
              <w:tab/>
            </w:r>
            <w:r w:rsidR="00F41FC0" w:rsidRPr="00E90BBD">
              <w:rPr>
                <w:sz w:val="22"/>
                <w:szCs w:val="22"/>
              </w:rPr>
              <w:t xml:space="preserve">los </w:t>
            </w:r>
            <w:r w:rsidR="00643F05" w:rsidRPr="00E90BBD">
              <w:rPr>
                <w:sz w:val="22"/>
                <w:szCs w:val="22"/>
              </w:rPr>
              <w:t xml:space="preserve">Asociados que participan en los trabajos de la Comisión de Estudio </w:t>
            </w:r>
            <w:r w:rsidRPr="00E90BBD">
              <w:rPr>
                <w:sz w:val="22"/>
                <w:szCs w:val="22"/>
              </w:rPr>
              <w:t>20</w:t>
            </w:r>
            <w:r w:rsidR="00643F05" w:rsidRPr="00E90BBD">
              <w:rPr>
                <w:sz w:val="22"/>
                <w:szCs w:val="22"/>
              </w:rPr>
              <w:t>; y a</w:t>
            </w:r>
          </w:p>
          <w:p w:rsidR="002545AA" w:rsidRPr="00E90BBD" w:rsidRDefault="0034080A" w:rsidP="00F41FC0">
            <w:pPr>
              <w:tabs>
                <w:tab w:val="clear" w:pos="794"/>
                <w:tab w:val="left" w:pos="360"/>
              </w:tabs>
              <w:spacing w:before="0" w:after="40"/>
              <w:ind w:left="57"/>
              <w:rPr>
                <w:bCs/>
                <w:sz w:val="22"/>
                <w:szCs w:val="22"/>
              </w:rPr>
            </w:pPr>
            <w:r w:rsidRPr="00E90BBD">
              <w:rPr>
                <w:sz w:val="22"/>
                <w:szCs w:val="22"/>
              </w:rPr>
              <w:t>–</w:t>
            </w:r>
            <w:r w:rsidR="00643F05" w:rsidRPr="00E90BBD">
              <w:rPr>
                <w:sz w:val="22"/>
                <w:szCs w:val="22"/>
              </w:rPr>
              <w:tab/>
            </w:r>
            <w:r w:rsidR="00F41FC0" w:rsidRPr="00E90BBD">
              <w:rPr>
                <w:sz w:val="22"/>
                <w:szCs w:val="22"/>
              </w:rPr>
              <w:t xml:space="preserve">las </w:t>
            </w:r>
            <w:r w:rsidR="00643F05" w:rsidRPr="00E90BBD">
              <w:rPr>
                <w:sz w:val="22"/>
                <w:szCs w:val="22"/>
              </w:rPr>
              <w:t>Instituciones Académicas de la UIT</w:t>
            </w:r>
          </w:p>
        </w:tc>
      </w:tr>
      <w:tr w:rsidR="002545AA" w:rsidRPr="00C35367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C35367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35367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90BBD" w:rsidRDefault="00643F05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E90BBD">
              <w:rPr>
                <w:sz w:val="22"/>
                <w:szCs w:val="22"/>
              </w:rPr>
              <w:t>+41 22 730 6301</w:t>
            </w:r>
          </w:p>
        </w:tc>
        <w:tc>
          <w:tcPr>
            <w:tcW w:w="4762" w:type="dxa"/>
            <w:vMerge/>
          </w:tcPr>
          <w:p w:rsidR="002545AA" w:rsidRPr="00E90BBD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 w:val="22"/>
                <w:szCs w:val="22"/>
              </w:rPr>
            </w:pPr>
          </w:p>
        </w:tc>
      </w:tr>
      <w:tr w:rsidR="002545AA" w:rsidRPr="00C35367" w:rsidTr="005F5265">
        <w:trPr>
          <w:cantSplit/>
          <w:trHeight w:val="274"/>
        </w:trPr>
        <w:tc>
          <w:tcPr>
            <w:tcW w:w="1084" w:type="dxa"/>
            <w:gridSpan w:val="2"/>
          </w:tcPr>
          <w:p w:rsidR="002545AA" w:rsidRPr="00C35367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35367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90BBD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E90BBD">
              <w:rPr>
                <w:sz w:val="22"/>
                <w:szCs w:val="22"/>
              </w:rPr>
              <w:t>+41 22 730 5853</w:t>
            </w:r>
          </w:p>
        </w:tc>
        <w:tc>
          <w:tcPr>
            <w:tcW w:w="4762" w:type="dxa"/>
            <w:vMerge/>
          </w:tcPr>
          <w:p w:rsidR="002545AA" w:rsidRPr="00E90BBD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 w:val="22"/>
                <w:szCs w:val="22"/>
              </w:rPr>
            </w:pPr>
          </w:p>
        </w:tc>
      </w:tr>
      <w:tr w:rsidR="002545AA" w:rsidRPr="00C35367" w:rsidTr="002C58A4">
        <w:trPr>
          <w:cantSplit/>
        </w:trPr>
        <w:tc>
          <w:tcPr>
            <w:tcW w:w="1084" w:type="dxa"/>
            <w:gridSpan w:val="2"/>
          </w:tcPr>
          <w:p w:rsidR="002545AA" w:rsidRPr="00C35367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35367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E90BBD" w:rsidRDefault="004A3F1B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r w:rsidR="00643F05" w:rsidRPr="00E90BBD">
                <w:rPr>
                  <w:rStyle w:val="Hyperlink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4762" w:type="dxa"/>
            <w:vMerge/>
          </w:tcPr>
          <w:p w:rsidR="002545AA" w:rsidRPr="00E90BBD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sz w:val="22"/>
                <w:szCs w:val="22"/>
              </w:rPr>
            </w:pPr>
          </w:p>
        </w:tc>
      </w:tr>
      <w:tr w:rsidR="002545AA" w:rsidRPr="00C35367" w:rsidTr="002C58A4">
        <w:trPr>
          <w:cantSplit/>
        </w:trPr>
        <w:tc>
          <w:tcPr>
            <w:tcW w:w="1084" w:type="dxa"/>
            <w:gridSpan w:val="2"/>
          </w:tcPr>
          <w:p w:rsidR="002545AA" w:rsidRPr="00C35367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35367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E90BBD" w:rsidRDefault="004A3F1B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10" w:history="1">
              <w:r w:rsidR="00643F05" w:rsidRPr="00E90BBD">
                <w:rPr>
                  <w:rStyle w:val="Hyperlink"/>
                  <w:sz w:val="22"/>
                  <w:szCs w:val="22"/>
                </w:rPr>
                <w:t>http://itu.int/go/tsg20</w:t>
              </w:r>
            </w:hyperlink>
          </w:p>
        </w:tc>
        <w:tc>
          <w:tcPr>
            <w:tcW w:w="4762" w:type="dxa"/>
            <w:vMerge/>
          </w:tcPr>
          <w:p w:rsidR="002545AA" w:rsidRPr="00E90BBD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sz w:val="22"/>
                <w:szCs w:val="22"/>
              </w:rPr>
            </w:pPr>
          </w:p>
        </w:tc>
      </w:tr>
      <w:tr w:rsidR="002545AA" w:rsidRPr="00C35367" w:rsidTr="00643F05">
        <w:trPr>
          <w:cantSplit/>
          <w:trHeight w:val="357"/>
        </w:trPr>
        <w:tc>
          <w:tcPr>
            <w:tcW w:w="1070" w:type="dxa"/>
          </w:tcPr>
          <w:p w:rsidR="002545AA" w:rsidRPr="00C35367" w:rsidRDefault="002545AA" w:rsidP="005F5265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C35367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E90BBD" w:rsidRDefault="00F35399" w:rsidP="005F5265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E90BBD">
              <w:rPr>
                <w:b/>
                <w:bCs/>
                <w:sz w:val="22"/>
                <w:szCs w:val="22"/>
              </w:rPr>
              <w:t>Event</w:t>
            </w:r>
            <w:r w:rsidR="007D7A21" w:rsidRPr="00E90BBD">
              <w:rPr>
                <w:b/>
                <w:bCs/>
                <w:sz w:val="22"/>
                <w:szCs w:val="22"/>
              </w:rPr>
              <w:t>o</w:t>
            </w:r>
            <w:r w:rsidRPr="00E90BBD">
              <w:rPr>
                <w:b/>
                <w:bCs/>
                <w:sz w:val="22"/>
                <w:szCs w:val="22"/>
              </w:rPr>
              <w:t xml:space="preserve">s </w:t>
            </w:r>
            <w:r w:rsidR="007D7A21" w:rsidRPr="00E90BBD">
              <w:rPr>
                <w:b/>
                <w:bCs/>
                <w:sz w:val="22"/>
                <w:szCs w:val="22"/>
              </w:rPr>
              <w:t>celebrados coincidiendo con la</w:t>
            </w:r>
            <w:r w:rsidRPr="00E90BBD">
              <w:rPr>
                <w:b/>
                <w:bCs/>
                <w:sz w:val="22"/>
                <w:szCs w:val="22"/>
              </w:rPr>
              <w:t xml:space="preserve"> </w:t>
            </w:r>
            <w:r w:rsidR="00643F05" w:rsidRPr="00E90BBD">
              <w:rPr>
                <w:b/>
                <w:bCs/>
                <w:sz w:val="22"/>
                <w:szCs w:val="22"/>
              </w:rPr>
              <w:t>Reunión d</w:t>
            </w:r>
            <w:r w:rsidR="004807E6" w:rsidRPr="00E90BBD">
              <w:rPr>
                <w:b/>
                <w:bCs/>
                <w:sz w:val="22"/>
                <w:szCs w:val="22"/>
              </w:rPr>
              <w:t>e la Comisión de Estudio 20, El </w:t>
            </w:r>
            <w:r w:rsidR="00643F05" w:rsidRPr="00E90BBD">
              <w:rPr>
                <w:b/>
                <w:bCs/>
                <w:sz w:val="22"/>
                <w:szCs w:val="22"/>
              </w:rPr>
              <w:t>Cairo (Egipto), 6-16 de mayo de 2018</w:t>
            </w:r>
          </w:p>
        </w:tc>
      </w:tr>
    </w:tbl>
    <w:p w:rsidR="00643F05" w:rsidRPr="00E90BBD" w:rsidRDefault="00643F05" w:rsidP="006A47A1">
      <w:pPr>
        <w:pStyle w:val="Normalaftertitle0"/>
        <w:spacing w:before="120"/>
        <w:rPr>
          <w:sz w:val="22"/>
          <w:szCs w:val="18"/>
        </w:rPr>
      </w:pPr>
      <w:bookmarkStart w:id="1" w:name="ditulogo"/>
      <w:bookmarkEnd w:id="1"/>
      <w:r w:rsidRPr="00E90BBD">
        <w:rPr>
          <w:sz w:val="22"/>
          <w:szCs w:val="18"/>
        </w:rPr>
        <w:t>Muy Señora mía/Muy Señor mío:</w:t>
      </w:r>
    </w:p>
    <w:p w:rsidR="00643F05" w:rsidRPr="00E90BBD" w:rsidRDefault="007D7A21" w:rsidP="007D7A21">
      <w:pPr>
        <w:rPr>
          <w:sz w:val="22"/>
          <w:szCs w:val="18"/>
        </w:rPr>
      </w:pPr>
      <w:r w:rsidRPr="00E90BBD">
        <w:rPr>
          <w:sz w:val="22"/>
          <w:szCs w:val="18"/>
        </w:rPr>
        <w:t xml:space="preserve">Además del contenido de la </w:t>
      </w:r>
      <w:hyperlink r:id="rId11" w:history="1">
        <w:r w:rsidR="00F96693" w:rsidRPr="00E90BBD">
          <w:rPr>
            <w:rStyle w:val="Hyperlink"/>
            <w:sz w:val="22"/>
            <w:szCs w:val="18"/>
          </w:rPr>
          <w:t>C</w:t>
        </w:r>
        <w:r w:rsidRPr="00E90BBD">
          <w:rPr>
            <w:rStyle w:val="Hyperlink"/>
            <w:sz w:val="22"/>
            <w:szCs w:val="18"/>
          </w:rPr>
          <w:t>arta Colectiva TSB</w:t>
        </w:r>
        <w:r w:rsidR="00F96693" w:rsidRPr="00E90BBD">
          <w:rPr>
            <w:rStyle w:val="Hyperlink"/>
            <w:sz w:val="22"/>
            <w:szCs w:val="18"/>
          </w:rPr>
          <w:t xml:space="preserve"> 4/20</w:t>
        </w:r>
      </w:hyperlink>
      <w:r w:rsidR="00F96693" w:rsidRPr="00E90BBD">
        <w:rPr>
          <w:sz w:val="22"/>
          <w:szCs w:val="18"/>
        </w:rPr>
        <w:t xml:space="preserve"> </w:t>
      </w:r>
      <w:r w:rsidRPr="00E90BBD">
        <w:rPr>
          <w:sz w:val="22"/>
          <w:szCs w:val="18"/>
        </w:rPr>
        <w:t>del</w:t>
      </w:r>
      <w:r w:rsidR="00F96693" w:rsidRPr="00E90BBD">
        <w:rPr>
          <w:sz w:val="22"/>
          <w:szCs w:val="18"/>
        </w:rPr>
        <w:t xml:space="preserve"> 12 </w:t>
      </w:r>
      <w:r w:rsidRPr="00E90BBD">
        <w:rPr>
          <w:sz w:val="22"/>
          <w:szCs w:val="18"/>
        </w:rPr>
        <w:t>de febrero de</w:t>
      </w:r>
      <w:r w:rsidR="00F96693" w:rsidRPr="00E90BBD">
        <w:rPr>
          <w:sz w:val="22"/>
          <w:szCs w:val="18"/>
        </w:rPr>
        <w:t xml:space="preserve"> 2018, </w:t>
      </w:r>
      <w:r w:rsidRPr="00E90BBD">
        <w:rPr>
          <w:sz w:val="22"/>
          <w:szCs w:val="18"/>
        </w:rPr>
        <w:t>adjuntamos información adicional en relación con la reunión de la CE</w:t>
      </w:r>
      <w:r w:rsidR="005F5265" w:rsidRPr="00E90BBD">
        <w:rPr>
          <w:sz w:val="22"/>
          <w:szCs w:val="18"/>
        </w:rPr>
        <w:t> </w:t>
      </w:r>
      <w:r w:rsidRPr="00E90BBD">
        <w:rPr>
          <w:sz w:val="22"/>
          <w:szCs w:val="18"/>
        </w:rPr>
        <w:t xml:space="preserve">20 del UIT-T, que se celebrará en El Cairo (Egipto) del 6 al 16 de mayo de </w:t>
      </w:r>
      <w:r w:rsidR="00F96693" w:rsidRPr="00E90BBD">
        <w:rPr>
          <w:sz w:val="22"/>
          <w:szCs w:val="18"/>
        </w:rPr>
        <w:t>2018.</w:t>
      </w:r>
    </w:p>
    <w:p w:rsidR="00643F05" w:rsidRPr="00E90BBD" w:rsidRDefault="007D7A21" w:rsidP="00642FDF">
      <w:pPr>
        <w:rPr>
          <w:sz w:val="22"/>
          <w:szCs w:val="18"/>
        </w:rPr>
      </w:pPr>
      <w:r w:rsidRPr="00E90BBD">
        <w:rPr>
          <w:sz w:val="22"/>
          <w:szCs w:val="18"/>
        </w:rPr>
        <w:t>Deseo informarle que el amable anfitrión de la siguiente serie de e</w:t>
      </w:r>
      <w:r w:rsidR="00642FDF" w:rsidRPr="00E90BBD">
        <w:rPr>
          <w:sz w:val="22"/>
          <w:szCs w:val="18"/>
        </w:rPr>
        <w:t>ventos, que se celebrarán del 6 </w:t>
      </w:r>
      <w:r w:rsidRPr="00E90BBD">
        <w:rPr>
          <w:sz w:val="22"/>
          <w:szCs w:val="18"/>
        </w:rPr>
        <w:t>al 16 de mayo de 201</w:t>
      </w:r>
      <w:r w:rsidR="00642FDF" w:rsidRPr="00E90BBD">
        <w:rPr>
          <w:sz w:val="22"/>
          <w:szCs w:val="18"/>
        </w:rPr>
        <w:t>8</w:t>
      </w:r>
      <w:r w:rsidRPr="00E90BBD">
        <w:rPr>
          <w:sz w:val="22"/>
          <w:szCs w:val="18"/>
        </w:rPr>
        <w:t xml:space="preserve"> en El Cairo (Egipto), será el Organismo Nacional Regulador de las Telecomunicaciones </w:t>
      </w:r>
      <w:r w:rsidR="006B2D43" w:rsidRPr="00E90BBD">
        <w:rPr>
          <w:sz w:val="22"/>
          <w:szCs w:val="18"/>
        </w:rPr>
        <w:t>(NTRA).</w:t>
      </w:r>
    </w:p>
    <w:p w:rsidR="006B2D43" w:rsidRPr="00E90BBD" w:rsidRDefault="006B2D43" w:rsidP="00904AE3">
      <w:pPr>
        <w:pStyle w:val="enumlev1"/>
        <w:rPr>
          <w:bCs/>
          <w:sz w:val="22"/>
          <w:szCs w:val="18"/>
        </w:rPr>
      </w:pPr>
      <w:r w:rsidRPr="00E90BBD">
        <w:rPr>
          <w:sz w:val="22"/>
          <w:szCs w:val="18"/>
        </w:rPr>
        <w:t>•</w:t>
      </w:r>
      <w:r w:rsidRPr="00E90BBD">
        <w:rPr>
          <w:sz w:val="22"/>
          <w:szCs w:val="18"/>
        </w:rPr>
        <w:tab/>
        <w:t xml:space="preserve">6 </w:t>
      </w:r>
      <w:r w:rsidR="007D7A21" w:rsidRPr="00E90BBD">
        <w:rPr>
          <w:sz w:val="22"/>
          <w:szCs w:val="18"/>
        </w:rPr>
        <w:t>de mayo de</w:t>
      </w:r>
      <w:r w:rsidRPr="00E90BBD">
        <w:rPr>
          <w:sz w:val="22"/>
          <w:szCs w:val="18"/>
        </w:rPr>
        <w:t xml:space="preserve"> 2018: For</w:t>
      </w:r>
      <w:r w:rsidR="007D7A21" w:rsidRPr="00E90BBD">
        <w:rPr>
          <w:sz w:val="22"/>
          <w:szCs w:val="18"/>
        </w:rPr>
        <w:t xml:space="preserve">o sobre el estudio del potencial de la </w:t>
      </w:r>
      <w:r w:rsidR="00904AE3" w:rsidRPr="00E90BBD">
        <w:rPr>
          <w:sz w:val="22"/>
          <w:szCs w:val="18"/>
        </w:rPr>
        <w:t>inteligencia artificial y la </w:t>
      </w:r>
      <w:r w:rsidR="007D7A21" w:rsidRPr="00E90BBD">
        <w:rPr>
          <w:sz w:val="22"/>
          <w:szCs w:val="18"/>
        </w:rPr>
        <w:t xml:space="preserve">Internet de las </w:t>
      </w:r>
      <w:r w:rsidR="00904AE3" w:rsidRPr="00E90BBD">
        <w:rPr>
          <w:sz w:val="22"/>
          <w:szCs w:val="18"/>
        </w:rPr>
        <w:t xml:space="preserve">cosas </w:t>
      </w:r>
      <w:r w:rsidRPr="00E90BBD">
        <w:rPr>
          <w:sz w:val="22"/>
          <w:szCs w:val="18"/>
        </w:rPr>
        <w:t>(09</w:t>
      </w:r>
      <w:r w:rsidR="00904AE3" w:rsidRPr="00E90BBD">
        <w:rPr>
          <w:sz w:val="22"/>
          <w:szCs w:val="18"/>
        </w:rPr>
        <w:t>.</w:t>
      </w:r>
      <w:r w:rsidRPr="00E90BBD">
        <w:rPr>
          <w:sz w:val="22"/>
          <w:szCs w:val="18"/>
        </w:rPr>
        <w:t>00</w:t>
      </w:r>
      <w:r w:rsidR="00904AE3" w:rsidRPr="00E90BBD">
        <w:rPr>
          <w:sz w:val="22"/>
          <w:szCs w:val="18"/>
        </w:rPr>
        <w:t xml:space="preserve"> h</w:t>
      </w:r>
      <w:r w:rsidRPr="00E90BBD">
        <w:rPr>
          <w:sz w:val="22"/>
          <w:szCs w:val="18"/>
        </w:rPr>
        <w:t xml:space="preserve"> – 11</w:t>
      </w:r>
      <w:r w:rsidR="00904AE3" w:rsidRPr="00E90BBD">
        <w:rPr>
          <w:sz w:val="22"/>
          <w:szCs w:val="18"/>
        </w:rPr>
        <w:t>.</w:t>
      </w:r>
      <w:r w:rsidRPr="00E90BBD">
        <w:rPr>
          <w:sz w:val="22"/>
          <w:szCs w:val="18"/>
        </w:rPr>
        <w:t>00</w:t>
      </w:r>
      <w:r w:rsidR="00904AE3" w:rsidRPr="00E90BBD">
        <w:rPr>
          <w:sz w:val="22"/>
          <w:szCs w:val="18"/>
        </w:rPr>
        <w:t xml:space="preserve"> h</w:t>
      </w:r>
      <w:r w:rsidRPr="00E90BBD">
        <w:rPr>
          <w:sz w:val="22"/>
          <w:szCs w:val="18"/>
        </w:rPr>
        <w:t>)</w:t>
      </w:r>
    </w:p>
    <w:p w:rsidR="006B2D43" w:rsidRPr="00E90BBD" w:rsidRDefault="006B2D43" w:rsidP="00EA6FAA">
      <w:pPr>
        <w:pStyle w:val="enumlev1"/>
        <w:rPr>
          <w:bCs/>
          <w:sz w:val="22"/>
          <w:szCs w:val="18"/>
        </w:rPr>
      </w:pPr>
      <w:r w:rsidRPr="00E90BBD">
        <w:rPr>
          <w:sz w:val="22"/>
          <w:szCs w:val="18"/>
        </w:rPr>
        <w:t>•</w:t>
      </w:r>
      <w:r w:rsidRPr="00E90BBD">
        <w:rPr>
          <w:sz w:val="22"/>
          <w:szCs w:val="18"/>
        </w:rPr>
        <w:tab/>
      </w:r>
      <w:r w:rsidR="007D7A21" w:rsidRPr="00E90BBD">
        <w:rPr>
          <w:sz w:val="22"/>
          <w:szCs w:val="18"/>
        </w:rPr>
        <w:t>6 de mayo de 2018</w:t>
      </w:r>
      <w:r w:rsidRPr="00E90BBD">
        <w:rPr>
          <w:sz w:val="22"/>
          <w:szCs w:val="18"/>
        </w:rPr>
        <w:t xml:space="preserve">: </w:t>
      </w:r>
      <w:r w:rsidR="007D7A21" w:rsidRPr="00E90BBD">
        <w:rPr>
          <w:sz w:val="22"/>
          <w:szCs w:val="18"/>
        </w:rPr>
        <w:t xml:space="preserve">Sesión sobre la reducción de la brecha en materia de normalización sobre la </w:t>
      </w:r>
      <w:proofErr w:type="spellStart"/>
      <w:r w:rsidR="007D7A21" w:rsidRPr="00E90BBD">
        <w:rPr>
          <w:sz w:val="22"/>
          <w:szCs w:val="18"/>
        </w:rPr>
        <w:t>IoT</w:t>
      </w:r>
      <w:proofErr w:type="spellEnd"/>
      <w:r w:rsidR="007D7A21" w:rsidRPr="00E90BBD">
        <w:rPr>
          <w:sz w:val="22"/>
          <w:szCs w:val="18"/>
        </w:rPr>
        <w:t xml:space="preserve"> (</w:t>
      </w:r>
      <w:r w:rsidR="00E217ED" w:rsidRPr="00E90BBD">
        <w:rPr>
          <w:sz w:val="22"/>
          <w:szCs w:val="18"/>
        </w:rPr>
        <w:t xml:space="preserve">formación </w:t>
      </w:r>
      <w:r w:rsidR="007D7A21" w:rsidRPr="00E90BBD">
        <w:rPr>
          <w:sz w:val="22"/>
          <w:szCs w:val="18"/>
        </w:rPr>
        <w:t xml:space="preserve">en </w:t>
      </w:r>
      <w:proofErr w:type="spellStart"/>
      <w:r w:rsidR="007D7A21" w:rsidRPr="00E90BBD">
        <w:rPr>
          <w:sz w:val="22"/>
          <w:szCs w:val="18"/>
        </w:rPr>
        <w:t>IoT</w:t>
      </w:r>
      <w:proofErr w:type="spellEnd"/>
      <w:r w:rsidR="007D7A21" w:rsidRPr="00E90BBD">
        <w:rPr>
          <w:sz w:val="22"/>
          <w:szCs w:val="18"/>
        </w:rPr>
        <w:t xml:space="preserve">) </w:t>
      </w:r>
      <w:r w:rsidR="00EA6FAA" w:rsidRPr="00E90BBD">
        <w:rPr>
          <w:sz w:val="22"/>
          <w:szCs w:val="18"/>
        </w:rPr>
        <w:t>(11.</w:t>
      </w:r>
      <w:r w:rsidRPr="00E90BBD">
        <w:rPr>
          <w:sz w:val="22"/>
          <w:szCs w:val="18"/>
        </w:rPr>
        <w:t>30</w:t>
      </w:r>
      <w:r w:rsidR="00EA6FAA" w:rsidRPr="00E90BBD">
        <w:rPr>
          <w:sz w:val="22"/>
          <w:szCs w:val="18"/>
        </w:rPr>
        <w:t xml:space="preserve"> h</w:t>
      </w:r>
      <w:r w:rsidRPr="00E90BBD">
        <w:rPr>
          <w:sz w:val="22"/>
          <w:szCs w:val="18"/>
        </w:rPr>
        <w:t xml:space="preserve"> – 16</w:t>
      </w:r>
      <w:r w:rsidR="00EA6FAA" w:rsidRPr="00E90BBD">
        <w:rPr>
          <w:sz w:val="22"/>
          <w:szCs w:val="18"/>
        </w:rPr>
        <w:t>.</w:t>
      </w:r>
      <w:r w:rsidRPr="00E90BBD">
        <w:rPr>
          <w:sz w:val="22"/>
          <w:szCs w:val="18"/>
        </w:rPr>
        <w:t>00</w:t>
      </w:r>
      <w:r w:rsidR="00EA6FAA" w:rsidRPr="00E90BBD">
        <w:rPr>
          <w:sz w:val="22"/>
          <w:szCs w:val="18"/>
        </w:rPr>
        <w:t xml:space="preserve"> h</w:t>
      </w:r>
      <w:r w:rsidRPr="00E90BBD">
        <w:rPr>
          <w:sz w:val="22"/>
          <w:szCs w:val="18"/>
        </w:rPr>
        <w:t>)</w:t>
      </w:r>
    </w:p>
    <w:p w:rsidR="006B2D43" w:rsidRPr="00E90BBD" w:rsidRDefault="006B2D43" w:rsidP="007D7A21">
      <w:pPr>
        <w:pStyle w:val="enumlev1"/>
        <w:rPr>
          <w:bCs/>
          <w:sz w:val="22"/>
          <w:szCs w:val="18"/>
        </w:rPr>
      </w:pPr>
      <w:r w:rsidRPr="00E90BBD">
        <w:rPr>
          <w:sz w:val="22"/>
          <w:szCs w:val="18"/>
        </w:rPr>
        <w:t>•</w:t>
      </w:r>
      <w:r w:rsidRPr="00E90BBD">
        <w:rPr>
          <w:sz w:val="22"/>
          <w:szCs w:val="18"/>
        </w:rPr>
        <w:tab/>
        <w:t xml:space="preserve">6-8 </w:t>
      </w:r>
      <w:r w:rsidR="007D7A21" w:rsidRPr="00E90BBD">
        <w:rPr>
          <w:sz w:val="22"/>
          <w:szCs w:val="18"/>
        </w:rPr>
        <w:t>de mayo de</w:t>
      </w:r>
      <w:r w:rsidRPr="00E90BBD">
        <w:rPr>
          <w:sz w:val="22"/>
          <w:szCs w:val="18"/>
        </w:rPr>
        <w:t xml:space="preserve"> 2018: </w:t>
      </w:r>
      <w:r w:rsidR="005F756B" w:rsidRPr="00E90BBD">
        <w:rPr>
          <w:sz w:val="22"/>
          <w:szCs w:val="18"/>
        </w:rPr>
        <w:t xml:space="preserve">Exhibición de soluciones de </w:t>
      </w:r>
      <w:proofErr w:type="spellStart"/>
      <w:r w:rsidR="005F756B" w:rsidRPr="00E90BBD">
        <w:rPr>
          <w:sz w:val="22"/>
          <w:szCs w:val="18"/>
        </w:rPr>
        <w:t>IoT</w:t>
      </w:r>
      <w:proofErr w:type="spellEnd"/>
    </w:p>
    <w:p w:rsidR="00504C21" w:rsidRPr="00E90BBD" w:rsidRDefault="007D7A21" w:rsidP="00B54B0E">
      <w:pPr>
        <w:rPr>
          <w:sz w:val="22"/>
          <w:szCs w:val="18"/>
        </w:rPr>
      </w:pPr>
      <w:r w:rsidRPr="00E90BBD">
        <w:rPr>
          <w:sz w:val="22"/>
          <w:szCs w:val="18"/>
        </w:rPr>
        <w:t>La información relativa al foro estará disponible en el sitio web del evento en la dirección</w:t>
      </w:r>
      <w:r w:rsidR="006B2D43" w:rsidRPr="00E90BBD">
        <w:rPr>
          <w:sz w:val="22"/>
          <w:szCs w:val="18"/>
        </w:rPr>
        <w:t xml:space="preserve">: </w:t>
      </w:r>
      <w:hyperlink r:id="rId12" w:history="1">
        <w:r w:rsidR="006B2D43" w:rsidRPr="00E90BBD">
          <w:rPr>
            <w:rStyle w:val="Hyperlink"/>
            <w:sz w:val="22"/>
            <w:szCs w:val="18"/>
          </w:rPr>
          <w:t>http://www.itu.int/en/ITU-T/Workshops-and-Seminars/20180506/Pages/default.aspx</w:t>
        </w:r>
      </w:hyperlink>
      <w:r w:rsidR="00F75BED" w:rsidRPr="00E90BBD">
        <w:rPr>
          <w:sz w:val="22"/>
          <w:szCs w:val="18"/>
        </w:rPr>
        <w:t xml:space="preserve">. </w:t>
      </w:r>
      <w:r w:rsidRPr="00E90BBD">
        <w:rPr>
          <w:sz w:val="22"/>
          <w:szCs w:val="18"/>
        </w:rPr>
        <w:t xml:space="preserve">La información relativa a la </w:t>
      </w:r>
      <w:r w:rsidR="00F75BED" w:rsidRPr="00E90BBD">
        <w:rPr>
          <w:sz w:val="22"/>
          <w:szCs w:val="18"/>
        </w:rPr>
        <w:t xml:space="preserve">sesión </w:t>
      </w:r>
      <w:r w:rsidRPr="00E90BBD">
        <w:rPr>
          <w:sz w:val="22"/>
          <w:szCs w:val="18"/>
        </w:rPr>
        <w:t xml:space="preserve">sobre la reducción de la brecha en materia de normalización sobre la </w:t>
      </w:r>
      <w:proofErr w:type="spellStart"/>
      <w:r w:rsidRPr="00E90BBD">
        <w:rPr>
          <w:sz w:val="22"/>
          <w:szCs w:val="18"/>
        </w:rPr>
        <w:t>IoT</w:t>
      </w:r>
      <w:proofErr w:type="spellEnd"/>
      <w:r w:rsidRPr="00E90BBD">
        <w:rPr>
          <w:sz w:val="22"/>
          <w:szCs w:val="18"/>
        </w:rPr>
        <w:t xml:space="preserve"> estará disponible en el sitio web del evento en la dirección</w:t>
      </w:r>
      <w:r w:rsidR="006B2D43" w:rsidRPr="00E90BBD">
        <w:rPr>
          <w:sz w:val="22"/>
          <w:szCs w:val="18"/>
        </w:rPr>
        <w:t xml:space="preserve">: </w:t>
      </w:r>
      <w:hyperlink r:id="rId13" w:history="1">
        <w:r w:rsidR="006B2D43" w:rsidRPr="00E90BBD">
          <w:rPr>
            <w:rStyle w:val="Hyperlink"/>
            <w:sz w:val="22"/>
            <w:szCs w:val="18"/>
            <w:lang w:eastAsia="zh-CN"/>
          </w:rPr>
          <w:t>https://www.itu.int/en/ITU-T/Workshops-and-Seminars/bsg/20180506/Pages/default.aspx</w:t>
        </w:r>
      </w:hyperlink>
      <w:r w:rsidR="006B2D43" w:rsidRPr="00E90BBD">
        <w:rPr>
          <w:sz w:val="22"/>
          <w:szCs w:val="18"/>
        </w:rPr>
        <w:t>.</w:t>
      </w:r>
      <w:r w:rsidR="00B54B0E" w:rsidRPr="00E90BBD">
        <w:rPr>
          <w:sz w:val="22"/>
          <w:szCs w:val="18"/>
        </w:rPr>
        <w:t xml:space="preserve"> </w:t>
      </w:r>
      <w:r w:rsidR="007678AD" w:rsidRPr="00E90BBD">
        <w:rPr>
          <w:sz w:val="22"/>
          <w:szCs w:val="18"/>
        </w:rPr>
        <w:t>Est</w:t>
      </w:r>
      <w:r w:rsidRPr="00E90BBD">
        <w:rPr>
          <w:sz w:val="22"/>
          <w:szCs w:val="18"/>
        </w:rPr>
        <w:t>os</w:t>
      </w:r>
      <w:r w:rsidR="007678AD" w:rsidRPr="00E90BBD">
        <w:rPr>
          <w:sz w:val="22"/>
          <w:szCs w:val="18"/>
        </w:rPr>
        <w:t xml:space="preserve"> sitio</w:t>
      </w:r>
      <w:r w:rsidRPr="00E90BBD">
        <w:rPr>
          <w:sz w:val="22"/>
          <w:szCs w:val="18"/>
        </w:rPr>
        <w:t>s</w:t>
      </w:r>
      <w:r w:rsidR="007678AD" w:rsidRPr="00E90BBD">
        <w:rPr>
          <w:sz w:val="22"/>
          <w:szCs w:val="18"/>
        </w:rPr>
        <w:t xml:space="preserve"> web se actualizará</w:t>
      </w:r>
      <w:r w:rsidRPr="00E90BBD">
        <w:rPr>
          <w:sz w:val="22"/>
          <w:szCs w:val="18"/>
        </w:rPr>
        <w:t>n</w:t>
      </w:r>
      <w:r w:rsidR="007678AD" w:rsidRPr="00E90BBD">
        <w:rPr>
          <w:sz w:val="22"/>
          <w:szCs w:val="18"/>
        </w:rPr>
        <w:t xml:space="preserve"> periódicamente a medida que se disponga de información nueva o modificada. Se ruega a los participantes que consulten regularmente </w:t>
      </w:r>
      <w:r w:rsidRPr="00E90BBD">
        <w:rPr>
          <w:sz w:val="22"/>
          <w:szCs w:val="18"/>
        </w:rPr>
        <w:t xml:space="preserve">las actualizaciones en </w:t>
      </w:r>
      <w:r w:rsidR="007678AD" w:rsidRPr="00E90BBD">
        <w:rPr>
          <w:sz w:val="22"/>
          <w:szCs w:val="18"/>
        </w:rPr>
        <w:t>el sitio web</w:t>
      </w:r>
      <w:r w:rsidR="00504C21" w:rsidRPr="00E90BBD">
        <w:rPr>
          <w:sz w:val="22"/>
          <w:szCs w:val="18"/>
        </w:rPr>
        <w:t>.</w:t>
      </w:r>
    </w:p>
    <w:p w:rsidR="00504C21" w:rsidRPr="00E90BBD" w:rsidRDefault="009B458A" w:rsidP="009B458A">
      <w:pPr>
        <w:rPr>
          <w:sz w:val="22"/>
          <w:szCs w:val="18"/>
        </w:rPr>
      </w:pPr>
      <w:r w:rsidRPr="00E90BBD">
        <w:rPr>
          <w:sz w:val="22"/>
          <w:szCs w:val="18"/>
        </w:rPr>
        <w:t xml:space="preserve">Sírvase observar que también se celebrará un evento de pruebas de interoperabilidad sobre la </w:t>
      </w:r>
      <w:proofErr w:type="spellStart"/>
      <w:r w:rsidRPr="00E90BBD">
        <w:rPr>
          <w:sz w:val="22"/>
          <w:szCs w:val="18"/>
        </w:rPr>
        <w:t>IoT</w:t>
      </w:r>
      <w:proofErr w:type="spellEnd"/>
      <w:r w:rsidRPr="00E90BBD">
        <w:rPr>
          <w:sz w:val="22"/>
          <w:szCs w:val="18"/>
        </w:rPr>
        <w:t xml:space="preserve"> los días </w:t>
      </w:r>
      <w:r w:rsidR="00227C95">
        <w:rPr>
          <w:sz w:val="22"/>
          <w:szCs w:val="18"/>
        </w:rPr>
        <w:br/>
      </w:r>
      <w:r w:rsidRPr="00E90BBD">
        <w:rPr>
          <w:sz w:val="22"/>
          <w:szCs w:val="18"/>
        </w:rPr>
        <w:t xml:space="preserve">8 y 9 de mayo de 2018 en el mismo lugar de celebración. Este evento de pruebas de interoperabilidad está destinado a proporcionar una plataforma para comprobar la interoperabilidad de las soluciones de </w:t>
      </w:r>
      <w:proofErr w:type="spellStart"/>
      <w:r w:rsidRPr="00E90BBD">
        <w:rPr>
          <w:sz w:val="22"/>
          <w:szCs w:val="18"/>
        </w:rPr>
        <w:t>IoT</w:t>
      </w:r>
      <w:proofErr w:type="spellEnd"/>
      <w:r w:rsidRPr="00E90BBD">
        <w:rPr>
          <w:sz w:val="22"/>
          <w:szCs w:val="18"/>
        </w:rPr>
        <w:t xml:space="preserve"> producidas por distintos fabricantes. </w:t>
      </w:r>
      <w:r w:rsidR="00D56E1C" w:rsidRPr="00E90BBD">
        <w:rPr>
          <w:sz w:val="22"/>
          <w:szCs w:val="18"/>
        </w:rPr>
        <w:t xml:space="preserve">Los resultados de estas pruebas de interoperabilidad pueden compartirse entre los participantes mediante acuerdos, tales como acuerdos de no divulgación (NDA). </w:t>
      </w:r>
      <w:r w:rsidRPr="00E90BBD">
        <w:rPr>
          <w:sz w:val="22"/>
          <w:szCs w:val="18"/>
        </w:rPr>
        <w:t xml:space="preserve">El evento está restringido a los participantes inscritos que aporten sus productos de </w:t>
      </w:r>
      <w:proofErr w:type="spellStart"/>
      <w:r w:rsidRPr="00E90BBD">
        <w:rPr>
          <w:sz w:val="22"/>
          <w:szCs w:val="18"/>
        </w:rPr>
        <w:t>IoT</w:t>
      </w:r>
      <w:proofErr w:type="spellEnd"/>
      <w:r w:rsidRPr="00E90BBD">
        <w:rPr>
          <w:sz w:val="22"/>
          <w:szCs w:val="18"/>
        </w:rPr>
        <w:t xml:space="preserve"> para la realización de pruebas. La información relativa al evento de interoperabilidad sobre </w:t>
      </w:r>
      <w:proofErr w:type="spellStart"/>
      <w:r w:rsidRPr="00E90BBD">
        <w:rPr>
          <w:sz w:val="22"/>
          <w:szCs w:val="18"/>
        </w:rPr>
        <w:t>IoT</w:t>
      </w:r>
      <w:proofErr w:type="spellEnd"/>
      <w:r w:rsidRPr="00E90BBD">
        <w:rPr>
          <w:sz w:val="22"/>
          <w:szCs w:val="18"/>
        </w:rPr>
        <w:t xml:space="preserve"> estará disponible en el sitio web del evento</w:t>
      </w:r>
      <w:r w:rsidR="00504C21" w:rsidRPr="00E90BBD">
        <w:rPr>
          <w:sz w:val="22"/>
          <w:szCs w:val="18"/>
        </w:rPr>
        <w:t xml:space="preserve">: </w:t>
      </w:r>
      <w:hyperlink r:id="rId14" w:history="1">
        <w:r w:rsidR="00504C21" w:rsidRPr="00E90BBD">
          <w:rPr>
            <w:rStyle w:val="Hyperlink"/>
            <w:sz w:val="22"/>
            <w:szCs w:val="18"/>
          </w:rPr>
          <w:t>https://www.itu.int/en/ITU-T/C-I/interop/Pages/IoT2018May.aspx</w:t>
        </w:r>
      </w:hyperlink>
      <w:r w:rsidR="00504C21" w:rsidRPr="00E90BBD">
        <w:rPr>
          <w:sz w:val="22"/>
          <w:szCs w:val="18"/>
        </w:rPr>
        <w:t xml:space="preserve">. </w:t>
      </w:r>
      <w:r w:rsidR="004208B8" w:rsidRPr="00E90BBD">
        <w:rPr>
          <w:sz w:val="22"/>
          <w:szCs w:val="18"/>
        </w:rPr>
        <w:t xml:space="preserve">Le ruego manifieste su interés en participar enviando su solicitud a la dirección </w:t>
      </w:r>
      <w:hyperlink r:id="rId15" w:history="1">
        <w:r w:rsidR="004208B8" w:rsidRPr="00E90BBD">
          <w:rPr>
            <w:rStyle w:val="Hyperlink"/>
            <w:sz w:val="22"/>
            <w:szCs w:val="18"/>
          </w:rPr>
          <w:t>interop@itu.int</w:t>
        </w:r>
      </w:hyperlink>
      <w:r w:rsidR="004208B8" w:rsidRPr="00E90BBD">
        <w:rPr>
          <w:sz w:val="22"/>
          <w:szCs w:val="18"/>
        </w:rPr>
        <w:t xml:space="preserve"> </w:t>
      </w:r>
      <w:r w:rsidRPr="00E90BBD">
        <w:rPr>
          <w:sz w:val="22"/>
          <w:szCs w:val="18"/>
        </w:rPr>
        <w:t xml:space="preserve">hasta </w:t>
      </w:r>
      <w:r w:rsidR="004208B8" w:rsidRPr="00E90BBD">
        <w:rPr>
          <w:sz w:val="22"/>
          <w:szCs w:val="18"/>
        </w:rPr>
        <w:t xml:space="preserve">el </w:t>
      </w:r>
      <w:r w:rsidR="004208B8" w:rsidRPr="00E90BBD">
        <w:rPr>
          <w:b/>
          <w:bCs/>
          <w:sz w:val="22"/>
          <w:szCs w:val="18"/>
        </w:rPr>
        <w:t>10 de abril de 2018</w:t>
      </w:r>
      <w:r w:rsidR="004208B8" w:rsidRPr="00E90BBD">
        <w:rPr>
          <w:sz w:val="22"/>
          <w:szCs w:val="18"/>
        </w:rPr>
        <w:t>, a más tardar.</w:t>
      </w:r>
    </w:p>
    <w:p w:rsidR="00504C21" w:rsidRPr="00E90BBD" w:rsidRDefault="009B458A" w:rsidP="00904FE6">
      <w:pPr>
        <w:rPr>
          <w:sz w:val="22"/>
          <w:szCs w:val="18"/>
        </w:rPr>
      </w:pPr>
      <w:r w:rsidRPr="00E90BBD">
        <w:rPr>
          <w:sz w:val="22"/>
          <w:szCs w:val="18"/>
        </w:rPr>
        <w:t xml:space="preserve">En el </w:t>
      </w:r>
      <w:hyperlink r:id="rId16" w:history="1">
        <w:r w:rsidRPr="00E90BBD">
          <w:rPr>
            <w:rStyle w:val="Hyperlink"/>
            <w:sz w:val="22"/>
            <w:szCs w:val="18"/>
          </w:rPr>
          <w:t>sitio web de la CE</w:t>
        </w:r>
        <w:r w:rsidR="00904FE6" w:rsidRPr="00E90BBD">
          <w:rPr>
            <w:rStyle w:val="Hyperlink"/>
            <w:sz w:val="22"/>
            <w:szCs w:val="18"/>
          </w:rPr>
          <w:t> </w:t>
        </w:r>
        <w:r w:rsidRPr="00E90BBD">
          <w:rPr>
            <w:rStyle w:val="Hyperlink"/>
            <w:sz w:val="22"/>
            <w:szCs w:val="18"/>
          </w:rPr>
          <w:t>20 del UIT-T</w:t>
        </w:r>
      </w:hyperlink>
      <w:r w:rsidRPr="00E90BBD">
        <w:rPr>
          <w:sz w:val="22"/>
          <w:szCs w:val="18"/>
        </w:rPr>
        <w:t xml:space="preserve"> se pondrá a disposición información adicional en relación con el Foro, la sesión BSG, la exhibición y el evento de pruebas de interoper</w:t>
      </w:r>
      <w:r w:rsidR="00904FE6" w:rsidRPr="00E90BBD">
        <w:rPr>
          <w:sz w:val="22"/>
          <w:szCs w:val="18"/>
        </w:rPr>
        <w:t>abilidad.</w:t>
      </w:r>
    </w:p>
    <w:p w:rsidR="00504C21" w:rsidRPr="00E90BBD" w:rsidRDefault="009B458A" w:rsidP="00B14AE9">
      <w:pPr>
        <w:rPr>
          <w:sz w:val="22"/>
          <w:szCs w:val="18"/>
        </w:rPr>
      </w:pPr>
      <w:r w:rsidRPr="00E90BBD">
        <w:rPr>
          <w:sz w:val="22"/>
          <w:szCs w:val="18"/>
        </w:rPr>
        <w:lastRenderedPageBreak/>
        <w:t xml:space="preserve">Estos cuatro eventos, junto con la reunión programada de la Actividad conjunta de coordinación sobre Internet de las cosas y </w:t>
      </w:r>
      <w:r w:rsidR="00B171F5" w:rsidRPr="00E90BBD">
        <w:rPr>
          <w:sz w:val="22"/>
          <w:szCs w:val="18"/>
        </w:rPr>
        <w:t xml:space="preserve">ciudades </w:t>
      </w:r>
      <w:r w:rsidRPr="00E90BBD">
        <w:rPr>
          <w:sz w:val="22"/>
          <w:szCs w:val="18"/>
        </w:rPr>
        <w:t xml:space="preserve">y </w:t>
      </w:r>
      <w:r w:rsidR="00B171F5" w:rsidRPr="00E90BBD">
        <w:rPr>
          <w:sz w:val="22"/>
          <w:szCs w:val="18"/>
        </w:rPr>
        <w:t xml:space="preserve">comunidades inteligentes </w:t>
      </w:r>
      <w:r w:rsidRPr="00E90BBD">
        <w:rPr>
          <w:sz w:val="22"/>
          <w:szCs w:val="18"/>
        </w:rPr>
        <w:t>(</w:t>
      </w:r>
      <w:hyperlink r:id="rId17" w:history="1">
        <w:r w:rsidRPr="00E90BBD">
          <w:rPr>
            <w:rStyle w:val="Hyperlink"/>
            <w:sz w:val="22"/>
            <w:szCs w:val="18"/>
          </w:rPr>
          <w:t>JCA-</w:t>
        </w:r>
        <w:proofErr w:type="spellStart"/>
        <w:r w:rsidRPr="00E90BBD">
          <w:rPr>
            <w:rStyle w:val="Hyperlink"/>
            <w:sz w:val="22"/>
            <w:szCs w:val="18"/>
          </w:rPr>
          <w:t>IoT</w:t>
        </w:r>
        <w:proofErr w:type="spellEnd"/>
        <w:r w:rsidRPr="00E90BBD">
          <w:rPr>
            <w:rStyle w:val="Hyperlink"/>
            <w:sz w:val="22"/>
            <w:szCs w:val="18"/>
          </w:rPr>
          <w:t xml:space="preserve"> y C+CI</w:t>
        </w:r>
      </w:hyperlink>
      <w:r w:rsidRPr="00E90BBD">
        <w:rPr>
          <w:sz w:val="22"/>
          <w:szCs w:val="18"/>
        </w:rPr>
        <w:t>)</w:t>
      </w:r>
      <w:r w:rsidR="002A3378" w:rsidRPr="00E90BBD">
        <w:rPr>
          <w:sz w:val="22"/>
          <w:szCs w:val="18"/>
        </w:rPr>
        <w:t xml:space="preserve"> </w:t>
      </w:r>
      <w:r w:rsidRPr="00E90BBD">
        <w:rPr>
          <w:sz w:val="22"/>
          <w:szCs w:val="18"/>
        </w:rPr>
        <w:t>del</w:t>
      </w:r>
      <w:r w:rsidR="00504C21" w:rsidRPr="00E90BBD">
        <w:rPr>
          <w:sz w:val="22"/>
          <w:szCs w:val="18"/>
        </w:rPr>
        <w:t xml:space="preserve"> 10 </w:t>
      </w:r>
      <w:r w:rsidRPr="00E90BBD">
        <w:rPr>
          <w:sz w:val="22"/>
          <w:szCs w:val="18"/>
        </w:rPr>
        <w:t>de mayo de</w:t>
      </w:r>
      <w:r w:rsidR="00504C21" w:rsidRPr="00E90BBD">
        <w:rPr>
          <w:sz w:val="22"/>
          <w:szCs w:val="18"/>
        </w:rPr>
        <w:t xml:space="preserve"> 2018, </w:t>
      </w:r>
      <w:r w:rsidRPr="00E90BBD">
        <w:rPr>
          <w:sz w:val="22"/>
          <w:szCs w:val="18"/>
        </w:rPr>
        <w:t xml:space="preserve">tendrán lugar en el </w:t>
      </w:r>
      <w:proofErr w:type="spellStart"/>
      <w:r w:rsidR="00504C21" w:rsidRPr="00E90BBD">
        <w:rPr>
          <w:sz w:val="22"/>
          <w:szCs w:val="18"/>
        </w:rPr>
        <w:t>Dusit</w:t>
      </w:r>
      <w:proofErr w:type="spellEnd"/>
      <w:r w:rsidR="00504C21" w:rsidRPr="00E90BBD">
        <w:rPr>
          <w:sz w:val="22"/>
          <w:szCs w:val="18"/>
        </w:rPr>
        <w:t xml:space="preserve"> </w:t>
      </w:r>
      <w:proofErr w:type="spellStart"/>
      <w:r w:rsidR="00504C21" w:rsidRPr="00E90BBD">
        <w:rPr>
          <w:sz w:val="22"/>
          <w:szCs w:val="18"/>
        </w:rPr>
        <w:t>Thani</w:t>
      </w:r>
      <w:proofErr w:type="spellEnd"/>
      <w:r w:rsidR="00504C21" w:rsidRPr="00E90BBD">
        <w:rPr>
          <w:sz w:val="22"/>
          <w:szCs w:val="18"/>
        </w:rPr>
        <w:t xml:space="preserve"> </w:t>
      </w:r>
      <w:proofErr w:type="spellStart"/>
      <w:r w:rsidR="00504C21" w:rsidRPr="00E90BBD">
        <w:rPr>
          <w:sz w:val="22"/>
          <w:szCs w:val="18"/>
        </w:rPr>
        <w:t>Lakeview</w:t>
      </w:r>
      <w:proofErr w:type="spellEnd"/>
      <w:r w:rsidR="00504C21" w:rsidRPr="00E90BBD">
        <w:rPr>
          <w:sz w:val="22"/>
          <w:szCs w:val="18"/>
        </w:rPr>
        <w:t xml:space="preserve"> </w:t>
      </w:r>
      <w:r w:rsidR="00B14AE9" w:rsidRPr="00E90BBD">
        <w:rPr>
          <w:sz w:val="22"/>
          <w:szCs w:val="18"/>
        </w:rPr>
        <w:t>de El Cairo (Egipto).</w:t>
      </w:r>
    </w:p>
    <w:p w:rsidR="00643F05" w:rsidRPr="00E90BBD" w:rsidRDefault="00643F05" w:rsidP="00643F05">
      <w:pPr>
        <w:rPr>
          <w:sz w:val="22"/>
          <w:szCs w:val="18"/>
        </w:rPr>
      </w:pPr>
      <w:r w:rsidRPr="00E90BBD">
        <w:rPr>
          <w:sz w:val="22"/>
          <w:szCs w:val="18"/>
        </w:rPr>
        <w:t>Le deseo una reunión agradable y productiva.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60"/>
        <w:gridCol w:w="3366"/>
      </w:tblGrid>
      <w:tr w:rsidR="00643F05" w:rsidRPr="00C35367" w:rsidTr="00643F05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643F05" w:rsidRPr="00E90BBD" w:rsidRDefault="00643F05" w:rsidP="00075C6E">
            <w:pPr>
              <w:rPr>
                <w:bCs/>
                <w:sz w:val="22"/>
                <w:szCs w:val="18"/>
              </w:rPr>
            </w:pPr>
            <w:r w:rsidRPr="00E90BBD">
              <w:rPr>
                <w:bCs/>
                <w:sz w:val="22"/>
                <w:szCs w:val="18"/>
              </w:rPr>
              <w:t>Atentamente,</w:t>
            </w:r>
          </w:p>
          <w:p w:rsidR="00643F05" w:rsidRPr="00E90BBD" w:rsidRDefault="00643F05" w:rsidP="00075C6E">
            <w:pPr>
              <w:spacing w:before="480"/>
              <w:rPr>
                <w:bCs/>
                <w:i/>
                <w:iCs/>
                <w:sz w:val="22"/>
                <w:szCs w:val="18"/>
              </w:rPr>
            </w:pPr>
            <w:r w:rsidRPr="00E90BBD">
              <w:rPr>
                <w:bCs/>
                <w:i/>
                <w:iCs/>
                <w:sz w:val="22"/>
                <w:szCs w:val="18"/>
              </w:rPr>
              <w:t>(firmado)</w:t>
            </w:r>
          </w:p>
          <w:p w:rsidR="00643F05" w:rsidRPr="00C35367" w:rsidRDefault="00643F05" w:rsidP="00075C6E">
            <w:pPr>
              <w:spacing w:before="480"/>
              <w:ind w:right="91"/>
            </w:pPr>
            <w:proofErr w:type="spellStart"/>
            <w:r w:rsidRPr="00E90BBD">
              <w:rPr>
                <w:sz w:val="22"/>
                <w:szCs w:val="18"/>
              </w:rPr>
              <w:t>Chaesub</w:t>
            </w:r>
            <w:proofErr w:type="spellEnd"/>
            <w:r w:rsidRPr="00E90BBD">
              <w:rPr>
                <w:sz w:val="22"/>
                <w:szCs w:val="18"/>
              </w:rPr>
              <w:t xml:space="preserve"> Lee</w:t>
            </w:r>
            <w:r w:rsidRPr="00E90BBD">
              <w:rPr>
                <w:sz w:val="22"/>
                <w:szCs w:val="18"/>
              </w:rPr>
              <w:br/>
              <w:t>Director de la Oficina de Normalización</w:t>
            </w:r>
            <w:r w:rsidRPr="00E90BBD">
              <w:rPr>
                <w:sz w:val="22"/>
                <w:szCs w:val="18"/>
              </w:rPr>
              <w:br/>
              <w:t>de las Telecomunicaci</w:t>
            </w:r>
            <w:bookmarkStart w:id="2" w:name="_GoBack"/>
            <w:bookmarkEnd w:id="2"/>
            <w:r w:rsidRPr="00E90BBD">
              <w:rPr>
                <w:sz w:val="22"/>
                <w:szCs w:val="18"/>
              </w:rPr>
              <w:t>ones</w:t>
            </w:r>
          </w:p>
        </w:tc>
        <w:tc>
          <w:tcPr>
            <w:tcW w:w="3392" w:type="dxa"/>
          </w:tcPr>
          <w:p w:rsidR="00643F05" w:rsidRPr="00C35367" w:rsidRDefault="00643F05" w:rsidP="00075C6E">
            <w:pPr>
              <w:jc w:val="center"/>
              <w:rPr>
                <w:bCs/>
              </w:rPr>
            </w:pPr>
            <w:r w:rsidRPr="00C35367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124C4279" wp14:editId="129ECD1D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F05" w:rsidRPr="00C35367" w:rsidRDefault="00643F05" w:rsidP="00075C6E">
            <w:pPr>
              <w:jc w:val="center"/>
              <w:rPr>
                <w:bCs/>
              </w:rPr>
            </w:pPr>
            <w:r w:rsidRPr="00C35367">
              <w:rPr>
                <w:bCs/>
                <w:sz w:val="20"/>
                <w:szCs w:val="16"/>
              </w:rPr>
              <w:t>Última información sobre la reunión</w:t>
            </w:r>
          </w:p>
        </w:tc>
      </w:tr>
    </w:tbl>
    <w:p w:rsidR="002545AA" w:rsidRPr="00C35367" w:rsidRDefault="002545AA" w:rsidP="002545AA">
      <w:pPr>
        <w:rPr>
          <w:bCs/>
        </w:rPr>
      </w:pPr>
    </w:p>
    <w:p w:rsidR="00C34772" w:rsidRPr="00C35367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</w:rPr>
      </w:pPr>
    </w:p>
    <w:sectPr w:rsidR="00C34772" w:rsidRPr="00C35367" w:rsidSect="002545AA">
      <w:headerReference w:type="even" r:id="rId19"/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B4" w:rsidRDefault="00141CB4">
      <w:r>
        <w:separator/>
      </w:r>
    </w:p>
  </w:endnote>
  <w:endnote w:type="continuationSeparator" w:id="0">
    <w:p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F01" w:rsidRPr="00D16B3F" w:rsidRDefault="00861F01" w:rsidP="00861F01">
    <w:pPr>
      <w:pStyle w:val="FirstFooter"/>
      <w:ind w:left="-397" w:right="-397"/>
      <w:jc w:val="center"/>
    </w:pPr>
    <w:r w:rsidRPr="00227C95">
      <w:rPr>
        <w:rFonts w:ascii="Calibri" w:hAnsi="Calibri" w:cs="Calibri"/>
        <w:noProof/>
        <w:color w:val="0070C0"/>
        <w:szCs w:val="18"/>
        <w:lang w:val="es-ES"/>
      </w:rPr>
      <w:t>Unión Internacional de Telecomunicaciones • Place des Nations, CH</w:t>
    </w:r>
    <w:r w:rsidRPr="00227C95">
      <w:rPr>
        <w:rFonts w:ascii="Calibri" w:hAnsi="Calibri" w:cs="Calibri"/>
        <w:noProof/>
        <w:color w:val="0070C0"/>
        <w:szCs w:val="18"/>
        <w:lang w:val="es-ES"/>
      </w:rPr>
      <w:noBreakHyphen/>
      <w:t xml:space="preserve">1211 Ginebra 20, Suiza </w:t>
    </w:r>
    <w:r w:rsidRPr="00227C95">
      <w:rPr>
        <w:rFonts w:ascii="Calibri" w:hAnsi="Calibri" w:cs="Calibri"/>
        <w:noProof/>
        <w:color w:val="0070C0"/>
        <w:szCs w:val="18"/>
        <w:lang w:val="es-ES"/>
      </w:rPr>
      <w:br/>
      <w:t>Tel.: +41 22 730 5111 • Fax: +41 22 733 7256 • Correo-e:</w:t>
    </w:r>
    <w:r w:rsidRPr="004C5EDC">
      <w:t xml:space="preserve"> </w:t>
    </w:r>
    <w:hyperlink r:id="rId1" w:history="1">
      <w:r w:rsidRPr="004C5EDC">
        <w:rPr>
          <w:rStyle w:val="Hyperlink"/>
          <w:szCs w:val="24"/>
        </w:rPr>
        <w:t>itumail@itu.int</w:t>
      </w:r>
    </w:hyperlink>
    <w:r w:rsidRPr="004C5EDC">
      <w:t xml:space="preserve"> </w:t>
    </w:r>
    <w:r w:rsidRPr="00227C95">
      <w:rPr>
        <w:rFonts w:ascii="Calibri" w:hAnsi="Calibri" w:cs="Calibri"/>
        <w:noProof/>
        <w:color w:val="0070C0"/>
        <w:szCs w:val="18"/>
        <w:lang w:val="es-ES"/>
      </w:rPr>
      <w:t>•</w:t>
    </w:r>
    <w:r w:rsidRPr="004C5EDC">
      <w:t xml:space="preserve"> </w:t>
    </w:r>
    <w:hyperlink r:id="rId2" w:history="1">
      <w:r w:rsidRPr="004C5EDC">
        <w:rPr>
          <w:rStyle w:val="Hyperlink"/>
          <w:szCs w:val="24"/>
        </w:rPr>
        <w:t>www.itu.int</w:t>
      </w:r>
    </w:hyperlink>
    <w:r w:rsidRPr="004C5ED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B4" w:rsidRDefault="00141CB4">
      <w:r>
        <w:t>____________________</w:t>
      </w:r>
    </w:p>
  </w:footnote>
  <w:footnote w:type="continuationSeparator" w:id="0">
    <w:p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DF33F0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A3F1B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proofErr w:type="spellStart"/>
        <w:r w:rsidR="00DF33F0" w:rsidRPr="00DF33F0">
          <w:rPr>
            <w:bCs/>
            <w:sz w:val="18"/>
            <w:szCs w:val="18"/>
          </w:rPr>
          <w:t>Addéndum</w:t>
        </w:r>
        <w:proofErr w:type="spellEnd"/>
        <w:r w:rsidR="00DF33F0">
          <w:rPr>
            <w:bCs/>
            <w:sz w:val="18"/>
            <w:szCs w:val="18"/>
          </w:rPr>
          <w:t xml:space="preserve"> </w:t>
        </w:r>
        <w:r w:rsidR="0095795C">
          <w:rPr>
            <w:bCs/>
            <w:sz w:val="18"/>
            <w:szCs w:val="18"/>
          </w:rPr>
          <w:t xml:space="preserve">1 a la </w:t>
        </w:r>
        <w:r w:rsidRPr="001A50AB">
          <w:rPr>
            <w:bCs/>
            <w:sz w:val="18"/>
            <w:szCs w:val="18"/>
          </w:rPr>
          <w:t xml:space="preserve">Carta Colectiva </w:t>
        </w:r>
        <w:r w:rsidR="00861F01">
          <w:rPr>
            <w:bCs/>
            <w:sz w:val="18"/>
            <w:szCs w:val="18"/>
          </w:rPr>
          <w:t xml:space="preserve">TSB </w:t>
        </w:r>
        <w:r w:rsidR="0095795C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95795C">
          <w:rPr>
            <w:bCs/>
            <w:sz w:val="18"/>
            <w:szCs w:val="18"/>
          </w:rPr>
          <w:t>20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04C21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24F1A"/>
    <w:rsid w:val="00043D90"/>
    <w:rsid w:val="000678BB"/>
    <w:rsid w:val="00074684"/>
    <w:rsid w:val="00080F6C"/>
    <w:rsid w:val="000A6EF7"/>
    <w:rsid w:val="000C375D"/>
    <w:rsid w:val="000C382F"/>
    <w:rsid w:val="000F67AE"/>
    <w:rsid w:val="00114963"/>
    <w:rsid w:val="001173CC"/>
    <w:rsid w:val="001267FD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00FC"/>
    <w:rsid w:val="00221C83"/>
    <w:rsid w:val="00227C95"/>
    <w:rsid w:val="00236059"/>
    <w:rsid w:val="002545AA"/>
    <w:rsid w:val="00257FB4"/>
    <w:rsid w:val="00271D3E"/>
    <w:rsid w:val="0027571F"/>
    <w:rsid w:val="002A3378"/>
    <w:rsid w:val="002C1570"/>
    <w:rsid w:val="00303D62"/>
    <w:rsid w:val="00313DBB"/>
    <w:rsid w:val="00324783"/>
    <w:rsid w:val="00327BC9"/>
    <w:rsid w:val="00335367"/>
    <w:rsid w:val="0033768F"/>
    <w:rsid w:val="0034080A"/>
    <w:rsid w:val="00370C2D"/>
    <w:rsid w:val="003B0C0F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08B8"/>
    <w:rsid w:val="00421116"/>
    <w:rsid w:val="00427EA6"/>
    <w:rsid w:val="00450C73"/>
    <w:rsid w:val="00470956"/>
    <w:rsid w:val="004803B4"/>
    <w:rsid w:val="004807E6"/>
    <w:rsid w:val="004A3F1B"/>
    <w:rsid w:val="004C1AD1"/>
    <w:rsid w:val="004C4144"/>
    <w:rsid w:val="004E26E4"/>
    <w:rsid w:val="004F0A81"/>
    <w:rsid w:val="004F5584"/>
    <w:rsid w:val="00504C21"/>
    <w:rsid w:val="00505119"/>
    <w:rsid w:val="00525E6F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F5265"/>
    <w:rsid w:val="005F756B"/>
    <w:rsid w:val="00607393"/>
    <w:rsid w:val="00614237"/>
    <w:rsid w:val="00622CE3"/>
    <w:rsid w:val="00635FA2"/>
    <w:rsid w:val="0064235A"/>
    <w:rsid w:val="00642FDF"/>
    <w:rsid w:val="00643F05"/>
    <w:rsid w:val="00647213"/>
    <w:rsid w:val="00653A0E"/>
    <w:rsid w:val="00653B29"/>
    <w:rsid w:val="0067009C"/>
    <w:rsid w:val="006760CF"/>
    <w:rsid w:val="006969B4"/>
    <w:rsid w:val="006A0C05"/>
    <w:rsid w:val="006A335A"/>
    <w:rsid w:val="006A47A1"/>
    <w:rsid w:val="006B2D43"/>
    <w:rsid w:val="006B5061"/>
    <w:rsid w:val="006E24F0"/>
    <w:rsid w:val="006F6581"/>
    <w:rsid w:val="007128A1"/>
    <w:rsid w:val="00715D93"/>
    <w:rsid w:val="00720BA2"/>
    <w:rsid w:val="007678AD"/>
    <w:rsid w:val="00781E2A"/>
    <w:rsid w:val="007A6373"/>
    <w:rsid w:val="007B34FB"/>
    <w:rsid w:val="007D7A21"/>
    <w:rsid w:val="008134A7"/>
    <w:rsid w:val="00823E22"/>
    <w:rsid w:val="008258C2"/>
    <w:rsid w:val="00833CCA"/>
    <w:rsid w:val="00846D89"/>
    <w:rsid w:val="008505BD"/>
    <w:rsid w:val="00850C78"/>
    <w:rsid w:val="00855B98"/>
    <w:rsid w:val="00861F01"/>
    <w:rsid w:val="008C17AD"/>
    <w:rsid w:val="008D02CD"/>
    <w:rsid w:val="008D2A2A"/>
    <w:rsid w:val="008F29BD"/>
    <w:rsid w:val="00904AE3"/>
    <w:rsid w:val="00904FE6"/>
    <w:rsid w:val="0091255A"/>
    <w:rsid w:val="00934054"/>
    <w:rsid w:val="0095172A"/>
    <w:rsid w:val="0095795C"/>
    <w:rsid w:val="00963CD8"/>
    <w:rsid w:val="009640BF"/>
    <w:rsid w:val="00975A06"/>
    <w:rsid w:val="00985137"/>
    <w:rsid w:val="009900B7"/>
    <w:rsid w:val="009B458A"/>
    <w:rsid w:val="009D3E5C"/>
    <w:rsid w:val="009D4C42"/>
    <w:rsid w:val="009F0942"/>
    <w:rsid w:val="00A119A2"/>
    <w:rsid w:val="00A41330"/>
    <w:rsid w:val="00A41968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4AE9"/>
    <w:rsid w:val="00B171F5"/>
    <w:rsid w:val="00B17920"/>
    <w:rsid w:val="00B321C3"/>
    <w:rsid w:val="00B422BC"/>
    <w:rsid w:val="00B43F77"/>
    <w:rsid w:val="00B44D9D"/>
    <w:rsid w:val="00B474F5"/>
    <w:rsid w:val="00B54B0E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5367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56E1C"/>
    <w:rsid w:val="00DA16FC"/>
    <w:rsid w:val="00DA7E46"/>
    <w:rsid w:val="00DD77C9"/>
    <w:rsid w:val="00DD7900"/>
    <w:rsid w:val="00DF33F0"/>
    <w:rsid w:val="00DF4D66"/>
    <w:rsid w:val="00DF5926"/>
    <w:rsid w:val="00DF61F3"/>
    <w:rsid w:val="00E217ED"/>
    <w:rsid w:val="00E5040E"/>
    <w:rsid w:val="00E764E2"/>
    <w:rsid w:val="00E81A56"/>
    <w:rsid w:val="00E839B0"/>
    <w:rsid w:val="00E85734"/>
    <w:rsid w:val="00E90BBD"/>
    <w:rsid w:val="00E92C09"/>
    <w:rsid w:val="00EA3374"/>
    <w:rsid w:val="00EA6FAA"/>
    <w:rsid w:val="00EB4E19"/>
    <w:rsid w:val="00EF4491"/>
    <w:rsid w:val="00EF4FA4"/>
    <w:rsid w:val="00F35399"/>
    <w:rsid w:val="00F40F4E"/>
    <w:rsid w:val="00F41FC0"/>
    <w:rsid w:val="00F453C5"/>
    <w:rsid w:val="00F55157"/>
    <w:rsid w:val="00F6461F"/>
    <w:rsid w:val="00F75BED"/>
    <w:rsid w:val="00F81188"/>
    <w:rsid w:val="00F8524F"/>
    <w:rsid w:val="00F85832"/>
    <w:rsid w:val="00F904D8"/>
    <w:rsid w:val="00F93D18"/>
    <w:rsid w:val="00F96693"/>
    <w:rsid w:val="00FA4A45"/>
    <w:rsid w:val="00FA7465"/>
    <w:rsid w:val="00FB1841"/>
    <w:rsid w:val="00FB4B88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bsg/20180506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80506/Pages/default.aspx" TargetMode="External"/><Relationship Id="rId17" Type="http://schemas.openxmlformats.org/officeDocument/2006/relationships/hyperlink" Target="https://www.itu.int/es/ITU-T/jca/iot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s/ITU-T/studygroups/2017-2020/20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4/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terop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tu.int/go/tsg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C-I/interop/Pages/IoT2018May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5383-847F-479E-8974-52258F29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28</TotalTime>
  <Pages>2</Pages>
  <Words>562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Manager>ITU-T</Manager>
  <Company>International Telecommunication Union (ITU)</Company>
  <LinksUpToDate>false</LinksUpToDate>
  <CharactersWithSpaces>4263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tello</dc:creator>
  <dc:description>004ADD01S.DOCX  For: _x000d_Document date: _x000d_Saved by ITU51010703 at 10:51:51 on 03/04/2018</dc:description>
  <cp:lastModifiedBy>Osvath, Alexandra</cp:lastModifiedBy>
  <cp:revision>36</cp:revision>
  <cp:lastPrinted>2018-04-05T13:44:00Z</cp:lastPrinted>
  <dcterms:created xsi:type="dcterms:W3CDTF">2018-03-28T13:46:00Z</dcterms:created>
  <dcterms:modified xsi:type="dcterms:W3CDTF">2018-04-05T13:44:00Z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004ADD01S.DOCX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