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7F3BF2" w:rsidRDefault="007F3BF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BD561E" w:rsidRPr="00BD561E">
        <w:t>30 de junio de 2017</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96"/>
        <w:gridCol w:w="3681"/>
        <w:gridCol w:w="4762"/>
      </w:tblGrid>
      <w:tr w:rsidR="00C34772" w:rsidRPr="009B782B" w:rsidTr="000F09F7">
        <w:trPr>
          <w:cantSplit/>
          <w:trHeight w:val="340"/>
        </w:trPr>
        <w:tc>
          <w:tcPr>
            <w:tcW w:w="1196" w:type="dxa"/>
          </w:tcPr>
          <w:p w:rsidR="00C34772" w:rsidRPr="007F3BF2" w:rsidRDefault="00C34772" w:rsidP="00E120CC">
            <w:pPr>
              <w:tabs>
                <w:tab w:val="left" w:pos="4111"/>
              </w:tabs>
              <w:spacing w:before="40"/>
              <w:ind w:left="57"/>
              <w:rPr>
                <w:szCs w:val="22"/>
              </w:rPr>
            </w:pPr>
            <w:r w:rsidRPr="007F3BF2">
              <w:rPr>
                <w:szCs w:val="22"/>
              </w:rPr>
              <w:t>Ref.:</w:t>
            </w:r>
          </w:p>
        </w:tc>
        <w:tc>
          <w:tcPr>
            <w:tcW w:w="3681" w:type="dxa"/>
          </w:tcPr>
          <w:p w:rsidR="00C34772" w:rsidRPr="009B782B" w:rsidRDefault="00972B3F" w:rsidP="00E120CC">
            <w:pPr>
              <w:tabs>
                <w:tab w:val="left" w:pos="4111"/>
              </w:tabs>
              <w:spacing w:before="40"/>
              <w:ind w:left="57"/>
              <w:rPr>
                <w:u w:val="single"/>
              </w:rPr>
            </w:pPr>
            <w:r w:rsidRPr="00972B3F">
              <w:rPr>
                <w:b/>
              </w:rPr>
              <w:t>Carta Colectiva TSB 2/20</w:t>
            </w:r>
          </w:p>
          <w:p w:rsidR="00C34772" w:rsidRPr="009B782B" w:rsidRDefault="00BD561E" w:rsidP="008D41BE">
            <w:pPr>
              <w:tabs>
                <w:tab w:val="left" w:pos="4111"/>
              </w:tabs>
              <w:spacing w:before="0"/>
              <w:ind w:left="57"/>
            </w:pPr>
            <w:r w:rsidRPr="00BD561E">
              <w:t>SG20/CB</w:t>
            </w:r>
          </w:p>
        </w:tc>
        <w:tc>
          <w:tcPr>
            <w:tcW w:w="4762" w:type="dxa"/>
          </w:tcPr>
          <w:p w:rsidR="00C34772" w:rsidRPr="009B782B" w:rsidRDefault="00C34772" w:rsidP="00E120CC">
            <w:pPr>
              <w:tabs>
                <w:tab w:val="left" w:pos="4111"/>
              </w:tabs>
              <w:spacing w:before="40"/>
              <w:ind w:left="57"/>
              <w:rPr>
                <w:b/>
              </w:rPr>
            </w:pPr>
          </w:p>
        </w:tc>
      </w:tr>
      <w:tr w:rsidR="00C34772" w:rsidRPr="009B782B" w:rsidTr="000F09F7">
        <w:trPr>
          <w:cantSplit/>
        </w:trPr>
        <w:tc>
          <w:tcPr>
            <w:tcW w:w="1196" w:type="dxa"/>
          </w:tcPr>
          <w:p w:rsidR="00C34772" w:rsidRPr="007F3BF2" w:rsidRDefault="00C34772" w:rsidP="008D41BE">
            <w:pPr>
              <w:tabs>
                <w:tab w:val="left" w:pos="4111"/>
              </w:tabs>
              <w:spacing w:before="0"/>
              <w:ind w:left="57"/>
              <w:rPr>
                <w:szCs w:val="22"/>
              </w:rPr>
            </w:pPr>
            <w:r w:rsidRPr="007F3BF2">
              <w:rPr>
                <w:szCs w:val="22"/>
              </w:rPr>
              <w:t>Tel.:</w:t>
            </w:r>
          </w:p>
        </w:tc>
        <w:tc>
          <w:tcPr>
            <w:tcW w:w="3681" w:type="dxa"/>
          </w:tcPr>
          <w:p w:rsidR="00C34772" w:rsidRPr="009B782B" w:rsidRDefault="00BD561E" w:rsidP="00303D62">
            <w:pPr>
              <w:tabs>
                <w:tab w:val="left" w:pos="4111"/>
              </w:tabs>
              <w:spacing w:before="0"/>
              <w:ind w:left="57"/>
            </w:pPr>
            <w:r w:rsidRPr="00BD561E">
              <w:t>+41 22 730 6301</w:t>
            </w:r>
          </w:p>
        </w:tc>
        <w:tc>
          <w:tcPr>
            <w:tcW w:w="4762" w:type="dxa"/>
          </w:tcPr>
          <w:p w:rsidR="00C34772" w:rsidRPr="009B782B" w:rsidRDefault="00F8524F" w:rsidP="00303D62">
            <w:pPr>
              <w:tabs>
                <w:tab w:val="left" w:pos="4111"/>
              </w:tabs>
              <w:spacing w:before="0"/>
              <w:ind w:left="57"/>
            </w:pPr>
            <w:r>
              <w:t>A:</w:t>
            </w:r>
          </w:p>
        </w:tc>
      </w:tr>
      <w:tr w:rsidR="00C34772" w:rsidRPr="009B782B" w:rsidTr="000F09F7">
        <w:trPr>
          <w:cantSplit/>
        </w:trPr>
        <w:tc>
          <w:tcPr>
            <w:tcW w:w="1196" w:type="dxa"/>
          </w:tcPr>
          <w:p w:rsidR="00C34772" w:rsidRPr="007F3BF2" w:rsidRDefault="00C34772" w:rsidP="008D41BE">
            <w:pPr>
              <w:tabs>
                <w:tab w:val="left" w:pos="4111"/>
              </w:tabs>
              <w:spacing w:before="0"/>
              <w:ind w:left="57"/>
              <w:rPr>
                <w:szCs w:val="22"/>
              </w:rPr>
            </w:pPr>
            <w:r w:rsidRPr="007F3BF2">
              <w:rPr>
                <w:szCs w:val="22"/>
              </w:rPr>
              <w:t>Fax:</w:t>
            </w:r>
            <w:r w:rsidR="008D41BE">
              <w:rPr>
                <w:szCs w:val="22"/>
              </w:rPr>
              <w:br/>
            </w:r>
            <w:r w:rsidRPr="007F3BF2">
              <w:rPr>
                <w:szCs w:val="22"/>
              </w:rPr>
              <w:t>Correo-e:</w:t>
            </w:r>
          </w:p>
          <w:p w:rsidR="00BD561E" w:rsidRPr="007F3BF2" w:rsidRDefault="00BD561E" w:rsidP="008D41BE">
            <w:pPr>
              <w:tabs>
                <w:tab w:val="left" w:pos="4111"/>
              </w:tabs>
              <w:spacing w:before="0"/>
              <w:ind w:left="57"/>
              <w:rPr>
                <w:szCs w:val="22"/>
              </w:rPr>
            </w:pPr>
            <w:r w:rsidRPr="007F3BF2">
              <w:rPr>
                <w:szCs w:val="22"/>
              </w:rPr>
              <w:t>Web:</w:t>
            </w:r>
          </w:p>
        </w:tc>
        <w:tc>
          <w:tcPr>
            <w:tcW w:w="3681" w:type="dxa"/>
          </w:tcPr>
          <w:p w:rsidR="00C34772" w:rsidRDefault="00C34772" w:rsidP="008D41BE">
            <w:pPr>
              <w:tabs>
                <w:tab w:val="left" w:pos="4111"/>
              </w:tabs>
              <w:spacing w:before="0"/>
              <w:ind w:left="57"/>
            </w:pPr>
            <w:r w:rsidRPr="009B782B">
              <w:t>+41 22 730 5853</w:t>
            </w:r>
            <w:r w:rsidR="008D41BE">
              <w:br/>
            </w:r>
            <w:hyperlink r:id="rId9" w:history="1">
              <w:r w:rsidR="00BD561E" w:rsidRPr="00332EDE">
                <w:rPr>
                  <w:rStyle w:val="Hyperlink"/>
                </w:rPr>
                <w:t>tsbsg20@itu.int</w:t>
              </w:r>
            </w:hyperlink>
          </w:p>
          <w:p w:rsidR="00BD561E" w:rsidRPr="009B782B" w:rsidRDefault="004A5DA8" w:rsidP="00303D62">
            <w:pPr>
              <w:tabs>
                <w:tab w:val="left" w:pos="4111"/>
              </w:tabs>
              <w:spacing w:before="0"/>
              <w:ind w:left="57"/>
            </w:pPr>
            <w:hyperlink r:id="rId10" w:history="1">
              <w:r w:rsidR="00BD561E" w:rsidRPr="00332EDE">
                <w:rPr>
                  <w:rStyle w:val="Hyperlink"/>
                </w:rPr>
                <w:t>http://itu.int/go/tsg20</w:t>
              </w:r>
            </w:hyperlink>
          </w:p>
        </w:tc>
        <w:tc>
          <w:tcPr>
            <w:tcW w:w="4762" w:type="dxa"/>
          </w:tcPr>
          <w:p w:rsidR="00F8524F" w:rsidRDefault="007F3BF2" w:rsidP="00CC2C80">
            <w:pPr>
              <w:tabs>
                <w:tab w:val="clear" w:pos="794"/>
                <w:tab w:val="clear" w:pos="1191"/>
                <w:tab w:val="left" w:pos="360"/>
                <w:tab w:val="left" w:pos="4111"/>
              </w:tabs>
              <w:spacing w:before="0"/>
              <w:ind w:left="360" w:hanging="303"/>
            </w:pPr>
            <w:r>
              <w:t>–</w:t>
            </w:r>
            <w:r w:rsidR="00D119EC">
              <w:tab/>
            </w:r>
            <w:r w:rsidR="00F8524F">
              <w:t xml:space="preserve">Las </w:t>
            </w:r>
            <w:r w:rsidR="00C34772" w:rsidRPr="009B782B">
              <w:t>Administraciones de los Estados Miembros de la Unión</w:t>
            </w:r>
            <w:r>
              <w:t>;</w:t>
            </w:r>
          </w:p>
          <w:p w:rsidR="00F8524F" w:rsidRDefault="007F3BF2" w:rsidP="00CC2C80">
            <w:pPr>
              <w:tabs>
                <w:tab w:val="clear" w:pos="794"/>
                <w:tab w:val="clear" w:pos="1191"/>
                <w:tab w:val="left" w:pos="360"/>
                <w:tab w:val="left" w:pos="4111"/>
              </w:tabs>
              <w:spacing w:before="0"/>
              <w:ind w:left="360" w:hanging="303"/>
            </w:pPr>
            <w:r>
              <w:t>–</w:t>
            </w:r>
            <w:r w:rsidR="00D119EC">
              <w:tab/>
            </w:r>
            <w:r w:rsidR="00F8524F">
              <w:t>L</w:t>
            </w:r>
            <w:r w:rsidR="00C34772" w:rsidRPr="009B782B">
              <w:t>os Miembros del Sector UIT</w:t>
            </w:r>
            <w:r w:rsidR="00C34772" w:rsidRPr="009B782B">
              <w:noBreakHyphen/>
              <w:t>T</w:t>
            </w:r>
            <w:r>
              <w:t>;</w:t>
            </w:r>
          </w:p>
          <w:p w:rsidR="00F8524F" w:rsidRDefault="007F3BF2" w:rsidP="000F09F7">
            <w:pPr>
              <w:tabs>
                <w:tab w:val="clear" w:pos="794"/>
                <w:tab w:val="clear" w:pos="1191"/>
                <w:tab w:val="left" w:pos="360"/>
                <w:tab w:val="left" w:pos="4111"/>
              </w:tabs>
              <w:spacing w:before="0"/>
              <w:ind w:left="360" w:hanging="303"/>
            </w:pPr>
            <w:r>
              <w:t>–</w:t>
            </w:r>
            <w:r w:rsidR="00D119EC">
              <w:tab/>
            </w:r>
            <w:r w:rsidR="00F8524F">
              <w:t>L</w:t>
            </w:r>
            <w:r w:rsidR="00C34772" w:rsidRPr="009B782B">
              <w:t>os Asociados que</w:t>
            </w:r>
            <w:r w:rsidR="00C34772">
              <w:t xml:space="preserve"> </w:t>
            </w:r>
            <w:r w:rsidR="00C34772" w:rsidRPr="009B782B">
              <w:t xml:space="preserve">participan en los trabajos de la Comisión de Estudio </w:t>
            </w:r>
            <w:r w:rsidR="00BD561E">
              <w:t>20</w:t>
            </w:r>
            <w:r w:rsidR="000F09F7">
              <w:t>;</w:t>
            </w:r>
          </w:p>
          <w:p w:rsidR="00C34772" w:rsidRPr="009B782B" w:rsidRDefault="007F3BF2" w:rsidP="00CC2C80">
            <w:pPr>
              <w:tabs>
                <w:tab w:val="clear" w:pos="794"/>
                <w:tab w:val="clear" w:pos="1191"/>
                <w:tab w:val="left" w:pos="360"/>
                <w:tab w:val="left" w:pos="4111"/>
              </w:tabs>
              <w:spacing w:before="0"/>
              <w:ind w:left="360" w:hanging="303"/>
            </w:pPr>
            <w:r>
              <w:t>–</w:t>
            </w:r>
            <w:r w:rsidR="00D119EC">
              <w:tab/>
            </w:r>
            <w:r w:rsidR="00F8524F">
              <w:t>L</w:t>
            </w:r>
            <w:r w:rsidR="003D4DFE">
              <w:t xml:space="preserve">as Instituciones Académicas </w:t>
            </w:r>
            <w:r w:rsidR="003D4DFE" w:rsidRPr="009B782B">
              <w:t>de</w:t>
            </w:r>
            <w:r w:rsidR="00BD561E">
              <w:t xml:space="preserve"> </w:t>
            </w:r>
            <w:r w:rsidR="003D4DFE" w:rsidRPr="009B782B">
              <w:t>l</w:t>
            </w:r>
            <w:r w:rsidR="00BD561E">
              <w:t>a</w:t>
            </w:r>
            <w:r w:rsidR="003D4DFE" w:rsidRPr="009B782B">
              <w:t xml:space="preserve"> UIT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196"/>
        <w:gridCol w:w="8152"/>
      </w:tblGrid>
      <w:tr w:rsidR="00C34772" w:rsidRPr="009B782B" w:rsidTr="000F09F7">
        <w:trPr>
          <w:cantSplit/>
          <w:trHeight w:val="680"/>
        </w:trPr>
        <w:tc>
          <w:tcPr>
            <w:tcW w:w="1196" w:type="dxa"/>
          </w:tcPr>
          <w:p w:rsidR="00C34772" w:rsidRPr="009B782B" w:rsidRDefault="00C34772" w:rsidP="00E120CC">
            <w:pPr>
              <w:tabs>
                <w:tab w:val="left" w:pos="4111"/>
              </w:tabs>
              <w:ind w:left="57"/>
              <w:rPr>
                <w:sz w:val="22"/>
              </w:rPr>
            </w:pPr>
            <w:r w:rsidRPr="007F3BF2">
              <w:rPr>
                <w:szCs w:val="22"/>
              </w:rPr>
              <w:t>Asunto:</w:t>
            </w:r>
          </w:p>
        </w:tc>
        <w:tc>
          <w:tcPr>
            <w:tcW w:w="8152" w:type="dxa"/>
          </w:tcPr>
          <w:p w:rsidR="00C34772" w:rsidRPr="009B782B" w:rsidRDefault="00BD561E" w:rsidP="00E120CC">
            <w:pPr>
              <w:tabs>
                <w:tab w:val="left" w:pos="4111"/>
              </w:tabs>
              <w:ind w:left="57"/>
              <w:rPr>
                <w:b/>
                <w:bCs/>
              </w:rPr>
            </w:pPr>
            <w:r w:rsidRPr="00BD561E">
              <w:rPr>
                <w:b/>
                <w:bCs/>
              </w:rPr>
              <w:t>Reunión de la Comisión de Estudio 20, Ginebra, 4-15 de septiembre de 2017</w:t>
            </w:r>
          </w:p>
        </w:tc>
      </w:tr>
    </w:tbl>
    <w:p w:rsidR="00C34772" w:rsidRPr="009B782B" w:rsidRDefault="00381886" w:rsidP="007F3BF2">
      <w:pPr>
        <w:pStyle w:val="Normalaftertitle0"/>
      </w:pPr>
      <w:r w:rsidRPr="00381886">
        <w:t>Muy Señora mía/Muy Señor mío:</w:t>
      </w:r>
    </w:p>
    <w:p w:rsidR="00381886" w:rsidRPr="00381886" w:rsidRDefault="00381886" w:rsidP="007220D5">
      <w:r w:rsidRPr="00381886">
        <w:t>Me complace invitarle a asistir a la reunión de la Comisión de Estudio 20 (</w:t>
      </w:r>
      <w:r w:rsidRPr="00381886">
        <w:rPr>
          <w:i/>
          <w:iCs/>
        </w:rPr>
        <w:t xml:space="preserve">Internet de las </w:t>
      </w:r>
      <w:r w:rsidR="007220D5">
        <w:rPr>
          <w:i/>
          <w:iCs/>
        </w:rPr>
        <w:t>c</w:t>
      </w:r>
      <w:r w:rsidRPr="00381886">
        <w:rPr>
          <w:i/>
          <w:iCs/>
        </w:rPr>
        <w:t>osas (IoT) y ciudades y comunidades inteligentes (SC&amp;C)</w:t>
      </w:r>
      <w:r w:rsidRPr="00381886">
        <w:t>) que se celebrará en Ginebra, en la Sede de la</w:t>
      </w:r>
      <w:r w:rsidR="00E120CC">
        <w:t> </w:t>
      </w:r>
      <w:r w:rsidRPr="00381886">
        <w:t>UIT, del 4 al 15 de septiembre de 2017, ambos inclusive.</w:t>
      </w:r>
    </w:p>
    <w:p w:rsidR="00381886" w:rsidRPr="00381886" w:rsidRDefault="00381886" w:rsidP="00381886">
      <w:r w:rsidRPr="00381886">
        <w:t xml:space="preserve">La reunión comenzará a las 09.30 horas del primer día, y la inscripción de los participantes comenzará a las 08.30 horas en la entrada del </w:t>
      </w:r>
      <w:hyperlink r:id="rId11" w:history="1">
        <w:r w:rsidRPr="00381886">
          <w:rPr>
            <w:rStyle w:val="Hyperlink"/>
          </w:rPr>
          <w:t>edificio de Montbrillant</w:t>
        </w:r>
      </w:hyperlink>
      <w:r w:rsidRPr="00381886">
        <w:t xml:space="preserve">. Se dará información detallada sobre la atribución de salas de reunión en las pantallas situadas en las puertas de entrada de la Sede de la UIT, y en línea </w:t>
      </w:r>
      <w:hyperlink r:id="rId12" w:history="1">
        <w:r w:rsidRPr="00381886">
          <w:rPr>
            <w:rStyle w:val="Hyperlink"/>
          </w:rPr>
          <w:t>aquí</w:t>
        </w:r>
      </w:hyperlink>
      <w:r w:rsidRPr="00381886">
        <w:t>.</w:t>
      </w:r>
    </w:p>
    <w:p w:rsidR="00381886" w:rsidRPr="00381886" w:rsidRDefault="00381886" w:rsidP="00381886">
      <w:r w:rsidRPr="00381886">
        <w:t>La mañana del martes 12 de septiembre de 2017 se celebrará una sesión de formación práctica de media jornada sobre la reducción de la disparidad en materia de normalización para los delegados de los países en desarrollo.</w:t>
      </w:r>
    </w:p>
    <w:p w:rsidR="00381886" w:rsidRPr="00381886" w:rsidRDefault="00381886" w:rsidP="00BA25D2">
      <w:r w:rsidRPr="00381886">
        <w:t>A raíz del acuerdo del Consejo 2017 de iniciar un proyecto piloto para implicar a las pequeñas y medianas empresas en las Comisiones de Estudio del UIT-T y del UIT-D interesadas, me complace informarle que nos dirigiremos a las PYME, las asociaciones de PYME, los miembros y los asociados para alentar la participación de tales entidades en las reuniones mundiales y regionales de la</w:t>
      </w:r>
      <w:r w:rsidR="00BA25D2">
        <w:t> </w:t>
      </w:r>
      <w:r w:rsidRPr="00381886">
        <w:t>CE</w:t>
      </w:r>
      <w:r w:rsidR="00BA25D2">
        <w:t> </w:t>
      </w:r>
      <w:r w:rsidRPr="00381886">
        <w:t>20. Puede consultarse el mandato de este proyecto piloto en el Anexo C.</w:t>
      </w:r>
    </w:p>
    <w:p w:rsidR="00381886" w:rsidRPr="00381886" w:rsidRDefault="00C01EC5" w:rsidP="00BA25D2">
      <w:pPr>
        <w:spacing w:before="240" w:after="120"/>
        <w:rPr>
          <w:b/>
          <w:bCs/>
        </w:rPr>
      </w:pPr>
      <w:r>
        <w:rPr>
          <w:b/>
          <w:bCs/>
        </w:rPr>
        <w:t>Plazos clave</w:t>
      </w:r>
    </w:p>
    <w:tbl>
      <w:tblPr>
        <w:tblStyle w:val="TableGrid"/>
        <w:tblW w:w="9634" w:type="dxa"/>
        <w:tblLook w:val="04A0" w:firstRow="1" w:lastRow="0" w:firstColumn="1" w:lastColumn="0" w:noHBand="0" w:noVBand="1"/>
      </w:tblPr>
      <w:tblGrid>
        <w:gridCol w:w="2418"/>
        <w:gridCol w:w="7216"/>
      </w:tblGrid>
      <w:tr w:rsidR="00381886" w:rsidRPr="00E35001" w:rsidTr="007153F7">
        <w:tc>
          <w:tcPr>
            <w:tcW w:w="2418" w:type="dxa"/>
          </w:tcPr>
          <w:p w:rsidR="00381886" w:rsidRPr="00E35001" w:rsidRDefault="00381886" w:rsidP="00E120CC">
            <w:pPr>
              <w:spacing w:before="40" w:after="40"/>
              <w:rPr>
                <w:b/>
              </w:rPr>
            </w:pPr>
            <w:r>
              <w:t>4 de julio</w:t>
            </w:r>
            <w:r w:rsidRPr="00E35001">
              <w:t xml:space="preserve"> de 2017</w:t>
            </w:r>
          </w:p>
        </w:tc>
        <w:tc>
          <w:tcPr>
            <w:tcW w:w="7216" w:type="dxa"/>
          </w:tcPr>
          <w:p w:rsidR="00381886" w:rsidRPr="00E35001" w:rsidRDefault="00381886" w:rsidP="00E120CC">
            <w:pPr>
              <w:tabs>
                <w:tab w:val="clear" w:pos="794"/>
                <w:tab w:val="left" w:pos="304"/>
              </w:tabs>
              <w:spacing w:before="40" w:after="40"/>
              <w:ind w:left="304" w:hanging="304"/>
              <w:rPr>
                <w:b/>
                <w:bCs/>
              </w:rPr>
            </w:pPr>
            <w:r w:rsidRPr="00E35001">
              <w:t>–</w:t>
            </w:r>
            <w:r w:rsidRPr="00E35001">
              <w:tab/>
            </w:r>
            <w:hyperlink r:id="rId13" w:history="1">
              <w:r w:rsidRPr="00E35001">
                <w:rPr>
                  <w:rStyle w:val="Hyperlink"/>
                </w:rPr>
                <w:t>presentación de las contribuciones de los miembros del UIT-T</w:t>
              </w:r>
            </w:hyperlink>
            <w:r w:rsidRPr="00E35001">
              <w:t xml:space="preserve"> para las que se requiera traducción</w:t>
            </w:r>
          </w:p>
        </w:tc>
      </w:tr>
      <w:tr w:rsidR="00381886" w:rsidRPr="00E35001" w:rsidTr="007153F7">
        <w:tc>
          <w:tcPr>
            <w:tcW w:w="2418" w:type="dxa"/>
          </w:tcPr>
          <w:p w:rsidR="00381886" w:rsidRPr="00E35001" w:rsidRDefault="00381886" w:rsidP="00E120CC">
            <w:pPr>
              <w:spacing w:before="40" w:after="40"/>
            </w:pPr>
            <w:r w:rsidRPr="00E120CC">
              <w:t>24 de julio de 2017</w:t>
            </w:r>
          </w:p>
        </w:tc>
        <w:tc>
          <w:tcPr>
            <w:tcW w:w="7216" w:type="dxa"/>
          </w:tcPr>
          <w:p w:rsidR="00381886" w:rsidRPr="00E35001" w:rsidRDefault="00381886" w:rsidP="00E120CC">
            <w:pPr>
              <w:tabs>
                <w:tab w:val="clear" w:pos="794"/>
                <w:tab w:val="left" w:pos="304"/>
              </w:tabs>
              <w:spacing w:before="40" w:after="40"/>
              <w:ind w:left="304" w:hanging="304"/>
            </w:pPr>
            <w:r w:rsidRPr="00E35001">
              <w:t>–</w:t>
            </w:r>
            <w:r w:rsidRPr="00E35001">
              <w:tab/>
              <w:t>solicitudes de beca (encontrar</w:t>
            </w:r>
            <w:r w:rsidR="00E120CC">
              <w:t xml:space="preserve">á el formulario de solicitud y </w:t>
            </w:r>
            <w:r w:rsidRPr="00E35001">
              <w:t xml:space="preserve">orientaciones </w:t>
            </w:r>
            <w:hyperlink r:id="rId14" w:history="1">
              <w:r w:rsidRPr="00E35001">
                <w:rPr>
                  <w:rStyle w:val="Hyperlink"/>
                </w:rPr>
                <w:t>aquí</w:t>
              </w:r>
            </w:hyperlink>
            <w:r w:rsidRPr="00E35001">
              <w:t>)</w:t>
            </w:r>
          </w:p>
          <w:p w:rsidR="00381886" w:rsidRPr="00E120CC" w:rsidRDefault="00381886" w:rsidP="00E120CC">
            <w:pPr>
              <w:tabs>
                <w:tab w:val="clear" w:pos="794"/>
                <w:tab w:val="left" w:pos="304"/>
              </w:tabs>
              <w:spacing w:before="40" w:after="40"/>
              <w:ind w:left="304" w:hanging="304"/>
            </w:pPr>
            <w:r w:rsidRPr="00E120CC">
              <w:t>–</w:t>
            </w:r>
            <w:r w:rsidRPr="00E120CC">
              <w:tab/>
              <w:t>solicitudes de interpretaci</w:t>
            </w:r>
            <w:r w:rsidR="00E120CC">
              <w:t xml:space="preserve">ón (a través del formulario de </w:t>
            </w:r>
            <w:r w:rsidRPr="00E120CC">
              <w:t>preinscripción en línea)</w:t>
            </w:r>
          </w:p>
        </w:tc>
      </w:tr>
      <w:tr w:rsidR="00381886" w:rsidRPr="00E35001" w:rsidTr="00665D50">
        <w:trPr>
          <w:cantSplit/>
        </w:trPr>
        <w:tc>
          <w:tcPr>
            <w:tcW w:w="2418" w:type="dxa"/>
          </w:tcPr>
          <w:p w:rsidR="00381886" w:rsidRPr="00E120CC" w:rsidRDefault="00381886" w:rsidP="00E120CC">
            <w:pPr>
              <w:spacing w:before="40" w:after="40"/>
            </w:pPr>
            <w:r w:rsidRPr="00E120CC">
              <w:lastRenderedPageBreak/>
              <w:t>4 de agosto de 2017</w:t>
            </w:r>
          </w:p>
        </w:tc>
        <w:tc>
          <w:tcPr>
            <w:tcW w:w="7216" w:type="dxa"/>
          </w:tcPr>
          <w:p w:rsidR="00381886" w:rsidRPr="00E35001" w:rsidRDefault="00381886" w:rsidP="00E120CC">
            <w:pPr>
              <w:tabs>
                <w:tab w:val="clear" w:pos="794"/>
                <w:tab w:val="left" w:pos="304"/>
              </w:tabs>
              <w:spacing w:before="40" w:after="40"/>
              <w:ind w:left="304" w:hanging="304"/>
            </w:pPr>
            <w:r w:rsidRPr="00E35001">
              <w:t>–</w:t>
            </w:r>
            <w:r w:rsidRPr="00E35001">
              <w:tab/>
              <w:t xml:space="preserve">preinscripción (en línea a través de la </w:t>
            </w:r>
            <w:hyperlink r:id="rId15" w:history="1">
              <w:r w:rsidR="00E120CC">
                <w:rPr>
                  <w:rStyle w:val="Hyperlink"/>
                </w:rPr>
                <w:t xml:space="preserve">página principal de la </w:t>
              </w:r>
              <w:r w:rsidRPr="00C2687D">
                <w:rPr>
                  <w:rStyle w:val="Hyperlink"/>
                </w:rPr>
                <w:t>Comisión de Estudio</w:t>
              </w:r>
            </w:hyperlink>
            <w:r w:rsidR="00E120CC">
              <w:t>)</w:t>
            </w:r>
          </w:p>
          <w:p w:rsidR="00381886" w:rsidRPr="00E35001" w:rsidRDefault="00381886" w:rsidP="00E120CC">
            <w:pPr>
              <w:tabs>
                <w:tab w:val="clear" w:pos="794"/>
                <w:tab w:val="left" w:pos="304"/>
              </w:tabs>
              <w:spacing w:before="40" w:after="40"/>
              <w:ind w:left="304" w:hanging="304"/>
            </w:pPr>
            <w:r w:rsidRPr="00E35001">
              <w:t>–</w:t>
            </w:r>
            <w:r w:rsidRPr="00E35001">
              <w:tab/>
              <w:t>solicitudes de cartas para la obtenci</w:t>
            </w:r>
            <w:r w:rsidR="00E120CC">
              <w:t xml:space="preserve">ón de visados (puede encontrar </w:t>
            </w:r>
            <w:r w:rsidRPr="00E35001">
              <w:t xml:space="preserve">una plantilla de solicitud </w:t>
            </w:r>
            <w:hyperlink r:id="rId16" w:history="1">
              <w:r w:rsidRPr="00E35001">
                <w:rPr>
                  <w:rStyle w:val="Hyperlink"/>
                </w:rPr>
                <w:t>aquí</w:t>
              </w:r>
            </w:hyperlink>
            <w:r w:rsidRPr="00E35001">
              <w:t>)</w:t>
            </w:r>
          </w:p>
        </w:tc>
      </w:tr>
      <w:tr w:rsidR="00381886" w:rsidRPr="00E35001" w:rsidTr="007153F7">
        <w:tc>
          <w:tcPr>
            <w:tcW w:w="2418" w:type="dxa"/>
          </w:tcPr>
          <w:p w:rsidR="00381886" w:rsidRPr="00E35001" w:rsidRDefault="00381886" w:rsidP="00E120CC">
            <w:pPr>
              <w:spacing w:before="40" w:after="40"/>
            </w:pPr>
            <w:r w:rsidRPr="00E120CC">
              <w:t>22 de agosto de 2017</w:t>
            </w:r>
          </w:p>
        </w:tc>
        <w:tc>
          <w:tcPr>
            <w:tcW w:w="7216" w:type="dxa"/>
          </w:tcPr>
          <w:p w:rsidR="00381886" w:rsidRPr="00E35001" w:rsidRDefault="00381886" w:rsidP="00E120CC">
            <w:pPr>
              <w:tabs>
                <w:tab w:val="clear" w:pos="794"/>
                <w:tab w:val="left" w:pos="304"/>
              </w:tabs>
              <w:spacing w:before="40" w:after="40"/>
              <w:ind w:left="304" w:hanging="304"/>
            </w:pPr>
            <w:r w:rsidRPr="00E35001">
              <w:t>–</w:t>
            </w:r>
            <w:r w:rsidRPr="00E35001">
              <w:tab/>
            </w:r>
            <w:hyperlink r:id="rId17" w:history="1">
              <w:r w:rsidRPr="00E35001">
                <w:rPr>
                  <w:rStyle w:val="Hyperlink"/>
                </w:rPr>
                <w:t>presentación de las contribuciones de los miembros del UIT-T</w:t>
              </w:r>
            </w:hyperlink>
          </w:p>
        </w:tc>
      </w:tr>
    </w:tbl>
    <w:p w:rsidR="00381886" w:rsidRPr="00381886" w:rsidRDefault="00381886" w:rsidP="004A5DA8">
      <w:pPr>
        <w:pStyle w:val="Normalaftertitle0"/>
        <w:spacing w:before="480"/>
      </w:pPr>
      <w:r w:rsidRPr="00381886">
        <w:t xml:space="preserve">En el </w:t>
      </w:r>
      <w:r w:rsidRPr="00381886">
        <w:rPr>
          <w:b/>
        </w:rPr>
        <w:t>Anexo A</w:t>
      </w:r>
      <w:r w:rsidRPr="00381886">
        <w:t xml:space="preserve"> se facilita información adicional acerca de la reunión. En el </w:t>
      </w:r>
      <w:r w:rsidRPr="00381886">
        <w:rPr>
          <w:b/>
        </w:rPr>
        <w:t>Anexo B</w:t>
      </w:r>
      <w:r w:rsidRPr="00381886">
        <w:t xml:space="preserve"> se recoge un proyecto de </w:t>
      </w:r>
      <w:r w:rsidRPr="00131757">
        <w:rPr>
          <w:b/>
          <w:bCs/>
        </w:rPr>
        <w:t>orden del día</w:t>
      </w:r>
      <w:r w:rsidRPr="00381886">
        <w:t xml:space="preserve"> de la reunión, preparado por el Presidente de la Comisión de Estudio, el Sr. Nasser Al Marzouqi (EAU). Podrá consultarse un plan de trabajo provisional en la dirección </w:t>
      </w:r>
      <w:hyperlink r:id="rId18" w:history="1">
        <w:r w:rsidRPr="00381886">
          <w:rPr>
            <w:rStyle w:val="Hyperlink"/>
            <w:bCs/>
          </w:rPr>
          <w:t>http://itu.int/ITU-T/studygroups/com20</w:t>
        </w:r>
      </w:hyperlink>
      <w:r w:rsidR="00665D50">
        <w:t>.</w:t>
      </w:r>
    </w:p>
    <w:p w:rsidR="00381886" w:rsidRDefault="00381886" w:rsidP="00A07793">
      <w:r w:rsidRPr="00381886">
        <w:t>Le deseo un</w:t>
      </w:r>
      <w:bookmarkStart w:id="0" w:name="_GoBack"/>
      <w:r w:rsidRPr="00381886">
        <w:t xml:space="preserve">a </w:t>
      </w:r>
      <w:bookmarkEnd w:id="0"/>
      <w:r w:rsidRPr="00381886">
        <w:t>reunión agradable y productiva.</w:t>
      </w:r>
    </w:p>
    <w:p w:rsidR="00E120CC" w:rsidRPr="00381886" w:rsidRDefault="00E120CC" w:rsidP="00BA25D2">
      <w:r w:rsidRPr="00E120CC">
        <w:t>Atentamente</w:t>
      </w:r>
      <w:r w:rsidR="00BA25D2">
        <w:t>,</w:t>
      </w:r>
    </w:p>
    <w:tbl>
      <w:tblPr>
        <w:tblStyle w:val="TableGrid"/>
        <w:tblW w:w="0" w:type="auto"/>
        <w:tblLook w:val="04A0" w:firstRow="1" w:lastRow="0" w:firstColumn="1" w:lastColumn="0" w:noHBand="0" w:noVBand="1"/>
      </w:tblPr>
      <w:tblGrid>
        <w:gridCol w:w="4814"/>
        <w:gridCol w:w="4815"/>
      </w:tblGrid>
      <w:tr w:rsidR="00E120CC" w:rsidRPr="00E35001" w:rsidTr="00E120CC">
        <w:tc>
          <w:tcPr>
            <w:tcW w:w="4814" w:type="dxa"/>
            <w:vMerge w:val="restart"/>
            <w:tcBorders>
              <w:top w:val="nil"/>
              <w:left w:val="nil"/>
            </w:tcBorders>
          </w:tcPr>
          <w:p w:rsidR="004A5DA8" w:rsidRDefault="004A5DA8" w:rsidP="004A5DA8">
            <w:pPr>
              <w:spacing w:before="0"/>
              <w:ind w:right="91"/>
            </w:pPr>
          </w:p>
          <w:p w:rsidR="00E120CC" w:rsidRPr="00E35001" w:rsidRDefault="00E120CC" w:rsidP="004A5DA8">
            <w:pPr>
              <w:spacing w:before="0"/>
              <w:ind w:right="91"/>
            </w:pPr>
            <w:r w:rsidRPr="00E35001">
              <w:t>Chaesub Lee</w:t>
            </w:r>
            <w:r w:rsidRPr="00E35001">
              <w:br/>
              <w:t>Director de la Oficina de Normalización</w:t>
            </w:r>
            <w:r w:rsidRPr="00E35001">
              <w:br/>
              <w:t>de las Telecomunicaciones</w:t>
            </w:r>
          </w:p>
        </w:tc>
        <w:tc>
          <w:tcPr>
            <w:tcW w:w="4815" w:type="dxa"/>
            <w:tcBorders>
              <w:bottom w:val="nil"/>
            </w:tcBorders>
          </w:tcPr>
          <w:p w:rsidR="00E120CC" w:rsidRPr="00E35001" w:rsidRDefault="002E261D" w:rsidP="00E120CC">
            <w:pPr>
              <w:jc w:val="center"/>
              <w:rPr>
                <w:bCs/>
              </w:rPr>
            </w:pPr>
            <w:r w:rsidRPr="000408D7">
              <w:rPr>
                <w:noProof/>
                <w:sz w:val="16"/>
                <w:szCs w:val="16"/>
                <w:lang w:val="en-GB" w:eastAsia="zh-CN"/>
              </w:rPr>
              <w:drawing>
                <wp:inline distT="0" distB="0" distL="0" distR="0" wp14:anchorId="3EA97C17" wp14:editId="070A5786">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E120CC" w:rsidRPr="00E35001" w:rsidTr="00E120CC">
        <w:tc>
          <w:tcPr>
            <w:tcW w:w="4814" w:type="dxa"/>
            <w:vMerge/>
            <w:tcBorders>
              <w:left w:val="nil"/>
              <w:bottom w:val="nil"/>
            </w:tcBorders>
          </w:tcPr>
          <w:p w:rsidR="00E120CC" w:rsidRPr="00E35001" w:rsidRDefault="00E120CC" w:rsidP="007153F7">
            <w:pPr>
              <w:spacing w:before="960"/>
              <w:ind w:right="91"/>
            </w:pPr>
          </w:p>
        </w:tc>
        <w:tc>
          <w:tcPr>
            <w:tcW w:w="4815" w:type="dxa"/>
            <w:tcBorders>
              <w:top w:val="nil"/>
            </w:tcBorders>
          </w:tcPr>
          <w:p w:rsidR="00E120CC" w:rsidRPr="00E120CC" w:rsidRDefault="00E120CC" w:rsidP="00E120CC">
            <w:pPr>
              <w:spacing w:before="40" w:after="40"/>
              <w:jc w:val="center"/>
              <w:rPr>
                <w:noProof/>
                <w:lang w:eastAsia="zh-CN"/>
              </w:rPr>
            </w:pPr>
            <w:r w:rsidRPr="00E120CC">
              <w:rPr>
                <w:noProof/>
                <w:lang w:eastAsia="zh-CN"/>
              </w:rPr>
              <w:t>Última información sobre la reunión</w:t>
            </w:r>
          </w:p>
        </w:tc>
      </w:tr>
    </w:tbl>
    <w:p w:rsidR="00381886" w:rsidRDefault="00043D90" w:rsidP="00E120CC">
      <w:pPr>
        <w:spacing w:before="2640"/>
      </w:pPr>
      <w:r w:rsidRPr="00E120CC">
        <w:rPr>
          <w:b/>
          <w:bCs/>
        </w:rPr>
        <w:t>Anexos</w:t>
      </w:r>
      <w:r>
        <w:t>: 3</w:t>
      </w:r>
    </w:p>
    <w:p w:rsidR="003D4DFE" w:rsidRDefault="003D4DFE">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381886" w:rsidRPr="008D41BE" w:rsidRDefault="000F09F7" w:rsidP="008D41BE">
      <w:pPr>
        <w:pStyle w:val="AnnexNotitle"/>
      </w:pPr>
      <w:r w:rsidRPr="008D41BE">
        <w:lastRenderedPageBreak/>
        <w:t xml:space="preserve">ANEXO </w:t>
      </w:r>
      <w:r w:rsidR="00381886" w:rsidRPr="008D41BE">
        <w:t>A</w:t>
      </w:r>
    </w:p>
    <w:p w:rsidR="00381886" w:rsidRPr="00847901" w:rsidRDefault="00381886" w:rsidP="00847901">
      <w:pPr>
        <w:spacing w:before="240" w:after="280"/>
        <w:jc w:val="center"/>
        <w:rPr>
          <w:b/>
          <w:bCs/>
        </w:rPr>
      </w:pPr>
      <w:r w:rsidRPr="00847901">
        <w:rPr>
          <w:b/>
          <w:bCs/>
        </w:rPr>
        <w:t>MÉTODOS DE TRABAJO E INSTALACIONES</w:t>
      </w:r>
    </w:p>
    <w:p w:rsidR="00381886" w:rsidRPr="00E35001" w:rsidRDefault="00381886" w:rsidP="007220D5">
      <w:pPr>
        <w:pStyle w:val="Normalaftertitle"/>
      </w:pPr>
      <w:r w:rsidRPr="00E35001">
        <w:rPr>
          <w:b/>
          <w:bCs/>
        </w:rPr>
        <w:t>ACCESO A LOS DOCUMENTOS</w:t>
      </w:r>
      <w:r w:rsidRPr="00E35001">
        <w:t xml:space="preserve">: La reunión se celebrará sin hacer uso del papel. Las contribuciones deben presentarse utilizando la </w:t>
      </w:r>
      <w:hyperlink r:id="rId20" w:history="1">
        <w:r w:rsidRPr="00E35001">
          <w:rPr>
            <w:rStyle w:val="Hyperlink"/>
          </w:rPr>
          <w:t>Publicación Directa de Documentos</w:t>
        </w:r>
      </w:hyperlink>
      <w:r w:rsidRPr="00E35001">
        <w:t xml:space="preserve">; los proyectos de DT deben remitirse por correo-e a la secretaría de la Comisión de Estudio utilizando la </w:t>
      </w:r>
      <w:hyperlink r:id="rId21" w:history="1">
        <w:r w:rsidRPr="00E35001">
          <w:rPr>
            <w:rStyle w:val="Hyperlink"/>
          </w:rPr>
          <w:t>plantilla correspondiente</w:t>
        </w:r>
      </w:hyperlink>
      <w:r w:rsidRPr="00E35001">
        <w:t xml:space="preserve">. El acceso a los </w:t>
      </w:r>
      <w:r w:rsidRPr="00847901">
        <w:t>documentos</w:t>
      </w:r>
      <w:r w:rsidRPr="00E35001">
        <w:t xml:space="preserve"> de la reunión se facilita a partir de la página principal de la Comisión de Estudio, y está restringido a los Miembros del UIT-T/</w:t>
      </w:r>
      <w:hyperlink r:id="rId22" w:history="1">
        <w:r w:rsidRPr="00E35001">
          <w:rPr>
            <w:rStyle w:val="Hyperlink"/>
          </w:rPr>
          <w:t>Titulares de cuenta TIES</w:t>
        </w:r>
      </w:hyperlink>
      <w:r w:rsidRPr="00E35001">
        <w:t>.</w:t>
      </w:r>
    </w:p>
    <w:p w:rsidR="00381886" w:rsidRPr="00E35001" w:rsidRDefault="00381886" w:rsidP="00381886">
      <w:pPr>
        <w:rPr>
          <w:b/>
          <w:bCs/>
        </w:rPr>
      </w:pPr>
      <w:r w:rsidRPr="00E35001">
        <w:rPr>
          <w:b/>
          <w:bCs/>
        </w:rPr>
        <w:t>INTERPRETACIÓN</w:t>
      </w:r>
      <w:r w:rsidRPr="00E35001">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2E261D">
        <w:rPr>
          <w:b/>
        </w:rPr>
        <w:t>por lo menos seis semanas antes del primer día de la reunión</w:t>
      </w:r>
      <w:r w:rsidRPr="00E35001">
        <w:t>.</w:t>
      </w:r>
    </w:p>
    <w:p w:rsidR="00381886" w:rsidRPr="00E35001" w:rsidRDefault="00381886" w:rsidP="00381886">
      <w:r w:rsidRPr="00E35001">
        <w:rPr>
          <w:b/>
          <w:bCs/>
        </w:rPr>
        <w:t>LAN INALÁMBRICA</w:t>
      </w:r>
      <w:r w:rsidRPr="00E35001">
        <w:t>: Los delegados disponen de instalaciones de red de área local inalámbrica en todas las salas de conferencias de la UIT</w:t>
      </w:r>
      <w:r w:rsidRPr="00E35001">
        <w:rPr>
          <w:sz w:val="22"/>
          <w:szCs w:val="22"/>
        </w:rPr>
        <w:t xml:space="preserve"> </w:t>
      </w:r>
      <w:r w:rsidRPr="00E35001">
        <w:t>(SSID: "ITUwifi", contraseña: itu@GVA1211). En la dirección web del UIT-T (</w:t>
      </w:r>
      <w:hyperlink r:id="rId23" w:history="1">
        <w:r w:rsidRPr="00E35001">
          <w:rPr>
            <w:rStyle w:val="Hyperlink"/>
          </w:rPr>
          <w:t>http://www.itu.int/ITU-T/edh/faqs-support.html</w:t>
        </w:r>
      </w:hyperlink>
      <w:r w:rsidRPr="00E35001">
        <w:t xml:space="preserve">) e </w:t>
      </w:r>
      <w:r w:rsidRPr="00E35001">
        <w:rPr>
          <w:i/>
          <w:iCs/>
        </w:rPr>
        <w:t>in situ</w:t>
      </w:r>
      <w:r w:rsidRPr="00E35001">
        <w:t xml:space="preserve"> se puede encontrar información más detallada al respecto. </w:t>
      </w:r>
    </w:p>
    <w:p w:rsidR="00381886" w:rsidRPr="00E35001" w:rsidRDefault="00381886" w:rsidP="00381886">
      <w:pPr>
        <w:keepNext/>
        <w:keepLines/>
      </w:pPr>
      <w:r w:rsidRPr="00E35001">
        <w:rPr>
          <w:b/>
          <w:bCs/>
        </w:rPr>
        <w:t>TAQUILLAS ELECTRÓNICAS</w:t>
      </w:r>
      <w:r w:rsidRPr="00E35001">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4" w:history="1">
        <w:r w:rsidRPr="00E35001">
          <w:rPr>
            <w:rStyle w:val="Hyperlink"/>
          </w:rPr>
          <w:t>edificio Montbrillant</w:t>
        </w:r>
      </w:hyperlink>
      <w:r w:rsidRPr="00E35001">
        <w:t>.</w:t>
      </w:r>
    </w:p>
    <w:p w:rsidR="00381886" w:rsidRPr="00E35001" w:rsidRDefault="00381886" w:rsidP="00381886">
      <w:r w:rsidRPr="00E35001">
        <w:rPr>
          <w:b/>
          <w:bCs/>
        </w:rPr>
        <w:t>IMPRESORAS</w:t>
      </w:r>
      <w:r w:rsidRPr="00E35001">
        <w:t xml:space="preserve">: En las salas para los delegados y en las proximidades de las </w:t>
      </w:r>
      <w:hyperlink r:id="rId25" w:history="1">
        <w:r w:rsidRPr="00E35001">
          <w:rPr>
            <w:rStyle w:val="Hyperlink"/>
          </w:rPr>
          <w:t>principales salas de reunión</w:t>
        </w:r>
      </w:hyperlink>
      <w:r w:rsidRPr="00E35001">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Pr="00E35001">
          <w:rPr>
            <w:rStyle w:val="Hyperlink"/>
          </w:rPr>
          <w:t>http://itu.int/ITU-T/go/e-print</w:t>
        </w:r>
      </w:hyperlink>
      <w:r w:rsidRPr="00E35001">
        <w:t>.</w:t>
      </w:r>
    </w:p>
    <w:p w:rsidR="00381886" w:rsidRPr="00E35001" w:rsidRDefault="00381886" w:rsidP="00381886">
      <w:r w:rsidRPr="00E35001">
        <w:rPr>
          <w:b/>
          <w:bCs/>
        </w:rPr>
        <w:t>PRÉSTAMO DE COMPUTADORAS PORTÁTILES</w:t>
      </w:r>
      <w:r w:rsidRPr="00E35001">
        <w:t>: El Servicio de Asistencia de la UIT (</w:t>
      </w:r>
      <w:hyperlink r:id="rId27" w:history="1">
        <w:r w:rsidRPr="00E35001">
          <w:rPr>
            <w:rStyle w:val="Hyperlink"/>
          </w:rPr>
          <w:t>servicedesk@itu.int</w:t>
        </w:r>
      </w:hyperlink>
      <w:r w:rsidRPr="00E35001">
        <w:t>) pondrá un número limitado de computadoras portátiles a disposición de los delegados. Se atenderán las solicitudes por orden de llegada.</w:t>
      </w:r>
    </w:p>
    <w:p w:rsidR="00381886" w:rsidRPr="00847901" w:rsidRDefault="00381886" w:rsidP="00847901">
      <w:pPr>
        <w:spacing w:before="240" w:after="280"/>
        <w:jc w:val="center"/>
        <w:rPr>
          <w:b/>
          <w:bCs/>
        </w:rPr>
      </w:pPr>
      <w:r w:rsidRPr="00847901">
        <w:rPr>
          <w:b/>
          <w:bCs/>
        </w:rPr>
        <w:t>PREINSCRIPCIÓN, NUEVOS DELEGADOS Y BECAS</w:t>
      </w:r>
    </w:p>
    <w:p w:rsidR="00381886" w:rsidRPr="00E35001" w:rsidRDefault="00381886" w:rsidP="007220D5">
      <w:pPr>
        <w:pStyle w:val="Normalaftertitle"/>
        <w:rPr>
          <w:szCs w:val="24"/>
        </w:rPr>
      </w:pPr>
      <w:r w:rsidRPr="00E35001">
        <w:rPr>
          <w:b/>
          <w:bCs/>
        </w:rPr>
        <w:t>PREINSCRIPCIÓN</w:t>
      </w:r>
      <w:r w:rsidRPr="00E35001">
        <w:t xml:space="preserve">: </w:t>
      </w:r>
      <w:r w:rsidR="007220D5" w:rsidRPr="00E35001">
        <w:t xml:space="preserve">La </w:t>
      </w:r>
      <w:r w:rsidRPr="00E35001">
        <w:t xml:space="preserve">preinscripción ha de hacerse en línea a través de la página principal de la Comisión de Estudio </w:t>
      </w:r>
      <w:r w:rsidRPr="00E35001">
        <w:rPr>
          <w:b/>
        </w:rPr>
        <w:t>a más tardar un mes antes de la reunión</w:t>
      </w:r>
      <w:r w:rsidRPr="00E35001">
        <w:rPr>
          <w:bCs/>
        </w:rPr>
        <w:t>. Además, se ruega a los coordinadores que, dentro del mismo plazo, envíen por corr</w:t>
      </w:r>
      <w:r w:rsidRPr="00E35001">
        <w:t>eo electrónico (</w:t>
      </w:r>
      <w:hyperlink r:id="rId28" w:history="1">
        <w:r w:rsidRPr="00E35001">
          <w:rPr>
            <w:rStyle w:val="Hyperlink"/>
          </w:rPr>
          <w:t>tsbreg@itu.int</w:t>
        </w:r>
      </w:hyperlink>
      <w:r w:rsidRPr="00E35001">
        <w:t>), por carta o por fax, una lista de las personas autorizadas para representar a su organización, con el nombre del Jefe y el jefe adjunto de Delegación. Se invita a los miembros a incluir mujeres en sus delegaciones siempre que sea posible.</w:t>
      </w:r>
    </w:p>
    <w:p w:rsidR="00381886" w:rsidRPr="00E35001" w:rsidRDefault="00381886" w:rsidP="00A07793">
      <w:r w:rsidRPr="00E35001">
        <w:rPr>
          <w:b/>
          <w:bCs/>
        </w:rPr>
        <w:t>LOS NUEVOS DELEGADOS</w:t>
      </w:r>
      <w:r w:rsidRPr="00E35001">
        <w:t xml:space="preserve"> están invitados a participar en un </w:t>
      </w:r>
      <w:r w:rsidRPr="00E35001">
        <w:rPr>
          <w:b/>
          <w:bCs/>
        </w:rPr>
        <w:t xml:space="preserve">PROGRAMA DE ACOMPAÑAMIENTO </w:t>
      </w:r>
      <w:r w:rsidRPr="00E35001">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9" w:history="1">
        <w:r w:rsidRPr="00E35001">
          <w:rPr>
            <w:rStyle w:val="Hyperlink"/>
          </w:rPr>
          <w:t>ITU-Tmembership@itu.int</w:t>
        </w:r>
      </w:hyperlink>
      <w:r w:rsidRPr="00E35001">
        <w:t xml:space="preserve">. Puede consultar una guía resumida </w:t>
      </w:r>
      <w:hyperlink r:id="rId30" w:history="1">
        <w:r w:rsidRPr="00E35001">
          <w:rPr>
            <w:rStyle w:val="Hyperlink"/>
          </w:rPr>
          <w:t>aquí</w:t>
        </w:r>
      </w:hyperlink>
      <w:r w:rsidRPr="00E35001">
        <w:t>.</w:t>
      </w:r>
    </w:p>
    <w:p w:rsidR="00381886" w:rsidRPr="00E35001" w:rsidRDefault="00381886" w:rsidP="00381886">
      <w:r w:rsidRPr="00E35001">
        <w:rPr>
          <w:b/>
          <w:bCs/>
        </w:rPr>
        <w:t>BECAS</w:t>
      </w:r>
      <w:r w:rsidRPr="00E35001">
        <w:t xml:space="preserve">: Podrán concederse dos becas parciales por administración, en función de la financiación disponible, con objeto de facilitar la participación de </w:t>
      </w:r>
      <w:bookmarkStart w:id="1" w:name="_Hlk309803984"/>
      <w:r w:rsidRPr="00E35001">
        <w:fldChar w:fldCharType="begin"/>
      </w:r>
      <w:r w:rsidRPr="00E35001">
        <w:instrText>HYPERLINK "http://www.itu.int/en/ITU-T/info/Documents/list-ldc-lic.pdf"</w:instrText>
      </w:r>
      <w:r w:rsidRPr="00E35001">
        <w:fldChar w:fldCharType="separate"/>
      </w:r>
      <w:r w:rsidRPr="00E35001">
        <w:rPr>
          <w:rStyle w:val="Hyperlink"/>
        </w:rPr>
        <w:t>países menos adelantados y países con un bajo nivel de ingresos</w:t>
      </w:r>
      <w:r w:rsidRPr="00E35001">
        <w:fldChar w:fldCharType="end"/>
      </w:r>
      <w:bookmarkEnd w:id="1"/>
      <w:r w:rsidRPr="00E35001">
        <w:t xml:space="preserve">. La solicitud debe recibirse </w:t>
      </w:r>
      <w:r w:rsidRPr="00E35001">
        <w:rPr>
          <w:b/>
          <w:bCs/>
        </w:rPr>
        <w:t>por lo menos seis semanas antes del principio de la reunión</w:t>
      </w:r>
      <w:r w:rsidRPr="00E35001">
        <w:t>. La preinscripción para las reuniones es obligatoria.</w:t>
      </w:r>
    </w:p>
    <w:p w:rsidR="00381886" w:rsidRPr="00847901" w:rsidRDefault="00381886" w:rsidP="00847901">
      <w:pPr>
        <w:spacing w:before="240" w:after="280"/>
        <w:jc w:val="center"/>
        <w:rPr>
          <w:b/>
          <w:bCs/>
        </w:rPr>
      </w:pPr>
      <w:r w:rsidRPr="00847901">
        <w:rPr>
          <w:b/>
          <w:bCs/>
        </w:rPr>
        <w:t>VISITAS A GINEBRA: HOTELES, TRANSPORTE PÚBLICO Y VISADOS</w:t>
      </w:r>
    </w:p>
    <w:p w:rsidR="00381886" w:rsidRPr="00E35001" w:rsidRDefault="00381886" w:rsidP="007220D5">
      <w:pPr>
        <w:pStyle w:val="Normalaftertitle"/>
      </w:pPr>
      <w:r w:rsidRPr="00E35001">
        <w:rPr>
          <w:b/>
          <w:bCs/>
        </w:rPr>
        <w:t>VISITAS A GINEBRA</w:t>
      </w:r>
      <w:r w:rsidRPr="00E35001">
        <w:t xml:space="preserve">: Los </w:t>
      </w:r>
      <w:r w:rsidRPr="00847901">
        <w:t>delegados</w:t>
      </w:r>
      <w:r w:rsidRPr="00E35001">
        <w:t xml:space="preserve"> que asistan a reuniones de la UIT en Ginebra pueden encontrar información práctica en: </w:t>
      </w:r>
      <w:hyperlink r:id="rId31" w:history="1">
        <w:r w:rsidRPr="00E35001">
          <w:rPr>
            <w:rStyle w:val="Hyperlink"/>
          </w:rPr>
          <w:t>http://itu.int/en/delegates-corner/</w:t>
        </w:r>
      </w:hyperlink>
      <w:r w:rsidRPr="00E35001">
        <w:t>.</w:t>
      </w:r>
    </w:p>
    <w:p w:rsidR="00381886" w:rsidRPr="00E35001" w:rsidRDefault="00381886" w:rsidP="00847901">
      <w:r w:rsidRPr="00E35001">
        <w:rPr>
          <w:b/>
          <w:bCs/>
        </w:rPr>
        <w:t>DESCUENTOS PARA HOTELES</w:t>
      </w:r>
      <w:r w:rsidRPr="00E35001">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2" w:history="1">
        <w:r w:rsidRPr="00E35001">
          <w:rPr>
            <w:rStyle w:val="Hyperlink"/>
          </w:rPr>
          <w:t>http://www.itu.int/travel/</w:t>
        </w:r>
      </w:hyperlink>
      <w:r w:rsidRPr="00E35001">
        <w:t>.</w:t>
      </w:r>
    </w:p>
    <w:p w:rsidR="00381886" w:rsidRPr="00E35001" w:rsidRDefault="00381886" w:rsidP="00381886">
      <w:r w:rsidRPr="00E35001">
        <w:rPr>
          <w:b/>
          <w:bCs/>
        </w:rPr>
        <w:t>AYUDA PARA LA SOLICITUD DE VISADOS</w:t>
      </w:r>
      <w:r w:rsidRPr="00E35001">
        <w:t>: En su caso, los</w:t>
      </w:r>
      <w:r w:rsidRPr="00E35001">
        <w:rPr>
          <w:b/>
          <w:bCs/>
        </w:rPr>
        <w:t xml:space="preserve"> </w:t>
      </w:r>
      <w:r w:rsidRPr="00E35001">
        <w:t xml:space="preserve">visados deben solicitarse </w:t>
      </w:r>
      <w:r w:rsidRPr="00E35001">
        <w:rPr>
          <w:b/>
          <w:bCs/>
        </w:rPr>
        <w:t>al menos un mes antes de la fecha de llegada a Suiza</w:t>
      </w:r>
      <w:r w:rsidRPr="00E35001">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381886" w:rsidRPr="00E35001" w:rsidRDefault="00381886" w:rsidP="00381886">
      <w:pPr>
        <w:rPr>
          <w:szCs w:val="24"/>
        </w:rPr>
      </w:pPr>
      <w:r w:rsidRPr="00E35001">
        <w:t>Las solicitudes deben remitirse a la TSB con la indicación "</w:t>
      </w:r>
      <w:r w:rsidRPr="00E35001">
        <w:rPr>
          <w:b/>
          <w:bCs/>
        </w:rPr>
        <w:t>solicitud de visado</w:t>
      </w:r>
      <w:r w:rsidRPr="00E35001">
        <w:t>"</w:t>
      </w:r>
      <w:r w:rsidRPr="00E35001">
        <w:rPr>
          <w:b/>
          <w:bCs/>
        </w:rPr>
        <w:t xml:space="preserve"> </w:t>
      </w:r>
      <w:r w:rsidRPr="00E35001">
        <w:t xml:space="preserve">por correo-e </w:t>
      </w:r>
      <w:r w:rsidRPr="00E35001">
        <w:rPr>
          <w:szCs w:val="24"/>
        </w:rPr>
        <w:t>(</w:t>
      </w:r>
      <w:hyperlink r:id="rId33" w:history="1">
        <w:r w:rsidRPr="00E35001">
          <w:rPr>
            <w:rStyle w:val="Hyperlink"/>
            <w:szCs w:val="24"/>
          </w:rPr>
          <w:t>tsbreg@itu.int</w:t>
        </w:r>
      </w:hyperlink>
      <w:r w:rsidRPr="00E35001">
        <w:rPr>
          <w:szCs w:val="24"/>
        </w:rPr>
        <w:t xml:space="preserve">) o por fax (+41 22 730 5853). Puede consultarse una plantilla de solicitud </w:t>
      </w:r>
      <w:hyperlink r:id="rId34" w:history="1">
        <w:r w:rsidRPr="00E35001">
          <w:rPr>
            <w:rStyle w:val="Hyperlink"/>
            <w:szCs w:val="24"/>
          </w:rPr>
          <w:t>aquí</w:t>
        </w:r>
      </w:hyperlink>
      <w:r w:rsidRPr="00E35001">
        <w:rPr>
          <w:szCs w:val="24"/>
        </w:rPr>
        <w:t>.</w:t>
      </w:r>
    </w:p>
    <w:p w:rsidR="00381886" w:rsidRPr="00E35001" w:rsidRDefault="00381886" w:rsidP="00381886">
      <w:r w:rsidRPr="00E35001">
        <w:br w:type="page"/>
      </w:r>
    </w:p>
    <w:p w:rsidR="00381886" w:rsidRPr="00E35001" w:rsidRDefault="000F09F7" w:rsidP="008D41BE">
      <w:pPr>
        <w:pStyle w:val="AnnexNotitle"/>
      </w:pPr>
      <w:r w:rsidRPr="008D41BE">
        <w:t>A</w:t>
      </w:r>
      <w:r w:rsidRPr="00E35001">
        <w:t>NEXO</w:t>
      </w:r>
      <w:r w:rsidRPr="008D41BE">
        <w:t xml:space="preserve"> </w:t>
      </w:r>
      <w:r w:rsidR="00381886" w:rsidRPr="008D41BE">
        <w:t>B</w:t>
      </w:r>
      <w:r w:rsidR="008D41BE">
        <w:br/>
      </w:r>
      <w:r w:rsidR="008D41BE">
        <w:br/>
      </w:r>
      <w:r w:rsidR="00381886" w:rsidRPr="00E35001">
        <w:t xml:space="preserve">Proyecto de orden del día </w:t>
      </w:r>
    </w:p>
    <w:p w:rsidR="00381886" w:rsidRPr="00E35001" w:rsidRDefault="008D41BE" w:rsidP="008D41BE">
      <w:pPr>
        <w:pStyle w:val="enumlev1"/>
        <w:spacing w:before="480"/>
      </w:pPr>
      <w:r>
        <w:t>1</w:t>
      </w:r>
      <w:r>
        <w:tab/>
      </w:r>
      <w:r w:rsidR="00381886" w:rsidRPr="00E35001">
        <w:t>Apertura de la reunión y bienvenida</w:t>
      </w:r>
    </w:p>
    <w:p w:rsidR="00381886" w:rsidRDefault="008D41BE" w:rsidP="008D41BE">
      <w:pPr>
        <w:pStyle w:val="enumlev1"/>
      </w:pPr>
      <w:r>
        <w:t>2</w:t>
      </w:r>
      <w:r>
        <w:tab/>
      </w:r>
      <w:r w:rsidR="00BA25D2">
        <w:t>Adopción del orden del día</w:t>
      </w:r>
    </w:p>
    <w:p w:rsidR="00381886" w:rsidRDefault="008D41BE" w:rsidP="008D41BE">
      <w:pPr>
        <w:pStyle w:val="enumlev1"/>
      </w:pPr>
      <w:r>
        <w:t>3</w:t>
      </w:r>
      <w:r>
        <w:tab/>
      </w:r>
      <w:r w:rsidR="00381886">
        <w:t>Aprobación del Informe de la primera reunión</w:t>
      </w:r>
    </w:p>
    <w:p w:rsidR="00381886" w:rsidRDefault="008D41BE" w:rsidP="008D41BE">
      <w:pPr>
        <w:pStyle w:val="enumlev1"/>
      </w:pPr>
      <w:r>
        <w:t>4</w:t>
      </w:r>
      <w:r>
        <w:tab/>
      </w:r>
      <w:r w:rsidR="00381886">
        <w:t xml:space="preserve">Lista de </w:t>
      </w:r>
      <w:r w:rsidR="00BA25D2">
        <w:t>contribuciones</w:t>
      </w:r>
    </w:p>
    <w:p w:rsidR="00381886" w:rsidRDefault="008D41BE" w:rsidP="008D41BE">
      <w:pPr>
        <w:pStyle w:val="enumlev1"/>
      </w:pPr>
      <w:r>
        <w:t>5</w:t>
      </w:r>
      <w:r>
        <w:tab/>
      </w:r>
      <w:r w:rsidR="00381886">
        <w:t>Ronda sobre los DPI</w:t>
      </w:r>
    </w:p>
    <w:p w:rsidR="00381886" w:rsidRDefault="008D41BE" w:rsidP="008D41BE">
      <w:pPr>
        <w:pStyle w:val="enumlev1"/>
      </w:pPr>
      <w:r>
        <w:t>6</w:t>
      </w:r>
      <w:r>
        <w:tab/>
      </w:r>
      <w:r w:rsidR="00381886">
        <w:t>Información destacada del GANT 2017</w:t>
      </w:r>
    </w:p>
    <w:p w:rsidR="00381886" w:rsidRDefault="008D41BE" w:rsidP="008D41BE">
      <w:pPr>
        <w:pStyle w:val="enumlev1"/>
      </w:pPr>
      <w:r>
        <w:t>7</w:t>
      </w:r>
      <w:r>
        <w:tab/>
      </w:r>
      <w:r w:rsidR="00381886">
        <w:t>Información destacada del Consejo 2017</w:t>
      </w:r>
    </w:p>
    <w:p w:rsidR="00381886" w:rsidRDefault="008D41BE" w:rsidP="008D41BE">
      <w:pPr>
        <w:pStyle w:val="enumlev1"/>
      </w:pPr>
      <w:r>
        <w:t>8</w:t>
      </w:r>
      <w:r>
        <w:tab/>
      </w:r>
      <w:r w:rsidR="00381886">
        <w:t>Reuniones de los Grupos de Trabajo</w:t>
      </w:r>
    </w:p>
    <w:p w:rsidR="00381886" w:rsidRDefault="008D41BE" w:rsidP="00BA25D2">
      <w:pPr>
        <w:pStyle w:val="enumlev1"/>
      </w:pPr>
      <w:r>
        <w:t>9</w:t>
      </w:r>
      <w:r>
        <w:tab/>
      </w:r>
      <w:r w:rsidR="00381886">
        <w:t>Paquete de bienvenida para quienes participan por primera vez en una reunión de la</w:t>
      </w:r>
      <w:r w:rsidR="00BA25D2">
        <w:t> </w:t>
      </w:r>
      <w:r w:rsidR="00381886">
        <w:t>CE</w:t>
      </w:r>
      <w:r w:rsidR="00BA25D2">
        <w:t> </w:t>
      </w:r>
      <w:r w:rsidR="00381886">
        <w:t>20</w:t>
      </w:r>
      <w:r w:rsidR="00DA1317">
        <w:t xml:space="preserve"> del UIT</w:t>
      </w:r>
      <w:r w:rsidR="00DA1317">
        <w:noBreakHyphen/>
        <w:t>T</w:t>
      </w:r>
    </w:p>
    <w:p w:rsidR="00381886" w:rsidRDefault="008D41BE" w:rsidP="008D41BE">
      <w:pPr>
        <w:pStyle w:val="enumlev2"/>
      </w:pPr>
      <w:r>
        <w:t>a)</w:t>
      </w:r>
      <w:r>
        <w:tab/>
      </w:r>
      <w:r w:rsidR="00381886">
        <w:t>Portal mundial sobre IoT y ciud</w:t>
      </w:r>
      <w:r w:rsidR="00BA25D2">
        <w:t>ades y comunidades inteligentes</w:t>
      </w:r>
    </w:p>
    <w:p w:rsidR="00381886" w:rsidRDefault="008D41BE" w:rsidP="008D41BE">
      <w:pPr>
        <w:pStyle w:val="enumlev1"/>
      </w:pPr>
      <w:r>
        <w:t>10</w:t>
      </w:r>
      <w:r>
        <w:tab/>
      </w:r>
      <w:r w:rsidR="00381886">
        <w:t>Informe de la Comisión de Estudio 20 del UIT-T sobre declaraciones de coordinación entrantes</w:t>
      </w:r>
    </w:p>
    <w:p w:rsidR="00381886" w:rsidRDefault="008D41BE" w:rsidP="008D41BE">
      <w:pPr>
        <w:pStyle w:val="enumlev1"/>
      </w:pPr>
      <w:r>
        <w:t>11</w:t>
      </w:r>
      <w:r>
        <w:tab/>
      </w:r>
      <w:r w:rsidR="00381886">
        <w:t>Nombramiento de Relatores, Relatores Asociados y Coordinadores</w:t>
      </w:r>
    </w:p>
    <w:p w:rsidR="00381886" w:rsidRDefault="008D41BE" w:rsidP="008D41BE">
      <w:pPr>
        <w:pStyle w:val="enumlev1"/>
      </w:pPr>
      <w:r>
        <w:t>12</w:t>
      </w:r>
      <w:r>
        <w:tab/>
      </w:r>
      <w:r w:rsidR="00381886">
        <w:t>Actividad conjunta de coordinación sobre IoT y CCI</w:t>
      </w:r>
    </w:p>
    <w:p w:rsidR="00381886" w:rsidRPr="00D06D61" w:rsidRDefault="008D41BE" w:rsidP="008D41BE">
      <w:pPr>
        <w:pStyle w:val="enumlev1"/>
      </w:pPr>
      <w:r>
        <w:t>13</w:t>
      </w:r>
      <w:r>
        <w:tab/>
      </w:r>
      <w:r w:rsidR="00381886" w:rsidRPr="008D41BE">
        <w:t>Grupo Temático del UIT-T para el tratamiento y la gestión de datos con miras a dar soporte a la Internet de las cosas y a las ciudades y comunidades inteligentes (FG-DPM)</w:t>
      </w:r>
    </w:p>
    <w:p w:rsidR="00381886" w:rsidRDefault="008D41BE" w:rsidP="008D41BE">
      <w:pPr>
        <w:pStyle w:val="enumlev1"/>
      </w:pPr>
      <w:r>
        <w:t>14</w:t>
      </w:r>
      <w:r>
        <w:tab/>
      </w:r>
      <w:r w:rsidR="00381886">
        <w:t>Grupos Regionales de la CE</w:t>
      </w:r>
      <w:r w:rsidR="00BA25D2">
        <w:t> </w:t>
      </w:r>
      <w:r w:rsidR="00381886">
        <w:t>20</w:t>
      </w:r>
      <w:r w:rsidR="00DA1317">
        <w:t xml:space="preserve"> del UIT</w:t>
      </w:r>
      <w:r w:rsidR="00DA1317">
        <w:noBreakHyphen/>
        <w:t>T</w:t>
      </w:r>
    </w:p>
    <w:p w:rsidR="00381886" w:rsidRDefault="00381886" w:rsidP="008D41BE">
      <w:pPr>
        <w:pStyle w:val="enumlev2"/>
      </w:pPr>
      <w:r>
        <w:t>14.1</w:t>
      </w:r>
      <w:r>
        <w:tab/>
        <w:t>Grupo Regional de la CE</w:t>
      </w:r>
      <w:r w:rsidR="00BA25D2">
        <w:t> </w:t>
      </w:r>
      <w:r>
        <w:t>20 del UIT-T para África (GRCE20-AFR)</w:t>
      </w:r>
    </w:p>
    <w:p w:rsidR="00381886" w:rsidRDefault="00381886" w:rsidP="008D41BE">
      <w:pPr>
        <w:pStyle w:val="enumlev2"/>
      </w:pPr>
      <w:r>
        <w:t>14.2</w:t>
      </w:r>
      <w:r>
        <w:tab/>
        <w:t>Grupo Regional de la CE</w:t>
      </w:r>
      <w:r w:rsidR="00BA25D2">
        <w:t> </w:t>
      </w:r>
      <w:r>
        <w:t>20 del UIT-T para la Región Árabe (GRCE20-ARB)</w:t>
      </w:r>
    </w:p>
    <w:p w:rsidR="00381886" w:rsidRDefault="00381886" w:rsidP="008D41BE">
      <w:pPr>
        <w:pStyle w:val="enumlev2"/>
      </w:pPr>
      <w:r>
        <w:t>14.3</w:t>
      </w:r>
      <w:r>
        <w:tab/>
        <w:t>Grupo Regional de la CE</w:t>
      </w:r>
      <w:r w:rsidR="00BA25D2">
        <w:t> </w:t>
      </w:r>
      <w:r>
        <w:t>20 del UIT-T para América Latina (GRCE20-LATAM)</w:t>
      </w:r>
    </w:p>
    <w:p w:rsidR="00381886" w:rsidRPr="008D41BE" w:rsidRDefault="00381886" w:rsidP="008D41BE">
      <w:pPr>
        <w:pStyle w:val="enumlev2"/>
        <w:ind w:left="1588" w:hanging="794"/>
      </w:pPr>
      <w:r w:rsidRPr="008D41BE">
        <w:t>14.4</w:t>
      </w:r>
      <w:r w:rsidRPr="008D41BE">
        <w:tab/>
        <w:t>Grupo Regional de la CE</w:t>
      </w:r>
      <w:r w:rsidR="00BA25D2">
        <w:t> </w:t>
      </w:r>
      <w:r w:rsidRPr="008D41BE">
        <w:t>20 del UIT-T para Europa Oriental, Asia Central y Transcaucausia (GRCE20-EECAT)</w:t>
      </w:r>
    </w:p>
    <w:p w:rsidR="00381886" w:rsidRPr="008D41BE" w:rsidRDefault="008D41BE" w:rsidP="008D41BE">
      <w:pPr>
        <w:pStyle w:val="enumlev1"/>
      </w:pPr>
      <w:r>
        <w:t>15</w:t>
      </w:r>
      <w:r>
        <w:tab/>
      </w:r>
      <w:r w:rsidR="00381886" w:rsidRPr="008D41BE">
        <w:t>Colaboraci</w:t>
      </w:r>
      <w:r w:rsidR="00DA1317">
        <w:t>ón e intercambio de información</w:t>
      </w:r>
    </w:p>
    <w:p w:rsidR="00381886" w:rsidRPr="008D41BE" w:rsidRDefault="008D41BE" w:rsidP="008D41BE">
      <w:pPr>
        <w:pStyle w:val="enumlev2"/>
      </w:pPr>
      <w:r>
        <w:t>a)</w:t>
      </w:r>
      <w:r>
        <w:tab/>
      </w:r>
      <w:r w:rsidR="00381886" w:rsidRPr="008D41BE">
        <w:t>Colaboración con OneM2M</w:t>
      </w:r>
    </w:p>
    <w:p w:rsidR="00381886" w:rsidRPr="008D41BE" w:rsidRDefault="008D41BE" w:rsidP="008D41BE">
      <w:pPr>
        <w:pStyle w:val="enumlev2"/>
      </w:pPr>
      <w:r>
        <w:t>b)</w:t>
      </w:r>
      <w:r>
        <w:tab/>
      </w:r>
      <w:r w:rsidR="00381886" w:rsidRPr="008D41BE">
        <w:t>Grupo por correspondencia entre la CE</w:t>
      </w:r>
      <w:r w:rsidR="00BA25D2">
        <w:t> </w:t>
      </w:r>
      <w:r w:rsidR="00381886" w:rsidRPr="008D41BE">
        <w:t>17 del UIT-T y la CE</w:t>
      </w:r>
      <w:r w:rsidR="00BA25D2">
        <w:t> </w:t>
      </w:r>
      <w:r w:rsidR="00381886" w:rsidRPr="008D41BE">
        <w:t>20 del UIT-T</w:t>
      </w:r>
    </w:p>
    <w:p w:rsidR="00381886" w:rsidRPr="008D41BE" w:rsidRDefault="008D41BE" w:rsidP="008D41BE">
      <w:pPr>
        <w:pStyle w:val="enumlev2"/>
      </w:pPr>
      <w:r>
        <w:t>c)</w:t>
      </w:r>
      <w:r>
        <w:tab/>
      </w:r>
      <w:r w:rsidR="00381886" w:rsidRPr="008D41BE">
        <w:t>Colaboración con la ISO y la CEI</w:t>
      </w:r>
    </w:p>
    <w:p w:rsidR="00381886" w:rsidRPr="008D41BE" w:rsidRDefault="008D41BE" w:rsidP="00DA1317">
      <w:pPr>
        <w:pStyle w:val="enumlev1"/>
      </w:pPr>
      <w:r>
        <w:t>16</w:t>
      </w:r>
      <w:r>
        <w:tab/>
      </w:r>
      <w:r w:rsidR="00381886" w:rsidRPr="008D41BE">
        <w:t>Planes de Acción para la implementación de la Resolución 78 (Rev. Hammamet, 2016) y la Resolución 98 (Hammamet, 2016) de la AMNT-16 (TIC para los servicios de cibersalud; IoT y ciudades y comunidades inteligentes para el desarrollo mundial)</w:t>
      </w:r>
    </w:p>
    <w:p w:rsidR="00381886" w:rsidRPr="008D41BE" w:rsidRDefault="008D41BE" w:rsidP="008D41BE">
      <w:pPr>
        <w:pStyle w:val="enumlev1"/>
      </w:pPr>
      <w:r>
        <w:t>17</w:t>
      </w:r>
      <w:r>
        <w:tab/>
      </w:r>
      <w:r w:rsidR="00381886" w:rsidRPr="008D41BE">
        <w:t xml:space="preserve">Actividades de promoción y colmar la brecha en materia de normalización </w:t>
      </w:r>
    </w:p>
    <w:p w:rsidR="00381886" w:rsidRPr="008D41BE" w:rsidRDefault="008D41BE" w:rsidP="008D41BE">
      <w:pPr>
        <w:pStyle w:val="enumlev2"/>
      </w:pPr>
      <w:r>
        <w:t>a)</w:t>
      </w:r>
      <w:r>
        <w:tab/>
      </w:r>
      <w:r w:rsidR="00381886" w:rsidRPr="008D41BE">
        <w:t>Talleres, formaciones y foros de interés para la CE</w:t>
      </w:r>
      <w:r w:rsidR="00BA25D2">
        <w:t> </w:t>
      </w:r>
      <w:r w:rsidR="00381886" w:rsidRPr="008D41BE">
        <w:t>20</w:t>
      </w:r>
    </w:p>
    <w:p w:rsidR="00381886" w:rsidRPr="008D41BE" w:rsidRDefault="008D41BE" w:rsidP="008D41BE">
      <w:pPr>
        <w:pStyle w:val="enumlev2"/>
      </w:pPr>
      <w:r>
        <w:t>b)</w:t>
      </w:r>
      <w:r>
        <w:tab/>
      </w:r>
      <w:r w:rsidR="00BA25D2">
        <w:t>Directrices de implementación</w:t>
      </w:r>
    </w:p>
    <w:p w:rsidR="00381886" w:rsidRPr="008D41BE" w:rsidRDefault="008D41BE" w:rsidP="008D41BE">
      <w:pPr>
        <w:pStyle w:val="enumlev1"/>
      </w:pPr>
      <w:r>
        <w:t>18</w:t>
      </w:r>
      <w:r>
        <w:tab/>
      </w:r>
      <w:r w:rsidR="00381886" w:rsidRPr="008D41BE">
        <w:t>Informes de las reuniones de los Grupos de Trabajo</w:t>
      </w:r>
    </w:p>
    <w:p w:rsidR="00381886" w:rsidRPr="008D41BE" w:rsidRDefault="008D41BE" w:rsidP="008D41BE">
      <w:pPr>
        <w:pStyle w:val="enumlev1"/>
      </w:pPr>
      <w:r>
        <w:t>19</w:t>
      </w:r>
      <w:r>
        <w:tab/>
      </w:r>
      <w:r w:rsidR="00381886" w:rsidRPr="008D41BE">
        <w:t>Acuerdo de textos informativos</w:t>
      </w:r>
    </w:p>
    <w:p w:rsidR="00381886" w:rsidRPr="008D41BE" w:rsidRDefault="008D41BE" w:rsidP="008D41BE">
      <w:pPr>
        <w:pStyle w:val="enumlev1"/>
      </w:pPr>
      <w:r>
        <w:t>20</w:t>
      </w:r>
      <w:r>
        <w:tab/>
      </w:r>
      <w:r w:rsidR="00381886" w:rsidRPr="008D41BE">
        <w:t>Consentimiento/determinación/aprobación/supresión de Recomendaciones</w:t>
      </w:r>
    </w:p>
    <w:p w:rsidR="00381886" w:rsidRPr="008D41BE" w:rsidRDefault="008D41BE" w:rsidP="008D41BE">
      <w:pPr>
        <w:pStyle w:val="enumlev1"/>
      </w:pPr>
      <w:r>
        <w:t>21</w:t>
      </w:r>
      <w:r>
        <w:tab/>
      </w:r>
      <w:r w:rsidR="00381886" w:rsidRPr="008D41BE">
        <w:t>Examen de los programas de trabajo</w:t>
      </w:r>
    </w:p>
    <w:p w:rsidR="00381886" w:rsidRPr="008D41BE" w:rsidRDefault="008D41BE" w:rsidP="008D41BE">
      <w:pPr>
        <w:pStyle w:val="enumlev1"/>
      </w:pPr>
      <w:r>
        <w:t>22</w:t>
      </w:r>
      <w:r>
        <w:tab/>
      </w:r>
      <w:r w:rsidR="00381886" w:rsidRPr="008D41BE">
        <w:t>Aprobación de declaraciones/comunicaciones de coordinación salientes</w:t>
      </w:r>
    </w:p>
    <w:p w:rsidR="00381886" w:rsidRPr="008D41BE" w:rsidRDefault="008D41BE" w:rsidP="008D41BE">
      <w:pPr>
        <w:pStyle w:val="enumlev1"/>
      </w:pPr>
      <w:r>
        <w:t>23</w:t>
      </w:r>
      <w:r>
        <w:tab/>
      </w:r>
      <w:r w:rsidR="00381886" w:rsidRPr="008D41BE">
        <w:t>Futuras actividades</w:t>
      </w:r>
    </w:p>
    <w:p w:rsidR="00381886" w:rsidRPr="008D41BE" w:rsidRDefault="008D41BE" w:rsidP="008D41BE">
      <w:pPr>
        <w:pStyle w:val="enumlev2"/>
      </w:pPr>
      <w:r>
        <w:t>a)</w:t>
      </w:r>
      <w:r>
        <w:tab/>
      </w:r>
      <w:r w:rsidR="00381886" w:rsidRPr="008D41BE">
        <w:t xml:space="preserve">Reuniones previstas en 2018 </w:t>
      </w:r>
    </w:p>
    <w:p w:rsidR="00381886" w:rsidRPr="008D41BE" w:rsidRDefault="008D41BE" w:rsidP="008D41BE">
      <w:pPr>
        <w:pStyle w:val="enumlev2"/>
      </w:pPr>
      <w:r>
        <w:t>b)</w:t>
      </w:r>
      <w:r>
        <w:tab/>
      </w:r>
      <w:r w:rsidR="00381886" w:rsidRPr="008D41BE">
        <w:t>Reuniones por m</w:t>
      </w:r>
      <w:r w:rsidR="00BA25D2">
        <w:t>edios electrónicos en 2017-2018</w:t>
      </w:r>
    </w:p>
    <w:p w:rsidR="00381886" w:rsidRPr="008D41BE" w:rsidRDefault="008D41BE" w:rsidP="008D41BE">
      <w:pPr>
        <w:pStyle w:val="enumlev1"/>
      </w:pPr>
      <w:r>
        <w:t>24</w:t>
      </w:r>
      <w:r>
        <w:tab/>
      </w:r>
      <w:r w:rsidR="00381886" w:rsidRPr="008D41BE">
        <w:t>Otros asuntos</w:t>
      </w:r>
    </w:p>
    <w:p w:rsidR="00381886" w:rsidRPr="008D41BE" w:rsidRDefault="008D41BE" w:rsidP="008D41BE">
      <w:pPr>
        <w:pStyle w:val="enumlev1"/>
      </w:pPr>
      <w:r>
        <w:t>25</w:t>
      </w:r>
      <w:r>
        <w:tab/>
      </w:r>
      <w:r w:rsidR="00381886" w:rsidRPr="008D41BE">
        <w:t>Clausura de la reunión</w:t>
      </w:r>
    </w:p>
    <w:p w:rsidR="00381886" w:rsidRPr="008D41BE" w:rsidRDefault="00381886" w:rsidP="00665D50">
      <w:pPr>
        <w:pStyle w:val="Note"/>
        <w:spacing w:before="840"/>
      </w:pPr>
      <w:r w:rsidRPr="008D41BE">
        <w:t xml:space="preserve">NOTA: Las actualizaciones del orden del día figuran en el Documento </w:t>
      </w:r>
      <w:hyperlink r:id="rId35" w:history="1">
        <w:r w:rsidRPr="008D41BE">
          <w:rPr>
            <w:rStyle w:val="Hyperlink"/>
          </w:rPr>
          <w:t>TD249</w:t>
        </w:r>
      </w:hyperlink>
      <w:r w:rsidRPr="00B1115F">
        <w:t>.</w:t>
      </w:r>
    </w:p>
    <w:p w:rsidR="00381886" w:rsidRDefault="00381886" w:rsidP="00381886">
      <w:pPr>
        <w:tabs>
          <w:tab w:val="clear" w:pos="794"/>
          <w:tab w:val="clear" w:pos="1191"/>
          <w:tab w:val="clear" w:pos="1588"/>
          <w:tab w:val="clear" w:pos="1985"/>
        </w:tabs>
        <w:overflowPunct/>
        <w:autoSpaceDE/>
        <w:autoSpaceDN/>
        <w:adjustRightInd/>
        <w:spacing w:before="0"/>
        <w:textAlignment w:val="auto"/>
      </w:pPr>
      <w:r>
        <w:br w:type="page"/>
      </w:r>
    </w:p>
    <w:p w:rsidR="00381886" w:rsidRPr="00E04367" w:rsidRDefault="000F09F7" w:rsidP="008D41BE">
      <w:pPr>
        <w:pStyle w:val="AnnexNotitle"/>
      </w:pPr>
      <w:r w:rsidRPr="004C3C1B">
        <w:t xml:space="preserve">ANEXO </w:t>
      </w:r>
      <w:r w:rsidR="00381886" w:rsidRPr="004C3C1B">
        <w:t>C</w:t>
      </w:r>
      <w:r w:rsidR="008D41BE">
        <w:br/>
      </w:r>
      <w:r w:rsidR="008D41BE">
        <w:br/>
      </w:r>
      <w:r w:rsidR="00381886" w:rsidRPr="00E04367">
        <w:t>Proyecto de mandato para un proyecto piloto sobre pequeñ</w:t>
      </w:r>
      <w:r w:rsidR="008D41BE">
        <w:t xml:space="preserve">as </w:t>
      </w:r>
      <w:r w:rsidR="008D41BE">
        <w:br/>
        <w:t>y medianas empresas (PYMES)</w:t>
      </w:r>
    </w:p>
    <w:p w:rsidR="00381886" w:rsidRPr="008D41BE" w:rsidRDefault="00381886" w:rsidP="008D41BE">
      <w:pPr>
        <w:pStyle w:val="enumlev1"/>
        <w:spacing w:before="480"/>
      </w:pPr>
      <w:r w:rsidRPr="008D41BE">
        <w:t>1</w:t>
      </w:r>
      <w:r w:rsidRPr="008D41BE">
        <w:tab/>
        <w:t>En el proyecto piloto relativo a la participación de PYMES podrán participar las Comisiones de Estudio interesadas del UIT-T y del UIT-D.</w:t>
      </w:r>
    </w:p>
    <w:p w:rsidR="00381886" w:rsidRPr="008D41BE" w:rsidRDefault="00381886" w:rsidP="00381886">
      <w:pPr>
        <w:pStyle w:val="enumlev1"/>
      </w:pPr>
      <w:r w:rsidRPr="008D41BE">
        <w:t>2</w:t>
      </w:r>
      <w:r w:rsidRPr="008D41BE">
        <w:tab/>
        <w:t>El proyecto piloto se promocionaría a través de la colaboración entre las Oficinas participantes, organizaciones regionales, las administraciones pertinentes y las oficinas regionales y de zona de la UIT por medio de contactos con PYMES y asociaciones de PYMES.</w:t>
      </w:r>
    </w:p>
    <w:p w:rsidR="00381886" w:rsidRPr="008D41BE" w:rsidRDefault="00381886" w:rsidP="00381886">
      <w:pPr>
        <w:pStyle w:val="enumlev1"/>
      </w:pPr>
      <w:r w:rsidRPr="008D41BE">
        <w:t>3</w:t>
      </w:r>
      <w:r w:rsidRPr="008D41BE">
        <w:tab/>
        <w:t>Las PYMES pueden participar plenamente en las reuniones de las Comisiones de Estudio que lleven a cabo el proyecto piloto, salvo en la toma de decisiones, en particular las funciones de liderazgo, y la adopción de resoluciones o recomendaciones, con independencia de los procedimientos de aprobación.</w:t>
      </w:r>
    </w:p>
    <w:p w:rsidR="00381886" w:rsidRPr="008D41BE" w:rsidRDefault="00381886" w:rsidP="00381886">
      <w:pPr>
        <w:pStyle w:val="enumlev1"/>
      </w:pPr>
      <w:r w:rsidRPr="008D41BE">
        <w:t>4</w:t>
      </w:r>
      <w:r w:rsidRPr="008D41BE">
        <w:tab/>
        <w:t>La solicitud de participación de las PYMES en el proyecto piloto se formulará a través de la administración de que se trate, que debería confirmar que cumplen los criterios nacionales para ser reconocidas como PYMES, incluidos aspectos como el tamaño de la empresa y sus ingresos anuales.</w:t>
      </w:r>
    </w:p>
    <w:p w:rsidR="00381886" w:rsidRPr="008D41BE" w:rsidRDefault="00381886" w:rsidP="00381886">
      <w:pPr>
        <w:pStyle w:val="enumlev1"/>
      </w:pPr>
      <w:r w:rsidRPr="008D41BE">
        <w:t>5</w:t>
      </w:r>
      <w:r w:rsidRPr="008D41BE">
        <w:tab/>
        <w:t>El proyecto piloto duraría hasta la PP-18. La Secretaría proveería un informe de situación al siguiente Consejo, con miras a presentar el informe completo en la PP-18, en particular los beneficios obtenidos, las repercusiones financieras y los retos que deben abordarse.</w:t>
      </w:r>
    </w:p>
    <w:p w:rsidR="00A07793" w:rsidRPr="00F020B8" w:rsidRDefault="00A07793" w:rsidP="0032202E">
      <w:pPr>
        <w:pStyle w:val="Reasons"/>
        <w:rPr>
          <w:lang w:val="es-ES_tradnl"/>
        </w:rPr>
      </w:pPr>
    </w:p>
    <w:p w:rsidR="00A07793" w:rsidRDefault="00A07793">
      <w:pPr>
        <w:jc w:val="center"/>
      </w:pPr>
      <w:r>
        <w:t>______________</w:t>
      </w:r>
    </w:p>
    <w:sectPr w:rsidR="00A07793" w:rsidSect="00381886">
      <w:headerReference w:type="even" r:id="rId36"/>
      <w:headerReference w:type="default" r:id="rId37"/>
      <w:footerReference w:type="first" r:id="rId3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3F" w:rsidRDefault="00972B3F">
      <w:r>
        <w:separator/>
      </w:r>
    </w:p>
  </w:endnote>
  <w:endnote w:type="continuationSeparator" w:id="0">
    <w:p w:rsidR="00972B3F" w:rsidRDefault="0097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86" w:rsidRPr="00F020B8" w:rsidRDefault="00F020B8" w:rsidP="00F020B8">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3F" w:rsidRDefault="00972B3F">
      <w:r>
        <w:t>____________________</w:t>
      </w:r>
    </w:p>
  </w:footnote>
  <w:footnote w:type="continuationSeparator" w:id="0">
    <w:p w:rsidR="00972B3F" w:rsidRDefault="00972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381886" w:rsidRPr="00381886" w:rsidRDefault="00381886" w:rsidP="000F09F7">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A5DA8">
          <w:rPr>
            <w:noProof/>
            <w:sz w:val="18"/>
            <w:szCs w:val="18"/>
          </w:rPr>
          <w:t>6</w:t>
        </w:r>
        <w:r w:rsidRPr="00F55157">
          <w:rPr>
            <w:noProof/>
            <w:sz w:val="18"/>
            <w:szCs w:val="18"/>
          </w:rPr>
          <w:fldChar w:fldCharType="end"/>
        </w:r>
        <w:r>
          <w:rPr>
            <w:noProof/>
            <w:sz w:val="18"/>
            <w:szCs w:val="18"/>
          </w:rPr>
          <w:t xml:space="preserve"> -</w:t>
        </w:r>
        <w:r w:rsidR="000F09F7">
          <w:rPr>
            <w:noProof/>
            <w:sz w:val="18"/>
            <w:szCs w:val="18"/>
          </w:rPr>
          <w:br/>
        </w:r>
        <w:r w:rsidR="000F09F7" w:rsidRPr="001A50AB">
          <w:rPr>
            <w:bCs/>
            <w:sz w:val="18"/>
            <w:szCs w:val="18"/>
          </w:rPr>
          <w:t>Carta Colectiva TSB 2/</w:t>
        </w:r>
        <w:r w:rsidR="000F09F7">
          <w:rPr>
            <w:bCs/>
            <w:sz w:val="18"/>
            <w:szCs w:val="18"/>
          </w:rPr>
          <w:t>20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483253"/>
      <w:docPartObj>
        <w:docPartGallery w:val="Page Numbers (Top of Page)"/>
        <w:docPartUnique/>
      </w:docPartObj>
    </w:sdtPr>
    <w:sdtEndPr>
      <w:rPr>
        <w:noProof/>
        <w:sz w:val="18"/>
        <w:szCs w:val="18"/>
      </w:rPr>
    </w:sdtEndPr>
    <w:sdtContent>
      <w:p w:rsidR="00381886" w:rsidRPr="00381886" w:rsidRDefault="00381886" w:rsidP="000F09F7">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A5DA8">
          <w:rPr>
            <w:noProof/>
            <w:sz w:val="18"/>
            <w:szCs w:val="18"/>
          </w:rPr>
          <w:t>7</w:t>
        </w:r>
        <w:r w:rsidRPr="00F55157">
          <w:rPr>
            <w:noProof/>
            <w:sz w:val="18"/>
            <w:szCs w:val="18"/>
          </w:rPr>
          <w:fldChar w:fldCharType="end"/>
        </w:r>
        <w:r>
          <w:rPr>
            <w:noProof/>
            <w:sz w:val="18"/>
            <w:szCs w:val="18"/>
          </w:rPr>
          <w:t xml:space="preserve"> -</w:t>
        </w:r>
        <w:r w:rsidR="000F09F7">
          <w:rPr>
            <w:noProof/>
            <w:sz w:val="18"/>
            <w:szCs w:val="18"/>
          </w:rPr>
          <w:br/>
        </w:r>
        <w:r w:rsidR="000F09F7" w:rsidRPr="001A50AB">
          <w:rPr>
            <w:bCs/>
            <w:sz w:val="18"/>
            <w:szCs w:val="18"/>
          </w:rPr>
          <w:t>Carta Colectiva TSB 2/</w:t>
        </w:r>
        <w:r w:rsidR="000F09F7">
          <w:rPr>
            <w:bCs/>
            <w:sz w:val="18"/>
            <w:szCs w:val="18"/>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AEA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6A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1E3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6B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D2B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C1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D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00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A86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23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5"/>
  </w:num>
  <w:num w:numId="3">
    <w:abstractNumId w:val="14"/>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09F7"/>
    <w:rsid w:val="000F67AE"/>
    <w:rsid w:val="00114963"/>
    <w:rsid w:val="001173CC"/>
    <w:rsid w:val="00126D02"/>
    <w:rsid w:val="00131757"/>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C1570"/>
    <w:rsid w:val="002E261D"/>
    <w:rsid w:val="00303D62"/>
    <w:rsid w:val="00313DBB"/>
    <w:rsid w:val="00324783"/>
    <w:rsid w:val="00327BC9"/>
    <w:rsid w:val="00335367"/>
    <w:rsid w:val="0033768F"/>
    <w:rsid w:val="00370C2D"/>
    <w:rsid w:val="00381886"/>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A5DA8"/>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22CE3"/>
    <w:rsid w:val="00635FA2"/>
    <w:rsid w:val="0064235A"/>
    <w:rsid w:val="00647213"/>
    <w:rsid w:val="00653A0E"/>
    <w:rsid w:val="00653B29"/>
    <w:rsid w:val="00665D50"/>
    <w:rsid w:val="0067009C"/>
    <w:rsid w:val="006760CF"/>
    <w:rsid w:val="006969B4"/>
    <w:rsid w:val="006A0C05"/>
    <w:rsid w:val="006A335A"/>
    <w:rsid w:val="006B5061"/>
    <w:rsid w:val="006E24F0"/>
    <w:rsid w:val="006F6581"/>
    <w:rsid w:val="007128A1"/>
    <w:rsid w:val="00715D93"/>
    <w:rsid w:val="00720BA2"/>
    <w:rsid w:val="007220D5"/>
    <w:rsid w:val="00781E2A"/>
    <w:rsid w:val="007A6373"/>
    <w:rsid w:val="007B34FB"/>
    <w:rsid w:val="007F3BF2"/>
    <w:rsid w:val="008134A7"/>
    <w:rsid w:val="00823E22"/>
    <w:rsid w:val="008258C2"/>
    <w:rsid w:val="00833CCA"/>
    <w:rsid w:val="00846D89"/>
    <w:rsid w:val="00847901"/>
    <w:rsid w:val="008505BD"/>
    <w:rsid w:val="00850C78"/>
    <w:rsid w:val="00855B98"/>
    <w:rsid w:val="008C17AD"/>
    <w:rsid w:val="008D02CD"/>
    <w:rsid w:val="008D41BE"/>
    <w:rsid w:val="008F29BD"/>
    <w:rsid w:val="0091255A"/>
    <w:rsid w:val="00934054"/>
    <w:rsid w:val="0095172A"/>
    <w:rsid w:val="00963CD8"/>
    <w:rsid w:val="00972B3F"/>
    <w:rsid w:val="00975A06"/>
    <w:rsid w:val="009900B7"/>
    <w:rsid w:val="009D3E5C"/>
    <w:rsid w:val="009D4C42"/>
    <w:rsid w:val="009F0942"/>
    <w:rsid w:val="00A07793"/>
    <w:rsid w:val="00A119A2"/>
    <w:rsid w:val="00A41330"/>
    <w:rsid w:val="00A42718"/>
    <w:rsid w:val="00A54E47"/>
    <w:rsid w:val="00A6120F"/>
    <w:rsid w:val="00A85283"/>
    <w:rsid w:val="00AA30D4"/>
    <w:rsid w:val="00AD1512"/>
    <w:rsid w:val="00AE7093"/>
    <w:rsid w:val="00AF276D"/>
    <w:rsid w:val="00B07A99"/>
    <w:rsid w:val="00B17920"/>
    <w:rsid w:val="00B321C3"/>
    <w:rsid w:val="00B422BC"/>
    <w:rsid w:val="00B43F77"/>
    <w:rsid w:val="00B44D9D"/>
    <w:rsid w:val="00B616C2"/>
    <w:rsid w:val="00B95F0A"/>
    <w:rsid w:val="00B96180"/>
    <w:rsid w:val="00BA25D2"/>
    <w:rsid w:val="00BC172A"/>
    <w:rsid w:val="00BD561E"/>
    <w:rsid w:val="00C0097C"/>
    <w:rsid w:val="00C01EC5"/>
    <w:rsid w:val="00C05882"/>
    <w:rsid w:val="00C17AC0"/>
    <w:rsid w:val="00C24BFC"/>
    <w:rsid w:val="00C31ED4"/>
    <w:rsid w:val="00C34772"/>
    <w:rsid w:val="00C36657"/>
    <w:rsid w:val="00C44C79"/>
    <w:rsid w:val="00C50A2D"/>
    <w:rsid w:val="00C71699"/>
    <w:rsid w:val="00C717E3"/>
    <w:rsid w:val="00CB3300"/>
    <w:rsid w:val="00CC1DE4"/>
    <w:rsid w:val="00CC2C80"/>
    <w:rsid w:val="00D027A3"/>
    <w:rsid w:val="00D119EC"/>
    <w:rsid w:val="00DA1317"/>
    <w:rsid w:val="00DA16FC"/>
    <w:rsid w:val="00DA7E46"/>
    <w:rsid w:val="00DD77C9"/>
    <w:rsid w:val="00DD7900"/>
    <w:rsid w:val="00DF4D66"/>
    <w:rsid w:val="00DF5926"/>
    <w:rsid w:val="00DF61F3"/>
    <w:rsid w:val="00E120CC"/>
    <w:rsid w:val="00E5040E"/>
    <w:rsid w:val="00E764E2"/>
    <w:rsid w:val="00E81A56"/>
    <w:rsid w:val="00E839B0"/>
    <w:rsid w:val="00E85734"/>
    <w:rsid w:val="00E92C09"/>
    <w:rsid w:val="00EA3374"/>
    <w:rsid w:val="00EB4E19"/>
    <w:rsid w:val="00EF4FA4"/>
    <w:rsid w:val="00F020B8"/>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38188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1886"/>
    <w:rPr>
      <w:rFonts w:asciiTheme="minorHAnsi" w:hAnsiTheme="minorHAnsi"/>
      <w:sz w:val="24"/>
      <w:lang w:val="es-ES_tradnl" w:eastAsia="en-US"/>
    </w:rPr>
  </w:style>
  <w:style w:type="paragraph" w:customStyle="1" w:styleId="Reasons">
    <w:name w:val="Reasons"/>
    <w:basedOn w:val="Normal"/>
    <w:qFormat/>
    <w:rsid w:val="003818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38188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381886"/>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ITU-T/studygroups/com20" TargetMode="External"/><Relationship Id="rId26" Type="http://schemas.openxmlformats.org/officeDocument/2006/relationships/hyperlink" Target="http://itu.int/ITU-T/go/e-pr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en/ITU-T/info/Documents/Visa-support-letter_MODEL.pdf"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sbreg@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www.itu.int/trave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s/ITU-T/studygroups/2017-2020/20/Pages/default.aspx" TargetMode="External"/><Relationship Id="rId23" Type="http://schemas.openxmlformats.org/officeDocument/2006/relationships/hyperlink" Target="http://www.itu.int/ITU-T/edh/faqs-support.html" TargetMode="External"/><Relationship Id="rId28" Type="http://schemas.openxmlformats.org/officeDocument/2006/relationships/hyperlink" Target="mailto:tsbreg@itu.int" TargetMode="External"/><Relationship Id="rId36" Type="http://schemas.openxmlformats.org/officeDocument/2006/relationships/header" Target="header1.xml"/><Relationship Id="rId10" Type="http://schemas.openxmlformats.org/officeDocument/2006/relationships/hyperlink" Target="http://itu.int/go/tsg20" TargetMode="External"/><Relationship Id="rId19" Type="http://schemas.openxmlformats.org/officeDocument/2006/relationships/image" Target="media/image2.png"/><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www.itu.int/en/ITU-T/studygroups/2017-2020/20/Documents/SG20_Fellowships_september17.doc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www.itu.int/en/ITU-T/info/Documents/Newcomer-Guide-201701.pdf" TargetMode="External"/><Relationship Id="rId35" Type="http://schemas.openxmlformats.org/officeDocument/2006/relationships/hyperlink" Target="https://www.itu.int/md/T17-SG20-170904-TD-GEN-0249/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2C361-D74C-492A-B278-F1CA2A6C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1809</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13101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12</cp:revision>
  <cp:lastPrinted>2017-07-18T13:47:00Z</cp:lastPrinted>
  <dcterms:created xsi:type="dcterms:W3CDTF">2017-07-14T07:39:00Z</dcterms:created>
  <dcterms:modified xsi:type="dcterms:W3CDTF">2017-07-18T13:49:00Z</dcterms:modified>
</cp:coreProperties>
</file>