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6F405C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6F405C" w:rsidRDefault="00036F4F" w:rsidP="00D85D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405C">
              <w:rPr>
                <w:noProof/>
                <w:lang w:val="en-US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6F405C" w:rsidRDefault="00036F4F" w:rsidP="00D85D8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F405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36F4F" w:rsidRPr="006F405C" w:rsidRDefault="00036F4F" w:rsidP="00D85D8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6F405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F405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6F405C" w:rsidRDefault="00036F4F" w:rsidP="00D85D8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6F405C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F405C" w:rsidRDefault="00036F4F" w:rsidP="00D85D8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F405C" w:rsidRDefault="00036F4F" w:rsidP="00D85D8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F405C" w:rsidRDefault="00036F4F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F405C">
              <w:t>Genève, le</w:t>
            </w:r>
            <w:r w:rsidR="00366447" w:rsidRPr="006F405C">
              <w:t xml:space="preserve"> 19 février 2019</w:t>
            </w:r>
          </w:p>
        </w:tc>
      </w:tr>
      <w:tr w:rsidR="00833EAA" w:rsidRPr="006F405C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F405C">
              <w:rPr>
                <w:b/>
                <w:bCs/>
              </w:rPr>
              <w:t>Réf.:</w:t>
            </w:r>
          </w:p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:rsidR="00833EAA" w:rsidRPr="006F405C" w:rsidRDefault="00366447" w:rsidP="00D85D86">
            <w:pPr>
              <w:pStyle w:val="Tabletext0"/>
              <w:rPr>
                <w:b/>
                <w:lang w:val="fr-FR"/>
              </w:rPr>
            </w:pPr>
            <w:r w:rsidRPr="006F405C">
              <w:rPr>
                <w:b/>
                <w:szCs w:val="24"/>
                <w:lang w:val="fr-FR"/>
              </w:rPr>
              <w:t xml:space="preserve">Lettre collective TSB </w:t>
            </w:r>
            <w:r w:rsidR="00833EAA" w:rsidRPr="006F405C">
              <w:rPr>
                <w:b/>
                <w:lang w:val="fr-FR"/>
              </w:rPr>
              <w:t xml:space="preserve">2/SG17RG-AFR </w:t>
            </w:r>
          </w:p>
          <w:p w:rsidR="00833EAA" w:rsidRPr="006F405C" w:rsidRDefault="00366447" w:rsidP="00D85D86">
            <w:pPr>
              <w:pStyle w:val="Tabletext0"/>
              <w:rPr>
                <w:lang w:val="fr-FR"/>
              </w:rPr>
            </w:pPr>
            <w:r w:rsidRPr="006F405C">
              <w:rPr>
                <w:b/>
                <w:szCs w:val="24"/>
                <w:lang w:val="fr-FR"/>
              </w:rPr>
              <w:t xml:space="preserve">Lettre collective TSB </w:t>
            </w:r>
            <w:r w:rsidR="00833EAA" w:rsidRPr="006F405C">
              <w:rPr>
                <w:b/>
                <w:lang w:val="fr-FR"/>
              </w:rPr>
              <w:t>3/SG17RG-ARB</w:t>
            </w:r>
            <w:r w:rsidR="00833EAA" w:rsidRPr="006F405C">
              <w:rPr>
                <w:lang w:val="fr-FR"/>
              </w:rPr>
              <w:t xml:space="preserve"> </w:t>
            </w:r>
          </w:p>
          <w:p w:rsidR="00833EAA" w:rsidRPr="006F405C" w:rsidRDefault="00D1494F" w:rsidP="00D85D8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F405C">
              <w:t xml:space="preserve">CE </w:t>
            </w:r>
            <w:r w:rsidR="00833EAA" w:rsidRPr="006F405C">
              <w:t>17/XY</w:t>
            </w:r>
          </w:p>
        </w:tc>
        <w:tc>
          <w:tcPr>
            <w:tcW w:w="5046" w:type="dxa"/>
            <w:gridSpan w:val="3"/>
            <w:vMerge w:val="restart"/>
          </w:tcPr>
          <w:p w:rsidR="00833EAA" w:rsidRPr="006F405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0" w:name="Addressee_F"/>
            <w:bookmarkEnd w:id="0"/>
            <w:r w:rsidRPr="006F405C">
              <w:t>–</w:t>
            </w:r>
            <w:r w:rsidR="00833EAA" w:rsidRPr="006F405C">
              <w:tab/>
            </w:r>
            <w:r w:rsidRPr="006F405C">
              <w:rPr>
                <w:szCs w:val="24"/>
              </w:rPr>
              <w:t>Aux membres du Groupe régional de la Commission d'études 17 pour l'Afrique (SG17RG-AFR);</w:t>
            </w:r>
          </w:p>
          <w:p w:rsidR="00366447" w:rsidRPr="006F405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F405C">
              <w:t>–</w:t>
            </w:r>
            <w:r w:rsidRPr="006F405C">
              <w:tab/>
            </w:r>
            <w:r w:rsidR="00D1494F" w:rsidRPr="006F405C">
              <w:rPr>
                <w:szCs w:val="24"/>
              </w:rPr>
              <w:t xml:space="preserve">Aux membres du Groupe régional de la Commission d'études 17 pour les Etats arabes </w:t>
            </w:r>
            <w:r w:rsidRPr="006F405C">
              <w:t>(SG17RG-ARB);</w:t>
            </w:r>
          </w:p>
          <w:p w:rsidR="00366447" w:rsidRPr="006F405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6F405C">
              <w:t>–</w:t>
            </w:r>
            <w:r w:rsidRPr="006F405C">
              <w:tab/>
            </w:r>
            <w:r w:rsidR="00D02BBB">
              <w:t xml:space="preserve">Au </w:t>
            </w:r>
            <w:r w:rsidRPr="006F405C">
              <w:rPr>
                <w:szCs w:val="24"/>
              </w:rPr>
              <w:t xml:space="preserve">Bureau de zone de l'UIT </w:t>
            </w:r>
            <w:r w:rsidR="00D1494F" w:rsidRPr="006F405C">
              <w:rPr>
                <w:szCs w:val="24"/>
              </w:rPr>
              <w:t>pour l'Afrique</w:t>
            </w:r>
            <w:r w:rsidRPr="006F405C">
              <w:rPr>
                <w:szCs w:val="24"/>
              </w:rPr>
              <w:t>;</w:t>
            </w:r>
          </w:p>
          <w:p w:rsidR="00366447" w:rsidRPr="006F405C" w:rsidRDefault="00366447" w:rsidP="00D85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F405C">
              <w:t>–</w:t>
            </w:r>
            <w:r w:rsidRPr="006F405C">
              <w:tab/>
            </w:r>
            <w:r w:rsidR="00D02BBB">
              <w:t xml:space="preserve">Au </w:t>
            </w:r>
            <w:r w:rsidRPr="006F405C">
              <w:rPr>
                <w:szCs w:val="24"/>
              </w:rPr>
              <w:t xml:space="preserve">Bureau de zone de l'UIT </w:t>
            </w:r>
            <w:r w:rsidR="00D1494F" w:rsidRPr="006F405C">
              <w:rPr>
                <w:szCs w:val="24"/>
              </w:rPr>
              <w:t>pour les Etats arabes</w:t>
            </w:r>
          </w:p>
        </w:tc>
      </w:tr>
      <w:tr w:rsidR="00833EAA" w:rsidRPr="006F405C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F405C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:rsidR="00833EAA" w:rsidRPr="006F405C" w:rsidRDefault="00833EAA" w:rsidP="00D85D86">
            <w:pPr>
              <w:tabs>
                <w:tab w:val="left" w:pos="4111"/>
              </w:tabs>
              <w:spacing w:before="0"/>
              <w:ind w:left="57"/>
            </w:pPr>
            <w:r w:rsidRPr="006F405C">
              <w:t>+41 22 730 6206</w:t>
            </w:r>
          </w:p>
        </w:tc>
        <w:tc>
          <w:tcPr>
            <w:tcW w:w="5046" w:type="dxa"/>
            <w:gridSpan w:val="3"/>
            <w:vMerge/>
          </w:tcPr>
          <w:p w:rsidR="00833EAA" w:rsidRPr="006F405C" w:rsidRDefault="00833EAA" w:rsidP="00D85D8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833EAA" w:rsidRPr="006F405C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F405C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:rsidR="00833EAA" w:rsidRPr="006F405C" w:rsidRDefault="00833EAA" w:rsidP="00D85D86">
            <w:pPr>
              <w:tabs>
                <w:tab w:val="left" w:pos="4111"/>
              </w:tabs>
              <w:spacing w:before="0"/>
              <w:ind w:left="57"/>
            </w:pPr>
            <w:r w:rsidRPr="006F405C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833EAA" w:rsidRPr="006F405C" w:rsidRDefault="00833EAA" w:rsidP="00D85D8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833EAA" w:rsidRPr="006F405C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6F405C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:rsidR="00833EAA" w:rsidRPr="006F405C" w:rsidRDefault="00F03CE6" w:rsidP="00D85D8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33EAA" w:rsidRPr="006F405C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  <w:gridSpan w:val="3"/>
            <w:vMerge/>
          </w:tcPr>
          <w:p w:rsidR="00833EAA" w:rsidRPr="006F405C" w:rsidRDefault="00833EAA" w:rsidP="00D85D8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833EAA" w:rsidRPr="006F405C" w:rsidTr="00151B31">
        <w:trPr>
          <w:gridBefore w:val="1"/>
          <w:wBefore w:w="8" w:type="dxa"/>
          <w:cantSplit/>
          <w:trHeight w:val="1425"/>
        </w:trPr>
        <w:tc>
          <w:tcPr>
            <w:tcW w:w="822" w:type="dxa"/>
          </w:tcPr>
          <w:p w:rsidR="00833EAA" w:rsidRPr="006F405C" w:rsidRDefault="00833EAA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6F405C">
              <w:rPr>
                <w:b/>
                <w:bCs/>
              </w:rPr>
              <w:t>Web</w:t>
            </w:r>
          </w:p>
        </w:tc>
        <w:tc>
          <w:tcPr>
            <w:tcW w:w="4055" w:type="dxa"/>
            <w:gridSpan w:val="3"/>
          </w:tcPr>
          <w:p w:rsidR="00833EAA" w:rsidRPr="006F405C" w:rsidRDefault="00F03CE6" w:rsidP="00D85D86">
            <w:pPr>
              <w:pStyle w:val="Tabletext0"/>
              <w:rPr>
                <w:rStyle w:val="Hyperlink"/>
                <w:rFonts w:eastAsiaTheme="majorEastAsia"/>
                <w:color w:val="auto"/>
                <w:szCs w:val="24"/>
                <w:u w:val="none"/>
                <w:lang w:val="fr-FR"/>
              </w:rPr>
            </w:pPr>
            <w:hyperlink r:id="rId10" w:history="1">
              <w:r w:rsidR="00833EAA" w:rsidRPr="00151B31">
                <w:rPr>
                  <w:rStyle w:val="Hyperlink"/>
                  <w:rFonts w:eastAsiaTheme="majorEastAsia"/>
                  <w:sz w:val="24"/>
                  <w:szCs w:val="28"/>
                  <w:lang w:val="fr-FR"/>
                </w:rPr>
                <w:t>www.itu.int/en/ITU-T/studygroups/2017-2020/17/sg17rgafr</w:t>
              </w:r>
            </w:hyperlink>
            <w:r w:rsidR="00833EAA" w:rsidRPr="00151B31">
              <w:rPr>
                <w:rStyle w:val="Hyperlink"/>
                <w:rFonts w:eastAsiaTheme="majorEastAsia"/>
                <w:sz w:val="24"/>
                <w:szCs w:val="28"/>
                <w:lang w:val="fr-FR"/>
              </w:rPr>
              <w:br/>
            </w:r>
            <w:hyperlink r:id="rId11" w:history="1">
              <w:r w:rsidR="00833EAA" w:rsidRPr="00151B31">
                <w:rPr>
                  <w:rStyle w:val="Hyperlink"/>
                  <w:rFonts w:eastAsiaTheme="majorEastAsia"/>
                  <w:sz w:val="24"/>
                  <w:szCs w:val="28"/>
                  <w:lang w:val="fr-FR"/>
                </w:rPr>
                <w:t>www.itu.int/en/ITU-T/studygroups/2017-2020/17/sg17rgarb</w:t>
              </w:r>
            </w:hyperlink>
          </w:p>
        </w:tc>
        <w:tc>
          <w:tcPr>
            <w:tcW w:w="5046" w:type="dxa"/>
            <w:gridSpan w:val="3"/>
            <w:vMerge/>
          </w:tcPr>
          <w:p w:rsidR="00833EAA" w:rsidRPr="006F405C" w:rsidRDefault="00833EAA" w:rsidP="00D85D8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F405C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:rsidR="00517A03" w:rsidRPr="006F405C" w:rsidRDefault="00517A03" w:rsidP="00D85D8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6F405C">
              <w:rPr>
                <w:b/>
                <w:bCs/>
                <w:sz w:val="22"/>
              </w:rPr>
              <w:t>Objet:</w:t>
            </w:r>
          </w:p>
        </w:tc>
        <w:tc>
          <w:tcPr>
            <w:tcW w:w="9093" w:type="dxa"/>
            <w:gridSpan w:val="5"/>
          </w:tcPr>
          <w:p w:rsidR="00517A03" w:rsidRPr="006F405C" w:rsidRDefault="005C1433" w:rsidP="00D85D8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6F405C">
              <w:rPr>
                <w:b/>
                <w:bCs/>
              </w:rPr>
              <w:t xml:space="preserve">Réunion commune des Groupes régionaux de la </w:t>
            </w:r>
            <w:r w:rsidR="00C44F91">
              <w:rPr>
                <w:b/>
                <w:bCs/>
              </w:rPr>
              <w:t>Commission d'études 17 de l'UIT-</w:t>
            </w:r>
            <w:r w:rsidRPr="006F405C">
              <w:rPr>
                <w:b/>
                <w:bCs/>
              </w:rPr>
              <w:t>T pour l'Afrique (</w:t>
            </w:r>
            <w:r w:rsidR="00833EAA" w:rsidRPr="006F405C">
              <w:rPr>
                <w:b/>
                <w:bCs/>
              </w:rPr>
              <w:t xml:space="preserve">SG17RG-AFR) </w:t>
            </w:r>
            <w:r w:rsidRPr="006F405C">
              <w:rPr>
                <w:b/>
                <w:bCs/>
              </w:rPr>
              <w:t xml:space="preserve">et pour les Etats arabes </w:t>
            </w:r>
            <w:r w:rsidR="00833EAA" w:rsidRPr="006F405C">
              <w:rPr>
                <w:b/>
                <w:bCs/>
              </w:rPr>
              <w:t>(SG17RG-ARB), Tunis, Tunisie, 2-3 avril 2019</w:t>
            </w:r>
          </w:p>
        </w:tc>
      </w:tr>
    </w:tbl>
    <w:p w:rsidR="00151B31" w:rsidRDefault="00151B31" w:rsidP="00D85D86">
      <w:bookmarkStart w:id="1" w:name="StartTyping_F"/>
      <w:bookmarkEnd w:id="1"/>
    </w:p>
    <w:p w:rsidR="00517A03" w:rsidRPr="006F405C" w:rsidRDefault="00517A03" w:rsidP="00D85D86">
      <w:r w:rsidRPr="006F405C">
        <w:t>Madame, Monsieur,</w:t>
      </w:r>
    </w:p>
    <w:p w:rsidR="00366447" w:rsidRPr="006F405C" w:rsidRDefault="005C1433" w:rsidP="00151B31">
      <w:r w:rsidRPr="006F405C">
        <w:t xml:space="preserve">Nous avons l'honneur de vous informer qu'à l'aimable invitation de l'Organisation arabe des technologies </w:t>
      </w:r>
      <w:r w:rsidR="00D02BBB" w:rsidRPr="006F405C">
        <w:t xml:space="preserve">de l'information </w:t>
      </w:r>
      <w:r w:rsidR="00D02BBB">
        <w:t>et de la communication</w:t>
      </w:r>
      <w:r w:rsidRPr="006F405C">
        <w:t xml:space="preserve"> </w:t>
      </w:r>
      <w:r w:rsidR="00366447" w:rsidRPr="006F405C">
        <w:t xml:space="preserve">(AICTO) </w:t>
      </w:r>
      <w:r w:rsidR="00D02BBB">
        <w:t>et de l'</w:t>
      </w:r>
      <w:r w:rsidRPr="006F405C">
        <w:t xml:space="preserve">Agence nationale de certification électronique </w:t>
      </w:r>
      <w:r w:rsidR="00D02BBB">
        <w:t>(</w:t>
      </w:r>
      <w:r w:rsidR="00D02BBB" w:rsidRPr="006F405C">
        <w:t>ANCE</w:t>
      </w:r>
      <w:r w:rsidR="00D02BBB">
        <w:t>)</w:t>
      </w:r>
      <w:r w:rsidR="00D02BBB" w:rsidRPr="006F405C">
        <w:t xml:space="preserve"> </w:t>
      </w:r>
      <w:r w:rsidRPr="006F405C">
        <w:t>de la Tunisie</w:t>
      </w:r>
      <w:r w:rsidR="00151B31">
        <w:t>,</w:t>
      </w:r>
      <w:r w:rsidR="00366447" w:rsidRPr="006F405C">
        <w:t xml:space="preserve"> </w:t>
      </w:r>
      <w:r w:rsidRPr="006F405C">
        <w:t>les Groupes régi</w:t>
      </w:r>
      <w:r w:rsidR="00C12F78">
        <w:t>onaux de la Commission d'études </w:t>
      </w:r>
      <w:r w:rsidRPr="006F405C">
        <w:t xml:space="preserve">17 de l'UIT-T pour l'Afrique </w:t>
      </w:r>
      <w:r w:rsidR="00366447" w:rsidRPr="006F405C">
        <w:t>(</w:t>
      </w:r>
      <w:hyperlink r:id="rId12" w:history="1">
        <w:r w:rsidR="00366447" w:rsidRPr="006F405C">
          <w:rPr>
            <w:rStyle w:val="Hyperlink"/>
          </w:rPr>
          <w:t>SG17RG-AFR</w:t>
        </w:r>
      </w:hyperlink>
      <w:r w:rsidR="00366447" w:rsidRPr="006F405C">
        <w:t xml:space="preserve">) </w:t>
      </w:r>
      <w:r w:rsidRPr="006F405C">
        <w:t xml:space="preserve">et pour les Etats arabes </w:t>
      </w:r>
      <w:r w:rsidR="00366447" w:rsidRPr="006F405C">
        <w:t>(</w:t>
      </w:r>
      <w:hyperlink r:id="rId13" w:history="1">
        <w:r w:rsidR="00366447" w:rsidRPr="006F405C">
          <w:rPr>
            <w:rStyle w:val="Hyperlink"/>
          </w:rPr>
          <w:t>SG17RG-ARB</w:t>
        </w:r>
      </w:hyperlink>
      <w:r w:rsidR="00366447" w:rsidRPr="006F405C">
        <w:t xml:space="preserve">) </w:t>
      </w:r>
      <w:r w:rsidRPr="006F405C">
        <w:t xml:space="preserve">tiendront une réunion commune à </w:t>
      </w:r>
      <w:r w:rsidR="00366447" w:rsidRPr="006F405C">
        <w:t xml:space="preserve">Tunis, </w:t>
      </w:r>
      <w:r w:rsidRPr="006F405C">
        <w:t xml:space="preserve">les </w:t>
      </w:r>
      <w:r w:rsidR="00366447" w:rsidRPr="006F405C">
        <w:t xml:space="preserve">mardi 2 </w:t>
      </w:r>
      <w:r w:rsidRPr="006F405C">
        <w:t xml:space="preserve">et </w:t>
      </w:r>
      <w:r w:rsidR="00366447" w:rsidRPr="006F405C">
        <w:t>mercredi 3 avril 2019.</w:t>
      </w:r>
    </w:p>
    <w:p w:rsidR="00036F4F" w:rsidRPr="006F405C" w:rsidRDefault="005C1433" w:rsidP="00D85D86">
      <w:pPr>
        <w:rPr>
          <w:rFonts w:cstheme="majorBidi"/>
          <w:szCs w:val="24"/>
        </w:rPr>
      </w:pPr>
      <w:r w:rsidRPr="006F405C">
        <w:t xml:space="preserve">Conformément au § 2.3.3 de la Section 2 de la </w:t>
      </w:r>
      <w:r w:rsidR="006F405C" w:rsidRPr="006F405C">
        <w:t>Résolution</w:t>
      </w:r>
      <w:r w:rsidRPr="006F405C">
        <w:t xml:space="preserve"> 1 de l'AMNT-16, les </w:t>
      </w:r>
      <w:r w:rsidR="00BB277A" w:rsidRPr="006F405C">
        <w:t xml:space="preserve">réunions </w:t>
      </w:r>
      <w:r w:rsidRPr="006F405C">
        <w:t xml:space="preserve">des groupes régionaux sont réservées, en principe, </w:t>
      </w:r>
      <w:r w:rsidR="00782170" w:rsidRPr="006F405C">
        <w:rPr>
          <w:rFonts w:cstheme="majorBidi"/>
          <w:szCs w:val="24"/>
        </w:rPr>
        <w:t>aux délégués et aux représentants des Etats Membres, des Membres de Secteur et des Associés de la Commission d'études 17 de la région.</w:t>
      </w:r>
    </w:p>
    <w:p w:rsidR="00782170" w:rsidRPr="006F405C" w:rsidRDefault="005C1433" w:rsidP="00D85D86">
      <w:r w:rsidRPr="006F405C">
        <w:t>L</w:t>
      </w:r>
      <w:r w:rsidR="00BB277A" w:rsidRPr="006F405C">
        <w:t>a</w:t>
      </w:r>
      <w:r w:rsidRPr="006F405C">
        <w:t xml:space="preserve"> réunion</w:t>
      </w:r>
      <w:r w:rsidR="00BB277A" w:rsidRPr="006F405C">
        <w:t xml:space="preserve"> sera</w:t>
      </w:r>
      <w:r w:rsidRPr="006F405C">
        <w:t xml:space="preserve"> sui</w:t>
      </w:r>
      <w:r w:rsidR="00BB277A" w:rsidRPr="006F405C">
        <w:t>vie</w:t>
      </w:r>
      <w:r w:rsidRPr="006F405C">
        <w:t xml:space="preserve"> du </w:t>
      </w:r>
      <w:r w:rsidRPr="006F405C">
        <w:rPr>
          <w:b/>
        </w:rPr>
        <w:t xml:space="preserve">Deuxième Forum interrégional arabo-africain sur la normalisation consacré à l'utilisation de l'infrastructure de clé publique (PKI) pour instaurer la cyberconfiance </w:t>
      </w:r>
      <w:r w:rsidR="00782170" w:rsidRPr="006F405C">
        <w:rPr>
          <w:b/>
        </w:rPr>
        <w:t>(4-5 avril 2019)</w:t>
      </w:r>
      <w:r w:rsidR="00782170" w:rsidRPr="006F405C">
        <w:t xml:space="preserve">, </w:t>
      </w:r>
      <w:r w:rsidRPr="006F405C">
        <w:t>qui aura lieu au même endroit</w:t>
      </w:r>
      <w:r w:rsidR="00782170" w:rsidRPr="006F405C">
        <w:t>.</w:t>
      </w:r>
    </w:p>
    <w:p w:rsidR="00AE278C" w:rsidRPr="006F405C" w:rsidRDefault="00AE278C" w:rsidP="00D85D86">
      <w:r w:rsidRPr="006F405C">
        <w:rPr>
          <w:rFonts w:cstheme="majorBidi"/>
          <w:szCs w:val="24"/>
        </w:rPr>
        <w:t>Conformément à la Résolution 44 (Rév. Dubaï, 2012)</w:t>
      </w:r>
      <w:r w:rsidRPr="006F405C">
        <w:t xml:space="preserve"> de l'AMNT sur la réduction de l'écart en matière de normalisation, une séance de formation sur ce</w:t>
      </w:r>
      <w:r w:rsidR="00D02BBB">
        <w:t xml:space="preserve"> thème sera organisée lors de cette</w:t>
      </w:r>
      <w:r w:rsidRPr="006F405C">
        <w:t xml:space="preserve"> réunion </w:t>
      </w:r>
      <w:r w:rsidR="00B47499" w:rsidRPr="006F405C">
        <w:t>commune des g</w:t>
      </w:r>
      <w:r w:rsidRPr="006F405C">
        <w:t>roupe</w:t>
      </w:r>
      <w:r w:rsidR="00B47499" w:rsidRPr="006F405C">
        <w:t>s régionaux</w:t>
      </w:r>
      <w:r w:rsidRPr="006F405C">
        <w:t xml:space="preserve">. </w:t>
      </w:r>
      <w:r w:rsidR="00D02BBB">
        <w:t xml:space="preserve">Elle </w:t>
      </w:r>
      <w:r w:rsidRPr="006F405C">
        <w:t>portera sur la meilleure manière de présenter et soumettre des contributions aux commissions d'études de l'UIT-T.</w:t>
      </w:r>
    </w:p>
    <w:p w:rsidR="00AE278C" w:rsidRPr="006F405C" w:rsidRDefault="00B47499" w:rsidP="00D85D86">
      <w:pPr>
        <w:rPr>
          <w:szCs w:val="22"/>
        </w:rPr>
      </w:pPr>
      <w:r w:rsidRPr="006F405C">
        <w:t xml:space="preserve">La réunion s'ouvrira à 9 h 30 le premier jour. L'enregistrement et la distribution des badges sur place commenceront à </w:t>
      </w:r>
      <w:r w:rsidR="00AE278C" w:rsidRPr="006F405C">
        <w:t>8</w:t>
      </w:r>
      <w:r w:rsidRPr="006F405C">
        <w:t> h </w:t>
      </w:r>
      <w:r w:rsidR="00AE278C" w:rsidRPr="006F405C">
        <w:t xml:space="preserve">30 </w:t>
      </w:r>
      <w:r w:rsidRPr="006F405C">
        <w:t>sur le lieu de la réunion</w:t>
      </w:r>
      <w:r w:rsidR="00AE278C" w:rsidRPr="006F405C">
        <w:t xml:space="preserve">. </w:t>
      </w:r>
      <w:r w:rsidRPr="006F405C">
        <w:t>Des renseignements complémentaires sur la réunion sont donnés à l'</w:t>
      </w:r>
      <w:r w:rsidRPr="006F405C">
        <w:rPr>
          <w:b/>
          <w:bCs/>
        </w:rPr>
        <w:t>Annexe A</w:t>
      </w:r>
      <w:r w:rsidRPr="006F405C">
        <w:t xml:space="preserve">. </w:t>
      </w:r>
      <w:r w:rsidR="003E5A7F" w:rsidRPr="006F405C">
        <w:t xml:space="preserve">Des informations détaillées sur le lieu de la réunion, les réservations d'hôtels ainsi que d'autres informations pratiques seront postées à la fois sur le </w:t>
      </w:r>
      <w:hyperlink r:id="rId14" w:history="1">
        <w:r w:rsidR="0040141C" w:rsidRPr="006F405C">
          <w:rPr>
            <w:rStyle w:val="Hyperlink"/>
            <w:szCs w:val="22"/>
          </w:rPr>
          <w:t>site web du Groupe S</w:t>
        </w:r>
        <w:r w:rsidR="00AE278C" w:rsidRPr="006F405C">
          <w:rPr>
            <w:rStyle w:val="Hyperlink"/>
            <w:szCs w:val="22"/>
          </w:rPr>
          <w:t>G17RG-AFR</w:t>
        </w:r>
      </w:hyperlink>
      <w:r w:rsidR="00AE278C" w:rsidRPr="006F405C">
        <w:rPr>
          <w:szCs w:val="22"/>
        </w:rPr>
        <w:t xml:space="preserve"> </w:t>
      </w:r>
      <w:r w:rsidR="0040141C" w:rsidRPr="006F405C">
        <w:rPr>
          <w:szCs w:val="22"/>
        </w:rPr>
        <w:t xml:space="preserve">et sur le </w:t>
      </w:r>
      <w:hyperlink r:id="rId15" w:history="1">
        <w:hyperlink r:id="rId16" w:history="1">
          <w:r w:rsidR="0040141C" w:rsidRPr="006F405C">
            <w:rPr>
              <w:rFonts w:eastAsia="MS Mincho"/>
              <w:color w:val="0000FF"/>
              <w:szCs w:val="22"/>
              <w:u w:val="single"/>
            </w:rPr>
            <w:t>site web du Groupe S</w:t>
          </w:r>
          <w:r w:rsidR="00AE278C" w:rsidRPr="006F405C">
            <w:rPr>
              <w:rFonts w:eastAsia="MS Mincho"/>
              <w:color w:val="0000FF"/>
              <w:szCs w:val="22"/>
              <w:u w:val="single"/>
            </w:rPr>
            <w:t>G17RG-ARB</w:t>
          </w:r>
        </w:hyperlink>
      </w:hyperlink>
      <w:r w:rsidR="00AE278C" w:rsidRPr="006F405C">
        <w:rPr>
          <w:szCs w:val="22"/>
        </w:rPr>
        <w:t>.</w:t>
      </w:r>
    </w:p>
    <w:p w:rsidR="00AE278C" w:rsidRPr="006F405C" w:rsidRDefault="00AE278C" w:rsidP="00D85D86">
      <w:r w:rsidRPr="006F405C">
        <w:t xml:space="preserve">Le projet d'ordre du jour de la réunion, </w:t>
      </w:r>
      <w:r w:rsidR="0040141C" w:rsidRPr="006F405C">
        <w:t xml:space="preserve">tel que proposé </w:t>
      </w:r>
      <w:r w:rsidRPr="006F405C">
        <w:t>par le Conseiller de la CE17, est reproduit dans l'</w:t>
      </w:r>
      <w:r w:rsidRPr="006F405C">
        <w:rPr>
          <w:b/>
          <w:bCs/>
        </w:rPr>
        <w:t>Annexe B</w:t>
      </w:r>
      <w:r w:rsidRPr="006F405C">
        <w:t>.</w:t>
      </w:r>
    </w:p>
    <w:p w:rsidR="00AE278C" w:rsidRPr="006F405C" w:rsidRDefault="00AE278C" w:rsidP="00D85D86">
      <w:pPr>
        <w:keepNext/>
        <w:spacing w:after="120"/>
        <w:rPr>
          <w:szCs w:val="24"/>
        </w:rPr>
      </w:pPr>
      <w:r w:rsidRPr="006F405C">
        <w:rPr>
          <w:b/>
          <w:bCs/>
          <w:szCs w:val="24"/>
        </w:rPr>
        <w:lastRenderedPageBreak/>
        <w:t>Principales échéances</w:t>
      </w:r>
      <w:r w:rsidRPr="006F405C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823"/>
      </w:tblGrid>
      <w:tr w:rsidR="00AE278C" w:rsidRPr="006F405C" w:rsidTr="00AE278C">
        <w:tc>
          <w:tcPr>
            <w:tcW w:w="1896" w:type="dxa"/>
            <w:shd w:val="clear" w:color="auto" w:fill="auto"/>
            <w:vAlign w:val="center"/>
          </w:tcPr>
          <w:p w:rsidR="00AE278C" w:rsidRPr="006F405C" w:rsidRDefault="00AE278C" w:rsidP="00C44F91">
            <w:pPr>
              <w:pStyle w:val="TableText"/>
              <w:keepNext/>
              <w:rPr>
                <w:szCs w:val="22"/>
              </w:rPr>
            </w:pPr>
            <w:r w:rsidRPr="006F405C">
              <w:rPr>
                <w:szCs w:val="22"/>
              </w:rPr>
              <w:t>5 mars 2019</w:t>
            </w:r>
          </w:p>
        </w:tc>
        <w:tc>
          <w:tcPr>
            <w:tcW w:w="7823" w:type="dxa"/>
            <w:shd w:val="clear" w:color="auto" w:fill="auto"/>
            <w:vAlign w:val="center"/>
          </w:tcPr>
          <w:p w:rsidR="00AE278C" w:rsidRPr="006F405C" w:rsidRDefault="00AE278C" w:rsidP="00C44F91">
            <w:pPr>
              <w:pStyle w:val="enumlev1"/>
              <w:keepNext/>
              <w:tabs>
                <w:tab w:val="clear" w:pos="794"/>
              </w:tabs>
              <w:ind w:left="317" w:hanging="317"/>
            </w:pPr>
            <w:r w:rsidRPr="006F405C">
              <w:t>–</w:t>
            </w:r>
            <w:r w:rsidRPr="006F405C">
              <w:tab/>
              <w:t>Soumission des demandes de bourses</w:t>
            </w:r>
            <w:r w:rsidR="0040141C" w:rsidRPr="006F405C">
              <w:t xml:space="preserve"> (au moyen du formulaire d'inscription, voir l'</w:t>
            </w:r>
            <w:r w:rsidRPr="006F405C">
              <w:rPr>
                <w:rFonts w:cstheme="minorHAnsi"/>
                <w:b/>
                <w:szCs w:val="22"/>
              </w:rPr>
              <w:t>Annexe A</w:t>
            </w:r>
            <w:r w:rsidRPr="006F405C">
              <w:t>)</w:t>
            </w:r>
          </w:p>
        </w:tc>
      </w:tr>
      <w:tr w:rsidR="00AE278C" w:rsidRPr="006F405C" w:rsidTr="00AE278C">
        <w:tc>
          <w:tcPr>
            <w:tcW w:w="1896" w:type="dxa"/>
            <w:shd w:val="clear" w:color="auto" w:fill="auto"/>
            <w:vAlign w:val="center"/>
          </w:tcPr>
          <w:p w:rsidR="00AE278C" w:rsidRPr="006F405C" w:rsidRDefault="00AE278C" w:rsidP="00C44F91">
            <w:pPr>
              <w:pStyle w:val="TableText"/>
              <w:keepNext/>
              <w:rPr>
                <w:szCs w:val="22"/>
                <w:highlight w:val="yellow"/>
              </w:rPr>
            </w:pPr>
            <w:r w:rsidRPr="006F405C">
              <w:rPr>
                <w:szCs w:val="22"/>
              </w:rPr>
              <w:t>19 mars 2019</w:t>
            </w:r>
          </w:p>
        </w:tc>
        <w:tc>
          <w:tcPr>
            <w:tcW w:w="7823" w:type="dxa"/>
            <w:shd w:val="clear" w:color="auto" w:fill="auto"/>
            <w:vAlign w:val="center"/>
          </w:tcPr>
          <w:p w:rsidR="00AE278C" w:rsidRPr="006F405C" w:rsidRDefault="00AE278C" w:rsidP="00C44F91">
            <w:pPr>
              <w:pStyle w:val="enumlev1"/>
              <w:keepNext/>
              <w:tabs>
                <w:tab w:val="clear" w:pos="794"/>
              </w:tabs>
              <w:ind w:left="317" w:hanging="317"/>
            </w:pPr>
            <w:r w:rsidRPr="006F405C">
              <w:t>–</w:t>
            </w:r>
            <w:r w:rsidRPr="006F405C">
              <w:tab/>
              <w:t xml:space="preserve">Soumission des contributions des Membres de l'UIT-T </w:t>
            </w:r>
            <w:r w:rsidRPr="006F405C">
              <w:br/>
              <w:t xml:space="preserve">(par courrier électronique à l'adresse </w:t>
            </w:r>
            <w:hyperlink r:id="rId17" w:history="1">
              <w:r w:rsidRPr="006F405C">
                <w:rPr>
                  <w:rStyle w:val="Hyperlink"/>
                  <w:szCs w:val="22"/>
                </w:rPr>
                <w:t>tsbsg17@itu.int</w:t>
              </w:r>
            </w:hyperlink>
            <w:r w:rsidRPr="006F405C">
              <w:t>)</w:t>
            </w:r>
          </w:p>
        </w:tc>
      </w:tr>
      <w:tr w:rsidR="00AE278C" w:rsidRPr="006F405C" w:rsidTr="00AE278C">
        <w:tc>
          <w:tcPr>
            <w:tcW w:w="1896" w:type="dxa"/>
            <w:shd w:val="clear" w:color="auto" w:fill="auto"/>
            <w:vAlign w:val="center"/>
          </w:tcPr>
          <w:p w:rsidR="00AE278C" w:rsidRPr="006F405C" w:rsidRDefault="00AE278C" w:rsidP="00D85D86">
            <w:pPr>
              <w:pStyle w:val="TableText"/>
              <w:rPr>
                <w:szCs w:val="22"/>
                <w:highlight w:val="yellow"/>
              </w:rPr>
            </w:pPr>
            <w:r w:rsidRPr="006F405C">
              <w:rPr>
                <w:szCs w:val="22"/>
              </w:rPr>
              <w:t>30 mars 2019</w:t>
            </w:r>
          </w:p>
        </w:tc>
        <w:tc>
          <w:tcPr>
            <w:tcW w:w="7823" w:type="dxa"/>
            <w:shd w:val="clear" w:color="auto" w:fill="auto"/>
            <w:vAlign w:val="center"/>
          </w:tcPr>
          <w:p w:rsidR="00AE278C" w:rsidRPr="006F405C" w:rsidRDefault="00AE278C" w:rsidP="00D85D86">
            <w:pPr>
              <w:pStyle w:val="enumlev1"/>
              <w:tabs>
                <w:tab w:val="clear" w:pos="794"/>
              </w:tabs>
              <w:ind w:left="317" w:hanging="317"/>
            </w:pPr>
            <w:r w:rsidRPr="006F405C">
              <w:t>–</w:t>
            </w:r>
            <w:r w:rsidRPr="006F405C">
              <w:tab/>
              <w:t xml:space="preserve">Inscription préalable (en ligne sur </w:t>
            </w:r>
            <w:r w:rsidR="0040141C" w:rsidRPr="006F405C">
              <w:t xml:space="preserve">le </w:t>
            </w:r>
            <w:hyperlink r:id="rId18" w:history="1">
              <w:r w:rsidR="0040141C" w:rsidRPr="006F405C">
                <w:rPr>
                  <w:rStyle w:val="Hyperlink"/>
                  <w:szCs w:val="22"/>
                </w:rPr>
                <w:t>site web du Groupe SG17RG-AFR</w:t>
              </w:r>
            </w:hyperlink>
            <w:r w:rsidR="0040141C" w:rsidRPr="006F405C">
              <w:rPr>
                <w:szCs w:val="22"/>
              </w:rPr>
              <w:t xml:space="preserve"> et sur le </w:t>
            </w:r>
            <w:hyperlink r:id="rId19" w:history="1">
              <w:hyperlink r:id="rId20" w:history="1">
                <w:r w:rsidR="0040141C" w:rsidRPr="006F405C">
                  <w:rPr>
                    <w:rFonts w:eastAsia="MS Mincho"/>
                    <w:color w:val="0000FF"/>
                    <w:szCs w:val="22"/>
                    <w:u w:val="single"/>
                  </w:rPr>
                  <w:t>site web du Groupe SG17RG-ARB</w:t>
                </w:r>
              </w:hyperlink>
            </w:hyperlink>
            <w:r w:rsidRPr="006F405C">
              <w:t>)</w:t>
            </w:r>
          </w:p>
          <w:p w:rsidR="00AE278C" w:rsidRPr="006F405C" w:rsidRDefault="00AE278C" w:rsidP="00D85D86">
            <w:pPr>
              <w:pStyle w:val="enumlev1"/>
              <w:tabs>
                <w:tab w:val="clear" w:pos="794"/>
              </w:tabs>
              <w:ind w:left="317" w:hanging="317"/>
            </w:pPr>
            <w:r w:rsidRPr="006F405C">
              <w:t>–</w:t>
            </w:r>
            <w:r w:rsidRPr="006F405C">
              <w:tab/>
              <w:t>Soumission des demandes de lettres pour faciliter l'obtention du visa (des informations pratiques seront diffusées sur</w:t>
            </w:r>
            <w:r w:rsidR="0083775C" w:rsidRPr="006F405C">
              <w:t xml:space="preserve"> la page d'accueil des groupes régionaux</w:t>
            </w:r>
            <w:r w:rsidRPr="006F405C">
              <w:t>)</w:t>
            </w:r>
          </w:p>
        </w:tc>
      </w:tr>
    </w:tbl>
    <w:p w:rsidR="00AE278C" w:rsidRDefault="00AE278C" w:rsidP="006E50DD">
      <w:pPr>
        <w:rPr>
          <w:rFonts w:cstheme="majorBidi"/>
          <w:szCs w:val="24"/>
        </w:rPr>
      </w:pPr>
      <w:r w:rsidRPr="006F405C">
        <w:rPr>
          <w:rFonts w:cstheme="majorBidi"/>
          <w:szCs w:val="24"/>
        </w:rPr>
        <w:t>Je vous souhaite une réunion constructive et agréable.</w:t>
      </w:r>
    </w:p>
    <w:p w:rsidR="00953F35" w:rsidRPr="006F405C" w:rsidRDefault="00953F35" w:rsidP="006E50DD">
      <w:pPr>
        <w:rPr>
          <w:rFonts w:cstheme="majorBidi"/>
          <w:szCs w:val="24"/>
        </w:rPr>
      </w:pPr>
      <w:r w:rsidRPr="006F405C">
        <w:t>Veuillez agréer,</w:t>
      </w:r>
      <w:r w:rsidR="003A43B6">
        <w:t xml:space="preserve"> Madame, M</w:t>
      </w:r>
      <w:bookmarkStart w:id="2" w:name="_GoBack"/>
      <w:bookmarkEnd w:id="2"/>
      <w:r w:rsidR="003A43B6">
        <w:t xml:space="preserve">onsieur, l'assurance </w:t>
      </w:r>
      <w:r w:rsidRPr="006F405C">
        <w:t>de ma haute considération.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2"/>
        <w:gridCol w:w="3107"/>
      </w:tblGrid>
      <w:tr w:rsidR="00AE278C" w:rsidRPr="006F405C" w:rsidTr="003653A0">
        <w:trPr>
          <w:cantSplit/>
          <w:trHeight w:val="1955"/>
        </w:trPr>
        <w:tc>
          <w:tcPr>
            <w:tcW w:w="6663" w:type="dxa"/>
            <w:vMerge w:val="restart"/>
          </w:tcPr>
          <w:p w:rsidR="00AE278C" w:rsidRPr="006F405C" w:rsidRDefault="000336D0" w:rsidP="00D85D86">
            <w:pPr>
              <w:keepNext/>
              <w:keepLines/>
              <w:spacing w:before="480" w:after="480"/>
              <w:rPr>
                <w:i/>
                <w:iCs/>
              </w:rPr>
            </w:pPr>
            <w:r w:rsidRPr="006F405C">
              <w:rPr>
                <w:i/>
                <w:iCs/>
              </w:rPr>
              <w:t>(signé</w:t>
            </w:r>
            <w:r w:rsidR="00AE278C" w:rsidRPr="006F405C">
              <w:rPr>
                <w:i/>
                <w:iCs/>
              </w:rPr>
              <w:t>)</w:t>
            </w:r>
          </w:p>
          <w:p w:rsidR="00AE278C" w:rsidRPr="006F405C" w:rsidRDefault="00AE278C" w:rsidP="00D85D86">
            <w:pPr>
              <w:keepNext/>
              <w:keepLines/>
              <w:spacing w:before="0"/>
              <w:rPr>
                <w:b/>
                <w:bCs/>
              </w:rPr>
            </w:pPr>
            <w:r w:rsidRPr="006F405C">
              <w:rPr>
                <w:szCs w:val="24"/>
              </w:rPr>
              <w:t>Chaesub Lee</w:t>
            </w:r>
            <w:r w:rsidRPr="006F405C">
              <w:br/>
            </w:r>
            <w:r w:rsidR="000336D0" w:rsidRPr="006F405C">
              <w:t xml:space="preserve">Directeur du Bureau de la normalisation </w:t>
            </w:r>
            <w:r w:rsidR="000336D0" w:rsidRPr="006F405C">
              <w:br/>
              <w:t>des télécommunications</w:t>
            </w:r>
          </w:p>
          <w:p w:rsidR="00AE278C" w:rsidRPr="006F405C" w:rsidRDefault="00AE278C" w:rsidP="00D85D86">
            <w:pPr>
              <w:keepNext/>
              <w:keepLines/>
              <w:spacing w:before="0"/>
              <w:rPr>
                <w:b/>
                <w:bCs/>
              </w:rPr>
            </w:pPr>
          </w:p>
          <w:p w:rsidR="00AE278C" w:rsidRPr="006F405C" w:rsidRDefault="00AE278C" w:rsidP="00D85D86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MS Mincho"/>
                <w:szCs w:val="22"/>
              </w:rPr>
            </w:pPr>
            <w:r w:rsidRPr="006F405C">
              <w:rPr>
                <w:rFonts w:eastAsia="MS Mincho"/>
                <w:b/>
                <w:bCs/>
                <w:szCs w:val="22"/>
              </w:rPr>
              <w:t>Annexes</w:t>
            </w:r>
            <w:r w:rsidRPr="006F405C">
              <w:rPr>
                <w:rFonts w:eastAsia="MS Mincho"/>
                <w:szCs w:val="22"/>
              </w:rPr>
              <w:t>: 2</w:t>
            </w:r>
          </w:p>
        </w:tc>
        <w:tc>
          <w:tcPr>
            <w:tcW w:w="3118" w:type="dxa"/>
            <w:textDirection w:val="btLr"/>
            <w:vAlign w:val="center"/>
          </w:tcPr>
          <w:p w:rsidR="00AE278C" w:rsidRPr="006F405C" w:rsidRDefault="00AE278C" w:rsidP="00D85D86">
            <w:pPr>
              <w:keepNext/>
              <w:keepLines/>
              <w:spacing w:before="0"/>
              <w:ind w:left="113" w:right="113"/>
              <w:jc w:val="center"/>
            </w:pPr>
            <w:r w:rsidRPr="006F405C">
              <w:rPr>
                <w:noProof/>
                <w:lang w:val="en-US" w:eastAsia="zh-CN"/>
              </w:rPr>
              <w:drawing>
                <wp:inline distT="0" distB="0" distL="0" distR="0" wp14:anchorId="78FF97D7" wp14:editId="00711D0D">
                  <wp:extent cx="942449" cy="942449"/>
                  <wp:effectExtent l="0" t="0" r="0" b="0"/>
                  <wp:docPr id="13" name="Picture 13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92" cy="99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405C">
              <w:rPr>
                <w:rFonts w:ascii="Calibri" w:hAnsi="Calibri" w:cs="Arial"/>
                <w:sz w:val="16"/>
                <w:szCs w:val="16"/>
                <w:lang w:eastAsia="zh-CN"/>
              </w:rPr>
              <w:t xml:space="preserve"> </w:t>
            </w:r>
            <w:r w:rsidRPr="006F405C">
              <w:rPr>
                <w:sz w:val="16"/>
                <w:szCs w:val="16"/>
              </w:rPr>
              <w:t>SG17RG-AFR</w:t>
            </w:r>
            <w:r w:rsidR="00D02BBB">
              <w:rPr>
                <w:sz w:val="16"/>
                <w:szCs w:val="16"/>
              </w:rPr>
              <w:br/>
              <w:t>de l'</w:t>
            </w:r>
            <w:r w:rsidR="00C12F78">
              <w:rPr>
                <w:sz w:val="16"/>
                <w:szCs w:val="16"/>
              </w:rPr>
              <w:t xml:space="preserve"> UIT</w:t>
            </w:r>
            <w:r w:rsidR="00D02BBB" w:rsidRPr="006F405C">
              <w:rPr>
                <w:sz w:val="16"/>
                <w:szCs w:val="16"/>
              </w:rPr>
              <w:t>-T</w:t>
            </w:r>
          </w:p>
        </w:tc>
      </w:tr>
      <w:tr w:rsidR="00AE278C" w:rsidRPr="006F405C" w:rsidTr="003653A0">
        <w:trPr>
          <w:cantSplit/>
          <w:trHeight w:val="1955"/>
        </w:trPr>
        <w:tc>
          <w:tcPr>
            <w:tcW w:w="6663" w:type="dxa"/>
            <w:vMerge/>
          </w:tcPr>
          <w:p w:rsidR="00AE278C" w:rsidRPr="006F405C" w:rsidRDefault="00AE278C" w:rsidP="00D85D86">
            <w:pPr>
              <w:keepNext/>
              <w:keepLines/>
              <w:spacing w:before="480"/>
            </w:pPr>
          </w:p>
        </w:tc>
        <w:tc>
          <w:tcPr>
            <w:tcW w:w="3118" w:type="dxa"/>
            <w:textDirection w:val="btLr"/>
            <w:vAlign w:val="center"/>
          </w:tcPr>
          <w:p w:rsidR="00D02BBB" w:rsidRDefault="00AE278C" w:rsidP="00D85D86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Arial"/>
                <w:sz w:val="16"/>
                <w:szCs w:val="16"/>
                <w:lang w:eastAsia="zh-CN"/>
              </w:rPr>
            </w:pPr>
            <w:r w:rsidRPr="006F405C">
              <w:rPr>
                <w:rFonts w:ascii="Calibri" w:hAnsi="Calibri" w:cs="Arial"/>
                <w:sz w:val="16"/>
                <w:szCs w:val="16"/>
                <w:lang w:eastAsia="zh-CN"/>
              </w:rPr>
              <w:t xml:space="preserve"> </w:t>
            </w:r>
            <w:r w:rsidR="00E611F7">
              <w:rPr>
                <w:noProof/>
                <w:lang w:val="en-US" w:eastAsia="zh-CN"/>
              </w:rPr>
              <w:drawing>
                <wp:inline distT="0" distB="0" distL="0" distR="0" wp14:anchorId="58E384A8" wp14:editId="2B64F673">
                  <wp:extent cx="776351" cy="782076"/>
                  <wp:effectExtent l="0" t="0" r="5080" b="0"/>
                  <wp:docPr id="8" name="Picture 8" descr="cid:image001.png@01D4C83C.D7197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C83C.D7197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22" cy="82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78C" w:rsidRPr="006F405C" w:rsidRDefault="00AE278C" w:rsidP="00D85D86">
            <w:pPr>
              <w:keepNext/>
              <w:keepLines/>
              <w:spacing w:before="0"/>
              <w:ind w:left="113" w:right="113"/>
              <w:jc w:val="center"/>
              <w:rPr>
                <w:noProof/>
                <w:sz w:val="16"/>
                <w:szCs w:val="16"/>
              </w:rPr>
            </w:pPr>
            <w:r w:rsidRPr="006F405C">
              <w:rPr>
                <w:sz w:val="16"/>
                <w:szCs w:val="16"/>
              </w:rPr>
              <w:t>SG17RG-ARB</w:t>
            </w:r>
            <w:r w:rsidR="00D02BBB">
              <w:rPr>
                <w:sz w:val="16"/>
                <w:szCs w:val="16"/>
              </w:rPr>
              <w:br/>
              <w:t>de l'</w:t>
            </w:r>
            <w:r w:rsidR="00C12F78">
              <w:rPr>
                <w:sz w:val="16"/>
                <w:szCs w:val="16"/>
              </w:rPr>
              <w:t xml:space="preserve"> UIT</w:t>
            </w:r>
            <w:r w:rsidR="00D02BBB" w:rsidRPr="006F405C">
              <w:rPr>
                <w:sz w:val="16"/>
                <w:szCs w:val="16"/>
              </w:rPr>
              <w:t>-T</w:t>
            </w:r>
          </w:p>
        </w:tc>
      </w:tr>
      <w:tr w:rsidR="00AE278C" w:rsidRPr="006F405C" w:rsidTr="003653A0">
        <w:trPr>
          <w:cantSplit/>
          <w:trHeight w:val="227"/>
        </w:trPr>
        <w:tc>
          <w:tcPr>
            <w:tcW w:w="6663" w:type="dxa"/>
            <w:vMerge/>
          </w:tcPr>
          <w:p w:rsidR="00AE278C" w:rsidRPr="006F405C" w:rsidRDefault="00AE278C" w:rsidP="00D85D86">
            <w:pPr>
              <w:spacing w:before="480"/>
            </w:pPr>
          </w:p>
        </w:tc>
        <w:tc>
          <w:tcPr>
            <w:tcW w:w="3118" w:type="dxa"/>
            <w:vAlign w:val="center"/>
          </w:tcPr>
          <w:p w:rsidR="00AE278C" w:rsidRPr="006F405C" w:rsidRDefault="006F405C" w:rsidP="00D85D86">
            <w:pPr>
              <w:spacing w:before="0"/>
              <w:jc w:val="center"/>
              <w:rPr>
                <w:rFonts w:ascii="Calibri" w:hAnsi="Calibri" w:cs="Arial"/>
                <w:noProof/>
                <w:sz w:val="16"/>
                <w:szCs w:val="16"/>
                <w:lang w:eastAsia="zh-CN"/>
              </w:rPr>
            </w:pPr>
            <w:r>
              <w:rPr>
                <w:sz w:val="20"/>
                <w:szCs w:val="18"/>
              </w:rPr>
              <w:t>I</w:t>
            </w:r>
            <w:r w:rsidR="00AE278C" w:rsidRPr="006F405C">
              <w:rPr>
                <w:sz w:val="20"/>
                <w:szCs w:val="18"/>
              </w:rPr>
              <w:t>nformation</w:t>
            </w:r>
            <w:r>
              <w:rPr>
                <w:sz w:val="20"/>
                <w:szCs w:val="18"/>
              </w:rPr>
              <w:t>s les plus récentes concernant la réunion</w:t>
            </w:r>
          </w:p>
        </w:tc>
      </w:tr>
    </w:tbl>
    <w:p w:rsidR="00AE278C" w:rsidRPr="006F405C" w:rsidRDefault="00AE278C" w:rsidP="00D85D86">
      <w:pPr>
        <w:rPr>
          <w:rFonts w:cstheme="majorBidi"/>
          <w:szCs w:val="24"/>
        </w:rPr>
      </w:pPr>
    </w:p>
    <w:p w:rsidR="00943C4B" w:rsidRPr="006F405C" w:rsidRDefault="00943C4B" w:rsidP="00D85D86">
      <w:r w:rsidRPr="006F405C">
        <w:br w:type="page"/>
      </w:r>
    </w:p>
    <w:p w:rsidR="00AE278C" w:rsidRPr="006F405C" w:rsidRDefault="00943C4B" w:rsidP="00D85D86">
      <w:pPr>
        <w:pStyle w:val="Annex"/>
        <w:rPr>
          <w:b/>
          <w:bCs/>
          <w:sz w:val="28"/>
          <w:szCs w:val="28"/>
        </w:rPr>
      </w:pPr>
      <w:r w:rsidRPr="006F405C">
        <w:rPr>
          <w:b/>
          <w:bCs/>
          <w:sz w:val="28"/>
          <w:szCs w:val="28"/>
        </w:rPr>
        <w:lastRenderedPageBreak/>
        <w:t>ANNEXE A</w:t>
      </w:r>
    </w:p>
    <w:p w:rsidR="00943C4B" w:rsidRPr="006F405C" w:rsidRDefault="00943C4B" w:rsidP="00D85D86">
      <w:pPr>
        <w:ind w:right="-194"/>
        <w:jc w:val="center"/>
        <w:rPr>
          <w:b/>
          <w:bCs/>
          <w:sz w:val="28"/>
          <w:szCs w:val="28"/>
        </w:rPr>
      </w:pPr>
      <w:r w:rsidRPr="006F405C">
        <w:rPr>
          <w:b/>
          <w:bCs/>
          <w:sz w:val="28"/>
          <w:szCs w:val="28"/>
        </w:rPr>
        <w:t>PRÉSENTATION DES CONTRIBUTIONS</w:t>
      </w:r>
    </w:p>
    <w:p w:rsidR="00943C4B" w:rsidRPr="006F405C" w:rsidRDefault="00943C4B" w:rsidP="006E50DD">
      <w:r w:rsidRPr="006F405C">
        <w:rPr>
          <w:b/>
          <w:bCs/>
        </w:rPr>
        <w:t>DÉLAIS DE SOUMISSION DES CONTRIBUTIONS</w:t>
      </w:r>
      <w:r w:rsidRPr="00C44F91">
        <w:t>:</w:t>
      </w:r>
      <w:r w:rsidRPr="006F405C">
        <w:t xml:space="preserve"> Nous vous invitons à envoyer vos contributions par courrier électronique à l'adresse </w:t>
      </w:r>
      <w:hyperlink r:id="rId24" w:history="1">
        <w:r w:rsidRPr="006F405C">
          <w:rPr>
            <w:rStyle w:val="Hyperlink"/>
          </w:rPr>
          <w:t>tsbsg17@itu.int</w:t>
        </w:r>
      </w:hyperlink>
      <w:r w:rsidRPr="006F405C">
        <w:t xml:space="preserve">. Le délai pour la soumission des contributions est de 12 (douze) jours calendaires avant la tenue de la réunion. Ces contributions, qui seront publiées sur </w:t>
      </w:r>
      <w:r w:rsidR="0083775C" w:rsidRPr="006F405C">
        <w:t xml:space="preserve">le </w:t>
      </w:r>
      <w:hyperlink r:id="rId25" w:history="1">
        <w:r w:rsidR="0083775C" w:rsidRPr="006F405C">
          <w:rPr>
            <w:rStyle w:val="Hyperlink"/>
            <w:szCs w:val="22"/>
          </w:rPr>
          <w:t>site web du Groupe SG17RG-AFR</w:t>
        </w:r>
      </w:hyperlink>
      <w:r w:rsidR="0083775C" w:rsidRPr="006F405C">
        <w:rPr>
          <w:szCs w:val="22"/>
        </w:rPr>
        <w:t xml:space="preserve"> et sur le </w:t>
      </w:r>
      <w:hyperlink r:id="rId26" w:history="1">
        <w:hyperlink r:id="rId27" w:history="1">
          <w:r w:rsidR="0083775C" w:rsidRPr="006F405C">
            <w:rPr>
              <w:rFonts w:eastAsia="MS Mincho"/>
              <w:color w:val="0000FF"/>
              <w:szCs w:val="22"/>
              <w:u w:val="single"/>
            </w:rPr>
            <w:t>site web du Groupe SG17RG-ARB</w:t>
          </w:r>
        </w:hyperlink>
      </w:hyperlink>
      <w:r w:rsidRPr="006F405C">
        <w:t xml:space="preserve">, doivent donc parvenir au TSB </w:t>
      </w:r>
      <w:r w:rsidR="00A6063C" w:rsidRPr="006F405C">
        <w:rPr>
          <w:b/>
          <w:bCs/>
        </w:rPr>
        <w:t>le 19</w:t>
      </w:r>
      <w:r w:rsidRPr="006F405C">
        <w:rPr>
          <w:b/>
          <w:bCs/>
        </w:rPr>
        <w:t xml:space="preserve"> </w:t>
      </w:r>
      <w:r w:rsidR="00A6063C" w:rsidRPr="006F405C">
        <w:rPr>
          <w:b/>
          <w:bCs/>
        </w:rPr>
        <w:t>mars 2019</w:t>
      </w:r>
      <w:r w:rsidRPr="006F405C">
        <w:rPr>
          <w:b/>
          <w:bCs/>
        </w:rPr>
        <w:t xml:space="preserve"> au plus tard</w:t>
      </w:r>
      <w:r w:rsidRPr="006F405C">
        <w:t>.</w:t>
      </w:r>
      <w:r w:rsidRPr="006F405C">
        <w:rPr>
          <w:bCs/>
        </w:rPr>
        <w:t xml:space="preserve"> </w:t>
      </w:r>
      <w:r w:rsidRPr="006F405C">
        <w:t>Nous vous invitons à soumettre vos contributions le plus tôt possible, afin de laisser suffisamment de temps pour la traduction.</w:t>
      </w:r>
    </w:p>
    <w:p w:rsidR="00943C4B" w:rsidRPr="006F405C" w:rsidRDefault="00943C4B" w:rsidP="006E50DD">
      <w:r w:rsidRPr="006F405C">
        <w:rPr>
          <w:b/>
          <w:bCs/>
        </w:rPr>
        <w:t>GABARITS</w:t>
      </w:r>
      <w:r w:rsidRPr="00C44F91">
        <w:t>:</w:t>
      </w:r>
      <w:r w:rsidRPr="006F405C">
        <w:rPr>
          <w:b/>
          <w:bCs/>
        </w:rPr>
        <w:t xml:space="preserve"> </w:t>
      </w:r>
      <w:r w:rsidRPr="006F405C">
        <w:t xml:space="preserve">Pour élaborer votre contribution, veuillez utiliser l'ensemble de gabarits (templates) mis à votre disposition. Ces gabarits sont accessibles à l'adresse: </w:t>
      </w:r>
      <w:hyperlink r:id="rId28" w:history="1">
        <w:r w:rsidRPr="006F405C">
          <w:rPr>
            <w:rStyle w:val="Hyperlink"/>
          </w:rPr>
          <w:t>http://itu.int/ITU</w:t>
        </w:r>
        <w:r w:rsidRPr="006F405C">
          <w:rPr>
            <w:rStyle w:val="Hyperlink"/>
          </w:rPr>
          <w:noBreakHyphen/>
          <w:t>T/studygroups/templates</w:t>
        </w:r>
      </w:hyperlink>
      <w:r w:rsidRPr="006F405C">
        <w:t xml:space="preserve">. Le nom de la personne à contacter au sujet de la contribution, ses numéros de télécopie et de téléphone ainsi que son adresse électronique doivent figurer sur la page de couverture de </w:t>
      </w:r>
      <w:r w:rsidRPr="006F405C">
        <w:rPr>
          <w:u w:val="single"/>
        </w:rPr>
        <w:t>tous</w:t>
      </w:r>
      <w:r w:rsidRPr="006F405C">
        <w:t xml:space="preserve"> les documents.</w:t>
      </w:r>
    </w:p>
    <w:p w:rsidR="00943C4B" w:rsidRPr="006F405C" w:rsidRDefault="00943C4B" w:rsidP="006E50DD">
      <w:bookmarkStart w:id="3" w:name="lt_pId052"/>
      <w:r w:rsidRPr="006F405C">
        <w:rPr>
          <w:b/>
          <w:bCs/>
        </w:rPr>
        <w:t>LIGNES DIRECTRICES POUR LA PRÉSENTATION DES CONTRIBUTIONS À LA CE 17 DE L'UIT-T</w:t>
      </w:r>
      <w:r w:rsidRPr="006E50DD">
        <w:t>:</w:t>
      </w:r>
      <w:bookmarkEnd w:id="3"/>
      <w:r w:rsidRPr="006E50DD">
        <w:t xml:space="preserve"> </w:t>
      </w:r>
      <w:bookmarkStart w:id="4" w:name="lt_pId053"/>
      <w:r w:rsidRPr="006F405C">
        <w:t xml:space="preserve">Veuillez prendre note des lignes directrices (à l'adresse: </w:t>
      </w:r>
      <w:hyperlink r:id="rId29" w:history="1">
        <w:r w:rsidR="00B64394" w:rsidRPr="00024725">
          <w:rPr>
            <w:rStyle w:val="Hyperlink"/>
          </w:rPr>
          <w:t>https://www.itu.int/en/ITU-T/studygroups/2017-2020/17/Documents/general-info/contributions-presentation.pptx</w:t>
        </w:r>
      </w:hyperlink>
      <w:r w:rsidRPr="006F405C">
        <w:t>) sur les modalités de présentation des contributions à la CE 17 et sur les sujets susceptibles de présenter un intérêt pour la CE 17.</w:t>
      </w:r>
      <w:bookmarkEnd w:id="4"/>
    </w:p>
    <w:p w:rsidR="00943C4B" w:rsidRPr="006F405C" w:rsidRDefault="00943C4B" w:rsidP="00D85D86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</w:rPr>
      </w:pPr>
      <w:r w:rsidRPr="006F405C">
        <w:rPr>
          <w:b/>
          <w:bCs/>
          <w:sz w:val="28"/>
          <w:szCs w:val="28"/>
        </w:rPr>
        <w:t>MÉTHODES DE TRAVAIL ET INSTALLATIONS</w:t>
      </w:r>
    </w:p>
    <w:p w:rsidR="00943C4B" w:rsidRPr="006F405C" w:rsidRDefault="00943C4B" w:rsidP="00D85D86">
      <w:pPr>
        <w:spacing w:before="240" w:after="120"/>
        <w:rPr>
          <w:rFonts w:cstheme="majorBidi"/>
          <w:szCs w:val="24"/>
        </w:rPr>
      </w:pPr>
      <w:r w:rsidRPr="006F405C">
        <w:rPr>
          <w:rFonts w:cstheme="majorBidi"/>
          <w:b/>
          <w:bCs/>
          <w:szCs w:val="24"/>
        </w:rPr>
        <w:t>INTERPRÉTATION</w:t>
      </w:r>
      <w:r w:rsidRPr="00C44F91">
        <w:rPr>
          <w:rFonts w:cstheme="majorBidi"/>
          <w:szCs w:val="24"/>
        </w:rPr>
        <w:t>:</w:t>
      </w:r>
      <w:r w:rsidRPr="006F405C">
        <w:rPr>
          <w:rFonts w:cstheme="majorBidi"/>
          <w:b/>
          <w:bCs/>
          <w:szCs w:val="24"/>
        </w:rPr>
        <w:t xml:space="preserve"> </w:t>
      </w:r>
      <w:r w:rsidR="00A6063C" w:rsidRPr="006F405C">
        <w:rPr>
          <w:rFonts w:cstheme="majorBidi"/>
          <w:szCs w:val="24"/>
        </w:rPr>
        <w:t>L</w:t>
      </w:r>
      <w:r w:rsidRPr="006F405C">
        <w:rPr>
          <w:rFonts w:cstheme="majorBidi"/>
          <w:szCs w:val="24"/>
        </w:rPr>
        <w:t xml:space="preserve">es langues de travail de la réunion seront </w:t>
      </w:r>
      <w:r w:rsidR="007E77FA" w:rsidRPr="006F405C">
        <w:rPr>
          <w:rFonts w:cstheme="majorBidi"/>
          <w:szCs w:val="24"/>
        </w:rPr>
        <w:t>l'anglais</w:t>
      </w:r>
      <w:r w:rsidR="007E77FA">
        <w:rPr>
          <w:rFonts w:cstheme="majorBidi"/>
          <w:szCs w:val="24"/>
        </w:rPr>
        <w:t xml:space="preserve">, </w:t>
      </w:r>
      <w:r w:rsidRPr="006F405C">
        <w:rPr>
          <w:rFonts w:cstheme="majorBidi"/>
          <w:szCs w:val="24"/>
        </w:rPr>
        <w:t>l'</w:t>
      </w:r>
      <w:r w:rsidR="007E77FA">
        <w:rPr>
          <w:rFonts w:cstheme="majorBidi"/>
          <w:szCs w:val="24"/>
        </w:rPr>
        <w:t>arabe</w:t>
      </w:r>
      <w:r w:rsidR="00A6063C" w:rsidRPr="006F405C">
        <w:rPr>
          <w:rFonts w:cstheme="majorBidi"/>
          <w:szCs w:val="24"/>
        </w:rPr>
        <w:t xml:space="preserve"> </w:t>
      </w:r>
      <w:r w:rsidRPr="006F405C">
        <w:rPr>
          <w:rFonts w:cstheme="majorBidi"/>
          <w:szCs w:val="24"/>
        </w:rPr>
        <w:t>et le français.</w:t>
      </w:r>
    </w:p>
    <w:p w:rsidR="00943C4B" w:rsidRPr="006F405C" w:rsidRDefault="00943C4B" w:rsidP="00D85D86">
      <w:pPr>
        <w:spacing w:before="240" w:after="120"/>
        <w:rPr>
          <w:rFonts w:cstheme="majorBidi"/>
          <w:szCs w:val="24"/>
        </w:rPr>
      </w:pPr>
      <w:r w:rsidRPr="006F405C">
        <w:rPr>
          <w:rFonts w:cstheme="majorBidi"/>
          <w:b/>
          <w:bCs/>
          <w:szCs w:val="24"/>
        </w:rPr>
        <w:t>TRADUCTION</w:t>
      </w:r>
      <w:r w:rsidRPr="00C44F91">
        <w:rPr>
          <w:rFonts w:cstheme="majorBidi"/>
          <w:szCs w:val="24"/>
        </w:rPr>
        <w:t xml:space="preserve">: </w:t>
      </w:r>
      <w:r w:rsidRPr="006F405C">
        <w:rPr>
          <w:rFonts w:cstheme="majorBidi"/>
          <w:szCs w:val="24"/>
        </w:rPr>
        <w:t xml:space="preserve">Les </w:t>
      </w:r>
      <w:r w:rsidR="0083775C" w:rsidRPr="006F405C">
        <w:rPr>
          <w:rFonts w:cstheme="majorBidi"/>
          <w:szCs w:val="24"/>
        </w:rPr>
        <w:t xml:space="preserve">contributions reçues en arabe ou en français </w:t>
      </w:r>
      <w:r w:rsidRPr="006F405C">
        <w:rPr>
          <w:rFonts w:cstheme="majorBidi"/>
          <w:szCs w:val="24"/>
        </w:rPr>
        <w:t>seront traduit</w:t>
      </w:r>
      <w:r w:rsidR="0083775C" w:rsidRPr="006F405C">
        <w:rPr>
          <w:rFonts w:cstheme="majorBidi"/>
          <w:szCs w:val="24"/>
        </w:rPr>
        <w:t>e</w:t>
      </w:r>
      <w:r w:rsidRPr="006F405C">
        <w:rPr>
          <w:rFonts w:cstheme="majorBidi"/>
          <w:szCs w:val="24"/>
        </w:rPr>
        <w:t>s en anglais.</w:t>
      </w:r>
    </w:p>
    <w:p w:rsidR="00943C4B" w:rsidRPr="006F405C" w:rsidRDefault="00943C4B" w:rsidP="00D85D86">
      <w:pPr>
        <w:spacing w:before="240" w:after="120"/>
      </w:pPr>
      <w:r w:rsidRPr="006F405C">
        <w:rPr>
          <w:b/>
          <w:bCs/>
        </w:rPr>
        <w:t>RÉSEAU LOCAL SANS FIL (WLAN)</w:t>
      </w:r>
      <w:r w:rsidRPr="00C44F91">
        <w:t>:</w:t>
      </w:r>
      <w:r w:rsidRPr="006F405C">
        <w:rPr>
          <w:b/>
          <w:bCs/>
        </w:rPr>
        <w:t xml:space="preserve"> </w:t>
      </w:r>
      <w:r w:rsidRPr="006F405C">
        <w:t>Des équipements et un accès à l'Internet seront mis à disposition sur le lieu de la réunion.</w:t>
      </w:r>
    </w:p>
    <w:p w:rsidR="00943C4B" w:rsidRPr="006F405C" w:rsidRDefault="00943C4B" w:rsidP="00D85D86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</w:rPr>
      </w:pPr>
      <w:r w:rsidRPr="006F405C">
        <w:rPr>
          <w:b/>
          <w:bCs/>
          <w:sz w:val="28"/>
          <w:szCs w:val="28"/>
        </w:rPr>
        <w:t>INSCRIPTION ET BOURSES</w:t>
      </w:r>
    </w:p>
    <w:p w:rsidR="00943C4B" w:rsidRPr="006F405C" w:rsidRDefault="00943C4B" w:rsidP="00B64394">
      <w:pPr>
        <w:tabs>
          <w:tab w:val="left" w:pos="1418"/>
          <w:tab w:val="left" w:pos="1702"/>
          <w:tab w:val="left" w:pos="2160"/>
        </w:tabs>
        <w:ind w:right="91"/>
        <w:rPr>
          <w:rFonts w:cstheme="majorBidi"/>
          <w:szCs w:val="24"/>
        </w:rPr>
      </w:pPr>
      <w:r w:rsidRPr="006F405C">
        <w:rPr>
          <w:rFonts w:cstheme="majorBidi"/>
          <w:b/>
          <w:bCs/>
          <w:szCs w:val="24"/>
        </w:rPr>
        <w:t>INSCRIPTION</w:t>
      </w:r>
      <w:r w:rsidRPr="00C44F91">
        <w:rPr>
          <w:rFonts w:cstheme="majorBidi"/>
          <w:szCs w:val="24"/>
        </w:rPr>
        <w:t>:</w:t>
      </w:r>
      <w:r w:rsidR="006E50DD">
        <w:rPr>
          <w:rFonts w:cstheme="majorBidi"/>
          <w:szCs w:val="24"/>
        </w:rPr>
        <w:t xml:space="preserve"> </w:t>
      </w:r>
      <w:r w:rsidRPr="006F405C">
        <w:rPr>
          <w:rFonts w:cstheme="majorBidi"/>
          <w:szCs w:val="24"/>
        </w:rPr>
        <w:t>Afin de permettre aux organisateurs de prendre les dispositions nécessaires, je vo</w:t>
      </w:r>
      <w:r w:rsidR="007E77FA">
        <w:rPr>
          <w:rFonts w:cstheme="majorBidi"/>
          <w:szCs w:val="24"/>
        </w:rPr>
        <w:t>us saurais gré de bien vouloir</w:t>
      </w:r>
      <w:r w:rsidRPr="006F405C">
        <w:rPr>
          <w:rFonts w:cstheme="majorBidi"/>
          <w:szCs w:val="24"/>
        </w:rPr>
        <w:t xml:space="preserve"> faire parvenir par lettre, par télécopie (+41 22 730 5853) ou par courrier électronique (</w:t>
      </w:r>
      <w:hyperlink r:id="rId30" w:history="1">
        <w:r w:rsidRPr="006F405C">
          <w:rPr>
            <w:rStyle w:val="Hyperlink"/>
            <w:rFonts w:cstheme="majorBidi"/>
            <w:szCs w:val="24"/>
          </w:rPr>
          <w:t>tsbreg@itu.int</w:t>
        </w:r>
      </w:hyperlink>
      <w:r w:rsidRPr="006F405C">
        <w:rPr>
          <w:rFonts w:cstheme="majorBidi"/>
          <w:szCs w:val="24"/>
        </w:rPr>
        <w:t xml:space="preserve">), </w:t>
      </w:r>
      <w:r w:rsidRPr="006F405C">
        <w:rPr>
          <w:rFonts w:cstheme="majorBidi"/>
          <w:b/>
          <w:bCs/>
          <w:szCs w:val="24"/>
        </w:rPr>
        <w:t xml:space="preserve">au plus tard le </w:t>
      </w:r>
      <w:r w:rsidR="00A6063C" w:rsidRPr="006F405C">
        <w:rPr>
          <w:rFonts w:cstheme="majorBidi"/>
          <w:b/>
          <w:bCs/>
          <w:szCs w:val="24"/>
        </w:rPr>
        <w:t>30 mars 2019</w:t>
      </w:r>
      <w:r w:rsidRPr="006F405C">
        <w:rPr>
          <w:rFonts w:cstheme="majorBidi"/>
          <w:szCs w:val="24"/>
        </w:rPr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 de délégation, le cas échéant).</w:t>
      </w:r>
    </w:p>
    <w:p w:rsidR="00943C4B" w:rsidRPr="006F405C" w:rsidRDefault="007E77FA" w:rsidP="00D85D86">
      <w:pPr>
        <w:rPr>
          <w:rFonts w:cstheme="majorBidi"/>
          <w:b/>
          <w:bCs/>
          <w:color w:val="1F497D"/>
          <w:szCs w:val="24"/>
        </w:rPr>
      </w:pPr>
      <w:r>
        <w:rPr>
          <w:rFonts w:cstheme="majorBidi"/>
          <w:b/>
          <w:bCs/>
          <w:szCs w:val="24"/>
        </w:rPr>
        <w:t>Veuillez noter que l'</w:t>
      </w:r>
      <w:r w:rsidR="00943C4B" w:rsidRPr="006F405C">
        <w:rPr>
          <w:rFonts w:cstheme="majorBidi"/>
          <w:b/>
          <w:bCs/>
          <w:szCs w:val="24"/>
        </w:rPr>
        <w:t xml:space="preserve">inscription </w:t>
      </w:r>
      <w:r>
        <w:rPr>
          <w:rFonts w:cstheme="majorBidi"/>
          <w:b/>
          <w:bCs/>
          <w:szCs w:val="24"/>
        </w:rPr>
        <w:t xml:space="preserve">préalable </w:t>
      </w:r>
      <w:r w:rsidR="00943C4B" w:rsidRPr="006F405C">
        <w:rPr>
          <w:rFonts w:cstheme="majorBidi"/>
          <w:b/>
          <w:bCs/>
          <w:szCs w:val="24"/>
        </w:rPr>
        <w:t xml:space="preserve">des participants aux réunions de l'UIT-T se fait </w:t>
      </w:r>
      <w:r w:rsidR="00943C4B" w:rsidRPr="006F405C">
        <w:rPr>
          <w:rFonts w:cstheme="majorBidi"/>
          <w:b/>
          <w:bCs/>
          <w:i/>
          <w:iCs/>
          <w:szCs w:val="24"/>
        </w:rPr>
        <w:t>en ligne</w:t>
      </w:r>
      <w:r w:rsidR="00943C4B" w:rsidRPr="006F405C">
        <w:rPr>
          <w:rFonts w:cstheme="majorBidi"/>
          <w:b/>
          <w:bCs/>
          <w:szCs w:val="24"/>
        </w:rPr>
        <w:t xml:space="preserve"> sur </w:t>
      </w:r>
      <w:r w:rsidR="0083775C" w:rsidRPr="006F405C">
        <w:rPr>
          <w:b/>
          <w:bCs/>
        </w:rPr>
        <w:t xml:space="preserve">le </w:t>
      </w:r>
      <w:hyperlink r:id="rId31" w:history="1">
        <w:r w:rsidR="0083775C" w:rsidRPr="006F405C">
          <w:rPr>
            <w:rStyle w:val="Hyperlink"/>
            <w:b/>
            <w:bCs/>
            <w:szCs w:val="22"/>
          </w:rPr>
          <w:t>site web du Groupe SG17RG-AFR</w:t>
        </w:r>
      </w:hyperlink>
      <w:r w:rsidR="0083775C" w:rsidRPr="006F405C">
        <w:rPr>
          <w:b/>
          <w:bCs/>
          <w:szCs w:val="22"/>
        </w:rPr>
        <w:t xml:space="preserve"> ou sur le </w:t>
      </w:r>
      <w:hyperlink r:id="rId32" w:history="1">
        <w:hyperlink r:id="rId33" w:history="1">
          <w:r w:rsidR="0083775C" w:rsidRPr="006F405C">
            <w:rPr>
              <w:rFonts w:eastAsia="MS Mincho"/>
              <w:b/>
              <w:bCs/>
              <w:color w:val="0000FF"/>
              <w:szCs w:val="22"/>
              <w:u w:val="single"/>
            </w:rPr>
            <w:t>site web du Groupe SG17RG-ARB</w:t>
          </w:r>
        </w:hyperlink>
      </w:hyperlink>
      <w:r w:rsidR="00943C4B" w:rsidRPr="006F405C">
        <w:rPr>
          <w:rFonts w:cstheme="majorBidi"/>
          <w:b/>
          <w:bCs/>
          <w:szCs w:val="24"/>
        </w:rPr>
        <w:t>.</w:t>
      </w:r>
    </w:p>
    <w:p w:rsidR="00943C4B" w:rsidRPr="006F405C" w:rsidRDefault="00943C4B" w:rsidP="00D85D86">
      <w:pPr>
        <w:pStyle w:val="NormalWeb"/>
        <w:spacing w:before="240" w:after="120" w:line="240" w:lineRule="auto"/>
        <w:rPr>
          <w:rFonts w:asciiTheme="minorHAnsi" w:hAnsiTheme="minorHAnsi" w:cstheme="majorBidi"/>
          <w:sz w:val="24"/>
          <w:szCs w:val="24"/>
          <w:lang w:val="fr-FR"/>
        </w:rPr>
      </w:pPr>
      <w:r w:rsidRPr="006F405C">
        <w:rPr>
          <w:rFonts w:asciiTheme="minorHAnsi" w:hAnsiTheme="minorHAnsi" w:cstheme="majorBidi"/>
          <w:b/>
          <w:bCs/>
          <w:sz w:val="24"/>
          <w:szCs w:val="24"/>
          <w:lang w:val="fr-FR"/>
        </w:rPr>
        <w:t>BOURSES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: </w:t>
      </w:r>
      <w:r w:rsidR="0083775C" w:rsidRPr="006F405C">
        <w:rPr>
          <w:rFonts w:asciiTheme="minorHAnsi" w:hAnsiTheme="minorHAnsi" w:cstheme="majorBidi"/>
          <w:sz w:val="24"/>
          <w:szCs w:val="24"/>
          <w:lang w:val="fr-FR"/>
        </w:rPr>
        <w:t>D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eux bourses partielles </w:t>
      </w:r>
      <w:r w:rsidR="0083775C"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au maximum 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par </w:t>
      </w:r>
      <w:r w:rsidR="007E77FA">
        <w:rPr>
          <w:rFonts w:asciiTheme="minorHAnsi" w:hAnsiTheme="minorHAnsi" w:cstheme="majorBidi"/>
          <w:sz w:val="24"/>
          <w:szCs w:val="24"/>
          <w:lang w:val="fr-FR"/>
        </w:rPr>
        <w:t xml:space="preserve">pays remplissant les conditions requises </w:t>
      </w:r>
      <w:r w:rsidR="0083775C"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pourront être 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accordées, </w:t>
      </w:r>
      <w:r w:rsidRPr="006F405C">
        <w:rPr>
          <w:rFonts w:asciiTheme="minorHAnsi" w:hAnsiTheme="minorHAnsi" w:cstheme="majorBidi"/>
          <w:b/>
          <w:bCs/>
          <w:sz w:val="24"/>
          <w:szCs w:val="24"/>
          <w:lang w:val="fr-FR"/>
        </w:rPr>
        <w:t>uniquement dans la région Afrique</w:t>
      </w:r>
      <w:r w:rsidR="0083775C" w:rsidRPr="006F405C">
        <w:rPr>
          <w:rFonts w:asciiTheme="minorHAnsi" w:hAnsiTheme="minorHAnsi" w:cstheme="majorBidi"/>
          <w:b/>
          <w:bCs/>
          <w:sz w:val="24"/>
          <w:szCs w:val="24"/>
          <w:lang w:val="fr-FR"/>
        </w:rPr>
        <w:t xml:space="preserve"> et dans la région des Etats arabes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>, et en fonction des ressources financières disponibles, afin de faciliter la participation des pays en développement</w:t>
      </w:r>
      <w:r w:rsidRPr="006F405C">
        <w:rPr>
          <w:lang w:val="fr-FR"/>
        </w:rPr>
        <w:t>.</w:t>
      </w:r>
      <w:r w:rsidRPr="006F405C">
        <w:rPr>
          <w:rFonts w:asciiTheme="minorHAnsi" w:hAnsiTheme="minorHAnsi" w:cstheme="majorBidi"/>
          <w:color w:val="1F497D"/>
          <w:sz w:val="24"/>
          <w:szCs w:val="24"/>
          <w:lang w:val="fr-FR"/>
        </w:rPr>
        <w:t xml:space="preserve"> 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Les demandes de bourses doivent </w:t>
      </w:r>
      <w:r w:rsidR="0007460A"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parvenir 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à l'UIT </w:t>
      </w:r>
      <w:r w:rsidRPr="006F405C">
        <w:rPr>
          <w:rFonts w:asciiTheme="minorHAnsi" w:hAnsiTheme="minorHAnsi" w:cstheme="majorBidi"/>
          <w:b/>
          <w:bCs/>
          <w:sz w:val="24"/>
          <w:szCs w:val="24"/>
          <w:lang w:val="fr-FR"/>
        </w:rPr>
        <w:t xml:space="preserve">au plus tard le </w:t>
      </w:r>
      <w:r w:rsidR="00A6063C" w:rsidRPr="006F405C">
        <w:rPr>
          <w:rFonts w:asciiTheme="minorHAnsi" w:hAnsiTheme="minorHAnsi" w:cstheme="majorBidi"/>
          <w:b/>
          <w:bCs/>
          <w:sz w:val="24"/>
          <w:szCs w:val="24"/>
          <w:lang w:val="fr-FR"/>
        </w:rPr>
        <w:t>5 mars 2019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>. Veuillez noter que les critères sur la base desquels il est décidé d'attribuer une bourse sont les suivants: budget disponible à l'UIT</w:t>
      </w:r>
      <w:r w:rsidR="0007460A" w:rsidRPr="006F405C">
        <w:rPr>
          <w:rFonts w:asciiTheme="minorHAnsi" w:hAnsiTheme="minorHAnsi" w:cstheme="majorBidi"/>
          <w:sz w:val="24"/>
          <w:szCs w:val="24"/>
          <w:lang w:val="fr-FR"/>
        </w:rPr>
        <w:t>;</w:t>
      </w:r>
      <w:r w:rsidR="0007460A" w:rsidRPr="006F405C">
        <w:rPr>
          <w:lang w:val="fr-FR"/>
        </w:rPr>
        <w:t xml:space="preserve"> </w:t>
      </w:r>
      <w:r w:rsidR="00094621">
        <w:rPr>
          <w:lang w:val="fr-FR"/>
        </w:rPr>
        <w:t>pa</w:t>
      </w:r>
      <w:r w:rsidR="0007460A" w:rsidRPr="006F405C">
        <w:rPr>
          <w:rFonts w:asciiTheme="minorHAnsi" w:hAnsiTheme="minorHAnsi" w:cstheme="majorBidi"/>
          <w:sz w:val="24"/>
          <w:szCs w:val="24"/>
          <w:lang w:val="fr-FR"/>
        </w:rPr>
        <w:t>rticipation active, et notamment soumission de contributions écrites;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 répartition équitable entre les pays</w:t>
      </w:r>
      <w:r w:rsidR="007E77FA">
        <w:rPr>
          <w:rFonts w:asciiTheme="minorHAnsi" w:hAnsiTheme="minorHAnsi" w:cstheme="majorBidi"/>
          <w:sz w:val="24"/>
          <w:szCs w:val="24"/>
          <w:lang w:val="fr-FR"/>
        </w:rPr>
        <w:t xml:space="preserve"> et les régions</w:t>
      </w:r>
      <w:r w:rsidR="0007460A" w:rsidRPr="006F405C">
        <w:rPr>
          <w:rFonts w:asciiTheme="minorHAnsi" w:hAnsiTheme="minorHAnsi" w:cstheme="majorBidi"/>
          <w:sz w:val="24"/>
          <w:szCs w:val="24"/>
          <w:lang w:val="fr-FR"/>
        </w:rPr>
        <w:t>;</w:t>
      </w:r>
      <w:r w:rsidRPr="006F405C">
        <w:rPr>
          <w:rFonts w:asciiTheme="minorHAnsi" w:hAnsiTheme="minorHAnsi" w:cstheme="majorBidi"/>
          <w:sz w:val="24"/>
          <w:szCs w:val="24"/>
          <w:lang w:val="fr-FR"/>
        </w:rPr>
        <w:t xml:space="preserve"> et parité hommes-femmes.</w:t>
      </w:r>
    </w:p>
    <w:p w:rsidR="00943C4B" w:rsidRPr="006F405C" w:rsidRDefault="00943C4B" w:rsidP="00D85D86">
      <w:r w:rsidRPr="006F405C">
        <w:lastRenderedPageBreak/>
        <w:t>Les Etats Membres sont invités à prendre en compte l'équilibre entre les hommes et les femmes et à inclure des délégués handicapés ainsi que des délégués ayant des besoins particuliers lorsqu'ils proposent des délégués pouvant bénéficier d'une bourse.</w:t>
      </w:r>
    </w:p>
    <w:p w:rsidR="008C7D85" w:rsidRPr="006F405C" w:rsidRDefault="008C7D85" w:rsidP="00D85D86">
      <w:bookmarkStart w:id="5" w:name="lt_pId099"/>
      <w:r w:rsidRPr="006F405C">
        <w:rPr>
          <w:b/>
          <w:bCs/>
          <w:szCs w:val="22"/>
        </w:rPr>
        <w:t>DEMANDE DE VISA</w:t>
      </w:r>
      <w:r w:rsidRPr="00D85D86">
        <w:rPr>
          <w:szCs w:val="22"/>
        </w:rPr>
        <w:t>:</w:t>
      </w:r>
      <w:r w:rsidRPr="006F405C">
        <w:rPr>
          <w:szCs w:val="22"/>
        </w:rPr>
        <w:t xml:space="preserve"> Cette réunion étant organisée hors de Suisse, les demandes d'assistance pour l'obtention d'un visa doivent être adressées directement à l'organisme hôte. Des instructions figurent sous "</w:t>
      </w:r>
      <w:r w:rsidR="0007460A" w:rsidRPr="006F405C">
        <w:rPr>
          <w:szCs w:val="22"/>
        </w:rPr>
        <w:t>I</w:t>
      </w:r>
      <w:r w:rsidRPr="006F405C">
        <w:rPr>
          <w:szCs w:val="22"/>
        </w:rPr>
        <w:t>nformation</w:t>
      </w:r>
      <w:r w:rsidR="0007460A" w:rsidRPr="006F405C">
        <w:rPr>
          <w:szCs w:val="22"/>
        </w:rPr>
        <w:t>s pratiques</w:t>
      </w:r>
      <w:r w:rsidRPr="006F405C">
        <w:rPr>
          <w:szCs w:val="22"/>
        </w:rPr>
        <w:t>" sur</w:t>
      </w:r>
      <w:r w:rsidR="0007460A" w:rsidRPr="006F405C">
        <w:t xml:space="preserve"> le </w:t>
      </w:r>
      <w:hyperlink r:id="rId34" w:history="1">
        <w:r w:rsidR="0007460A" w:rsidRPr="006F405C">
          <w:rPr>
            <w:rStyle w:val="Hyperlink"/>
            <w:szCs w:val="22"/>
          </w:rPr>
          <w:t>site web du Groupe SG17RG-AFR</w:t>
        </w:r>
      </w:hyperlink>
      <w:r w:rsidR="0007460A" w:rsidRPr="006F405C">
        <w:rPr>
          <w:szCs w:val="22"/>
        </w:rPr>
        <w:t xml:space="preserve"> et sur le </w:t>
      </w:r>
      <w:hyperlink r:id="rId35" w:history="1">
        <w:hyperlink r:id="rId36" w:history="1">
          <w:r w:rsidR="0007460A" w:rsidRPr="006F405C">
            <w:rPr>
              <w:rFonts w:eastAsia="MS Mincho"/>
              <w:color w:val="0000FF"/>
              <w:szCs w:val="22"/>
              <w:u w:val="single"/>
            </w:rPr>
            <w:t>site web du Groupe SG17RG-ARB</w:t>
          </w:r>
        </w:hyperlink>
      </w:hyperlink>
      <w:r w:rsidR="0007460A" w:rsidRPr="00795429">
        <w:rPr>
          <w:szCs w:val="22"/>
        </w:rPr>
        <w:t>.</w:t>
      </w:r>
      <w:bookmarkEnd w:id="5"/>
    </w:p>
    <w:p w:rsidR="0080624D" w:rsidRPr="006F405C" w:rsidRDefault="0080624D" w:rsidP="00D85D86">
      <w:r w:rsidRPr="006F405C">
        <w:br w:type="page"/>
      </w:r>
    </w:p>
    <w:p w:rsidR="00943C4B" w:rsidRPr="006F405C" w:rsidRDefault="0080624D" w:rsidP="00D85D86">
      <w:pPr>
        <w:jc w:val="center"/>
        <w:rPr>
          <w:b/>
          <w:bCs/>
          <w:sz w:val="28"/>
          <w:szCs w:val="28"/>
        </w:rPr>
      </w:pPr>
      <w:r w:rsidRPr="006F405C">
        <w:rPr>
          <w:b/>
          <w:bCs/>
          <w:sz w:val="28"/>
          <w:szCs w:val="28"/>
        </w:rPr>
        <w:lastRenderedPageBreak/>
        <w:t>ANNEXE B</w:t>
      </w:r>
    </w:p>
    <w:p w:rsidR="0080624D" w:rsidRPr="006F405C" w:rsidRDefault="0080624D" w:rsidP="00C12F78">
      <w:pPr>
        <w:pStyle w:val="TableHead"/>
      </w:pPr>
      <w:r w:rsidRPr="006F405C">
        <w:t>Projet d'ordre du jour</w:t>
      </w:r>
      <w:r w:rsidR="00942333" w:rsidRPr="006F405C">
        <w:t xml:space="preserve"> de la réunion commune des Groupes </w:t>
      </w:r>
      <w:r w:rsidR="00942333" w:rsidRPr="006F405C">
        <w:rPr>
          <w:rFonts w:eastAsia="MS Mincho"/>
        </w:rPr>
        <w:t xml:space="preserve">SG17RG-AFR </w:t>
      </w:r>
      <w:r w:rsidR="00C12F78">
        <w:rPr>
          <w:rFonts w:eastAsia="MS Mincho"/>
        </w:rPr>
        <w:br/>
      </w:r>
      <w:r w:rsidR="00942333" w:rsidRPr="006F405C">
        <w:rPr>
          <w:rFonts w:eastAsia="MS Mincho"/>
        </w:rPr>
        <w:t>et SG17RG-ARB (2-3 avril 2019)</w:t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80624D" w:rsidRPr="006F405C" w:rsidTr="003653A0"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2743EC" w:rsidRDefault="0080624D" w:rsidP="000A075C">
            <w:pPr>
              <w:pStyle w:val="Tabletext0"/>
              <w:rPr>
                <w:b/>
                <w:lang w:val="fr-CH" w:eastAsia="zh-CN"/>
              </w:rPr>
            </w:pPr>
            <w:r w:rsidRPr="002743EC">
              <w:rPr>
                <w:b/>
                <w:lang w:val="fr-CH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 xml:space="preserve">Ouverture de la réunion 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2743EC" w:rsidRDefault="0080624D" w:rsidP="000A075C">
            <w:pPr>
              <w:pStyle w:val="Tabletext0"/>
              <w:rPr>
                <w:b/>
                <w:lang w:val="fr-CH"/>
              </w:rPr>
            </w:pPr>
            <w:r w:rsidRPr="002743EC">
              <w:rPr>
                <w:b/>
                <w:lang w:val="fr-CH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Adoption de l'ordre du jour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2743EC" w:rsidRDefault="0080624D" w:rsidP="000A075C">
            <w:pPr>
              <w:pStyle w:val="Tabletext0"/>
              <w:rPr>
                <w:b/>
                <w:lang w:val="fr-CH"/>
              </w:rPr>
            </w:pPr>
            <w:r w:rsidRPr="002743EC">
              <w:rPr>
                <w:b/>
                <w:lang w:val="fr-CH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Documents disponibles (contributions et documents temporaires)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2743EC" w:rsidRDefault="0080624D" w:rsidP="000A075C">
            <w:pPr>
              <w:pStyle w:val="Tabletext0"/>
              <w:rPr>
                <w:b/>
                <w:lang w:val="fr-CH"/>
              </w:rPr>
            </w:pPr>
            <w:r w:rsidRPr="002743EC">
              <w:rPr>
                <w:b/>
                <w:lang w:val="fr-CH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Vue d'ensemble de la Commission d'études 17 de l'UIT-T et des méthodes de travail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Examen des résultats des réunions précédentes de la Commission d'études 17 de l'UIT-T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6F405C" w:rsidRDefault="00A6063C" w:rsidP="000A075C">
            <w:pPr>
              <w:pStyle w:val="TableText"/>
            </w:pPr>
            <w:r w:rsidRPr="006F405C">
              <w:t>Notes de liaison envoyées et reçues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6F405C" w:rsidRDefault="00942333" w:rsidP="000A075C">
            <w:pPr>
              <w:pStyle w:val="TableText"/>
            </w:pPr>
            <w:r w:rsidRPr="006F405C">
              <w:t xml:space="preserve">Examen des résultats des réunions précédentes des Groupes </w:t>
            </w:r>
            <w:r w:rsidR="00A6063C" w:rsidRPr="006F405C">
              <w:t xml:space="preserve">SG17RG-AFR </w:t>
            </w:r>
            <w:r w:rsidRPr="006F405C">
              <w:t xml:space="preserve">et </w:t>
            </w:r>
            <w:r w:rsidR="00A6063C" w:rsidRPr="006F405C">
              <w:t xml:space="preserve">SG17RG-ARB 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6F405C" w:rsidRDefault="00A6063C" w:rsidP="000A075C">
            <w:pPr>
              <w:pStyle w:val="TableText"/>
            </w:pPr>
            <w:r w:rsidRPr="006F405C">
              <w:t xml:space="preserve">Structure </w:t>
            </w:r>
            <w:r w:rsidR="00942333" w:rsidRPr="006F405C">
              <w:t xml:space="preserve">et équipe de direction des Groupes </w:t>
            </w:r>
            <w:r w:rsidRPr="006F405C">
              <w:t xml:space="preserve">SG17RG-AFR </w:t>
            </w:r>
            <w:r w:rsidR="00942333" w:rsidRPr="006F405C">
              <w:t xml:space="preserve">et </w:t>
            </w:r>
            <w:r w:rsidRPr="006F405C">
              <w:t>SG17RG-ARB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6F405C" w:rsidRDefault="00BB277A" w:rsidP="000A075C">
            <w:pPr>
              <w:pStyle w:val="TableText"/>
            </w:pPr>
            <w:r w:rsidRPr="006F405C">
              <w:t>Débats sur la base des c</w:t>
            </w:r>
            <w:r w:rsidR="00A6063C" w:rsidRPr="006F405C">
              <w:t xml:space="preserve">ontributions </w:t>
            </w:r>
            <w:r w:rsidRPr="006F405C">
              <w:t>soumises à cette réunion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BB277A" w:rsidP="000A075C">
            <w:pPr>
              <w:pStyle w:val="TableText"/>
            </w:pPr>
            <w:r w:rsidRPr="006F405C">
              <w:t xml:space="preserve">Programmes de travail des Groupes </w:t>
            </w:r>
            <w:r w:rsidR="008F1BB2" w:rsidRPr="006F405C">
              <w:t xml:space="preserve">SG17RG-AFR </w:t>
            </w:r>
            <w:r w:rsidRPr="006F405C">
              <w:t xml:space="preserve">et </w:t>
            </w:r>
            <w:r w:rsidR="008F1BB2" w:rsidRPr="006F405C">
              <w:t xml:space="preserve">SG17RG-ARB 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 xml:space="preserve">Programme de travail futur et programme d'action </w:t>
            </w:r>
            <w:r w:rsidR="008F1BB2" w:rsidRPr="006F405C">
              <w:t>des</w:t>
            </w:r>
            <w:r w:rsidRPr="006F405C">
              <w:t xml:space="preserve"> Groupe</w:t>
            </w:r>
            <w:r w:rsidR="008F1BB2" w:rsidRPr="006F405C">
              <w:t>s</w:t>
            </w:r>
            <w:r w:rsidRPr="006F405C">
              <w:t xml:space="preserve"> SG17RG-AFR</w:t>
            </w:r>
            <w:r w:rsidR="008F1BB2" w:rsidRPr="006F405C">
              <w:t xml:space="preserve"> et SG17RG-ARB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24D" w:rsidRPr="006F405C" w:rsidRDefault="00BB277A" w:rsidP="000A075C">
            <w:pPr>
              <w:pStyle w:val="TableText"/>
            </w:pPr>
            <w:r w:rsidRPr="006F405C">
              <w:t xml:space="preserve">Formation sur la réduction de l'écart en matière de normalisation 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0A075C" w:rsidRDefault="0080624D" w:rsidP="000A075C">
            <w:pPr>
              <w:pStyle w:val="Tabletext0"/>
              <w:rPr>
                <w:b/>
              </w:rPr>
            </w:pPr>
            <w:r w:rsidRPr="000A075C">
              <w:rPr>
                <w:b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BB277A" w:rsidP="00C12F78">
            <w:pPr>
              <w:pStyle w:val="TableText"/>
            </w:pPr>
            <w:r w:rsidRPr="006F405C">
              <w:t xml:space="preserve">Elaboration de </w:t>
            </w:r>
            <w:r w:rsidR="008F1BB2" w:rsidRPr="006F405C">
              <w:t xml:space="preserve">contributions </w:t>
            </w:r>
            <w:r w:rsidRPr="006F405C">
              <w:t>en vue de la prochaine réunion de la CE </w:t>
            </w:r>
            <w:r w:rsidR="008F1BB2" w:rsidRPr="006F405C">
              <w:t>17</w:t>
            </w:r>
            <w:r w:rsidR="00C12F78">
              <w:br/>
            </w:r>
            <w:r w:rsidR="008F1BB2" w:rsidRPr="006F405C">
              <w:t>(27 août – 5 septembre 2019)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C12F78" w:rsidRDefault="0080624D" w:rsidP="000A075C">
            <w:pPr>
              <w:pStyle w:val="Tabletext0"/>
              <w:rPr>
                <w:b/>
                <w:lang w:val="fr-CH"/>
              </w:rPr>
            </w:pPr>
            <w:r w:rsidRPr="00C12F78">
              <w:rPr>
                <w:b/>
                <w:lang w:val="fr-CH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Lieu et date de</w:t>
            </w:r>
            <w:r w:rsidR="00BB277A" w:rsidRPr="006F405C">
              <w:t>s</w:t>
            </w:r>
            <w:r w:rsidRPr="006F405C">
              <w:t xml:space="preserve"> prochaine</w:t>
            </w:r>
            <w:r w:rsidR="00BB277A" w:rsidRPr="006F405C">
              <w:t>s</w:t>
            </w:r>
            <w:r w:rsidRPr="006F405C">
              <w:t xml:space="preserve"> réunion</w:t>
            </w:r>
            <w:r w:rsidR="00BB277A" w:rsidRPr="006F405C">
              <w:t>s</w:t>
            </w:r>
            <w:r w:rsidRPr="006F405C">
              <w:t xml:space="preserve"> </w:t>
            </w:r>
            <w:r w:rsidR="008F1BB2" w:rsidRPr="006F405C">
              <w:t>des</w:t>
            </w:r>
            <w:r w:rsidRPr="006F405C">
              <w:t xml:space="preserve"> Groupe</w:t>
            </w:r>
            <w:r w:rsidR="008F1BB2" w:rsidRPr="006F405C">
              <w:t>s</w:t>
            </w:r>
            <w:r w:rsidRPr="006F405C">
              <w:t xml:space="preserve"> SG17RG-AFR</w:t>
            </w:r>
            <w:r w:rsidR="008F1BB2" w:rsidRPr="006F405C">
              <w:t xml:space="preserve"> et SG17RG-ARB</w:t>
            </w:r>
            <w:r w:rsidRPr="006F405C">
              <w:t>, ateliers futurs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C12F78" w:rsidRDefault="0080624D" w:rsidP="000A075C">
            <w:pPr>
              <w:pStyle w:val="Tabletext0"/>
              <w:rPr>
                <w:b/>
                <w:lang w:val="fr-CH"/>
              </w:rPr>
            </w:pPr>
            <w:r w:rsidRPr="00C12F78">
              <w:rPr>
                <w:b/>
                <w:lang w:val="fr-CH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Divers</w:t>
            </w:r>
          </w:p>
        </w:tc>
      </w:tr>
      <w:tr w:rsidR="0080624D" w:rsidRPr="006F405C" w:rsidTr="003653A0"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C12F78" w:rsidRDefault="0080624D" w:rsidP="000A075C">
            <w:pPr>
              <w:pStyle w:val="Tabletext0"/>
              <w:rPr>
                <w:b/>
                <w:lang w:val="fr-CH"/>
              </w:rPr>
            </w:pPr>
            <w:r w:rsidRPr="00C12F78">
              <w:rPr>
                <w:b/>
                <w:lang w:val="fr-CH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24D" w:rsidRPr="006F405C" w:rsidRDefault="0080624D" w:rsidP="000A075C">
            <w:pPr>
              <w:pStyle w:val="TableText"/>
            </w:pPr>
            <w:r w:rsidRPr="006F405C">
              <w:t>Clôture de la réunion</w:t>
            </w:r>
          </w:p>
        </w:tc>
      </w:tr>
    </w:tbl>
    <w:p w:rsidR="0080624D" w:rsidRPr="006F405C" w:rsidRDefault="0080624D" w:rsidP="00D85D86">
      <w:pPr>
        <w:pStyle w:val="Reasons"/>
        <w:rPr>
          <w:lang w:val="fr-FR"/>
        </w:rPr>
      </w:pPr>
    </w:p>
    <w:p w:rsidR="0080624D" w:rsidRPr="006F405C" w:rsidRDefault="0080624D" w:rsidP="00D85D86">
      <w:pPr>
        <w:jc w:val="center"/>
      </w:pPr>
      <w:r w:rsidRPr="006F405C">
        <w:t>______________</w:t>
      </w:r>
    </w:p>
    <w:p w:rsidR="0080624D" w:rsidRPr="006F405C" w:rsidRDefault="0080624D" w:rsidP="00D85D86">
      <w:pPr>
        <w:jc w:val="center"/>
      </w:pPr>
    </w:p>
    <w:sectPr w:rsidR="0080624D" w:rsidRPr="006F405C" w:rsidSect="00A15179">
      <w:headerReference w:type="default" r:id="rId37"/>
      <w:footerReference w:type="first" r:id="rId3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BA" w:rsidRDefault="00A953BA">
      <w:r>
        <w:separator/>
      </w:r>
    </w:p>
  </w:endnote>
  <w:endnote w:type="continuationSeparator" w:id="0">
    <w:p w:rsidR="00A953BA" w:rsidRDefault="00A9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7B497E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7B497E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7B497E">
      <w:rPr>
        <w:color w:val="0070C0"/>
        <w:sz w:val="18"/>
        <w:szCs w:val="18"/>
        <w:lang w:val="fr-CH"/>
      </w:rPr>
      <w:t xml:space="preserve"> •</w:t>
    </w:r>
    <w:r w:rsidRPr="007B497E">
      <w:rPr>
        <w:color w:val="0070C0"/>
        <w:sz w:val="18"/>
        <w:szCs w:val="18"/>
        <w:lang w:val="fr-CH"/>
      </w:rPr>
      <w:t xml:space="preserve"> CH</w:t>
    </w:r>
    <w:r w:rsidRPr="007B497E">
      <w:rPr>
        <w:color w:val="0070C0"/>
        <w:sz w:val="18"/>
        <w:szCs w:val="18"/>
        <w:lang w:val="fr-CH"/>
      </w:rPr>
      <w:noBreakHyphen/>
      <w:t>1211 Genève 20</w:t>
    </w:r>
    <w:r w:rsidR="00085F5A" w:rsidRPr="007B497E">
      <w:rPr>
        <w:color w:val="0070C0"/>
        <w:sz w:val="18"/>
        <w:szCs w:val="18"/>
        <w:lang w:val="fr-CH"/>
      </w:rPr>
      <w:t xml:space="preserve"> •</w:t>
    </w:r>
    <w:r w:rsidRPr="007B497E">
      <w:rPr>
        <w:color w:val="0070C0"/>
        <w:sz w:val="18"/>
        <w:szCs w:val="18"/>
        <w:lang w:val="fr-CH"/>
      </w:rPr>
      <w:t xml:space="preserve"> Suisse </w:t>
    </w:r>
    <w:r w:rsidRPr="007B497E">
      <w:rPr>
        <w:color w:val="0070C0"/>
        <w:sz w:val="18"/>
        <w:szCs w:val="18"/>
        <w:lang w:val="fr-CH"/>
      </w:rPr>
      <w:br/>
      <w:t>Tél</w:t>
    </w:r>
    <w:r w:rsidR="00085F5A" w:rsidRPr="007B497E">
      <w:rPr>
        <w:color w:val="0070C0"/>
        <w:sz w:val="18"/>
        <w:szCs w:val="18"/>
        <w:lang w:val="fr-CH"/>
      </w:rPr>
      <w:t>.</w:t>
    </w:r>
    <w:r w:rsidRPr="007B497E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7B497E">
      <w:rPr>
        <w:color w:val="0070C0"/>
        <w:sz w:val="18"/>
        <w:szCs w:val="18"/>
        <w:lang w:val="fr-CH"/>
      </w:rPr>
      <w:t>Courriel</w:t>
    </w:r>
    <w:r w:rsidRPr="007B497E">
      <w:rPr>
        <w:color w:val="0070C0"/>
        <w:sz w:val="18"/>
        <w:szCs w:val="18"/>
        <w:lang w:val="fr-CH"/>
      </w:rPr>
      <w:t xml:space="preserve">: </w:t>
    </w:r>
    <w:hyperlink r:id="rId1" w:history="1">
      <w:r w:rsidRPr="007B497E">
        <w:rPr>
          <w:rStyle w:val="Hyperlink"/>
          <w:color w:val="0070C0"/>
          <w:sz w:val="18"/>
          <w:szCs w:val="18"/>
        </w:rPr>
        <w:t>itumail@itu.int</w:t>
      </w:r>
    </w:hyperlink>
    <w:r w:rsidRPr="007B497E">
      <w:rPr>
        <w:color w:val="0070C0"/>
        <w:sz w:val="18"/>
        <w:szCs w:val="18"/>
        <w:lang w:val="fr-CH"/>
      </w:rPr>
      <w:t xml:space="preserve"> • </w:t>
    </w:r>
    <w:hyperlink r:id="rId2" w:history="1">
      <w:r w:rsidRPr="007B497E">
        <w:rPr>
          <w:rStyle w:val="Hyperlink"/>
          <w:color w:val="0070C0"/>
          <w:sz w:val="18"/>
          <w:szCs w:val="18"/>
        </w:rPr>
        <w:t>www.itu.int</w:t>
      </w:r>
    </w:hyperlink>
    <w:r w:rsidRPr="007B497E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BA" w:rsidRDefault="00A953BA">
      <w:r>
        <w:t>____________________</w:t>
      </w:r>
    </w:p>
  </w:footnote>
  <w:footnote w:type="continuationSeparator" w:id="0">
    <w:p w:rsidR="00A953BA" w:rsidRDefault="00A9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F03CE6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:rsidR="00C12F78" w:rsidRDefault="00C12F78" w:rsidP="00C12F78">
    <w:pPr>
      <w:pStyle w:val="Header"/>
      <w:rPr>
        <w:noProof/>
        <w:sz w:val="18"/>
        <w:szCs w:val="18"/>
      </w:rPr>
    </w:pPr>
    <w:r w:rsidRPr="00C12F78">
      <w:rPr>
        <w:noProof/>
        <w:sz w:val="18"/>
        <w:szCs w:val="18"/>
      </w:rPr>
      <w:t>Lettre collective 2/SG17RG-AFR</w:t>
    </w:r>
    <w:r w:rsidRPr="00C12F78">
      <w:rPr>
        <w:noProof/>
        <w:sz w:val="18"/>
        <w:szCs w:val="18"/>
      </w:rPr>
      <w:br/>
      <w:t>Lettre collective 3/SG17RG-ARB</w:t>
    </w:r>
  </w:p>
  <w:p w:rsidR="00151B31" w:rsidRPr="00C12F78" w:rsidRDefault="00151B31" w:rsidP="00C12F7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BA"/>
    <w:rsid w:val="000039EE"/>
    <w:rsid w:val="00005622"/>
    <w:rsid w:val="00015B6E"/>
    <w:rsid w:val="0002519E"/>
    <w:rsid w:val="000336D0"/>
    <w:rsid w:val="00035B43"/>
    <w:rsid w:val="00036F4F"/>
    <w:rsid w:val="0007460A"/>
    <w:rsid w:val="000758B3"/>
    <w:rsid w:val="00085F5A"/>
    <w:rsid w:val="00094621"/>
    <w:rsid w:val="000A075C"/>
    <w:rsid w:val="000B0D96"/>
    <w:rsid w:val="000B59D8"/>
    <w:rsid w:val="000C1F6B"/>
    <w:rsid w:val="000C25CC"/>
    <w:rsid w:val="000C56BE"/>
    <w:rsid w:val="001026FD"/>
    <w:rsid w:val="001077FD"/>
    <w:rsid w:val="00115DD7"/>
    <w:rsid w:val="00151B31"/>
    <w:rsid w:val="00167472"/>
    <w:rsid w:val="00167F92"/>
    <w:rsid w:val="00173738"/>
    <w:rsid w:val="001B79A3"/>
    <w:rsid w:val="002152A3"/>
    <w:rsid w:val="002743EC"/>
    <w:rsid w:val="002E395D"/>
    <w:rsid w:val="003131F0"/>
    <w:rsid w:val="00333A80"/>
    <w:rsid w:val="00341117"/>
    <w:rsid w:val="00364E95"/>
    <w:rsid w:val="00366447"/>
    <w:rsid w:val="00372875"/>
    <w:rsid w:val="003A43B6"/>
    <w:rsid w:val="003B1E80"/>
    <w:rsid w:val="003B66E8"/>
    <w:rsid w:val="003E5A7F"/>
    <w:rsid w:val="0040141C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C1433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50DD"/>
    <w:rsid w:val="006F405C"/>
    <w:rsid w:val="00716BBC"/>
    <w:rsid w:val="007321BC"/>
    <w:rsid w:val="00747468"/>
    <w:rsid w:val="00760063"/>
    <w:rsid w:val="00775E4B"/>
    <w:rsid w:val="00782170"/>
    <w:rsid w:val="00795429"/>
    <w:rsid w:val="0079553B"/>
    <w:rsid w:val="00795679"/>
    <w:rsid w:val="007A40FE"/>
    <w:rsid w:val="007B497E"/>
    <w:rsid w:val="007E77FA"/>
    <w:rsid w:val="0080624D"/>
    <w:rsid w:val="00810105"/>
    <w:rsid w:val="008157E0"/>
    <w:rsid w:val="00833EAA"/>
    <w:rsid w:val="0083775C"/>
    <w:rsid w:val="00850477"/>
    <w:rsid w:val="00854E1D"/>
    <w:rsid w:val="00887FA6"/>
    <w:rsid w:val="008C4397"/>
    <w:rsid w:val="008C465A"/>
    <w:rsid w:val="008C7D85"/>
    <w:rsid w:val="008F1BB2"/>
    <w:rsid w:val="008F2C9B"/>
    <w:rsid w:val="00923CD6"/>
    <w:rsid w:val="00935AA8"/>
    <w:rsid w:val="00942333"/>
    <w:rsid w:val="00943C4B"/>
    <w:rsid w:val="00953F35"/>
    <w:rsid w:val="00971C9A"/>
    <w:rsid w:val="009A4866"/>
    <w:rsid w:val="009D51FA"/>
    <w:rsid w:val="009E7FB3"/>
    <w:rsid w:val="009F1E23"/>
    <w:rsid w:val="009F6EC6"/>
    <w:rsid w:val="00A15179"/>
    <w:rsid w:val="00A51537"/>
    <w:rsid w:val="00A5280F"/>
    <w:rsid w:val="00A5645A"/>
    <w:rsid w:val="00A6063C"/>
    <w:rsid w:val="00A60FC1"/>
    <w:rsid w:val="00A953BA"/>
    <w:rsid w:val="00A97C37"/>
    <w:rsid w:val="00AC37B5"/>
    <w:rsid w:val="00AD752F"/>
    <w:rsid w:val="00AE278C"/>
    <w:rsid w:val="00AF08A4"/>
    <w:rsid w:val="00B27B41"/>
    <w:rsid w:val="00B42659"/>
    <w:rsid w:val="00B47499"/>
    <w:rsid w:val="00B64394"/>
    <w:rsid w:val="00B8573E"/>
    <w:rsid w:val="00BB24C0"/>
    <w:rsid w:val="00BB277A"/>
    <w:rsid w:val="00BD6ECF"/>
    <w:rsid w:val="00C12F78"/>
    <w:rsid w:val="00C26F2E"/>
    <w:rsid w:val="00C302E3"/>
    <w:rsid w:val="00C370E5"/>
    <w:rsid w:val="00C44F91"/>
    <w:rsid w:val="00C45376"/>
    <w:rsid w:val="00C9028F"/>
    <w:rsid w:val="00CA0416"/>
    <w:rsid w:val="00CB1125"/>
    <w:rsid w:val="00CD042E"/>
    <w:rsid w:val="00CF2560"/>
    <w:rsid w:val="00CF5B46"/>
    <w:rsid w:val="00D02BBB"/>
    <w:rsid w:val="00D1494F"/>
    <w:rsid w:val="00D46B68"/>
    <w:rsid w:val="00D542A5"/>
    <w:rsid w:val="00D85D86"/>
    <w:rsid w:val="00DC3D47"/>
    <w:rsid w:val="00DD77DA"/>
    <w:rsid w:val="00E06C61"/>
    <w:rsid w:val="00E13DB3"/>
    <w:rsid w:val="00E2408B"/>
    <w:rsid w:val="00E611F7"/>
    <w:rsid w:val="00E62CEA"/>
    <w:rsid w:val="00E72AE1"/>
    <w:rsid w:val="00E94F0E"/>
    <w:rsid w:val="00ED6A7A"/>
    <w:rsid w:val="00EE4C36"/>
    <w:rsid w:val="00F03CE6"/>
    <w:rsid w:val="00F346CE"/>
    <w:rsid w:val="00F34F98"/>
    <w:rsid w:val="00F36BBD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C5F242B-E33A-410C-969B-E089411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33EA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833EAA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AE278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E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">
    <w:name w:val="An"/>
    <w:basedOn w:val="Normal"/>
    <w:rsid w:val="00943C4B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943C4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062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sg17rgarb/Pages/default.aspx" TargetMode="External"/><Relationship Id="rId18" Type="http://schemas.openxmlformats.org/officeDocument/2006/relationships/hyperlink" Target="https://www.itu.int/en/ITU-T/studygroups/2017-2020/17/sg17rgafr/Pages/default.aspx" TargetMode="External"/><Relationship Id="rId26" Type="http://schemas.openxmlformats.org/officeDocument/2006/relationships/hyperlink" Target="https://www.itu.int/en/ITU-T/studygroups/2017-2020/17/sg17rgarb/Pages/default.asp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s://www.itu.int/en/ITU-T/studygroups/2017-2020/17/sg17rgafr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7/sg17rgafr/Pages/default.aspx" TargetMode="External"/><Relationship Id="rId17" Type="http://schemas.openxmlformats.org/officeDocument/2006/relationships/hyperlink" Target="mailto:tsbsg17@itu.int" TargetMode="External"/><Relationship Id="rId25" Type="http://schemas.openxmlformats.org/officeDocument/2006/relationships/hyperlink" Target="https://www.itu.int/en/ITU-T/studygroups/2017-2020/17/sg17rgafr/Pages/default.aspx" TargetMode="External"/><Relationship Id="rId33" Type="http://schemas.openxmlformats.org/officeDocument/2006/relationships/hyperlink" Target="https://www.itu.int/en/ITU-T/studygroups/2017-2020/17/sg17rgarb/Pages/default.asp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sg17rgarb/Pages/default.aspx" TargetMode="External"/><Relationship Id="rId20" Type="http://schemas.openxmlformats.org/officeDocument/2006/relationships/hyperlink" Target="https://www.itu.int/en/ITU-T/studygroups/2017-2020/17/sg17rgarb/Pages/default.aspx" TargetMode="External"/><Relationship Id="rId29" Type="http://schemas.openxmlformats.org/officeDocument/2006/relationships/hyperlink" Target="https://www.itu.int/en/ITU-T/studygroups/2017-2020/17/Documents/general-info/contributions-presentation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17/sg17rgarb" TargetMode="External"/><Relationship Id="rId24" Type="http://schemas.openxmlformats.org/officeDocument/2006/relationships/hyperlink" Target="mailto:tsbsg17@itu.int" TargetMode="External"/><Relationship Id="rId32" Type="http://schemas.openxmlformats.org/officeDocument/2006/relationships/hyperlink" Target="https://www.itu.int/en/ITU-T/studygroups/2017-2020/17/sg17rgarb/Pages/default.asp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7/sg17rgarb/Pages/default.aspx" TargetMode="External"/><Relationship Id="rId23" Type="http://schemas.openxmlformats.org/officeDocument/2006/relationships/image" Target="cid:image001.png@01D4C83C.D71975F0" TargetMode="External"/><Relationship Id="rId28" Type="http://schemas.openxmlformats.org/officeDocument/2006/relationships/hyperlink" Target="http://itu.int/ITUT/studygroups/templates" TargetMode="External"/><Relationship Id="rId36" Type="http://schemas.openxmlformats.org/officeDocument/2006/relationships/hyperlink" Target="https://www.itu.int/en/ITU-T/studygroups/2017-2020/17/sg17rgarb/Pages/default.aspx" TargetMode="External"/><Relationship Id="rId10" Type="http://schemas.openxmlformats.org/officeDocument/2006/relationships/hyperlink" Target="http://www.itu.int/en/ITU-T/studygroups/2017-2020/17/sg17rgafr" TargetMode="External"/><Relationship Id="rId19" Type="http://schemas.openxmlformats.org/officeDocument/2006/relationships/hyperlink" Target="https://www.itu.int/en/ITU-T/studygroups/2017-2020/17/sg17rgarb/Pages/default.aspx" TargetMode="External"/><Relationship Id="rId31" Type="http://schemas.openxmlformats.org/officeDocument/2006/relationships/hyperlink" Target="https://www.itu.int/en/ITU-T/studygroups/2017-2020/17/sg17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studygroups/2017-2020/17/sg17rgafr/Pages/default.aspx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ITU-T/studygroups/2017-2020/17/sg17rgarb/Pages/default.aspx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hyperlink" Target="https://www.itu.int/en/ITU-T/studygroups/2017-2020/17/sg17rgarb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4961-353A-440D-BB84-BD09BB40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55</TotalTime>
  <Pages>5</Pages>
  <Words>1265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10692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Osvath, Alexandra</cp:lastModifiedBy>
  <cp:revision>22</cp:revision>
  <cp:lastPrinted>2019-02-28T08:53:00Z</cp:lastPrinted>
  <dcterms:created xsi:type="dcterms:W3CDTF">2019-02-21T11:05:00Z</dcterms:created>
  <dcterms:modified xsi:type="dcterms:W3CDTF">2019-02-28T08:53:00Z</dcterms:modified>
</cp:coreProperties>
</file>