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B20C149" w14:textId="77777777" w:rsidTr="00D517B2">
        <w:trPr>
          <w:cantSplit/>
          <w:trHeight w:val="1134"/>
        </w:trPr>
        <w:tc>
          <w:tcPr>
            <w:tcW w:w="798" w:type="pct"/>
          </w:tcPr>
          <w:p w14:paraId="3E7F2E3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B2DC51E" wp14:editId="15EFD42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01C863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154BE9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727ED0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A8D850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2358EF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BBAC517" w14:textId="2B89E562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66CB2" w:rsidRPr="00566CB2">
              <w:rPr>
                <w:position w:val="2"/>
              </w:rPr>
              <w:t>5</w:t>
            </w:r>
            <w:r w:rsidRPr="00566CB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66CB2">
              <w:rPr>
                <w:rFonts w:hint="cs"/>
                <w:position w:val="2"/>
                <w:rtl/>
                <w:lang w:bidi="ar-EG"/>
              </w:rPr>
              <w:t xml:space="preserve">يوليو </w:t>
            </w:r>
            <w:r>
              <w:rPr>
                <w:position w:val="2"/>
              </w:rPr>
              <w:t>202</w:t>
            </w:r>
            <w:r w:rsidR="00A30B59">
              <w:rPr>
                <w:position w:val="2"/>
              </w:rPr>
              <w:t>1</w:t>
            </w:r>
          </w:p>
        </w:tc>
      </w:tr>
      <w:tr w:rsidR="00D517B2" w:rsidRPr="00D517B2" w14:paraId="274D5A2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1BC348D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5418660" w14:textId="77777777" w:rsid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566CB2">
              <w:rPr>
                <w:b/>
                <w:position w:val="2"/>
              </w:rPr>
              <w:t>11/16</w:t>
            </w:r>
          </w:p>
          <w:p w14:paraId="6C38E25B" w14:textId="72AE8BF8" w:rsidR="00566CB2" w:rsidRPr="006D2B76" w:rsidRDefault="00566CB2" w:rsidP="00D517B2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6D2B76">
              <w:rPr>
                <w:bCs/>
                <w:position w:val="2"/>
              </w:rPr>
              <w:t>SG16/SC</w:t>
            </w:r>
          </w:p>
        </w:tc>
        <w:tc>
          <w:tcPr>
            <w:tcW w:w="2206" w:type="pct"/>
            <w:vMerge w:val="restart"/>
          </w:tcPr>
          <w:p w14:paraId="4D7077C8" w14:textId="77777777" w:rsidR="00566CB2" w:rsidRPr="00E06C01" w:rsidRDefault="00566CB2" w:rsidP="00566CB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إلى:</w:t>
            </w:r>
          </w:p>
          <w:p w14:paraId="6EB00E2B" w14:textId="77777777" w:rsidR="00566CB2" w:rsidRPr="00AE4199" w:rsidRDefault="00566CB2" w:rsidP="00566CB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  <w:lang w:bidi="ar-EG"/>
              </w:rPr>
            </w:pPr>
            <w:r w:rsidRPr="00AE4199">
              <w:rPr>
                <w:rFonts w:hint="cs"/>
                <w:rtl/>
              </w:rPr>
              <w:t>-</w:t>
            </w:r>
            <w:r w:rsidRPr="00AE4199">
              <w:rPr>
                <w:rtl/>
              </w:rPr>
              <w:tab/>
            </w:r>
            <w:r w:rsidRPr="00AE4199">
              <w:rPr>
                <w:rFonts w:hint="cs"/>
                <w:rtl/>
              </w:rPr>
              <w:t>إدارات الدول الأعضاء في الاتحاد؛</w:t>
            </w:r>
          </w:p>
          <w:p w14:paraId="731C71A4" w14:textId="77777777" w:rsidR="00566CB2" w:rsidRPr="00AE4199" w:rsidRDefault="00566CB2" w:rsidP="00566CB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</w:rPr>
            </w:pPr>
            <w:r w:rsidRPr="00AE4199">
              <w:rPr>
                <w:rFonts w:hint="cs"/>
                <w:rtl/>
              </w:rPr>
              <w:t>-</w:t>
            </w:r>
            <w:r w:rsidRPr="00AE4199">
              <w:rPr>
                <w:rtl/>
              </w:rPr>
              <w:tab/>
            </w:r>
            <w:r w:rsidRPr="00AE4199">
              <w:rPr>
                <w:rFonts w:hint="cs"/>
                <w:rtl/>
              </w:rPr>
              <w:t>أعضاء قطاع تقييس الاتصالات في الاتحاد؛</w:t>
            </w:r>
          </w:p>
          <w:p w14:paraId="2540A1AE" w14:textId="77777777" w:rsidR="00566CB2" w:rsidRPr="00AE4199" w:rsidRDefault="00566CB2" w:rsidP="00566CB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</w:rPr>
            </w:pPr>
            <w:r w:rsidRPr="00AE4199">
              <w:rPr>
                <w:rFonts w:hint="cs"/>
                <w:rtl/>
              </w:rPr>
              <w:t>-</w:t>
            </w:r>
            <w:r w:rsidRPr="00AE4199">
              <w:rPr>
                <w:rtl/>
              </w:rPr>
              <w:tab/>
            </w:r>
            <w:r w:rsidRPr="00AE4199">
              <w:rPr>
                <w:rFonts w:hint="cs"/>
                <w:rtl/>
              </w:rPr>
              <w:t>المنتسبين إلى</w:t>
            </w:r>
            <w:r w:rsidRPr="00AE4199">
              <w:rPr>
                <w:rFonts w:hint="cs"/>
                <w:rtl/>
                <w:lang w:bidi="ar-EG"/>
              </w:rPr>
              <w:t xml:space="preserve"> </w:t>
            </w:r>
            <w:r w:rsidRPr="00AE4199">
              <w:rPr>
                <w:rFonts w:hint="cs"/>
                <w:rtl/>
              </w:rPr>
              <w:t>لجنة الدراسات</w:t>
            </w:r>
            <w:r w:rsidRPr="00AE4199">
              <w:rPr>
                <w:rFonts w:hint="eastAsia"/>
                <w:rtl/>
              </w:rPr>
              <w:t> </w:t>
            </w:r>
            <w:r w:rsidRPr="00AE4199">
              <w:t>16</w:t>
            </w:r>
            <w:r w:rsidRPr="00AE4199">
              <w:rPr>
                <w:rFonts w:hint="cs"/>
                <w:rtl/>
              </w:rPr>
              <w:t xml:space="preserve"> لقطاع تقييس الاتصالات؛</w:t>
            </w:r>
          </w:p>
          <w:p w14:paraId="76E416D8" w14:textId="3B8768DA" w:rsidR="00D517B2" w:rsidRPr="00D517B2" w:rsidRDefault="00566CB2" w:rsidP="00566C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E4199">
              <w:rPr>
                <w:rFonts w:hint="cs"/>
                <w:rtl/>
              </w:rPr>
              <w:t>-</w:t>
            </w:r>
            <w:r w:rsidRPr="00AE4199">
              <w:rPr>
                <w:rtl/>
              </w:rPr>
              <w:tab/>
            </w:r>
            <w:r w:rsidRPr="00AE4199"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0435E0C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D8748A0" w14:textId="77777777" w:rsidR="00D517B2" w:rsidRPr="00842463" w:rsidRDefault="00D517B2" w:rsidP="00EB3144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9FA1B83" w14:textId="77777777" w:rsidR="00D517B2" w:rsidRPr="00D517B2" w:rsidRDefault="00D517B2" w:rsidP="00EB3144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7AFE2DF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D00F4C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1FD04F1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2B35271" w14:textId="39A767F0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566CB2">
              <w:rPr>
                <w:position w:val="2"/>
              </w:rPr>
              <w:t>6805</w:t>
            </w:r>
          </w:p>
        </w:tc>
        <w:tc>
          <w:tcPr>
            <w:tcW w:w="2206" w:type="pct"/>
            <w:vMerge/>
          </w:tcPr>
          <w:p w14:paraId="346E781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C16DFB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8BC3808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7BE89C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3B7C54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4F21E1B" w14:textId="77777777" w:rsidTr="00D517B2">
        <w:trPr>
          <w:cantSplit/>
          <w:jc w:val="center"/>
        </w:trPr>
        <w:tc>
          <w:tcPr>
            <w:tcW w:w="796" w:type="pct"/>
          </w:tcPr>
          <w:p w14:paraId="64909963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A59501F" w14:textId="209AFC75" w:rsidR="00D517B2" w:rsidRPr="000E498D" w:rsidRDefault="00730A98" w:rsidP="000E498D">
            <w:pPr>
              <w:rPr>
                <w:position w:val="2"/>
              </w:rPr>
            </w:pPr>
            <w:hyperlink r:id="rId12" w:history="1">
              <w:r w:rsidR="00566CB2" w:rsidRPr="002D6110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2206" w:type="pct"/>
            <w:vMerge/>
          </w:tcPr>
          <w:p w14:paraId="6F6370F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2294D" w:rsidRPr="00D517B2" w14:paraId="3D3492F6" w14:textId="77777777" w:rsidTr="00D517B2">
        <w:trPr>
          <w:cantSplit/>
          <w:jc w:val="center"/>
        </w:trPr>
        <w:tc>
          <w:tcPr>
            <w:tcW w:w="796" w:type="pct"/>
          </w:tcPr>
          <w:p w14:paraId="3C59607C" w14:textId="2FBF6DCF" w:rsidR="0092294D" w:rsidRPr="00842463" w:rsidRDefault="00EB3144" w:rsidP="0092294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الموقع الإلكتروني:</w:t>
            </w:r>
          </w:p>
        </w:tc>
        <w:tc>
          <w:tcPr>
            <w:tcW w:w="1998" w:type="pct"/>
          </w:tcPr>
          <w:p w14:paraId="4BD748D1" w14:textId="0104ED16" w:rsidR="0092294D" w:rsidRDefault="00730A98" w:rsidP="0092294D">
            <w:hyperlink r:id="rId13" w:history="1">
              <w:r w:rsidR="0092294D" w:rsidRPr="002D6110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2206" w:type="pct"/>
          </w:tcPr>
          <w:p w14:paraId="1D11569D" w14:textId="77777777" w:rsidR="0092294D" w:rsidRPr="00D517B2" w:rsidRDefault="0092294D" w:rsidP="0092294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2294D" w:rsidRPr="00D517B2" w14:paraId="208ED90D" w14:textId="77777777" w:rsidTr="00D517B2">
        <w:trPr>
          <w:cantSplit/>
          <w:jc w:val="center"/>
        </w:trPr>
        <w:tc>
          <w:tcPr>
            <w:tcW w:w="796" w:type="pct"/>
          </w:tcPr>
          <w:p w14:paraId="3ABD63B2" w14:textId="77777777" w:rsidR="0092294D" w:rsidRPr="00B54F20" w:rsidRDefault="0092294D" w:rsidP="00EB3144">
            <w:pPr>
              <w:spacing w:before="24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EA66574" w14:textId="374CBA5A" w:rsidR="0092294D" w:rsidRPr="00D517B2" w:rsidRDefault="0092294D" w:rsidP="00EB3144">
            <w:pPr>
              <w:spacing w:before="240" w:after="60" w:line="300" w:lineRule="exact"/>
              <w:jc w:val="left"/>
              <w:rPr>
                <w:position w:val="2"/>
                <w:rtl/>
              </w:rPr>
            </w:pPr>
            <w:r w:rsidRPr="00AE4199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لا</w:t>
            </w:r>
            <w:r w:rsidRPr="00AE4199">
              <w:rPr>
                <w:rFonts w:hint="cs"/>
                <w:b/>
                <w:bCs/>
                <w:rtl/>
              </w:rPr>
              <w:t>جتماع</w:t>
            </w:r>
            <w:r>
              <w:rPr>
                <w:rFonts w:hint="cs"/>
                <w:b/>
                <w:bCs/>
                <w:rtl/>
              </w:rPr>
              <w:t xml:space="preserve"> الافتراضي</w:t>
            </w:r>
            <w:r w:rsidRPr="00AE419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</w:t>
            </w:r>
            <w:r w:rsidRPr="00AE4199">
              <w:rPr>
                <w:rFonts w:hint="cs"/>
                <w:b/>
                <w:bCs/>
                <w:rtl/>
              </w:rPr>
              <w:t xml:space="preserve">فرقة العمل </w:t>
            </w:r>
            <w:r>
              <w:rPr>
                <w:b/>
                <w:bCs/>
              </w:rPr>
              <w:t>2</w:t>
            </w:r>
            <w:r w:rsidRPr="00AE4199">
              <w:rPr>
                <w:b/>
                <w:bCs/>
              </w:rPr>
              <w:t>/16</w:t>
            </w:r>
            <w:r w:rsidRPr="00AE4199">
              <w:rPr>
                <w:rFonts w:hint="cs"/>
                <w:b/>
                <w:bCs/>
                <w:rtl/>
              </w:rPr>
              <w:t>؛</w:t>
            </w:r>
            <w:r w:rsidRPr="00AE419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</w:rPr>
              <w:t>27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>
              <w:rPr>
                <w:b/>
                <w:bCs/>
                <w:lang w:bidi="ar-EG"/>
              </w:rPr>
              <w:t>2021</w:t>
            </w:r>
          </w:p>
        </w:tc>
      </w:tr>
    </w:tbl>
    <w:p w14:paraId="23298D42" w14:textId="77777777" w:rsidR="00D517B2" w:rsidRPr="00D517B2" w:rsidRDefault="00D517B2" w:rsidP="00EB3144">
      <w:pPr>
        <w:spacing w:before="48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C1CE60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0087BA1" w14:textId="22688D42" w:rsidR="00566CB2" w:rsidRDefault="00566CB2" w:rsidP="00566CB2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تماشياً مع القرارات المتخذة خلال الاجتماع الأخير للجنة الدراسات </w:t>
      </w:r>
      <w:r>
        <w:rPr>
          <w:lang w:val="fr-FR" w:bidi="ar-SY"/>
        </w:rPr>
        <w:t>16</w:t>
      </w:r>
      <w:r>
        <w:rPr>
          <w:rFonts w:hint="cs"/>
          <w:rtl/>
          <w:lang w:val="fr-FR" w:bidi="ar-EG"/>
        </w:rPr>
        <w:t xml:space="preserve"> لقطاع تقييس الاتصالات</w:t>
      </w:r>
      <w:r>
        <w:rPr>
          <w:rFonts w:hint="cs"/>
          <w:rtl/>
          <w:lang w:val="fr-FR"/>
        </w:rPr>
        <w:t xml:space="preserve">، </w:t>
      </w:r>
      <w:r w:rsidR="006C1DBB">
        <w:rPr>
          <w:rFonts w:hint="cs"/>
          <w:rtl/>
          <w:lang w:val="fr-FR"/>
        </w:rPr>
        <w:t xml:space="preserve">الذي عقد افتراضياً في الفترة </w:t>
      </w:r>
      <w:r>
        <w:rPr>
          <w:rFonts w:hint="cs"/>
          <w:rtl/>
          <w:lang w:val="fr-FR"/>
        </w:rPr>
        <w:t>من</w:t>
      </w:r>
      <w:r>
        <w:rPr>
          <w:rFonts w:hint="eastAsia"/>
          <w:rtl/>
          <w:lang w:val="fr-FR"/>
        </w:rPr>
        <w:t> </w:t>
      </w:r>
      <w:r>
        <w:t>19</w:t>
      </w:r>
      <w:r>
        <w:rPr>
          <w:rFonts w:hint="eastAsia"/>
          <w:rtl/>
        </w:rPr>
        <w:t> </w:t>
      </w:r>
      <w:r>
        <w:rPr>
          <w:rFonts w:hint="cs"/>
          <w:rtl/>
        </w:rPr>
        <w:t>إلى</w:t>
      </w:r>
      <w:r>
        <w:rPr>
          <w:rFonts w:hint="eastAsia"/>
          <w:rtl/>
        </w:rPr>
        <w:t> </w:t>
      </w:r>
      <w:r>
        <w:t>30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أبريل </w:t>
      </w:r>
      <w:r>
        <w:t>2021</w:t>
      </w:r>
      <w:r>
        <w:rPr>
          <w:rFonts w:hint="cs"/>
          <w:rtl/>
        </w:rPr>
        <w:t xml:space="preserve">، يسرني أن أدعوكم إلى حضور اجتماع فرقة العمل </w:t>
      </w:r>
      <w:r>
        <w:t>2/16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FR" w:bidi="ar-EG"/>
        </w:rPr>
        <w:t>(</w:t>
      </w:r>
      <w:r>
        <w:rPr>
          <w:rFonts w:hint="cs"/>
          <w:color w:val="000000"/>
          <w:rtl/>
        </w:rPr>
        <w:t>الخدمات الإلكترونية المتعددة</w:t>
      </w:r>
      <w:r w:rsidRPr="00D41C73">
        <w:rPr>
          <w:color w:val="000000"/>
          <w:rtl/>
        </w:rPr>
        <w:t xml:space="preserve"> الوسائط</w:t>
      </w:r>
      <w:r>
        <w:rPr>
          <w:rFonts w:hint="cs"/>
          <w:rtl/>
          <w:lang w:val="fr-FR" w:bidi="ar-EG"/>
        </w:rPr>
        <w:t xml:space="preserve">) </w:t>
      </w:r>
      <w:r w:rsidR="006C1DBB">
        <w:rPr>
          <w:rFonts w:hint="cs"/>
          <w:rtl/>
          <w:lang w:val="fr-FR" w:bidi="ar-EG"/>
        </w:rPr>
        <w:t>الافتراضي بالكامل المزمع عقده افتراضياً</w:t>
      </w:r>
      <w:r>
        <w:rPr>
          <w:rFonts w:hint="cs"/>
          <w:rtl/>
          <w:lang w:val="fr-FR" w:bidi="ar-EG"/>
        </w:rPr>
        <w:t xml:space="preserve"> يوم الإثنين، </w:t>
      </w:r>
      <w:r>
        <w:rPr>
          <w:lang w:bidi="ar-EG"/>
        </w:rPr>
        <w:t>27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 w:rsidR="006C1DBB">
        <w:rPr>
          <w:rFonts w:hint="cs"/>
          <w:rtl/>
          <w:lang w:bidi="ar-EG"/>
        </w:rPr>
        <w:t xml:space="preserve"> من الساعة 1100 إلى الساعة 1400 (بتوقيت جنيف)</w:t>
      </w:r>
      <w:r>
        <w:rPr>
          <w:rFonts w:hint="cs"/>
          <w:rtl/>
        </w:rPr>
        <w:t xml:space="preserve">. والهدف </w:t>
      </w:r>
      <w:r>
        <w:rPr>
          <w:rFonts w:hint="cs"/>
          <w:rtl/>
          <w:lang w:bidi="ar-EG"/>
        </w:rPr>
        <w:t>الرئيسي للاجتماع هو إقرار</w:t>
      </w:r>
      <w:r>
        <w:rPr>
          <w:rFonts w:hint="eastAsia"/>
          <w:rtl/>
          <w:lang w:bidi="ar-EG"/>
        </w:rPr>
        <w:t> </w:t>
      </w:r>
      <w:r w:rsidR="006C1DBB">
        <w:rPr>
          <w:rFonts w:hint="cs"/>
          <w:rtl/>
          <w:lang w:bidi="ar-EG"/>
        </w:rPr>
        <w:t xml:space="preserve">وتحديد </w:t>
      </w:r>
      <w:r>
        <w:rPr>
          <w:rFonts w:hint="cs"/>
          <w:rtl/>
          <w:lang w:bidi="ar-EG"/>
        </w:rPr>
        <w:t xml:space="preserve">بنود العمل </w:t>
      </w:r>
      <w:r>
        <w:rPr>
          <w:rFonts w:hint="cs"/>
          <w:rtl/>
          <w:lang w:val="fr-FR" w:bidi="ar-EG"/>
        </w:rPr>
        <w:t xml:space="preserve">ذات الصلة بالمسائل التي تتناولها فرقة العمل </w:t>
      </w:r>
      <w:r>
        <w:rPr>
          <w:lang w:val="fr-FR" w:bidi="ar-EG"/>
        </w:rPr>
        <w:t>2/16</w:t>
      </w:r>
      <w:r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bidi="ar-EG"/>
        </w:rPr>
        <w:t>والتي سيصل العمل بشأنها إلى درجة وافية من النضج.</w:t>
      </w:r>
    </w:p>
    <w:p w14:paraId="33E2B734" w14:textId="2D377002" w:rsidR="00566CB2" w:rsidRDefault="00566CB2" w:rsidP="00566CB2">
      <w:pPr>
        <w:rPr>
          <w:spacing w:val="-3"/>
          <w:rtl/>
        </w:rPr>
      </w:pPr>
      <w:r>
        <w:rPr>
          <w:rFonts w:hint="cs"/>
          <w:spacing w:val="-3"/>
          <w:rtl/>
          <w:lang w:bidi="ar-SY"/>
        </w:rPr>
        <w:t>وست</w:t>
      </w:r>
      <w:r w:rsidRPr="00AE4199">
        <w:rPr>
          <w:rFonts w:hint="cs"/>
          <w:spacing w:val="-3"/>
          <w:rtl/>
          <w:lang w:bidi="ar-SY"/>
        </w:rPr>
        <w:t xml:space="preserve">سبق </w:t>
      </w:r>
      <w:r w:rsidRPr="00AE4199">
        <w:rPr>
          <w:rFonts w:hint="cs"/>
          <w:spacing w:val="-3"/>
          <w:rtl/>
        </w:rPr>
        <w:t xml:space="preserve">اجتماع فرقة العمل </w:t>
      </w:r>
      <w:r>
        <w:rPr>
          <w:spacing w:val="-3"/>
        </w:rPr>
        <w:t>2</w:t>
      </w:r>
      <w:r w:rsidRPr="00AE4199">
        <w:rPr>
          <w:spacing w:val="-3"/>
        </w:rPr>
        <w:t>/16</w:t>
      </w:r>
      <w:r w:rsidRPr="00AE4199">
        <w:rPr>
          <w:rFonts w:hint="cs"/>
          <w:spacing w:val="-3"/>
          <w:rtl/>
          <w:lang w:bidi="ar-SY"/>
        </w:rPr>
        <w:t xml:space="preserve"> </w:t>
      </w:r>
      <w:r w:rsidRPr="00AE4199">
        <w:rPr>
          <w:rFonts w:hint="cs"/>
          <w:spacing w:val="-3"/>
          <w:rtl/>
        </w:rPr>
        <w:t xml:space="preserve">اجتماعات </w:t>
      </w:r>
      <w:r w:rsidR="006C1DBB">
        <w:rPr>
          <w:rFonts w:hint="cs"/>
          <w:spacing w:val="-3"/>
          <w:rtl/>
        </w:rPr>
        <w:t>أفرقة</w:t>
      </w:r>
      <w:r w:rsidRPr="00AE4199">
        <w:rPr>
          <w:rFonts w:hint="cs"/>
          <w:spacing w:val="-3"/>
          <w:rtl/>
        </w:rPr>
        <w:t xml:space="preserve"> المقرِّرين المعنيين </w:t>
      </w:r>
      <w:r w:rsidR="006C1DBB">
        <w:rPr>
          <w:rFonts w:hint="cs"/>
          <w:spacing w:val="-3"/>
          <w:rtl/>
        </w:rPr>
        <w:t xml:space="preserve">بمسائل فرقة العمل 16/2 </w:t>
      </w:r>
      <w:r w:rsidRPr="00AE4199">
        <w:rPr>
          <w:rFonts w:hint="cs"/>
          <w:spacing w:val="-3"/>
          <w:rtl/>
        </w:rPr>
        <w:t xml:space="preserve">التي ستُعقد في </w:t>
      </w:r>
      <w:r w:rsidR="006C1DBB">
        <w:rPr>
          <w:rFonts w:hint="cs"/>
          <w:spacing w:val="-3"/>
          <w:rtl/>
        </w:rPr>
        <w:t xml:space="preserve">الفترة من مايو إلى سبتمبر 2021 (وهذه المسائل حالياً هي </w:t>
      </w:r>
      <w:r w:rsidR="006C1DBB">
        <w:rPr>
          <w:rFonts w:hint="cs"/>
          <w:spacing w:val="-3"/>
          <w:rtl/>
          <w:lang w:bidi="ar-EG"/>
        </w:rPr>
        <w:t>16/23 و16/24 و16/27 و16/28)</w:t>
      </w:r>
      <w:r w:rsidR="006C1DBB">
        <w:rPr>
          <w:rFonts w:hint="cs"/>
          <w:spacing w:val="-3"/>
          <w:rtl/>
        </w:rPr>
        <w:t xml:space="preserve">. وستُحدث الصفحة </w:t>
      </w:r>
      <w:hyperlink r:id="rId14" w:history="1">
        <w:r w:rsidR="00360F31" w:rsidRPr="005A5F06">
          <w:rPr>
            <w:rStyle w:val="Hyperlink"/>
            <w:spacing w:val="-3"/>
          </w:rPr>
          <w:t>https://itu.int/go/rgm/tsg16</w:t>
        </w:r>
      </w:hyperlink>
      <w:r w:rsidR="00360F31">
        <w:rPr>
          <w:rFonts w:hint="cs"/>
          <w:spacing w:val="-3"/>
          <w:rtl/>
        </w:rPr>
        <w:t xml:space="preserve"> بمجرد توفر التفاصيل.</w:t>
      </w:r>
    </w:p>
    <w:p w14:paraId="0FFB6D6A" w14:textId="27F24719" w:rsidR="00566CB2" w:rsidRDefault="00566CB2" w:rsidP="00566CB2">
      <w:pPr>
        <w:rPr>
          <w:rtl/>
          <w:lang w:bidi="ar-EG"/>
        </w:rPr>
      </w:pPr>
      <w:r>
        <w:rPr>
          <w:rFonts w:hint="cs"/>
          <w:rtl/>
          <w:lang w:bidi="ar-EG"/>
        </w:rPr>
        <w:t>ونظراً إلى أن هذا الاجتماع سيكون اجتماعاً افتراضياً بالكامل، فلن تُمنح أي مِنح، وسيجري الاجتماع بكامله باللغة الإنكليزية حصراً وبدون ترجمة شفوية.</w:t>
      </w:r>
    </w:p>
    <w:p w14:paraId="149E4474" w14:textId="16A4EED1" w:rsidR="00566CB2" w:rsidRDefault="00566CB2" w:rsidP="00566CB2">
      <w:pPr>
        <w:rPr>
          <w:lang w:bidi="ar-EG"/>
        </w:rPr>
      </w:pPr>
      <w:r>
        <w:rPr>
          <w:color w:val="000000"/>
          <w:spacing w:val="-2"/>
          <w:rtl/>
        </w:rPr>
        <w:t xml:space="preserve">يرجى ملاحظة أن التسجيل إلزامي (تسجيل إلكتروني في العنوان </w:t>
      </w:r>
      <w:hyperlink r:id="rId15" w:history="1">
        <w:r>
          <w:rPr>
            <w:rStyle w:val="Hyperlink"/>
            <w:spacing w:val="-2"/>
          </w:rPr>
          <w:t>https://itu.int/go/tsg16/reg</w:t>
        </w:r>
      </w:hyperlink>
      <w:r>
        <w:rPr>
          <w:spacing w:val="-2"/>
          <w:rtl/>
          <w:lang w:bidi="ar-EG"/>
        </w:rPr>
        <w:t>). ولن تكون المشاركة في الاجتماعات ممكنة إلا بموافقة جهة الاتصال المعنية على التسجيل.</w:t>
      </w:r>
    </w:p>
    <w:p w14:paraId="32301F07" w14:textId="3387FB9F" w:rsidR="00566CB2" w:rsidRPr="00F4706E" w:rsidRDefault="00566CB2" w:rsidP="00566CB2">
      <w:pPr>
        <w:rPr>
          <w:rFonts w:eastAsia="SimSun"/>
          <w:spacing w:val="-4"/>
          <w:lang w:bidi="ar-EG"/>
        </w:rPr>
      </w:pPr>
      <w:r w:rsidRPr="00F4706E">
        <w:rPr>
          <w:rFonts w:eastAsia="SimSun" w:hint="cs"/>
          <w:spacing w:val="-4"/>
          <w:rtl/>
          <w:lang w:bidi="ar-SY"/>
        </w:rPr>
        <w:t xml:space="preserve">وستُعرض التفاصيل المتعلقة بقاعات الاجتماع على الشاشات عند مداخل مقر الاتحاد. وترد معلومات إضافية عن الاجتماع في </w:t>
      </w:r>
      <w:r w:rsidRPr="00F4706E">
        <w:rPr>
          <w:rFonts w:eastAsia="SimSun" w:hint="cs"/>
          <w:b/>
          <w:bCs/>
          <w:spacing w:val="-4"/>
          <w:rtl/>
          <w:lang w:bidi="ar-SY"/>
        </w:rPr>
        <w:t>الملحق</w:t>
      </w:r>
      <w:r w:rsidR="00EB3144">
        <w:rPr>
          <w:rFonts w:eastAsia="SimSun" w:hint="eastAsia"/>
          <w:spacing w:val="-4"/>
          <w:rtl/>
          <w:lang w:bidi="ar-EG"/>
        </w:rPr>
        <w:t> </w:t>
      </w:r>
      <w:r>
        <w:rPr>
          <w:rFonts w:eastAsia="SimSun"/>
          <w:b/>
          <w:bCs/>
          <w:spacing w:val="-4"/>
          <w:lang w:bidi="ar-EG"/>
        </w:rPr>
        <w:t>A</w:t>
      </w:r>
      <w:r w:rsidRPr="00EB3144">
        <w:rPr>
          <w:rFonts w:hint="cs"/>
          <w:rtl/>
        </w:rPr>
        <w:t>.</w:t>
      </w:r>
      <w:r w:rsidRPr="00F4706E">
        <w:rPr>
          <w:rFonts w:eastAsia="SimSun" w:hint="cs"/>
          <w:spacing w:val="-4"/>
          <w:rtl/>
          <w:lang w:bidi="ar-EG"/>
        </w:rPr>
        <w:t xml:space="preserve"> </w:t>
      </w:r>
      <w:r w:rsidRPr="00F4706E">
        <w:rPr>
          <w:rFonts w:eastAsia="SimSun" w:hint="cs"/>
          <w:spacing w:val="-4"/>
          <w:rtl/>
        </w:rPr>
        <w:t xml:space="preserve">ويرد </w:t>
      </w:r>
      <w:r w:rsidRPr="00F4706E">
        <w:rPr>
          <w:rFonts w:eastAsia="SimSun" w:hint="cs"/>
          <w:spacing w:val="-4"/>
          <w:rtl/>
          <w:lang w:bidi="ar-SY"/>
        </w:rPr>
        <w:t xml:space="preserve">في </w:t>
      </w:r>
      <w:r w:rsidRPr="00F4706E">
        <w:rPr>
          <w:rFonts w:eastAsia="SimSun" w:hint="cs"/>
          <w:b/>
          <w:bCs/>
          <w:spacing w:val="-4"/>
          <w:rtl/>
          <w:lang w:bidi="ar-SY"/>
        </w:rPr>
        <w:t>الملحق</w:t>
      </w:r>
      <w:r w:rsidRPr="00F4706E">
        <w:rPr>
          <w:rFonts w:eastAsia="SimSun" w:hint="eastAsia"/>
          <w:b/>
          <w:bCs/>
          <w:spacing w:val="-4"/>
          <w:rtl/>
          <w:lang w:bidi="ar-SY"/>
        </w:rPr>
        <w:t> </w:t>
      </w:r>
      <w:r>
        <w:rPr>
          <w:rFonts w:eastAsia="SimSun"/>
          <w:b/>
          <w:bCs/>
          <w:spacing w:val="-4"/>
          <w:lang w:bidi="ar-EG"/>
        </w:rPr>
        <w:t>B</w:t>
      </w:r>
      <w:r w:rsidRPr="00F4706E">
        <w:rPr>
          <w:rFonts w:eastAsia="SimSun" w:hint="cs"/>
          <w:spacing w:val="-4"/>
          <w:rtl/>
          <w:lang w:bidi="ar-SY"/>
        </w:rPr>
        <w:t xml:space="preserve"> مشروع جدول أعمال الاجتماع الذي أُعد بالاتفاق مع الرئيسين المشاركين لفرقة العمل</w:t>
      </w:r>
      <w:r w:rsidRPr="00F4706E">
        <w:rPr>
          <w:rFonts w:eastAsia="SimSun" w:hint="eastAsia"/>
          <w:spacing w:val="-4"/>
          <w:rtl/>
          <w:lang w:bidi="ar-SY"/>
        </w:rPr>
        <w:t> </w:t>
      </w:r>
      <w:r>
        <w:rPr>
          <w:rFonts w:eastAsia="SimSun"/>
          <w:spacing w:val="-4"/>
          <w:lang w:bidi="ar-SY"/>
        </w:rPr>
        <w:t>2</w:t>
      </w:r>
      <w:r w:rsidRPr="00F4706E">
        <w:rPr>
          <w:rFonts w:eastAsia="SimSun"/>
          <w:spacing w:val="-4"/>
          <w:lang w:bidi="ar-SY"/>
        </w:rPr>
        <w:t>/16</w:t>
      </w:r>
      <w:r w:rsidRPr="00F4706E">
        <w:rPr>
          <w:rFonts w:eastAsia="SimSun" w:hint="cs"/>
          <w:spacing w:val="-4"/>
          <w:rtl/>
          <w:lang w:bidi="ar-SY"/>
        </w:rPr>
        <w:t xml:space="preserve">، السيد </w:t>
      </w:r>
      <w:r>
        <w:rPr>
          <w:rFonts w:eastAsia="SimSun" w:hint="cs"/>
          <w:spacing w:val="-4"/>
          <w:rtl/>
          <w:lang w:bidi="ar-SY"/>
        </w:rPr>
        <w:t xml:space="preserve">مهند المغربل </w:t>
      </w:r>
      <w:r w:rsidRPr="00F4706E">
        <w:rPr>
          <w:rFonts w:eastAsia="SimSun" w:hint="cs"/>
          <w:spacing w:val="-4"/>
          <w:rtl/>
          <w:lang w:bidi="ar-SY"/>
        </w:rPr>
        <w:t xml:space="preserve">والسيد </w:t>
      </w:r>
      <w:proofErr w:type="spellStart"/>
      <w:r w:rsidRPr="00370A7A">
        <w:rPr>
          <w:spacing w:val="-4"/>
          <w:rtl/>
        </w:rPr>
        <w:t>هيديكي</w:t>
      </w:r>
      <w:proofErr w:type="spellEnd"/>
      <w:r w:rsidRPr="00370A7A">
        <w:rPr>
          <w:spacing w:val="-4"/>
          <w:rtl/>
        </w:rPr>
        <w:t xml:space="preserve"> </w:t>
      </w:r>
      <w:proofErr w:type="spellStart"/>
      <w:r w:rsidRPr="00370A7A">
        <w:rPr>
          <w:spacing w:val="-4"/>
          <w:rtl/>
        </w:rPr>
        <w:t>ياماموتو</w:t>
      </w:r>
      <w:proofErr w:type="spellEnd"/>
      <w:r>
        <w:rPr>
          <w:rFonts w:hint="cs"/>
          <w:spacing w:val="-4"/>
          <w:rtl/>
        </w:rPr>
        <w:t>.</w:t>
      </w:r>
    </w:p>
    <w:p w14:paraId="522668D1" w14:textId="77777777" w:rsidR="008B74E9" w:rsidRPr="00F11643" w:rsidRDefault="008B74E9" w:rsidP="00EB3144">
      <w:pPr>
        <w:pStyle w:val="Headingb"/>
        <w:keepLines/>
        <w:spacing w:after="120"/>
        <w:rPr>
          <w:rtl/>
          <w:lang w:val="fr-CH"/>
        </w:rPr>
      </w:pPr>
      <w:r w:rsidRPr="00F11643">
        <w:rPr>
          <w:rFonts w:hint="cs"/>
          <w:rtl/>
          <w:lang w:val="fr-CH"/>
        </w:rPr>
        <w:lastRenderedPageBreak/>
        <w:t>أهم المواعيد النهائية</w:t>
      </w:r>
      <w:r w:rsidRPr="003A5C3F">
        <w:rPr>
          <w:rFonts w:hint="cs"/>
          <w:rtl/>
          <w:lang w:val="fr-CH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79"/>
      </w:tblGrid>
      <w:tr w:rsidR="008B74E9" w:rsidRPr="00C33F55" w14:paraId="0ED80CB3" w14:textId="77777777" w:rsidTr="00365DF8">
        <w:tc>
          <w:tcPr>
            <w:tcW w:w="1550" w:type="dxa"/>
          </w:tcPr>
          <w:p w14:paraId="268FF903" w14:textId="572167B9" w:rsidR="008B74E9" w:rsidRPr="00C33F55" w:rsidRDefault="008B74E9" w:rsidP="00EB3144">
            <w:pPr>
              <w:keepNext/>
              <w:keepLines/>
              <w:spacing w:before="60" w:after="60" w:line="300" w:lineRule="exact"/>
              <w:jc w:val="center"/>
              <w:rPr>
                <w:spacing w:val="-4"/>
                <w:position w:val="2"/>
                <w:rtl/>
                <w:lang w:bidi="ar-EG"/>
              </w:rPr>
            </w:pPr>
            <w:r w:rsidRPr="004D578D">
              <w:t>2021-</w:t>
            </w:r>
            <w:r>
              <w:t>07</w:t>
            </w:r>
            <w:r w:rsidRPr="004D578D">
              <w:t>-</w:t>
            </w:r>
            <w:r>
              <w:t>27</w:t>
            </w:r>
          </w:p>
        </w:tc>
        <w:tc>
          <w:tcPr>
            <w:tcW w:w="8079" w:type="dxa"/>
            <w:shd w:val="clear" w:color="auto" w:fill="auto"/>
          </w:tcPr>
          <w:p w14:paraId="7C50AED2" w14:textId="77777777" w:rsidR="008B74E9" w:rsidRPr="00C33F55" w:rsidRDefault="008B74E9" w:rsidP="00EB3144">
            <w:pPr>
              <w:pStyle w:val="enumlev1"/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color w:val="000000"/>
                <w:spacing w:val="-4"/>
                <w:rtl/>
              </w:rPr>
            </w:pPr>
            <w:r w:rsidRPr="00C33F55">
              <w:rPr>
                <w:rFonts w:hint="cs"/>
                <w:spacing w:val="-4"/>
                <w:rtl/>
              </w:rPr>
              <w:t>-</w:t>
            </w:r>
            <w:r w:rsidRPr="00C33F55">
              <w:rPr>
                <w:spacing w:val="-4"/>
              </w:rPr>
              <w:tab/>
            </w:r>
            <w:r w:rsidRPr="00C33F55">
              <w:rPr>
                <w:rFonts w:hint="cs"/>
                <w:rtl/>
              </w:rPr>
              <w:t xml:space="preserve">تقديم طلبات الحصول على </w:t>
            </w:r>
            <w:r w:rsidRPr="00C33F55">
              <w:rPr>
                <w:rtl/>
              </w:rPr>
              <w:t xml:space="preserve">خدمات العرض النصي </w:t>
            </w:r>
            <w:r w:rsidRPr="00C33F55">
              <w:rPr>
                <w:rFonts w:hint="cs"/>
                <w:rtl/>
              </w:rPr>
              <w:t>و/أو</w:t>
            </w:r>
            <w:r w:rsidRPr="00C33F55">
              <w:rPr>
                <w:rFonts w:hint="eastAsia"/>
                <w:rtl/>
              </w:rPr>
              <w:t> </w:t>
            </w:r>
            <w:r w:rsidRPr="00C33F55">
              <w:rPr>
                <w:rtl/>
              </w:rPr>
              <w:t>الترجمة بلغة الإشارة</w:t>
            </w:r>
            <w:r w:rsidRPr="00C33F55">
              <w:rPr>
                <w:rFonts w:hint="cs"/>
                <w:rtl/>
              </w:rPr>
              <w:t xml:space="preserve"> في</w:t>
            </w:r>
            <w:r w:rsidRPr="00C33F55">
              <w:rPr>
                <w:rFonts w:hint="eastAsia"/>
                <w:rtl/>
              </w:rPr>
              <w:t> </w:t>
            </w:r>
            <w:r w:rsidRPr="00C33F55">
              <w:rPr>
                <w:rFonts w:hint="cs"/>
                <w:rtl/>
              </w:rPr>
              <w:t>الوقت الفعلي</w:t>
            </w:r>
          </w:p>
          <w:p w14:paraId="3E4F9A1C" w14:textId="69FAC176" w:rsidR="008B74E9" w:rsidRPr="00C33F55" w:rsidRDefault="008B74E9" w:rsidP="00EB3144">
            <w:pPr>
              <w:pStyle w:val="enumlev1"/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b/>
                <w:position w:val="2"/>
              </w:rPr>
            </w:pPr>
            <w:r w:rsidRPr="00C33F55">
              <w:rPr>
                <w:rFonts w:hint="cs"/>
                <w:position w:val="2"/>
                <w:rtl/>
              </w:rPr>
              <w:t>-</w:t>
            </w:r>
            <w:r w:rsidRPr="00C33F55">
              <w:rPr>
                <w:position w:val="2"/>
                <w:rtl/>
              </w:rPr>
              <w:tab/>
            </w:r>
            <w:hyperlink r:id="rId16" w:history="1">
              <w:r w:rsidRPr="00C33F55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C33F55">
              <w:rPr>
                <w:rFonts w:hint="cs"/>
                <w:position w:val="2"/>
                <w:rtl/>
              </w:rPr>
              <w:t xml:space="preserve"> </w:t>
            </w:r>
            <w:r w:rsidRPr="00C33F55">
              <w:rPr>
                <w:position w:val="2"/>
                <w:rtl/>
              </w:rPr>
              <w:t>المطلوبة ترجمتها</w:t>
            </w:r>
          </w:p>
        </w:tc>
      </w:tr>
      <w:tr w:rsidR="008B74E9" w:rsidRPr="00C33F55" w14:paraId="65BDF166" w14:textId="77777777" w:rsidTr="00365DF8">
        <w:tc>
          <w:tcPr>
            <w:tcW w:w="1550" w:type="dxa"/>
            <w:vAlign w:val="center"/>
          </w:tcPr>
          <w:p w14:paraId="116BF16B" w14:textId="7633F8F6" w:rsidR="008B74E9" w:rsidRPr="00C33F55" w:rsidRDefault="008B74E9" w:rsidP="00EB3144">
            <w:pPr>
              <w:keepNext/>
              <w:keepLines/>
              <w:spacing w:before="60" w:after="60" w:line="300" w:lineRule="exact"/>
              <w:jc w:val="center"/>
              <w:rPr>
                <w:spacing w:val="-4"/>
                <w:position w:val="2"/>
                <w:rtl/>
                <w:lang w:val="fr-CH" w:bidi="ar-SY"/>
              </w:rPr>
            </w:pPr>
            <w:r w:rsidRPr="004D578D">
              <w:rPr>
                <w:rFonts w:asciiTheme="minorHAnsi" w:hAnsiTheme="minorHAnsi"/>
              </w:rPr>
              <w:t>2021-</w:t>
            </w:r>
            <w:r>
              <w:rPr>
                <w:rFonts w:asciiTheme="minorHAnsi" w:hAnsiTheme="minorHAnsi"/>
              </w:rPr>
              <w:t>08</w:t>
            </w:r>
            <w:r w:rsidRPr="004D578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8079" w:type="dxa"/>
            <w:shd w:val="clear" w:color="auto" w:fill="auto"/>
          </w:tcPr>
          <w:p w14:paraId="751946CC" w14:textId="41B2CEDB" w:rsidR="008B74E9" w:rsidRPr="00C33F55" w:rsidRDefault="008B74E9" w:rsidP="00EB3144">
            <w:pPr>
              <w:pStyle w:val="enumlev1"/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C33F55">
              <w:rPr>
                <w:rFonts w:hint="cs"/>
                <w:rtl/>
              </w:rPr>
              <w:t>-</w:t>
            </w:r>
            <w:r w:rsidRPr="00C33F55">
              <w:rPr>
                <w:rtl/>
              </w:rPr>
              <w:tab/>
            </w:r>
            <w:r w:rsidRPr="00C33F55">
              <w:rPr>
                <w:position w:val="2"/>
                <w:rtl/>
              </w:rPr>
              <w:t xml:space="preserve">التسجيل (من خلال </w:t>
            </w:r>
            <w:r w:rsidRPr="00C33F55">
              <w:rPr>
                <w:rFonts w:hint="cs"/>
                <w:position w:val="2"/>
                <w:rtl/>
                <w:lang w:val="fr-CH"/>
              </w:rPr>
              <w:t xml:space="preserve">نموذج التسجيل الإلكتروني في </w:t>
            </w:r>
            <w:hyperlink r:id="rId17" w:history="1">
              <w:r w:rsidRPr="00C33F55">
                <w:rPr>
                  <w:rStyle w:val="Hyperlink"/>
                  <w:rFonts w:hint="cs"/>
                  <w:position w:val="2"/>
                  <w:rtl/>
                  <w:lang w:val="fr-CH"/>
                </w:rPr>
                <w:t>الصفحة الرئيسية للجنة</w:t>
              </w:r>
              <w:r w:rsidRPr="00C33F55">
                <w:rPr>
                  <w:rStyle w:val="Hyperlink"/>
                  <w:rFonts w:hint="eastAsia"/>
                  <w:position w:val="2"/>
                  <w:rtl/>
                  <w:lang w:val="fr-CH"/>
                </w:rPr>
                <w:t> </w:t>
              </w:r>
              <w:r w:rsidRPr="00C33F55">
                <w:rPr>
                  <w:rStyle w:val="Hyperlink"/>
                  <w:rFonts w:hint="cs"/>
                  <w:position w:val="2"/>
                  <w:rtl/>
                  <w:lang w:val="fr-CH"/>
                </w:rPr>
                <w:t>الدراسات</w:t>
              </w:r>
            </w:hyperlink>
            <w:r w:rsidRPr="00C33F55">
              <w:rPr>
                <w:position w:val="2"/>
                <w:rtl/>
              </w:rPr>
              <w:t>)</w:t>
            </w:r>
          </w:p>
        </w:tc>
      </w:tr>
      <w:tr w:rsidR="008B74E9" w:rsidRPr="00C33F55" w14:paraId="34BF64D0" w14:textId="77777777" w:rsidTr="00365DF8">
        <w:tc>
          <w:tcPr>
            <w:tcW w:w="1550" w:type="dxa"/>
            <w:vAlign w:val="center"/>
          </w:tcPr>
          <w:p w14:paraId="42E2C878" w14:textId="5A47B787" w:rsidR="008B74E9" w:rsidRPr="00C33F55" w:rsidRDefault="008B74E9" w:rsidP="00EB3144">
            <w:pPr>
              <w:keepNext/>
              <w:keepLines/>
              <w:spacing w:before="60" w:after="60" w:line="300" w:lineRule="exact"/>
              <w:jc w:val="center"/>
              <w:rPr>
                <w:spacing w:val="-4"/>
                <w:position w:val="2"/>
                <w:rtl/>
              </w:rPr>
            </w:pPr>
            <w:r w:rsidRPr="004D578D">
              <w:rPr>
                <w:rFonts w:asciiTheme="minorHAnsi" w:hAnsiTheme="minorHAnsi"/>
              </w:rPr>
              <w:t>2021-</w:t>
            </w:r>
            <w:r>
              <w:rPr>
                <w:rFonts w:asciiTheme="minorHAnsi" w:hAnsiTheme="minorHAnsi"/>
              </w:rPr>
              <w:t>09</w:t>
            </w:r>
            <w:r w:rsidRPr="004D578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8079" w:type="dxa"/>
            <w:shd w:val="clear" w:color="auto" w:fill="auto"/>
          </w:tcPr>
          <w:p w14:paraId="11318B73" w14:textId="6091FC94" w:rsidR="008B74E9" w:rsidRPr="005D722F" w:rsidRDefault="008B74E9" w:rsidP="00EB3144">
            <w:pPr>
              <w:pStyle w:val="enumlev1"/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spacing w:val="-2"/>
                <w:position w:val="2"/>
                <w:rtl/>
              </w:rPr>
            </w:pPr>
            <w:r w:rsidRPr="00C33F55">
              <w:rPr>
                <w:rFonts w:hint="cs"/>
                <w:position w:val="2"/>
                <w:rtl/>
              </w:rPr>
              <w:t>-</w:t>
            </w:r>
            <w:r w:rsidRPr="00C33F55">
              <w:rPr>
                <w:position w:val="2"/>
                <w:rtl/>
              </w:rPr>
              <w:tab/>
            </w:r>
            <w:hyperlink r:id="rId18" w:history="1">
              <w:r w:rsidRPr="00C33F55">
                <w:rPr>
                  <w:rStyle w:val="Hyperlink"/>
                  <w:rFonts w:hint="cs"/>
                  <w:position w:val="2"/>
                  <w:rtl/>
                </w:rPr>
                <w:t xml:space="preserve">تقديم مساهمات أعضاء قطاع تقييس الاتصالات (من خلال </w:t>
              </w:r>
              <w:r>
                <w:rPr>
                  <w:rStyle w:val="Hyperlink"/>
                  <w:rFonts w:hint="cs"/>
                  <w:position w:val="2"/>
                  <w:rtl/>
                </w:rPr>
                <w:t>نظام</w:t>
              </w:r>
              <w:r w:rsidRPr="00C33F55">
                <w:rPr>
                  <w:rStyle w:val="Hyperlink"/>
                  <w:rFonts w:hint="cs"/>
                  <w:position w:val="2"/>
                  <w:rtl/>
                </w:rPr>
                <w:t xml:space="preserve"> النشر المباشر</w:t>
              </w:r>
              <w:r w:rsidRPr="00C33F55">
                <w:rPr>
                  <w:rStyle w:val="Hyperlink"/>
                  <w:rFonts w:hint="eastAsia"/>
                  <w:position w:val="2"/>
                  <w:rtl/>
                  <w:lang w:bidi="ar-EG"/>
                </w:rPr>
                <w:t> </w:t>
              </w:r>
              <w:r w:rsidRPr="00C33F55">
                <w:rPr>
                  <w:rStyle w:val="Hyperlink"/>
                  <w:rFonts w:hint="cs"/>
                  <w:position w:val="2"/>
                  <w:rtl/>
                </w:rPr>
                <w:t>للوثائق)</w:t>
              </w:r>
            </w:hyperlink>
          </w:p>
        </w:tc>
      </w:tr>
    </w:tbl>
    <w:p w14:paraId="2835E37D" w14:textId="77777777" w:rsidR="00566CB2" w:rsidRPr="008B74E9" w:rsidRDefault="00566CB2" w:rsidP="00EB3144">
      <w:pPr>
        <w:keepNext/>
        <w:keepLines/>
        <w:rPr>
          <w:spacing w:val="-3"/>
          <w:rtl/>
        </w:rPr>
      </w:pPr>
    </w:p>
    <w:p w14:paraId="392B73AC" w14:textId="72625628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2B370650" w14:textId="77777777" w:rsidTr="00DD1EBB">
        <w:trPr>
          <w:trHeight w:val="2516"/>
        </w:trPr>
        <w:tc>
          <w:tcPr>
            <w:tcW w:w="3014" w:type="pct"/>
          </w:tcPr>
          <w:p w14:paraId="53016573" w14:textId="4E592279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C439CC6" w14:textId="4C8C5904" w:rsidR="00D517B2" w:rsidRPr="00D517B2" w:rsidRDefault="00730A98" w:rsidP="00CD73BC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252B7B50" wp14:editId="67B1476F">
                  <wp:simplePos x="0" y="0"/>
                  <wp:positionH relativeFrom="column">
                    <wp:posOffset>2811709</wp:posOffset>
                  </wp:positionH>
                  <wp:positionV relativeFrom="paragraph">
                    <wp:posOffset>24130</wp:posOffset>
                  </wp:positionV>
                  <wp:extent cx="765881" cy="530225"/>
                  <wp:effectExtent l="0" t="0" r="0" b="317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81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8E24327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CAAEE94" wp14:editId="348F7AC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EAD430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3FA7F92F" wp14:editId="2A0F6468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DDB1A4A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82C49E" w14:textId="0582294F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EB3144">
                                      <w:rPr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AEE94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AEAD430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3FA7F92F" wp14:editId="2A0F6468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DDB1A4A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C82C49E" w14:textId="0582294F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EB3144">
                                <w:rPr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FE57A26" w14:textId="48E2C3D9" w:rsidR="008B74E9" w:rsidRPr="00F11643" w:rsidRDefault="008B74E9" w:rsidP="00EB3144">
      <w:pPr>
        <w:spacing w:before="1440"/>
        <w:rPr>
          <w:rtl/>
        </w:rPr>
      </w:pPr>
      <w:r w:rsidRPr="00F11643">
        <w:rPr>
          <w:rFonts w:hint="cs"/>
          <w:b/>
          <w:bCs/>
          <w:rtl/>
          <w:lang w:bidi="ar-EG"/>
        </w:rPr>
        <w:t>الملحقات</w:t>
      </w:r>
      <w:r w:rsidRPr="00FC3B32">
        <w:rPr>
          <w:rFonts w:hint="cs"/>
          <w:b/>
          <w:bCs/>
          <w:rtl/>
          <w:lang w:bidi="ar-EG"/>
        </w:rPr>
        <w:t xml:space="preserve">: </w:t>
      </w:r>
      <w:r w:rsidR="0092294D">
        <w:rPr>
          <w:lang w:bidi="ar-EG"/>
        </w:rPr>
        <w:t>2</w:t>
      </w:r>
    </w:p>
    <w:p w14:paraId="78F9E80D" w14:textId="40C590F0" w:rsidR="008B74E9" w:rsidRDefault="008B74E9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lang w:bidi="ar-EG"/>
        </w:rPr>
        <w:br w:type="page"/>
      </w:r>
    </w:p>
    <w:p w14:paraId="7C7B25AD" w14:textId="77777777" w:rsidR="00CD0A3B" w:rsidRPr="00BB2338" w:rsidRDefault="00CD0A3B" w:rsidP="00CD0A3B">
      <w:pPr>
        <w:pStyle w:val="AnnexNo"/>
        <w:rPr>
          <w:b/>
          <w:bCs/>
        </w:rPr>
      </w:pPr>
      <w:r w:rsidRPr="00BB2338">
        <w:rPr>
          <w:b/>
          <w:bCs/>
          <w:rtl/>
        </w:rPr>
        <w:lastRenderedPageBreak/>
        <w:t xml:space="preserve">الملحق </w:t>
      </w:r>
      <w:r w:rsidRPr="00BB2338">
        <w:rPr>
          <w:b/>
          <w:bCs/>
        </w:rPr>
        <w:t>A</w:t>
      </w:r>
    </w:p>
    <w:p w14:paraId="1B6145B3" w14:textId="4E353AA3" w:rsidR="00CD0A3B" w:rsidRPr="00F11643" w:rsidRDefault="00CD0A3B" w:rsidP="00CD0A3B">
      <w:pPr>
        <w:pStyle w:val="Annextitle"/>
        <w:spacing w:after="240"/>
        <w:rPr>
          <w:rtl/>
        </w:rPr>
      </w:pPr>
      <w:r w:rsidRPr="00F11643">
        <w:rPr>
          <w:rtl/>
        </w:rPr>
        <w:t xml:space="preserve">معلومات </w:t>
      </w:r>
      <w:r w:rsidR="00360F31">
        <w:rPr>
          <w:rFonts w:hint="cs"/>
          <w:rtl/>
        </w:rPr>
        <w:t>إضافية بشأن</w:t>
      </w:r>
      <w:r w:rsidRPr="00F11643">
        <w:rPr>
          <w:rtl/>
        </w:rPr>
        <w:t xml:space="preserve"> اجتماع</w:t>
      </w:r>
      <w:r w:rsidR="00360F31">
        <w:rPr>
          <w:rFonts w:hint="cs"/>
          <w:rtl/>
        </w:rPr>
        <w:t xml:space="preserve"> فرقة العمل 16/2</w:t>
      </w:r>
    </w:p>
    <w:p w14:paraId="7DBBB492" w14:textId="77777777" w:rsidR="00CD0A3B" w:rsidRDefault="00CD0A3B" w:rsidP="00CD0A3B">
      <w:pPr>
        <w:pStyle w:val="Heading1"/>
        <w:spacing w:before="240"/>
        <w:jc w:val="center"/>
        <w:rPr>
          <w:rtl/>
        </w:rPr>
      </w:pPr>
      <w:r w:rsidRPr="00F1516D">
        <w:rPr>
          <w:rtl/>
        </w:rPr>
        <w:t>أساليب العمل والمرافق المتاحة</w:t>
      </w:r>
    </w:p>
    <w:p w14:paraId="250B4F5C" w14:textId="27A16690" w:rsidR="00CD0A3B" w:rsidRPr="00D22963" w:rsidRDefault="00CD0A3B" w:rsidP="00CD0A3B">
      <w:pPr>
        <w:rPr>
          <w:rtl/>
          <w:lang w:bidi="ar-EG"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21" w:history="1">
        <w:r w:rsidRPr="00400FAA">
          <w:rPr>
            <w:rStyle w:val="Hyperlink"/>
            <w:rFonts w:hint="cs"/>
            <w:rtl/>
            <w:lang w:val="en-GB"/>
          </w:rPr>
          <w:t>نظام</w:t>
        </w:r>
        <w:r w:rsidRPr="00400FAA">
          <w:rPr>
            <w:rStyle w:val="Hyperlink"/>
            <w:rFonts w:hint="eastAsia"/>
            <w:rtl/>
            <w:lang w:val="en-GB"/>
          </w:rPr>
          <w:t> </w:t>
        </w:r>
        <w:r w:rsidRPr="00400FAA">
          <w:rPr>
            <w:rStyle w:val="Hyperlink"/>
            <w:rFonts w:hint="cs"/>
            <w:rtl/>
            <w:lang w:val="en-GB"/>
          </w:rPr>
          <w:t>ا</w:t>
        </w:r>
        <w:r w:rsidRPr="00400FAA">
          <w:rPr>
            <w:rStyle w:val="Hyperlink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22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0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r w:rsidRPr="00400FAA">
        <w:rPr>
          <w:rFonts w:hint="cs"/>
          <w:rtl/>
        </w:rPr>
        <w:t>حساب</w:t>
      </w:r>
      <w:r w:rsidRPr="00400FAA">
        <w:rPr>
          <w:rFonts w:hint="eastAsia"/>
          <w:rtl/>
        </w:rPr>
        <w:t> </w:t>
      </w:r>
      <w:r w:rsidRPr="00400FAA">
        <w:rPr>
          <w:rFonts w:hint="cs"/>
          <w:rtl/>
        </w:rPr>
        <w:t>مستعمل لدى</w:t>
      </w:r>
      <w:r w:rsidRPr="00400FAA">
        <w:rPr>
          <w:rtl/>
        </w:rPr>
        <w:t xml:space="preserve"> </w:t>
      </w:r>
      <w:r w:rsidRPr="00400FAA">
        <w:rPr>
          <w:rFonts w:hint="cs"/>
          <w:rtl/>
        </w:rPr>
        <w:t>الاتحاد</w:t>
      </w:r>
      <w:r w:rsidRPr="00D22963">
        <w:rPr>
          <w:rFonts w:hint="cs"/>
          <w:rtl/>
        </w:rPr>
        <w:t xml:space="preserve"> مع إمكانية النفاذ إلى </w:t>
      </w:r>
      <w:hyperlink r:id="rId23" w:history="1">
        <w:r w:rsidRPr="00400FAA">
          <w:rPr>
            <w:rStyle w:val="Hyperlink"/>
            <w:rFonts w:hint="cs"/>
            <w:rtl/>
          </w:rPr>
          <w:t xml:space="preserve">خدمة تبادل معلومات الاتصالات </w:t>
        </w:r>
        <w:r w:rsidRPr="00400FAA">
          <w:rPr>
            <w:rStyle w:val="Hyperlink"/>
          </w:rPr>
          <w:t>(TIES)</w:t>
        </w:r>
        <w:r w:rsidRPr="00400FAA">
          <w:rPr>
            <w:rStyle w:val="Hyperlink"/>
            <w:rFonts w:hint="cs"/>
            <w:color w:val="auto"/>
            <w:u w:val="none"/>
            <w:rtl/>
          </w:rPr>
          <w:t>.</w:t>
        </w:r>
        <w:bookmarkEnd w:id="0"/>
      </w:hyperlink>
    </w:p>
    <w:p w14:paraId="3DF03BE3" w14:textId="77777777" w:rsidR="00CD0A3B" w:rsidRPr="00F41213" w:rsidRDefault="00CD0A3B" w:rsidP="00CD0A3B"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44364789" w14:textId="0ADC2FFA" w:rsidR="00CD0A3B" w:rsidRDefault="00CD0A3B" w:rsidP="00CD0A3B">
      <w:pPr>
        <w:rPr>
          <w:rtl/>
          <w:lang w:bidi="ar-EG"/>
        </w:rPr>
      </w:pPr>
      <w:r w:rsidRPr="00C671EE">
        <w:rPr>
          <w:rFonts w:hint="cs"/>
          <w:b/>
          <w:bCs/>
          <w:rtl/>
        </w:rPr>
        <w:t>المشاركة التفاعلية عن بُعد</w:t>
      </w:r>
      <w:r w:rsidRPr="00C671EE">
        <w:rPr>
          <w:b/>
          <w:bCs/>
          <w:rtl/>
        </w:rPr>
        <w:t>:</w:t>
      </w:r>
      <w:r w:rsidRPr="00C671EE">
        <w:rPr>
          <w:rtl/>
        </w:rPr>
        <w:t xml:space="preserve"> </w:t>
      </w:r>
      <w:r w:rsidRPr="00C671EE">
        <w:rPr>
          <w:rFonts w:hint="cs"/>
          <w:rtl/>
        </w:rPr>
        <w:t xml:space="preserve">أداة </w:t>
      </w:r>
      <w:hyperlink r:id="rId24" w:history="1">
        <w:r w:rsidRPr="00C671EE">
          <w:rPr>
            <w:rStyle w:val="Hyperlink"/>
          </w:rPr>
          <w:t>MyMeetings</w:t>
        </w:r>
      </w:hyperlink>
      <w:r w:rsidRPr="00C671EE">
        <w:rPr>
          <w:rFonts w:hint="cs"/>
          <w:rtl/>
        </w:rPr>
        <w:t xml:space="preserve"> هي الأداة الرئيسية للمشاركة عن بُعد في هذا الاجتماع. ولن يتمكن من المشاركة في الاجتماع سوى المندوبين المسجلين للمشاركة فيه. </w:t>
      </w:r>
      <w:r w:rsidRPr="00C671EE">
        <w:rPr>
          <w:rFonts w:hint="cs"/>
          <w:rtl/>
          <w:lang w:bidi="ar-EG"/>
        </w:rPr>
        <w:t xml:space="preserve">وتتاح المشاركة عن بُعد على أساس أفضل الجهود. وينبغي ألا يتأخر الاجتماع أو يتوقف بسبب عدم قدرة المشاركين عن بُعد على التوصيل أو الاستماع أو </w:t>
      </w:r>
      <w:r w:rsidRPr="00C671EE">
        <w:rPr>
          <w:rFonts w:hint="cs"/>
          <w:rtl/>
        </w:rPr>
        <w:t>بسبب عدم سماعهم</w:t>
      </w:r>
      <w:r w:rsidRPr="00C671EE"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Pr="00C671EE">
        <w:rPr>
          <w:lang w:bidi="ar-EG"/>
        </w:rPr>
        <w:t xml:space="preserve"> </w:t>
      </w:r>
      <w:r w:rsidRPr="00C671EE">
        <w:rPr>
          <w:rFonts w:hint="cs"/>
          <w:rtl/>
          <w:lang w:bidi="ar-EG"/>
        </w:rPr>
        <w:t>ومن المحبذ استعمال أداة التخاطب في الاجتماع لتيسير إدارة الوقت</w:t>
      </w:r>
      <w:r w:rsidRPr="00C671EE">
        <w:rPr>
          <w:rFonts w:hint="cs"/>
          <w:rtl/>
        </w:rPr>
        <w:t xml:space="preserve"> بكفاءة</w:t>
      </w:r>
      <w:r w:rsidRPr="00C671EE">
        <w:rPr>
          <w:rFonts w:hint="cs"/>
          <w:rtl/>
          <w:lang w:bidi="ar-EG"/>
        </w:rPr>
        <w:t xml:space="preserve"> خلال</w:t>
      </w:r>
      <w:r>
        <w:rPr>
          <w:rFonts w:hint="eastAsia"/>
          <w:rtl/>
          <w:lang w:bidi="ar-EG"/>
        </w:rPr>
        <w:t> </w:t>
      </w:r>
      <w:r w:rsidRPr="00C671EE">
        <w:rPr>
          <w:rFonts w:hint="cs"/>
          <w:rtl/>
          <w:lang w:bidi="ar-EG"/>
        </w:rPr>
        <w:t>الجلسات.</w:t>
      </w:r>
    </w:p>
    <w:p w14:paraId="716324F7" w14:textId="77777777" w:rsidR="00CD0A3B" w:rsidRPr="00A842AD" w:rsidRDefault="00CD0A3B" w:rsidP="00CD0A3B">
      <w:pPr>
        <w:rPr>
          <w:lang w:bidi="ar-EG"/>
        </w:rPr>
      </w:pPr>
      <w:r>
        <w:rPr>
          <w:rFonts w:hint="cs"/>
          <w:b/>
          <w:bCs/>
          <w:rtl/>
          <w:lang w:bidi="ar-EG"/>
        </w:rPr>
        <w:t>إمكانية النفاذ</w:t>
      </w:r>
      <w:r w:rsidRPr="00A842AD">
        <w:rPr>
          <w:rFonts w:hint="cs"/>
          <w:rtl/>
          <w:lang w:bidi="ar-EG"/>
        </w:rPr>
        <w:t xml:space="preserve">: يمكن توفير </w:t>
      </w:r>
      <w:r>
        <w:rPr>
          <w:rFonts w:hint="cs"/>
          <w:rtl/>
          <w:lang w:bidi="ar-EG"/>
        </w:rPr>
        <w:t xml:space="preserve">خدمات </w:t>
      </w:r>
      <w:r w:rsidRPr="00A842AD">
        <w:rPr>
          <w:rFonts w:hint="cs"/>
          <w:rtl/>
          <w:lang w:bidi="ar-EG"/>
        </w:rPr>
        <w:t>العرض النصي و/أو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>الترجمة بلغة الإشارة</w:t>
      </w:r>
      <w:r>
        <w:rPr>
          <w:rFonts w:hint="cs"/>
          <w:rtl/>
          <w:lang w:bidi="ar-EG"/>
        </w:rPr>
        <w:t xml:space="preserve"> </w:t>
      </w:r>
      <w:r w:rsidRPr="00A842AD">
        <w:rPr>
          <w:rFonts w:hint="cs"/>
          <w:rtl/>
          <w:lang w:bidi="ar-EG"/>
        </w:rPr>
        <w:t xml:space="preserve">في الوقت الفعلي بناءً على طلب من يحتاجون إليها، من أجل الجلسات التي ستناقش فيها </w:t>
      </w:r>
      <w:r>
        <w:rPr>
          <w:rFonts w:hint="cs"/>
          <w:rtl/>
          <w:lang w:bidi="ar-EG"/>
        </w:rPr>
        <w:t>الأمور المتعلقة</w:t>
      </w:r>
      <w:r w:rsidRPr="00A842A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A842AD">
        <w:rPr>
          <w:rFonts w:hint="cs"/>
          <w:rtl/>
          <w:lang w:bidi="ar-EG"/>
        </w:rPr>
        <w:t xml:space="preserve">إمكانية النفاذ (المسألتان </w:t>
      </w:r>
      <w:r w:rsidRPr="00A842AD">
        <w:rPr>
          <w:lang w:bidi="ar-EG"/>
        </w:rPr>
        <w:t>2</w:t>
      </w:r>
      <w:r>
        <w:rPr>
          <w:lang w:bidi="ar-EG"/>
        </w:rPr>
        <w:t>6</w:t>
      </w:r>
      <w:r w:rsidRPr="00A842AD">
        <w:rPr>
          <w:lang w:bidi="ar-EG"/>
        </w:rPr>
        <w:t>/16</w:t>
      </w:r>
      <w:r w:rsidRPr="00A842AD">
        <w:rPr>
          <w:rFonts w:hint="cs"/>
          <w:rtl/>
          <w:lang w:val="fr-CH" w:bidi="ar-SY"/>
        </w:rPr>
        <w:t xml:space="preserve"> و</w:t>
      </w:r>
      <w:r w:rsidRPr="00A842AD">
        <w:rPr>
          <w:lang w:bidi="ar-EG"/>
        </w:rPr>
        <w:t>2</w:t>
      </w:r>
      <w:r>
        <w:rPr>
          <w:lang w:bidi="ar-EG"/>
        </w:rPr>
        <w:t>8</w:t>
      </w:r>
      <w:r w:rsidRPr="00A842AD">
        <w:rPr>
          <w:lang w:bidi="ar-EG"/>
        </w:rPr>
        <w:t>/16</w:t>
      </w:r>
      <w:r w:rsidRPr="00A842AD">
        <w:rPr>
          <w:rFonts w:hint="cs"/>
          <w:rtl/>
          <w:lang w:bidi="ar-EG"/>
        </w:rPr>
        <w:t>) رهناً بتوفر المترجمين الشفويين والتمويل اللازم. ويجب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 xml:space="preserve">طلب خدمات إمكانية النفاذ هذه </w:t>
      </w:r>
      <w:r w:rsidRPr="00A842AD">
        <w:rPr>
          <w:rFonts w:hint="cs"/>
          <w:b/>
          <w:bCs/>
          <w:rtl/>
          <w:lang w:bidi="ar-EG"/>
        </w:rPr>
        <w:t>قبل تاريخ بدء الاجتماع بشهرين على الأقل</w:t>
      </w:r>
      <w:r w:rsidRPr="00A842AD">
        <w:rPr>
          <w:rFonts w:hint="cs"/>
          <w:rtl/>
          <w:lang w:bidi="ar-EG"/>
        </w:rPr>
        <w:t xml:space="preserve"> من خلال وضع علامة </w:t>
      </w:r>
      <w:r>
        <w:rPr>
          <w:rFonts w:hint="cs"/>
          <w:rtl/>
          <w:lang w:bidi="ar-EG"/>
        </w:rPr>
        <w:t>في المربع</w:t>
      </w:r>
      <w:r w:rsidRPr="00A842AD">
        <w:rPr>
          <w:rFonts w:hint="cs"/>
          <w:rtl/>
          <w:lang w:bidi="ar-EG"/>
        </w:rPr>
        <w:t xml:space="preserve"> المناسب في نموذج التسجيل.</w:t>
      </w:r>
    </w:p>
    <w:p w14:paraId="038DFB8A" w14:textId="77777777" w:rsidR="00CD0A3B" w:rsidRDefault="00CD0A3B" w:rsidP="00CD0A3B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الحصول على التأشيرة</w:t>
      </w:r>
    </w:p>
    <w:p w14:paraId="78F78E82" w14:textId="0543F165" w:rsidR="00CD0A3B" w:rsidRDefault="00CD0A3B" w:rsidP="00CD0A3B">
      <w:pPr>
        <w:rPr>
          <w:color w:val="000000"/>
          <w:rtl/>
          <w:lang w:bidi="ar-EG"/>
        </w:rPr>
      </w:pPr>
      <w:r w:rsidRPr="00DB57FE">
        <w:rPr>
          <w:b/>
          <w:bCs/>
          <w:spacing w:val="-2"/>
          <w:rtl/>
          <w:lang w:bidi="ar-EG"/>
        </w:rPr>
        <w:t>التسجيل</w:t>
      </w:r>
      <w:r w:rsidRPr="00DB57FE">
        <w:rPr>
          <w:spacing w:val="-2"/>
          <w:rtl/>
          <w:lang w:bidi="ar-EG"/>
        </w:rPr>
        <w:t xml:space="preserve">: </w:t>
      </w:r>
      <w:r w:rsidRPr="00DB57FE">
        <w:rPr>
          <w:color w:val="000000"/>
          <w:spacing w:val="-2"/>
          <w:rtl/>
        </w:rPr>
        <w:t xml:space="preserve">التسجيل </w:t>
      </w:r>
      <w:r w:rsidRPr="00DB57FE">
        <w:rPr>
          <w:rFonts w:hint="cs"/>
          <w:color w:val="000000"/>
          <w:spacing w:val="-2"/>
          <w:rtl/>
        </w:rPr>
        <w:t>إلزامي و</w:t>
      </w:r>
      <w:r w:rsidRPr="00DB57FE">
        <w:rPr>
          <w:color w:val="000000"/>
          <w:spacing w:val="-2"/>
          <w:rtl/>
        </w:rPr>
        <w:t xml:space="preserve">يجب أن يتم </w:t>
      </w:r>
      <w:hyperlink r:id="rId25" w:history="1">
        <w:r w:rsidRPr="00DB57FE">
          <w:rPr>
            <w:color w:val="000000"/>
            <w:spacing w:val="-2"/>
            <w:rtl/>
          </w:rPr>
          <w:t>إلكترونياً</w:t>
        </w:r>
      </w:hyperlink>
      <w:r w:rsidRPr="00DB57FE">
        <w:rPr>
          <w:color w:val="000000"/>
          <w:spacing w:val="-2"/>
          <w:rtl/>
        </w:rPr>
        <w:t xml:space="preserve"> </w:t>
      </w:r>
      <w:r w:rsidRPr="00DB57FE">
        <w:rPr>
          <w:rFonts w:hint="cs"/>
          <w:color w:val="000000"/>
          <w:spacing w:val="-2"/>
          <w:rtl/>
        </w:rPr>
        <w:t xml:space="preserve">من خلال </w:t>
      </w:r>
      <w:r w:rsidRPr="00DB57FE">
        <w:rPr>
          <w:rFonts w:hint="cs"/>
          <w:spacing w:val="-2"/>
          <w:rtl/>
        </w:rPr>
        <w:t>الصفحة الرئيسية للجنة الدراسات</w:t>
      </w:r>
      <w:r w:rsidRPr="00DB57FE">
        <w:rPr>
          <w:rFonts w:hint="cs"/>
          <w:b/>
          <w:bCs/>
          <w:color w:val="000000"/>
          <w:spacing w:val="-2"/>
          <w:rtl/>
        </w:rPr>
        <w:t xml:space="preserve"> قبل بدء الاجتماع بشهر واحد على</w:t>
      </w:r>
      <w:r w:rsidRPr="00DB57FE">
        <w:rPr>
          <w:rFonts w:hint="eastAsia"/>
          <w:b/>
          <w:bCs/>
          <w:color w:val="000000"/>
          <w:spacing w:val="-2"/>
          <w:rtl/>
        </w:rPr>
        <w:t> </w:t>
      </w:r>
      <w:r w:rsidRPr="00DB57FE">
        <w:rPr>
          <w:rFonts w:hint="cs"/>
          <w:b/>
          <w:bCs/>
          <w:color w:val="000000"/>
          <w:spacing w:val="-2"/>
          <w:rtl/>
        </w:rPr>
        <w:t>الأقل</w:t>
      </w:r>
      <w:r w:rsidRPr="00DB57FE">
        <w:rPr>
          <w:spacing w:val="-2"/>
          <w:rtl/>
        </w:rPr>
        <w:t xml:space="preserve">. </w:t>
      </w:r>
      <w:bookmarkStart w:id="1" w:name="_Hlk40884942"/>
      <w:r>
        <w:rPr>
          <w:rFonts w:hint="cs"/>
          <w:rtl/>
          <w:lang w:bidi="ar-EG"/>
        </w:rPr>
        <w:t xml:space="preserve">وكما هو مبين في </w:t>
      </w:r>
      <w:hyperlink r:id="rId26" w:history="1">
        <w:r w:rsidRPr="00F36DE2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F36DE2">
          <w:rPr>
            <w:rStyle w:val="Hyperlink"/>
            <w:lang w:bidi="ar-EG"/>
          </w:rPr>
          <w:t>68</w:t>
        </w:r>
        <w:r w:rsidRPr="00F36DE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7" w:history="1">
        <w:r w:rsidRPr="00F36DE2">
          <w:rPr>
            <w:rStyle w:val="Hyperlink"/>
            <w:rFonts w:hint="cs"/>
            <w:rtl/>
          </w:rPr>
          <w:t xml:space="preserve">الرسالة المعممة </w:t>
        </w:r>
        <w:r w:rsidRPr="00F36DE2">
          <w:rPr>
            <w:rStyle w:val="Hyperlink"/>
          </w:rPr>
          <w:t>118</w:t>
        </w:r>
        <w:r w:rsidRPr="00F36DE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كيفية الموافقة </w:t>
      </w:r>
      <w:proofErr w:type="spellStart"/>
      <w:r>
        <w:rPr>
          <w:color w:val="000000"/>
          <w:rtl/>
        </w:rPr>
        <w:t>الأوتوماتية</w:t>
      </w:r>
      <w:proofErr w:type="spellEnd"/>
      <w:r>
        <w:rPr>
          <w:color w:val="000000"/>
          <w:rtl/>
        </w:rPr>
        <w:t xml:space="preserve"> على هذه الطلبات</w:t>
      </w:r>
      <w:r>
        <w:rPr>
          <w:color w:val="000000"/>
        </w:rPr>
        <w:t>.</w:t>
      </w:r>
      <w:bookmarkEnd w:id="1"/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4C2305F7" w14:textId="67BAF110" w:rsidR="00CD0A3B" w:rsidRDefault="00CD0A3B" w:rsidP="00CD0A3B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28" w:history="1">
        <w:r w:rsidRPr="00BB2338">
          <w:rPr>
            <w:rStyle w:val="Hyperlink"/>
            <w:rFonts w:hint="cs"/>
            <w:rtl/>
            <w:lang w:bidi="ar-EG"/>
          </w:rPr>
          <w:t>الصفحة الرئيسية للجنة الدراسات.</w:t>
        </w:r>
      </w:hyperlink>
      <w:r>
        <w:rPr>
          <w:rFonts w:hint="cs"/>
          <w:rtl/>
          <w:lang w:bidi="ar-EG"/>
        </w:rPr>
        <w:t xml:space="preserve"> وبدون التسجيل، لن يتمكن المندوبون من استعمال </w:t>
      </w:r>
      <w:hyperlink r:id="rId29" w:history="1">
        <w:r>
          <w:rPr>
            <w:rStyle w:val="Hyperlink"/>
            <w:rFonts w:hint="cs"/>
            <w:rtl/>
            <w:lang w:bidi="ar-EG"/>
          </w:rPr>
          <w:t>أداة </w:t>
        </w:r>
        <w:r>
          <w:rPr>
            <w:rStyle w:val="Hyperlink"/>
            <w:lang w:bidi="ar-EG"/>
          </w:rPr>
          <w:t>MyMeetings</w:t>
        </w:r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76A8AE91" w14:textId="302851F5" w:rsidR="00CD0A3B" w:rsidRDefault="00CD0A3B" w:rsidP="00CD0A3B">
      <w:pPr>
        <w:rPr>
          <w:rtl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 xml:space="preserve">: لا تنطوي الاجتماعات الافتراضية </w:t>
      </w:r>
      <w:r w:rsidRPr="006B7E50">
        <w:rPr>
          <w:rFonts w:hint="cs"/>
          <w:rtl/>
        </w:rPr>
        <w:t>بالكامل</w:t>
      </w:r>
      <w:r>
        <w:rPr>
          <w:rFonts w:hint="cs"/>
          <w:rtl/>
        </w:rPr>
        <w:t xml:space="preserve"> 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تأشيرة.</w:t>
      </w:r>
    </w:p>
    <w:p w14:paraId="15DCEF29" w14:textId="77777777" w:rsidR="00CD0A3B" w:rsidRDefault="00CD0A3B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3C7DE5BB" w14:textId="77777777" w:rsidR="00CD0A3B" w:rsidRPr="002D6110" w:rsidRDefault="00CD0A3B" w:rsidP="00CD0A3B">
      <w:pPr>
        <w:pStyle w:val="Annextitle0"/>
      </w:pPr>
      <w:r w:rsidRPr="002D6110">
        <w:lastRenderedPageBreak/>
        <w:t>ANNEX B</w:t>
      </w:r>
      <w:r w:rsidRPr="002D6110">
        <w:br/>
        <w:t>Draft agenda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2"/>
        <w:gridCol w:w="363"/>
        <w:gridCol w:w="8654"/>
      </w:tblGrid>
      <w:tr w:rsidR="00405A97" w:rsidRPr="00405A97" w14:paraId="1858A69B" w14:textId="77777777" w:rsidTr="00405A97">
        <w:trPr>
          <w:trHeight w:val="319"/>
          <w:jc w:val="center"/>
        </w:trPr>
        <w:tc>
          <w:tcPr>
            <w:tcW w:w="645" w:type="dxa"/>
            <w:shd w:val="clear" w:color="auto" w:fill="D6E3BC"/>
          </w:tcPr>
          <w:p w14:paraId="22B5FE06" w14:textId="77777777" w:rsidR="00405A97" w:rsidRPr="00405A97" w:rsidRDefault="00405A97" w:rsidP="00405A97">
            <w:pPr>
              <w:tabs>
                <w:tab w:val="num" w:pos="360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ind w:left="360" w:hanging="360"/>
              <w:jc w:val="right"/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/>
          </w:tcPr>
          <w:p w14:paraId="3ADF01E6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  <w:t>Agenda items</w:t>
            </w:r>
          </w:p>
        </w:tc>
      </w:tr>
      <w:tr w:rsidR="00405A97" w:rsidRPr="00405A97" w14:paraId="3A65F67C" w14:textId="77777777" w:rsidTr="00996EF2">
        <w:trPr>
          <w:jc w:val="center"/>
        </w:trPr>
        <w:tc>
          <w:tcPr>
            <w:tcW w:w="645" w:type="dxa"/>
          </w:tcPr>
          <w:p w14:paraId="1BFC37D1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35F6068C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Opening Remarks</w:t>
            </w:r>
          </w:p>
        </w:tc>
      </w:tr>
      <w:tr w:rsidR="00405A97" w:rsidRPr="00405A97" w14:paraId="30391032" w14:textId="77777777" w:rsidTr="00996EF2">
        <w:trPr>
          <w:jc w:val="center"/>
        </w:trPr>
        <w:tc>
          <w:tcPr>
            <w:tcW w:w="645" w:type="dxa"/>
          </w:tcPr>
          <w:p w14:paraId="74ADD3C7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BA2663D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agenda</w:t>
            </w:r>
          </w:p>
        </w:tc>
      </w:tr>
      <w:tr w:rsidR="00405A97" w:rsidRPr="00405A97" w14:paraId="755C02F4" w14:textId="77777777" w:rsidTr="00996EF2">
        <w:trPr>
          <w:jc w:val="center"/>
        </w:trPr>
        <w:tc>
          <w:tcPr>
            <w:tcW w:w="645" w:type="dxa"/>
          </w:tcPr>
          <w:p w14:paraId="182F266F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63E222C0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Document allocation</w:t>
            </w:r>
          </w:p>
        </w:tc>
      </w:tr>
      <w:tr w:rsidR="00405A97" w:rsidRPr="00405A97" w14:paraId="63B21CC4" w14:textId="77777777" w:rsidTr="00996EF2">
        <w:trPr>
          <w:jc w:val="center"/>
        </w:trPr>
        <w:tc>
          <w:tcPr>
            <w:tcW w:w="645" w:type="dxa"/>
          </w:tcPr>
          <w:p w14:paraId="65EA375C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655AB3D7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IPR roll call</w:t>
            </w:r>
          </w:p>
        </w:tc>
      </w:tr>
      <w:tr w:rsidR="00405A97" w:rsidRPr="00405A97" w14:paraId="7BCEC2AA" w14:textId="77777777" w:rsidTr="00996EF2">
        <w:trPr>
          <w:jc w:val="center"/>
        </w:trPr>
        <w:tc>
          <w:tcPr>
            <w:tcW w:w="645" w:type="dxa"/>
          </w:tcPr>
          <w:p w14:paraId="430666FE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67A9E54E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Report of the previous WP2/16 meeting (Online, 19-30 April 2021, </w:t>
            </w:r>
            <w:hyperlink r:id="rId30" w:history="1">
              <w:r w:rsidRPr="00405A97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SG16-R30</w:t>
              </w:r>
            </w:hyperlink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)</w:t>
            </w:r>
          </w:p>
        </w:tc>
      </w:tr>
      <w:tr w:rsidR="00405A97" w:rsidRPr="00405A97" w14:paraId="6F5E1F7F" w14:textId="77777777" w:rsidTr="00996EF2">
        <w:trPr>
          <w:jc w:val="center"/>
        </w:trPr>
        <w:tc>
          <w:tcPr>
            <w:tcW w:w="645" w:type="dxa"/>
          </w:tcPr>
          <w:p w14:paraId="460EF216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66A196C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Report of interim WP2/16 activities (as applicable)</w:t>
            </w:r>
          </w:p>
        </w:tc>
      </w:tr>
      <w:tr w:rsidR="00405A97" w:rsidRPr="00405A97" w14:paraId="76D87DB1" w14:textId="77777777" w:rsidTr="00996EF2">
        <w:trPr>
          <w:jc w:val="center"/>
        </w:trPr>
        <w:tc>
          <w:tcPr>
            <w:tcW w:w="1036" w:type="dxa"/>
            <w:gridSpan w:val="2"/>
          </w:tcPr>
          <w:p w14:paraId="08EB2E1F" w14:textId="77777777" w:rsidR="00405A97" w:rsidRPr="00405A97" w:rsidRDefault="00405A97" w:rsidP="00405A97">
            <w:pPr>
              <w:numPr>
                <w:ilvl w:val="1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41550CCA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Q22/16 "Multimedia aspects of distributed ledger technologies and e-services"</w:t>
            </w:r>
          </w:p>
        </w:tc>
      </w:tr>
      <w:tr w:rsidR="00405A97" w:rsidRPr="00405A97" w14:paraId="71806246" w14:textId="77777777" w:rsidTr="00996EF2">
        <w:trPr>
          <w:jc w:val="center"/>
        </w:trPr>
        <w:tc>
          <w:tcPr>
            <w:tcW w:w="1036" w:type="dxa"/>
            <w:gridSpan w:val="2"/>
          </w:tcPr>
          <w:p w14:paraId="6A5AE71C" w14:textId="77777777" w:rsidR="00405A97" w:rsidRPr="00405A97" w:rsidRDefault="00405A97" w:rsidP="00405A97">
            <w:pPr>
              <w:numPr>
                <w:ilvl w:val="1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3C610818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Q23/16 "Digital culture-related systems and services"</w:t>
            </w:r>
          </w:p>
        </w:tc>
      </w:tr>
      <w:tr w:rsidR="00405A97" w:rsidRPr="00405A97" w14:paraId="0002DD27" w14:textId="77777777" w:rsidTr="00996EF2">
        <w:trPr>
          <w:jc w:val="center"/>
        </w:trPr>
        <w:tc>
          <w:tcPr>
            <w:tcW w:w="1036" w:type="dxa"/>
            <w:gridSpan w:val="2"/>
          </w:tcPr>
          <w:p w14:paraId="6547044C" w14:textId="77777777" w:rsidR="00405A97" w:rsidRPr="00405A97" w:rsidRDefault="00405A97" w:rsidP="00405A97">
            <w:pPr>
              <w:numPr>
                <w:ilvl w:val="1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707CD4F6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Q24/16 "Human factors for intelligent user interfaces and services"</w:t>
            </w:r>
          </w:p>
        </w:tc>
      </w:tr>
      <w:tr w:rsidR="00405A97" w:rsidRPr="00405A97" w14:paraId="17354553" w14:textId="77777777" w:rsidTr="00996EF2">
        <w:trPr>
          <w:jc w:val="center"/>
        </w:trPr>
        <w:tc>
          <w:tcPr>
            <w:tcW w:w="1036" w:type="dxa"/>
            <w:gridSpan w:val="2"/>
          </w:tcPr>
          <w:p w14:paraId="08EAD758" w14:textId="77777777" w:rsidR="00405A97" w:rsidRPr="00405A97" w:rsidRDefault="00405A97" w:rsidP="00405A97">
            <w:pPr>
              <w:numPr>
                <w:ilvl w:val="1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34540AF6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Q26/16 "Accessibility to multimedia systems and services"</w:t>
            </w:r>
          </w:p>
        </w:tc>
      </w:tr>
      <w:tr w:rsidR="00405A97" w:rsidRPr="00405A97" w14:paraId="1193F0AB" w14:textId="77777777" w:rsidTr="00996EF2">
        <w:trPr>
          <w:jc w:val="center"/>
        </w:trPr>
        <w:tc>
          <w:tcPr>
            <w:tcW w:w="1036" w:type="dxa"/>
            <w:gridSpan w:val="2"/>
          </w:tcPr>
          <w:p w14:paraId="71B1463C" w14:textId="77777777" w:rsidR="00405A97" w:rsidRPr="00405A97" w:rsidRDefault="00405A97" w:rsidP="00405A97">
            <w:pPr>
              <w:numPr>
                <w:ilvl w:val="1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38E057C5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Q27/16 "Vehicular multimedia communications, systems, networks, and applications"</w:t>
            </w:r>
          </w:p>
        </w:tc>
      </w:tr>
      <w:tr w:rsidR="00405A97" w:rsidRPr="00405A97" w14:paraId="60A9A558" w14:textId="77777777" w:rsidTr="00996EF2">
        <w:trPr>
          <w:jc w:val="center"/>
        </w:trPr>
        <w:tc>
          <w:tcPr>
            <w:tcW w:w="1036" w:type="dxa"/>
            <w:gridSpan w:val="2"/>
          </w:tcPr>
          <w:p w14:paraId="73848A43" w14:textId="77777777" w:rsidR="00405A97" w:rsidRPr="00405A97" w:rsidRDefault="00405A97" w:rsidP="00405A97">
            <w:pPr>
              <w:numPr>
                <w:ilvl w:val="1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3EB92ABF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Q28/16 "Multimedia framework for digital health applications"</w:t>
            </w:r>
          </w:p>
        </w:tc>
      </w:tr>
      <w:tr w:rsidR="00405A97" w:rsidRPr="00405A97" w14:paraId="1985B887" w14:textId="77777777" w:rsidTr="00996EF2">
        <w:trPr>
          <w:jc w:val="center"/>
        </w:trPr>
        <w:tc>
          <w:tcPr>
            <w:tcW w:w="645" w:type="dxa"/>
          </w:tcPr>
          <w:p w14:paraId="67391781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14479758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Status of WP2/16 Recommendations Consented on 30 April 2021</w:t>
            </w:r>
          </w:p>
        </w:tc>
      </w:tr>
      <w:tr w:rsidR="00405A97" w:rsidRPr="00405A97" w14:paraId="1DFC43D0" w14:textId="77777777" w:rsidTr="00996EF2">
        <w:trPr>
          <w:jc w:val="center"/>
        </w:trPr>
        <w:tc>
          <w:tcPr>
            <w:tcW w:w="645" w:type="dxa"/>
          </w:tcPr>
          <w:p w14:paraId="3A04D74E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2" w:name="_Ref498615940"/>
          </w:p>
        </w:tc>
        <w:bookmarkEnd w:id="2"/>
        <w:tc>
          <w:tcPr>
            <w:tcW w:w="9561" w:type="dxa"/>
            <w:gridSpan w:val="2"/>
          </w:tcPr>
          <w:p w14:paraId="66C49104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405A97">
              <w:rPr>
                <w:rFonts w:ascii="Calibri" w:eastAsia="Times New Roman" w:hAnsi="Calibri" w:cs="Times New Roman"/>
                <w:lang w:val="en-GB" w:eastAsia="en-US"/>
              </w:rPr>
              <w:t xml:space="preserve">Start of approval process for Recommendations </w:t>
            </w: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(WTSA-16 Res.1 and ITU-T A.8)</w:t>
            </w:r>
          </w:p>
        </w:tc>
      </w:tr>
      <w:tr w:rsidR="00405A97" w:rsidRPr="00405A97" w14:paraId="08DA7DB5" w14:textId="77777777" w:rsidTr="00996EF2">
        <w:trPr>
          <w:jc w:val="center"/>
        </w:trPr>
        <w:tc>
          <w:tcPr>
            <w:tcW w:w="1036" w:type="dxa"/>
            <w:gridSpan w:val="2"/>
          </w:tcPr>
          <w:p w14:paraId="71C2319D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41F656EF" w14:textId="77777777" w:rsidR="00405A97" w:rsidRPr="00405A97" w:rsidRDefault="00405A97" w:rsidP="00405A97">
            <w:pPr>
              <w:numPr>
                <w:ilvl w:val="0"/>
                <w:numId w:val="12"/>
              </w:numPr>
              <w:tabs>
                <w:tab w:val="left" w:pos="55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  <w:bCs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bCs/>
                <w:szCs w:val="20"/>
                <w:lang w:val="en-GB" w:eastAsia="en-US"/>
              </w:rPr>
              <w:t xml:space="preserve">ITU-T </w:t>
            </w:r>
            <w:hyperlink r:id="rId31" w:history="1">
              <w:r w:rsidRPr="00405A97">
                <w:rPr>
                  <w:rFonts w:ascii="Calibri" w:eastAsia="Times New Roman" w:hAnsi="Calibri" w:cs="Times New Roman"/>
                  <w:bCs/>
                  <w:color w:val="0000FF"/>
                  <w:szCs w:val="20"/>
                  <w:u w:val="single"/>
                  <w:lang w:val="en-GB" w:eastAsia="en-US"/>
                </w:rPr>
                <w:t>F.VM-VMA</w:t>
              </w:r>
            </w:hyperlink>
            <w:r w:rsidRPr="00405A97">
              <w:rPr>
                <w:rFonts w:ascii="Calibri" w:eastAsia="Times New Roman" w:hAnsi="Calibri" w:cs="Times New Roman"/>
                <w:bCs/>
                <w:szCs w:val="20"/>
                <w:lang w:val="en-GB" w:eastAsia="en-US"/>
              </w:rPr>
              <w:t xml:space="preserve"> "Architecture of vehicular multimedia systems"</w:t>
            </w:r>
          </w:p>
          <w:p w14:paraId="2271F541" w14:textId="77777777" w:rsidR="00405A97" w:rsidRPr="00405A97" w:rsidRDefault="00405A97" w:rsidP="00405A97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MS Mincho" w:hAnsi="Calibri" w:cs="Times New Roman"/>
                <w:szCs w:val="20"/>
                <w:lang w:val="en-GB" w:eastAsia="ja-JP"/>
              </w:rPr>
              <w:t>Other WP2/16 texts that may be mature</w:t>
            </w:r>
          </w:p>
        </w:tc>
      </w:tr>
      <w:tr w:rsidR="00405A97" w:rsidRPr="00405A97" w14:paraId="47BCFD7A" w14:textId="77777777" w:rsidTr="00996EF2">
        <w:trPr>
          <w:jc w:val="center"/>
        </w:trPr>
        <w:tc>
          <w:tcPr>
            <w:tcW w:w="645" w:type="dxa"/>
          </w:tcPr>
          <w:p w14:paraId="411539FB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665E38FC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outgoing liaison statements</w:t>
            </w:r>
          </w:p>
        </w:tc>
      </w:tr>
      <w:tr w:rsidR="00405A97" w:rsidRPr="00405A97" w14:paraId="255E346F" w14:textId="77777777" w:rsidTr="00996EF2">
        <w:trPr>
          <w:jc w:val="center"/>
        </w:trPr>
        <w:tc>
          <w:tcPr>
            <w:tcW w:w="645" w:type="dxa"/>
          </w:tcPr>
          <w:p w14:paraId="38551AAC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33ECFACC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Future meetings</w:t>
            </w:r>
          </w:p>
        </w:tc>
      </w:tr>
      <w:tr w:rsidR="00405A97" w:rsidRPr="00405A97" w14:paraId="01D77F99" w14:textId="77777777" w:rsidTr="00996EF2">
        <w:trPr>
          <w:jc w:val="center"/>
        </w:trPr>
        <w:tc>
          <w:tcPr>
            <w:tcW w:w="645" w:type="dxa"/>
          </w:tcPr>
          <w:p w14:paraId="2A0E5560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02EE0F8E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Any other business</w:t>
            </w:r>
          </w:p>
        </w:tc>
      </w:tr>
      <w:tr w:rsidR="00405A97" w:rsidRPr="00405A97" w14:paraId="2BC27BA7" w14:textId="77777777" w:rsidTr="00996EF2">
        <w:trPr>
          <w:jc w:val="center"/>
        </w:trPr>
        <w:tc>
          <w:tcPr>
            <w:tcW w:w="645" w:type="dxa"/>
          </w:tcPr>
          <w:p w14:paraId="4346CF39" w14:textId="77777777" w:rsidR="00405A97" w:rsidRPr="00405A97" w:rsidRDefault="00405A97" w:rsidP="00405A97">
            <w:pPr>
              <w:numPr>
                <w:ilvl w:val="0"/>
                <w:numId w:val="13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0E88A8DA" w14:textId="77777777" w:rsidR="00405A97" w:rsidRPr="00405A97" w:rsidRDefault="00405A97" w:rsidP="00405A9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405A97">
              <w:rPr>
                <w:rFonts w:ascii="Calibri" w:eastAsia="Times New Roman" w:hAnsi="Calibri" w:cs="Times New Roman"/>
                <w:szCs w:val="20"/>
                <w:lang w:val="en-GB" w:eastAsia="en-US"/>
              </w:rPr>
              <w:t>Closing of the meeting</w:t>
            </w:r>
          </w:p>
        </w:tc>
      </w:tr>
    </w:tbl>
    <w:p w14:paraId="1881761C" w14:textId="77777777" w:rsidR="00405A97" w:rsidRDefault="00405A97" w:rsidP="00405A97">
      <w:pPr>
        <w:rPr>
          <w:rtl/>
          <w:lang w:bidi="ar-EG"/>
        </w:rPr>
      </w:pPr>
    </w:p>
    <w:p w14:paraId="33EC76D0" w14:textId="5766A980" w:rsidR="00CD0A3B" w:rsidRPr="002E75FD" w:rsidRDefault="00CD0A3B" w:rsidP="00CD0A3B">
      <w:pPr>
        <w:jc w:val="center"/>
        <w:rPr>
          <w:rtl/>
        </w:rPr>
      </w:pPr>
      <w:r w:rsidRPr="002E75FD">
        <w:rPr>
          <w:rFonts w:hint="cs"/>
          <w:rtl/>
          <w:lang w:bidi="ar-EG"/>
        </w:rPr>
        <w:t>ـــــــــــــــــــــــــــــــ</w:t>
      </w:r>
      <w:r>
        <w:rPr>
          <w:rFonts w:hint="cs"/>
          <w:rtl/>
          <w:lang w:bidi="ar-EG"/>
        </w:rPr>
        <w:t>ــــــــــــــــــــــــ</w:t>
      </w:r>
      <w:r w:rsidRPr="002E75FD">
        <w:rPr>
          <w:rFonts w:hint="cs"/>
          <w:rtl/>
          <w:lang w:bidi="ar-EG"/>
        </w:rPr>
        <w:t>ـــــــــــــــــــــــــــــــــــــــــــــــــــــــــــ</w:t>
      </w:r>
    </w:p>
    <w:sectPr w:rsidR="00CD0A3B" w:rsidRPr="002E75FD" w:rsidSect="006C3242">
      <w:head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56A33" w14:textId="77777777" w:rsidR="00464272" w:rsidRDefault="00464272" w:rsidP="006C3242">
      <w:pPr>
        <w:spacing w:before="0" w:line="240" w:lineRule="auto"/>
      </w:pPr>
      <w:r>
        <w:separator/>
      </w:r>
    </w:p>
  </w:endnote>
  <w:endnote w:type="continuationSeparator" w:id="0">
    <w:p w14:paraId="258492DF" w14:textId="77777777" w:rsidR="00464272" w:rsidRDefault="004642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91061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4494" w14:textId="77777777" w:rsidR="00464272" w:rsidRDefault="00464272" w:rsidP="006C3242">
      <w:pPr>
        <w:spacing w:before="0" w:line="240" w:lineRule="auto"/>
      </w:pPr>
      <w:r>
        <w:separator/>
      </w:r>
    </w:p>
  </w:footnote>
  <w:footnote w:type="continuationSeparator" w:id="0">
    <w:p w14:paraId="001B32F7" w14:textId="77777777" w:rsidR="00464272" w:rsidRDefault="0046427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F348" w14:textId="6F7D6E57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8B74E9">
      <w:rPr>
        <w:sz w:val="20"/>
        <w:szCs w:val="20"/>
        <w:lang w:val="en-GB"/>
      </w:rPr>
      <w:t>11/16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B2"/>
    <w:rsid w:val="0006468A"/>
    <w:rsid w:val="000761B6"/>
    <w:rsid w:val="00090574"/>
    <w:rsid w:val="000C1C0E"/>
    <w:rsid w:val="000C548A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60F31"/>
    <w:rsid w:val="00383829"/>
    <w:rsid w:val="003A3046"/>
    <w:rsid w:val="003F4B29"/>
    <w:rsid w:val="00400EC6"/>
    <w:rsid w:val="00405A97"/>
    <w:rsid w:val="0042686F"/>
    <w:rsid w:val="004317D8"/>
    <w:rsid w:val="00434183"/>
    <w:rsid w:val="00443869"/>
    <w:rsid w:val="00447F32"/>
    <w:rsid w:val="00464272"/>
    <w:rsid w:val="004E11DC"/>
    <w:rsid w:val="00525DDD"/>
    <w:rsid w:val="005409AC"/>
    <w:rsid w:val="0055516A"/>
    <w:rsid w:val="00566CB2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1DBB"/>
    <w:rsid w:val="006C3242"/>
    <w:rsid w:val="006C7CC0"/>
    <w:rsid w:val="006D2B76"/>
    <w:rsid w:val="006F63F7"/>
    <w:rsid w:val="007025C7"/>
    <w:rsid w:val="00706D7A"/>
    <w:rsid w:val="00722F0D"/>
    <w:rsid w:val="00730A98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8B74E9"/>
    <w:rsid w:val="0091702E"/>
    <w:rsid w:val="0092294D"/>
    <w:rsid w:val="00923B0C"/>
    <w:rsid w:val="0094021C"/>
    <w:rsid w:val="00952F86"/>
    <w:rsid w:val="00982B28"/>
    <w:rsid w:val="009D313F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B2338"/>
    <w:rsid w:val="00C002DE"/>
    <w:rsid w:val="00C03BB6"/>
    <w:rsid w:val="00C53BF8"/>
    <w:rsid w:val="00C66157"/>
    <w:rsid w:val="00C674FE"/>
    <w:rsid w:val="00C67501"/>
    <w:rsid w:val="00C75633"/>
    <w:rsid w:val="00CD0A3B"/>
    <w:rsid w:val="00CD73BC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3144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BD04C"/>
  <w15:chartTrackingRefBased/>
  <w15:docId w15:val="{47B27123-DF44-43D4-B4C4-F30E7EF9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CD0A3B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go/tsg16" TargetMode="External"/><Relationship Id="rId18" Type="http://schemas.openxmlformats.org/officeDocument/2006/relationships/hyperlink" Target="https://www.itu.int/net/ITU-T/ddp/Default.aspx?groupid=T17-SG16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u.int/net/ITU-T/ddp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en/ITU-T/studygroups/2017-2020/16/Pages/default.aspx" TargetMode="External"/><Relationship Id="rId25" Type="http://schemas.openxmlformats.org/officeDocument/2006/relationships/hyperlink" Target="http://www.itu.int/en/ITU-T/studygroups/2017-2020/13/Pages/default.asp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17-SG16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tsg16/reg" TargetMode="External"/><Relationship Id="rId23" Type="http://schemas.openxmlformats.org/officeDocument/2006/relationships/hyperlink" Target="https://www.itu.int/TIES/" TargetMode="External"/><Relationship Id="rId28" Type="http://schemas.openxmlformats.org/officeDocument/2006/relationships/hyperlink" Target="https://www.itu.int/go/tsg16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www.itu.int/itu-t/workprog/wp_item.aspx?isn=1706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/T17-SG16-R-0030/en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eate a new document." ma:contentTypeScope="" ma:versionID="a0fcb74a2bb93b7b0795278c71eb6e52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7d711312152eb9b3b3dcf498c66ec0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00986-D55F-4E4D-A41D-199E7B365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3CED7-303C-4D60-8BA2-7B18DFF03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2C366-57E0-4B44-952A-A2DED9EF76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9</cp:revision>
  <cp:lastPrinted>2021-07-13T14:08:00Z</cp:lastPrinted>
  <dcterms:created xsi:type="dcterms:W3CDTF">2021-07-06T12:52:00Z</dcterms:created>
  <dcterms:modified xsi:type="dcterms:W3CDTF">2021-07-13T14:08:00Z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