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CD4AE3" w:rsidP="00427EA6">
            <w:pPr>
              <w:tabs>
                <w:tab w:val="right" w:pos="8732"/>
              </w:tabs>
              <w:spacing w:before="0"/>
              <w:rPr>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2545AA" w:rsidRPr="00E35001" w:rsidTr="001547F7">
        <w:trPr>
          <w:cantSplit/>
          <w:trHeight w:val="649"/>
        </w:trPr>
        <w:tc>
          <w:tcPr>
            <w:tcW w:w="1084" w:type="dxa"/>
          </w:tcPr>
          <w:p w:rsidR="002545AA" w:rsidRPr="006359C5" w:rsidRDefault="002545AA" w:rsidP="00160C2D">
            <w:pPr>
              <w:ind w:left="57"/>
              <w:rPr>
                <w:lang w:val="es-ES"/>
              </w:rPr>
            </w:pPr>
          </w:p>
        </w:tc>
        <w:tc>
          <w:tcPr>
            <w:tcW w:w="3793" w:type="dxa"/>
          </w:tcPr>
          <w:p w:rsidR="002545AA" w:rsidRPr="006359C5" w:rsidRDefault="002545AA" w:rsidP="00160C2D">
            <w:pPr>
              <w:tabs>
                <w:tab w:val="left" w:pos="4111"/>
              </w:tabs>
              <w:ind w:left="57"/>
              <w:rPr>
                <w:lang w:val="es-ES"/>
              </w:rPr>
            </w:pPr>
          </w:p>
        </w:tc>
        <w:tc>
          <w:tcPr>
            <w:tcW w:w="4762" w:type="dxa"/>
          </w:tcPr>
          <w:p w:rsidR="002545AA" w:rsidRPr="00E35001" w:rsidRDefault="007508CB" w:rsidP="00160C2D">
            <w:pPr>
              <w:ind w:left="57"/>
              <w:rPr>
                <w:bCs/>
              </w:rPr>
            </w:pPr>
            <w:r w:rsidRPr="007508CB">
              <w:rPr>
                <w:lang w:val="en-GB"/>
              </w:rPr>
              <w:t xml:space="preserve">Ginebra, </w:t>
            </w:r>
            <w:r w:rsidRPr="00D07BA9">
              <w:rPr>
                <w:lang w:val="en-GB"/>
              </w:rPr>
              <w:t>17</w:t>
            </w:r>
            <w:r w:rsidRPr="007508CB">
              <w:rPr>
                <w:lang w:val="en-GB"/>
              </w:rPr>
              <w:t xml:space="preserve"> de abril de 2019</w:t>
            </w:r>
          </w:p>
        </w:tc>
      </w:tr>
      <w:tr w:rsidR="002545AA" w:rsidRPr="00E35001" w:rsidTr="001547F7">
        <w:trPr>
          <w:cantSplit/>
          <w:trHeight w:val="649"/>
        </w:trPr>
        <w:tc>
          <w:tcPr>
            <w:tcW w:w="1084" w:type="dxa"/>
          </w:tcPr>
          <w:p w:rsidR="002545AA" w:rsidRPr="00E35001" w:rsidRDefault="002545AA" w:rsidP="001547F7">
            <w:pPr>
              <w:spacing w:before="40" w:after="40"/>
              <w:ind w:left="57"/>
            </w:pPr>
            <w:r w:rsidRPr="00E35001">
              <w:t>Ref.:</w:t>
            </w:r>
          </w:p>
        </w:tc>
        <w:tc>
          <w:tcPr>
            <w:tcW w:w="3793" w:type="dxa"/>
          </w:tcPr>
          <w:p w:rsidR="002545AA" w:rsidRPr="001547F7" w:rsidRDefault="002545AA" w:rsidP="008E338D">
            <w:pPr>
              <w:tabs>
                <w:tab w:val="left" w:pos="4111"/>
              </w:tabs>
              <w:spacing w:before="40" w:after="40"/>
              <w:ind w:left="57"/>
              <w:rPr>
                <w:b/>
                <w:bCs/>
              </w:rPr>
            </w:pPr>
            <w:r w:rsidRPr="001547F7">
              <w:rPr>
                <w:b/>
                <w:bCs/>
              </w:rPr>
              <w:t xml:space="preserve">Carta Colectiva TSB </w:t>
            </w:r>
            <w:r w:rsidR="007508CB" w:rsidRPr="001547F7">
              <w:rPr>
                <w:b/>
                <w:bCs/>
              </w:rPr>
              <w:t>4/15</w:t>
            </w:r>
          </w:p>
          <w:p w:rsidR="002545AA" w:rsidRPr="001547F7" w:rsidRDefault="007508CB" w:rsidP="007508CB">
            <w:pPr>
              <w:tabs>
                <w:tab w:val="left" w:pos="4111"/>
              </w:tabs>
              <w:spacing w:before="0" w:after="40"/>
              <w:ind w:left="57"/>
            </w:pPr>
            <w:bookmarkStart w:id="0" w:name="lt_pId018"/>
            <w:r w:rsidRPr="007508CB">
              <w:t>CE 15/</w:t>
            </w:r>
            <w:bookmarkEnd w:id="0"/>
            <w:r w:rsidRPr="007508CB">
              <w:t>HO</w:t>
            </w:r>
          </w:p>
        </w:tc>
        <w:tc>
          <w:tcPr>
            <w:tcW w:w="4762" w:type="dxa"/>
            <w:vMerge w:val="restart"/>
          </w:tcPr>
          <w:p w:rsidR="007508CB" w:rsidRPr="00E35001" w:rsidRDefault="007508CB" w:rsidP="008E338D">
            <w:pPr>
              <w:spacing w:before="40" w:after="40"/>
              <w:ind w:left="57"/>
            </w:pPr>
            <w:r w:rsidRPr="00E35001">
              <w:t>A:</w:t>
            </w:r>
          </w:p>
          <w:p w:rsidR="007508CB" w:rsidRPr="00E35001" w:rsidRDefault="008E338D" w:rsidP="008E338D">
            <w:pPr>
              <w:tabs>
                <w:tab w:val="clear" w:pos="794"/>
                <w:tab w:val="left" w:pos="360"/>
              </w:tabs>
              <w:spacing w:before="40" w:after="40"/>
              <w:ind w:left="360" w:hanging="303"/>
            </w:pPr>
            <w:r>
              <w:t>–</w:t>
            </w:r>
            <w:r w:rsidR="007508CB" w:rsidRPr="00E35001">
              <w:tab/>
            </w:r>
            <w:r>
              <w:t>l</w:t>
            </w:r>
            <w:r w:rsidR="007508CB" w:rsidRPr="00E35001">
              <w:t xml:space="preserve">as Administraciones de los </w:t>
            </w:r>
            <w:r w:rsidR="007508CB">
              <w:t>Estados Miembros de </w:t>
            </w:r>
            <w:r w:rsidR="007508CB" w:rsidRPr="00E35001">
              <w:t>la Unión;</w:t>
            </w:r>
          </w:p>
          <w:p w:rsidR="007508CB" w:rsidRPr="00E35001" w:rsidRDefault="008E338D" w:rsidP="008E338D">
            <w:pPr>
              <w:tabs>
                <w:tab w:val="clear" w:pos="794"/>
                <w:tab w:val="left" w:pos="360"/>
              </w:tabs>
              <w:spacing w:before="40" w:after="40"/>
              <w:ind w:left="57"/>
            </w:pPr>
            <w:r>
              <w:t>–</w:t>
            </w:r>
            <w:r w:rsidR="007508CB" w:rsidRPr="00E35001">
              <w:tab/>
            </w:r>
            <w:r>
              <w:t>l</w:t>
            </w:r>
            <w:r w:rsidR="007508CB" w:rsidRPr="00E35001">
              <w:t>os Miembros del Sector UIT</w:t>
            </w:r>
            <w:r w:rsidR="007508CB" w:rsidRPr="00E35001">
              <w:noBreakHyphen/>
              <w:t>T;</w:t>
            </w:r>
          </w:p>
          <w:p w:rsidR="007508CB" w:rsidRPr="00E35001" w:rsidRDefault="008E338D" w:rsidP="006C25CF">
            <w:pPr>
              <w:tabs>
                <w:tab w:val="clear" w:pos="794"/>
                <w:tab w:val="left" w:pos="360"/>
              </w:tabs>
              <w:spacing w:before="40" w:after="40"/>
              <w:ind w:left="360" w:hanging="303"/>
            </w:pPr>
            <w:r>
              <w:t>–</w:t>
            </w:r>
            <w:r w:rsidR="007508CB" w:rsidRPr="00E35001">
              <w:tab/>
            </w:r>
            <w:r>
              <w:t>l</w:t>
            </w:r>
            <w:r w:rsidR="007508CB" w:rsidRPr="00E35001">
              <w:t xml:space="preserve">os </w:t>
            </w:r>
            <w:r w:rsidR="007508CB">
              <w:t>Asociados del UIT-T de la Comisión de Estudio 15</w:t>
            </w:r>
            <w:r w:rsidR="006C25CF">
              <w:t>;</w:t>
            </w:r>
          </w:p>
          <w:p w:rsidR="002545AA" w:rsidRPr="00E35001" w:rsidRDefault="008E338D" w:rsidP="008E338D">
            <w:pPr>
              <w:tabs>
                <w:tab w:val="clear" w:pos="794"/>
                <w:tab w:val="left" w:pos="360"/>
              </w:tabs>
              <w:spacing w:before="40" w:after="40"/>
              <w:ind w:left="57"/>
              <w:rPr>
                <w:bCs/>
              </w:rPr>
            </w:pPr>
            <w:r>
              <w:t>–</w:t>
            </w:r>
            <w:r w:rsidR="007508CB" w:rsidRPr="00E35001">
              <w:tab/>
            </w:r>
            <w:r>
              <w:t>l</w:t>
            </w:r>
            <w:r w:rsidR="007508CB" w:rsidRPr="00E35001">
              <w:t>as Instituciones Académicas de</w:t>
            </w:r>
            <w:r w:rsidR="006C25CF">
              <w:t xml:space="preserve"> </w:t>
            </w:r>
            <w:r w:rsidR="007508CB" w:rsidRPr="00E35001">
              <w:t>l</w:t>
            </w:r>
            <w:r w:rsidR="006C25CF">
              <w:t>a</w:t>
            </w:r>
            <w:r w:rsidR="007508CB" w:rsidRPr="00E35001">
              <w:t xml:space="preserve"> UIT</w:t>
            </w:r>
          </w:p>
        </w:tc>
      </w:tr>
      <w:tr w:rsidR="002545AA" w:rsidRPr="00E35001" w:rsidTr="001547F7">
        <w:trPr>
          <w:cantSplit/>
          <w:trHeight w:val="390"/>
        </w:trPr>
        <w:tc>
          <w:tcPr>
            <w:tcW w:w="1084" w:type="dxa"/>
          </w:tcPr>
          <w:p w:rsidR="002545AA" w:rsidRPr="001547F7" w:rsidRDefault="002545AA" w:rsidP="001547F7">
            <w:pPr>
              <w:spacing w:before="40" w:after="40"/>
              <w:ind w:left="57"/>
            </w:pPr>
            <w:r w:rsidRPr="001547F7">
              <w:t>Tel.:</w:t>
            </w:r>
          </w:p>
        </w:tc>
        <w:tc>
          <w:tcPr>
            <w:tcW w:w="3793" w:type="dxa"/>
          </w:tcPr>
          <w:p w:rsidR="002545AA" w:rsidRPr="00E35001" w:rsidRDefault="007508CB" w:rsidP="008E338D">
            <w:pPr>
              <w:tabs>
                <w:tab w:val="left" w:pos="4111"/>
              </w:tabs>
              <w:spacing w:before="40" w:after="40"/>
              <w:ind w:left="57"/>
            </w:pPr>
            <w:r w:rsidRPr="007508CB">
              <w:t>+41 22 730 6356</w:t>
            </w:r>
          </w:p>
        </w:tc>
        <w:tc>
          <w:tcPr>
            <w:tcW w:w="4762" w:type="dxa"/>
            <w:vMerge/>
          </w:tcPr>
          <w:p w:rsidR="002545AA" w:rsidRPr="00E35001" w:rsidRDefault="002545AA" w:rsidP="008E338D">
            <w:pPr>
              <w:tabs>
                <w:tab w:val="left" w:pos="4111"/>
              </w:tabs>
              <w:spacing w:beforeLines="40" w:before="96" w:after="40"/>
              <w:ind w:left="57"/>
              <w:rPr>
                <w:bCs/>
              </w:rPr>
            </w:pPr>
          </w:p>
        </w:tc>
      </w:tr>
      <w:tr w:rsidR="002545AA" w:rsidRPr="00E35001" w:rsidTr="001547F7">
        <w:trPr>
          <w:cantSplit/>
          <w:trHeight w:val="431"/>
        </w:trPr>
        <w:tc>
          <w:tcPr>
            <w:tcW w:w="1084" w:type="dxa"/>
          </w:tcPr>
          <w:p w:rsidR="002545AA" w:rsidRPr="001547F7" w:rsidRDefault="002545AA" w:rsidP="001547F7">
            <w:pPr>
              <w:spacing w:before="40" w:after="40"/>
              <w:ind w:left="57"/>
            </w:pPr>
            <w:r w:rsidRPr="001547F7">
              <w:t>Fax:</w:t>
            </w:r>
          </w:p>
        </w:tc>
        <w:tc>
          <w:tcPr>
            <w:tcW w:w="3793" w:type="dxa"/>
          </w:tcPr>
          <w:p w:rsidR="002545AA" w:rsidRPr="00E35001" w:rsidRDefault="007508CB" w:rsidP="008E338D">
            <w:pPr>
              <w:tabs>
                <w:tab w:val="left" w:pos="4111"/>
              </w:tabs>
              <w:spacing w:before="40" w:after="40"/>
              <w:ind w:left="57"/>
            </w:pPr>
            <w:r w:rsidRPr="007508CB">
              <w:t>+41 22 730 5853</w:t>
            </w:r>
          </w:p>
        </w:tc>
        <w:tc>
          <w:tcPr>
            <w:tcW w:w="4762" w:type="dxa"/>
            <w:vMerge/>
          </w:tcPr>
          <w:p w:rsidR="002545AA" w:rsidRPr="00E35001" w:rsidRDefault="002545AA" w:rsidP="008E338D">
            <w:pPr>
              <w:tabs>
                <w:tab w:val="left" w:pos="4111"/>
              </w:tabs>
              <w:spacing w:beforeLines="40" w:before="96" w:after="40"/>
              <w:ind w:left="57"/>
              <w:rPr>
                <w:bCs/>
              </w:rPr>
            </w:pPr>
          </w:p>
        </w:tc>
      </w:tr>
      <w:tr w:rsidR="002545AA" w:rsidRPr="00E35001" w:rsidTr="001547F7">
        <w:trPr>
          <w:cantSplit/>
        </w:trPr>
        <w:tc>
          <w:tcPr>
            <w:tcW w:w="1084" w:type="dxa"/>
          </w:tcPr>
          <w:p w:rsidR="002545AA" w:rsidRPr="001547F7" w:rsidRDefault="002545AA" w:rsidP="001547F7">
            <w:pPr>
              <w:spacing w:before="40" w:after="40"/>
              <w:ind w:left="57"/>
            </w:pPr>
            <w:r w:rsidRPr="001547F7">
              <w:t>Correo-e:</w:t>
            </w:r>
          </w:p>
        </w:tc>
        <w:tc>
          <w:tcPr>
            <w:tcW w:w="3793" w:type="dxa"/>
          </w:tcPr>
          <w:p w:rsidR="002545AA" w:rsidRPr="00E35001" w:rsidRDefault="003A6C75" w:rsidP="008E338D">
            <w:pPr>
              <w:tabs>
                <w:tab w:val="left" w:pos="4111"/>
              </w:tabs>
              <w:spacing w:before="40" w:after="40"/>
              <w:ind w:left="57"/>
            </w:pPr>
            <w:hyperlink r:id="rId9" w:history="1">
              <w:r w:rsidR="007508CB" w:rsidRPr="00F50F9D">
                <w:rPr>
                  <w:rStyle w:val="Hyperlink"/>
                </w:rPr>
                <w:t>tsbsg15@itu.int</w:t>
              </w:r>
            </w:hyperlink>
          </w:p>
        </w:tc>
        <w:tc>
          <w:tcPr>
            <w:tcW w:w="4762" w:type="dxa"/>
            <w:vMerge/>
          </w:tcPr>
          <w:p w:rsidR="002545AA" w:rsidRPr="00E35001" w:rsidRDefault="002545AA" w:rsidP="008E338D">
            <w:pPr>
              <w:tabs>
                <w:tab w:val="left" w:pos="4111"/>
              </w:tabs>
              <w:spacing w:beforeLines="40" w:before="96" w:after="40"/>
              <w:ind w:left="57"/>
            </w:pPr>
          </w:p>
        </w:tc>
      </w:tr>
      <w:tr w:rsidR="002545AA" w:rsidRPr="00E35001" w:rsidTr="001547F7">
        <w:trPr>
          <w:cantSplit/>
        </w:trPr>
        <w:tc>
          <w:tcPr>
            <w:tcW w:w="1084" w:type="dxa"/>
          </w:tcPr>
          <w:p w:rsidR="002545AA" w:rsidRPr="001547F7" w:rsidRDefault="002545AA" w:rsidP="001547F7">
            <w:pPr>
              <w:spacing w:before="40" w:after="40"/>
              <w:ind w:left="57"/>
            </w:pPr>
            <w:r w:rsidRPr="001547F7">
              <w:t>Web:</w:t>
            </w:r>
          </w:p>
        </w:tc>
        <w:tc>
          <w:tcPr>
            <w:tcW w:w="3793" w:type="dxa"/>
          </w:tcPr>
          <w:p w:rsidR="002545AA" w:rsidRPr="00E35001" w:rsidRDefault="003A6C75" w:rsidP="008E338D">
            <w:pPr>
              <w:tabs>
                <w:tab w:val="left" w:pos="4111"/>
              </w:tabs>
              <w:spacing w:before="40" w:after="40"/>
              <w:ind w:left="57"/>
            </w:pPr>
            <w:hyperlink r:id="rId10" w:history="1">
              <w:r w:rsidR="007508CB" w:rsidRPr="00F50F9D">
                <w:rPr>
                  <w:rStyle w:val="Hyperlink"/>
                </w:rPr>
                <w:t>http://itu.int/go/tsg15</w:t>
              </w:r>
            </w:hyperlink>
          </w:p>
        </w:tc>
        <w:tc>
          <w:tcPr>
            <w:tcW w:w="4762" w:type="dxa"/>
            <w:vMerge/>
          </w:tcPr>
          <w:p w:rsidR="002545AA" w:rsidRPr="00E35001" w:rsidRDefault="002545AA" w:rsidP="008E338D">
            <w:pPr>
              <w:tabs>
                <w:tab w:val="left" w:pos="4111"/>
              </w:tabs>
              <w:spacing w:beforeLines="40" w:before="96" w:after="40"/>
              <w:ind w:left="57"/>
            </w:pPr>
          </w:p>
        </w:tc>
      </w:tr>
      <w:tr w:rsidR="002545AA" w:rsidRPr="00E35001" w:rsidTr="009A1674">
        <w:trPr>
          <w:cantSplit/>
          <w:trHeight w:val="483"/>
        </w:trPr>
        <w:tc>
          <w:tcPr>
            <w:tcW w:w="1084" w:type="dxa"/>
          </w:tcPr>
          <w:p w:rsidR="002545AA" w:rsidRPr="001547F7" w:rsidRDefault="002545AA" w:rsidP="001547F7">
            <w:pPr>
              <w:spacing w:before="40" w:after="40"/>
              <w:ind w:left="57"/>
            </w:pPr>
            <w:r w:rsidRPr="001547F7">
              <w:t>Asunto:</w:t>
            </w:r>
          </w:p>
        </w:tc>
        <w:tc>
          <w:tcPr>
            <w:tcW w:w="8555" w:type="dxa"/>
            <w:gridSpan w:val="2"/>
          </w:tcPr>
          <w:p w:rsidR="002545AA" w:rsidRPr="001547F7" w:rsidRDefault="007508CB" w:rsidP="001547F7">
            <w:pPr>
              <w:spacing w:before="40" w:after="40"/>
              <w:ind w:left="57"/>
              <w:rPr>
                <w:b/>
                <w:bCs/>
              </w:rPr>
            </w:pPr>
            <w:r w:rsidRPr="001547F7">
              <w:rPr>
                <w:b/>
                <w:bCs/>
              </w:rPr>
              <w:t>Reunión de la Comisión de Estudio 15; Ginebra, 1-12 de julio de 2019</w:t>
            </w:r>
          </w:p>
        </w:tc>
      </w:tr>
    </w:tbl>
    <w:p w:rsidR="007508CB" w:rsidRPr="00E35001" w:rsidRDefault="007508CB" w:rsidP="008E338D">
      <w:pPr>
        <w:pStyle w:val="Normalaftertitle0"/>
      </w:pPr>
      <w:bookmarkStart w:id="1" w:name="ditulogo"/>
      <w:bookmarkEnd w:id="1"/>
      <w:r w:rsidRPr="00E35001">
        <w:t>Muy Señora mía/Muy Señor mío:</w:t>
      </w:r>
    </w:p>
    <w:p w:rsidR="007508CB" w:rsidRPr="00E35001" w:rsidRDefault="007508CB" w:rsidP="007508CB">
      <w:r w:rsidRPr="00A53FE2">
        <w:t>Me complace invitarle a asistir a la próxima reunión de la Comisión de Estudio 15 (Redes, tecnologías e infraestructuras de las redes de transporte, de acceso y domésticas), que tendrá lugar en la Sede de la UIT en Ginebra, del 1 al 12 de julio de 2019, ambos inclusive.</w:t>
      </w:r>
    </w:p>
    <w:p w:rsidR="007508CB" w:rsidRPr="00E35001" w:rsidRDefault="007508CB" w:rsidP="007508CB">
      <w:r w:rsidRPr="00A53FE2">
        <w:t>Le ruego preste atención sobre dos importantes novedades: la inscripción para la reunión requiere la aprobación del Coordinador, y el proceso para solicitar becas y visados ha cambiado.</w:t>
      </w:r>
      <w:r w:rsidR="00667955">
        <w:t xml:space="preserve"> Para más información, véase el Anexo A a la </w:t>
      </w:r>
      <w:hyperlink r:id="rId11" w:history="1">
        <w:r w:rsidR="00667955" w:rsidRPr="00667955">
          <w:rPr>
            <w:rStyle w:val="Hyperlink"/>
          </w:rPr>
          <w:t>Circular TSB 68</w:t>
        </w:r>
      </w:hyperlink>
      <w:r w:rsidR="00667955">
        <w:t>.</w:t>
      </w:r>
    </w:p>
    <w:p w:rsidR="007508CB" w:rsidRPr="00E35001" w:rsidRDefault="007508CB" w:rsidP="007508CB">
      <w:r w:rsidRPr="00A53FE2">
        <w:t xml:space="preserve">La reunión comenzará a las 09.30 horas del primer día y la inscripción de los participantes comenzará a las 08.30 horas en la </w:t>
      </w:r>
      <w:hyperlink r:id="rId12" w:history="1">
        <w:r w:rsidRPr="00A53FE2">
          <w:rPr>
            <w:rStyle w:val="Hyperlink"/>
          </w:rPr>
          <w:t>entrada de Montbrillant</w:t>
        </w:r>
      </w:hyperlink>
      <w:r w:rsidRPr="00A53FE2">
        <w:t xml:space="preserve">. La atribución cotidiana de las salas de reunión podrá consultarse en las pantallas diseminadas en toda la UIT, y en línea </w:t>
      </w:r>
      <w:hyperlink r:id="rId13" w:history="1">
        <w:r w:rsidRPr="00A53FE2">
          <w:rPr>
            <w:rStyle w:val="Hyperlink"/>
          </w:rPr>
          <w:t>aquí</w:t>
        </w:r>
      </w:hyperlink>
      <w:r w:rsidRPr="00A53FE2">
        <w:t>.</w:t>
      </w:r>
    </w:p>
    <w:p w:rsidR="007508CB" w:rsidRPr="00E35001" w:rsidRDefault="007508CB" w:rsidP="008E338D">
      <w:pPr>
        <w:pStyle w:val="Headingb0"/>
        <w:spacing w:after="120"/>
      </w:pPr>
      <w:r w:rsidRPr="00E35001">
        <w:t>PLAZOS</w:t>
      </w:r>
    </w:p>
    <w:tbl>
      <w:tblPr>
        <w:tblStyle w:val="TableGrid"/>
        <w:tblW w:w="9634" w:type="dxa"/>
        <w:tblLook w:val="04A0" w:firstRow="1" w:lastRow="0" w:firstColumn="1" w:lastColumn="0" w:noHBand="0" w:noVBand="1"/>
      </w:tblPr>
      <w:tblGrid>
        <w:gridCol w:w="2418"/>
        <w:gridCol w:w="7216"/>
      </w:tblGrid>
      <w:tr w:rsidR="007508CB" w:rsidRPr="00E35001" w:rsidTr="008E338D">
        <w:tc>
          <w:tcPr>
            <w:tcW w:w="2418" w:type="dxa"/>
          </w:tcPr>
          <w:p w:rsidR="007508CB" w:rsidRPr="008E338D" w:rsidRDefault="007508CB" w:rsidP="008E338D">
            <w:pPr>
              <w:pStyle w:val="Tabletext0"/>
            </w:pPr>
            <w:r w:rsidRPr="00A53FE2">
              <w:t>1 de mayo de 2019</w:t>
            </w:r>
          </w:p>
        </w:tc>
        <w:tc>
          <w:tcPr>
            <w:tcW w:w="7216" w:type="dxa"/>
          </w:tcPr>
          <w:p w:rsidR="007508CB" w:rsidRPr="00E35001" w:rsidRDefault="007508CB" w:rsidP="008E338D">
            <w:pPr>
              <w:pStyle w:val="Tabletext0"/>
              <w:ind w:left="284" w:hanging="284"/>
              <w:rPr>
                <w:b/>
                <w:bCs/>
              </w:rPr>
            </w:pPr>
            <w:r w:rsidRPr="00E35001">
              <w:t>–</w:t>
            </w:r>
            <w:r w:rsidRPr="00E35001">
              <w:tab/>
            </w:r>
            <w:hyperlink r:id="rId14" w:history="1">
              <w:r w:rsidRPr="00E35001">
                <w:rPr>
                  <w:rStyle w:val="Hyperlink"/>
                </w:rPr>
                <w:t xml:space="preserve">presentación de las contribuciones de los </w:t>
              </w:r>
              <w:r w:rsidR="002B06D1" w:rsidRPr="00E35001">
                <w:rPr>
                  <w:rStyle w:val="Hyperlink"/>
                </w:rPr>
                <w:t xml:space="preserve">Miembros </w:t>
              </w:r>
              <w:r w:rsidRPr="00E35001">
                <w:rPr>
                  <w:rStyle w:val="Hyperlink"/>
                </w:rPr>
                <w:t>del UIT-T</w:t>
              </w:r>
            </w:hyperlink>
            <w:r w:rsidRPr="00E35001">
              <w:t xml:space="preserve"> para las que se requiera traducción</w:t>
            </w:r>
          </w:p>
        </w:tc>
      </w:tr>
      <w:tr w:rsidR="007508CB" w:rsidRPr="00E35001" w:rsidTr="008E338D">
        <w:tc>
          <w:tcPr>
            <w:tcW w:w="2418" w:type="dxa"/>
          </w:tcPr>
          <w:p w:rsidR="007508CB" w:rsidRPr="00E35001" w:rsidRDefault="007508CB" w:rsidP="008E338D">
            <w:pPr>
              <w:pStyle w:val="Tabletext0"/>
            </w:pPr>
            <w:r w:rsidRPr="008E338D">
              <w:t>20 de mayo de 2019</w:t>
            </w:r>
          </w:p>
        </w:tc>
        <w:tc>
          <w:tcPr>
            <w:tcW w:w="7216" w:type="dxa"/>
          </w:tcPr>
          <w:p w:rsidR="007508CB" w:rsidRPr="00E35001" w:rsidRDefault="007508CB" w:rsidP="008E338D">
            <w:pPr>
              <w:pStyle w:val="Tabletext0"/>
              <w:ind w:left="284" w:hanging="284"/>
            </w:pPr>
            <w:r w:rsidRPr="00E35001">
              <w:t>–</w:t>
            </w:r>
            <w:r w:rsidRPr="00E35001">
              <w:tab/>
              <w:t>solicitudes de beca (</w:t>
            </w:r>
            <w:r w:rsidRPr="00A53FE2">
              <w:t>mediante el formulario de solicitud en línea, véase el Anexo A</w:t>
            </w:r>
            <w:r w:rsidRPr="00E35001">
              <w:t>)</w:t>
            </w:r>
          </w:p>
          <w:p w:rsidR="007508CB" w:rsidRPr="00E35001" w:rsidRDefault="007508CB" w:rsidP="008E338D">
            <w:pPr>
              <w:pStyle w:val="Tabletext0"/>
              <w:ind w:left="284" w:hanging="284"/>
            </w:pPr>
            <w:r w:rsidRPr="00E35001">
              <w:t>–</w:t>
            </w:r>
            <w:r w:rsidRPr="00E35001">
              <w:tab/>
              <w:t>solicitudes de interpretaci</w:t>
            </w:r>
            <w:r>
              <w:t xml:space="preserve">ón (a través del formulario de </w:t>
            </w:r>
            <w:r w:rsidRPr="00E35001">
              <w:t>preinscripci</w:t>
            </w:r>
            <w:r>
              <w:t>ón en </w:t>
            </w:r>
            <w:r w:rsidRPr="00E35001">
              <w:t>línea)</w:t>
            </w:r>
          </w:p>
        </w:tc>
      </w:tr>
      <w:tr w:rsidR="007508CB" w:rsidRPr="00E35001" w:rsidTr="008E338D">
        <w:tc>
          <w:tcPr>
            <w:tcW w:w="2418" w:type="dxa"/>
          </w:tcPr>
          <w:p w:rsidR="007508CB" w:rsidRPr="008E338D" w:rsidRDefault="007508CB" w:rsidP="008E338D">
            <w:pPr>
              <w:pStyle w:val="Tabletext0"/>
            </w:pPr>
            <w:r w:rsidRPr="008E338D">
              <w:t>1 de junio de 2019</w:t>
            </w:r>
          </w:p>
        </w:tc>
        <w:tc>
          <w:tcPr>
            <w:tcW w:w="7216" w:type="dxa"/>
          </w:tcPr>
          <w:p w:rsidR="007508CB" w:rsidRPr="00E35001" w:rsidRDefault="007508CB" w:rsidP="008E338D">
            <w:pPr>
              <w:pStyle w:val="Tabletext0"/>
              <w:ind w:left="284" w:hanging="284"/>
            </w:pPr>
            <w:r w:rsidRPr="00E35001">
              <w:t>–</w:t>
            </w:r>
            <w:r w:rsidRPr="00E35001">
              <w:tab/>
              <w:t>preinscripción (</w:t>
            </w:r>
            <w:r w:rsidRPr="00A53FE2">
              <w:t xml:space="preserve">en línea a través del formulario de inscripción en línea de la </w:t>
            </w:r>
            <w:hyperlink r:id="rId15" w:history="1">
              <w:r w:rsidRPr="00A53FE2">
                <w:rPr>
                  <w:rStyle w:val="Hyperlink"/>
                </w:rPr>
                <w:t>página principal de la Comisión de Estudio</w:t>
              </w:r>
            </w:hyperlink>
            <w:r w:rsidR="008E338D">
              <w:t>)</w:t>
            </w:r>
          </w:p>
          <w:p w:rsidR="007508CB" w:rsidRPr="00E35001" w:rsidRDefault="007508CB" w:rsidP="008E338D">
            <w:pPr>
              <w:pStyle w:val="Tabletext0"/>
              <w:ind w:left="284" w:hanging="284"/>
            </w:pPr>
            <w:r w:rsidRPr="00E35001">
              <w:t>–</w:t>
            </w:r>
            <w:r w:rsidRPr="00E35001">
              <w:tab/>
            </w:r>
            <w:r w:rsidRPr="00A53FE2">
              <w:t xml:space="preserve">solicitudes de cartas para la obtención de visados (a través del formulario de inscripción en línea; vea los detalles en el </w:t>
            </w:r>
            <w:r w:rsidRPr="00C762A1">
              <w:t>Anexo A</w:t>
            </w:r>
            <w:r w:rsidRPr="00E35001">
              <w:t>)</w:t>
            </w:r>
          </w:p>
        </w:tc>
      </w:tr>
      <w:tr w:rsidR="007508CB" w:rsidRPr="00E35001" w:rsidTr="008E338D">
        <w:tc>
          <w:tcPr>
            <w:tcW w:w="2418" w:type="dxa"/>
          </w:tcPr>
          <w:p w:rsidR="007508CB" w:rsidRPr="00E35001" w:rsidRDefault="007508CB" w:rsidP="008E338D">
            <w:pPr>
              <w:pStyle w:val="Tabletext0"/>
            </w:pPr>
            <w:r w:rsidRPr="008E338D">
              <w:t>18 de junio de 2019</w:t>
            </w:r>
          </w:p>
        </w:tc>
        <w:tc>
          <w:tcPr>
            <w:tcW w:w="7216" w:type="dxa"/>
          </w:tcPr>
          <w:p w:rsidR="007508CB" w:rsidRPr="00E35001" w:rsidRDefault="007508CB" w:rsidP="008E338D">
            <w:pPr>
              <w:pStyle w:val="Tabletext0"/>
              <w:ind w:left="284" w:hanging="284"/>
            </w:pPr>
            <w:r w:rsidRPr="00E35001">
              <w:t>–</w:t>
            </w:r>
            <w:r w:rsidRPr="00E35001">
              <w:tab/>
            </w:r>
            <w:hyperlink r:id="rId16" w:history="1">
              <w:r w:rsidRPr="00B7309A">
                <w:rPr>
                  <w:rStyle w:val="Hyperlink"/>
                </w:rPr>
                <w:t xml:space="preserve">presentación de las contribuciones de los </w:t>
              </w:r>
              <w:r w:rsidR="002B06D1" w:rsidRPr="00B7309A">
                <w:rPr>
                  <w:rStyle w:val="Hyperlink"/>
                </w:rPr>
                <w:t xml:space="preserve">Miembros </w:t>
              </w:r>
              <w:r w:rsidRPr="00B7309A">
                <w:rPr>
                  <w:rStyle w:val="Hyperlink"/>
                </w:rPr>
                <w:t>del UIT-T (a través de la publicación directa de documentos)</w:t>
              </w:r>
            </w:hyperlink>
          </w:p>
        </w:tc>
      </w:tr>
    </w:tbl>
    <w:p w:rsidR="008E338D" w:rsidRDefault="008E338D" w:rsidP="008E338D">
      <w:r>
        <w:br w:type="page"/>
      </w:r>
    </w:p>
    <w:p w:rsidR="007508CB" w:rsidRDefault="007508CB" w:rsidP="008E338D">
      <w:r>
        <w:lastRenderedPageBreak/>
        <w:t xml:space="preserve">En el </w:t>
      </w:r>
      <w:r w:rsidRPr="00B7309A">
        <w:rPr>
          <w:b/>
          <w:bCs/>
        </w:rPr>
        <w:t>Anexo A</w:t>
      </w:r>
      <w:r>
        <w:t xml:space="preserve"> encontrará información práctica sobre la reunión. En el </w:t>
      </w:r>
      <w:r w:rsidRPr="00B7309A">
        <w:rPr>
          <w:b/>
          <w:bCs/>
        </w:rPr>
        <w:t>Anexo B</w:t>
      </w:r>
      <w:r>
        <w:t xml:space="preserve"> figura el proyecto de </w:t>
      </w:r>
      <w:r w:rsidRPr="00B7309A">
        <w:rPr>
          <w:b/>
          <w:bCs/>
        </w:rPr>
        <w:t>orden del día</w:t>
      </w:r>
      <w:r>
        <w:t xml:space="preserve"> y el </w:t>
      </w:r>
      <w:r w:rsidRPr="00B7309A">
        <w:rPr>
          <w:b/>
          <w:bCs/>
        </w:rPr>
        <w:t>plan de gestión del tiempo</w:t>
      </w:r>
      <w:r>
        <w:t>, preparados por el Presidente de la Comisión de Estudio 15, Sr. Stephen Trowbridge (Estados Unidos).</w:t>
      </w:r>
    </w:p>
    <w:p w:rsidR="007508CB" w:rsidRPr="00E35001" w:rsidRDefault="007508CB" w:rsidP="002B28B9">
      <w:pPr>
        <w:spacing w:after="120"/>
        <w:rPr>
          <w:bCs/>
        </w:rPr>
      </w:pPr>
      <w: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3643"/>
      </w:tblGrid>
      <w:tr w:rsidR="002B28B9" w:rsidTr="00C51985">
        <w:trPr>
          <w:cantSplit/>
          <w:trHeight w:val="1823"/>
        </w:trPr>
        <w:tc>
          <w:tcPr>
            <w:tcW w:w="5991" w:type="dxa"/>
            <w:vMerge w:val="restart"/>
            <w:tcBorders>
              <w:right w:val="single" w:sz="4" w:space="0" w:color="auto"/>
            </w:tcBorders>
          </w:tcPr>
          <w:p w:rsidR="002B28B9" w:rsidRDefault="002B28B9" w:rsidP="002B28B9">
            <w:pPr>
              <w:spacing w:before="240"/>
            </w:pPr>
            <w:r w:rsidRPr="00E35001">
              <w:t>Atentamente,</w:t>
            </w:r>
          </w:p>
          <w:p w:rsidR="002B28B9" w:rsidRPr="00E35001" w:rsidRDefault="002B28B9" w:rsidP="00C51985">
            <w:pPr>
              <w:spacing w:before="720"/>
            </w:pPr>
            <w:r w:rsidRPr="00E35001">
              <w:t>Chaesub Lee</w:t>
            </w:r>
            <w:r w:rsidRPr="00E35001">
              <w:br/>
              <w:t>Director de la Oficina de Normalización</w:t>
            </w:r>
            <w:r w:rsidRPr="00E35001">
              <w:br/>
              <w:t>de las Telecomunicaciones</w:t>
            </w:r>
          </w:p>
        </w:tc>
        <w:tc>
          <w:tcPr>
            <w:tcW w:w="3643" w:type="dxa"/>
            <w:tcBorders>
              <w:top w:val="single" w:sz="4" w:space="0" w:color="auto"/>
              <w:left w:val="single" w:sz="4" w:space="0" w:color="auto"/>
              <w:right w:val="single" w:sz="4" w:space="0" w:color="auto"/>
            </w:tcBorders>
            <w:textDirection w:val="btLr"/>
            <w:vAlign w:val="center"/>
          </w:tcPr>
          <w:p w:rsidR="002B28B9" w:rsidRDefault="002B28B9" w:rsidP="00C51985">
            <w:pPr>
              <w:spacing w:before="0"/>
              <w:ind w:left="113" w:right="113"/>
              <w:jc w:val="center"/>
            </w:pPr>
            <w:r w:rsidRPr="00DC60F1">
              <w:rPr>
                <w:noProof/>
                <w:sz w:val="16"/>
                <w:szCs w:val="16"/>
                <w:lang w:val="en-GB" w:eastAsia="en-GB"/>
              </w:rPr>
              <w:drawing>
                <wp:inline distT="0" distB="0" distL="0" distR="0" wp14:anchorId="6A55514A" wp14:editId="661C7F96">
                  <wp:extent cx="1095375" cy="1095375"/>
                  <wp:effectExtent l="0" t="0" r="9525" b="9525"/>
                  <wp:docPr id="5" name="Picture 5"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Pr="008E5562">
              <w:rPr>
                <w:rFonts w:ascii="Calibri" w:eastAsia="SimSun" w:hAnsi="Calibri" w:cs="Arial"/>
                <w:sz w:val="16"/>
                <w:szCs w:val="16"/>
                <w:lang w:eastAsia="zh-CN"/>
              </w:rPr>
              <w:t xml:space="preserve"> </w:t>
            </w:r>
            <w:bookmarkStart w:id="2" w:name="lt_pId086"/>
            <w:r w:rsidR="00C51985">
              <w:rPr>
                <w:rFonts w:ascii="Calibri" w:eastAsia="SimSun" w:hAnsi="Calibri" w:cs="Arial"/>
                <w:sz w:val="20"/>
                <w:lang w:eastAsia="zh-CN"/>
              </w:rPr>
              <w:t>CE </w:t>
            </w:r>
            <w:r w:rsidR="00C51985" w:rsidRPr="008E5562">
              <w:rPr>
                <w:rFonts w:ascii="Calibri" w:eastAsia="SimSun" w:hAnsi="Calibri" w:cs="Arial"/>
                <w:sz w:val="20"/>
                <w:lang w:eastAsia="zh-CN"/>
              </w:rPr>
              <w:t>1</w:t>
            </w:r>
            <w:r w:rsidR="00C51985">
              <w:rPr>
                <w:rFonts w:ascii="Calibri" w:eastAsia="SimSun" w:hAnsi="Calibri" w:cs="Arial"/>
                <w:sz w:val="20"/>
                <w:lang w:eastAsia="zh-CN"/>
              </w:rPr>
              <w:t xml:space="preserve">5 </w:t>
            </w:r>
            <w:r w:rsidR="00C51985">
              <w:rPr>
                <w:rFonts w:ascii="Calibri" w:eastAsia="SimSun" w:hAnsi="Calibri" w:cs="Arial"/>
                <w:sz w:val="16"/>
                <w:szCs w:val="16"/>
                <w:lang w:eastAsia="zh-CN"/>
              </w:rPr>
              <w:t xml:space="preserve">del </w:t>
            </w:r>
            <w:r w:rsidR="00C51985" w:rsidRPr="008E5562">
              <w:rPr>
                <w:rFonts w:ascii="Calibri" w:eastAsia="SimSun" w:hAnsi="Calibri" w:cs="Arial"/>
                <w:sz w:val="20"/>
                <w:lang w:eastAsia="zh-CN"/>
              </w:rPr>
              <w:t>U</w:t>
            </w:r>
            <w:r w:rsidR="00C51985">
              <w:rPr>
                <w:rFonts w:ascii="Calibri" w:eastAsia="SimSun" w:hAnsi="Calibri" w:cs="Arial"/>
                <w:sz w:val="20"/>
                <w:lang w:eastAsia="zh-CN"/>
              </w:rPr>
              <w:t>I</w:t>
            </w:r>
            <w:r w:rsidRPr="008E5562">
              <w:rPr>
                <w:rFonts w:ascii="Calibri" w:eastAsia="SimSun" w:hAnsi="Calibri" w:cs="Arial"/>
                <w:sz w:val="20"/>
                <w:lang w:eastAsia="zh-CN"/>
              </w:rPr>
              <w:t>T</w:t>
            </w:r>
            <w:r w:rsidR="00C51985">
              <w:rPr>
                <w:rFonts w:ascii="Calibri" w:eastAsia="SimSun" w:hAnsi="Calibri" w:cs="Arial"/>
                <w:sz w:val="20"/>
                <w:lang w:eastAsia="zh-CN"/>
              </w:rPr>
              <w:t>-T</w:t>
            </w:r>
            <w:bookmarkEnd w:id="2"/>
          </w:p>
        </w:tc>
      </w:tr>
      <w:tr w:rsidR="002B28B9" w:rsidTr="002B28B9">
        <w:trPr>
          <w:cantSplit/>
          <w:trHeight w:val="227"/>
        </w:trPr>
        <w:tc>
          <w:tcPr>
            <w:tcW w:w="5991" w:type="dxa"/>
            <w:vMerge/>
            <w:tcBorders>
              <w:right w:val="single" w:sz="4" w:space="0" w:color="auto"/>
            </w:tcBorders>
          </w:tcPr>
          <w:p w:rsidR="002B28B9" w:rsidRPr="0024485F" w:rsidRDefault="002B28B9" w:rsidP="001E1A87">
            <w:pPr>
              <w:spacing w:before="480"/>
            </w:pPr>
          </w:p>
        </w:tc>
        <w:tc>
          <w:tcPr>
            <w:tcW w:w="3643" w:type="dxa"/>
            <w:tcBorders>
              <w:left w:val="single" w:sz="4" w:space="0" w:color="auto"/>
              <w:bottom w:val="single" w:sz="4" w:space="0" w:color="auto"/>
              <w:right w:val="single" w:sz="4" w:space="0" w:color="auto"/>
            </w:tcBorders>
            <w:vAlign w:val="center"/>
          </w:tcPr>
          <w:p w:rsidR="002B28B9" w:rsidRPr="00C64243" w:rsidRDefault="002B28B9" w:rsidP="002B28B9">
            <w:pPr>
              <w:jc w:val="center"/>
              <w:rPr>
                <w:rFonts w:ascii="Calibri" w:eastAsia="SimSun" w:hAnsi="Calibri" w:cs="Arial"/>
                <w:noProof/>
                <w:sz w:val="20"/>
                <w:lang w:eastAsia="zh-CN"/>
              </w:rPr>
            </w:pPr>
            <w:r w:rsidRPr="00C64243">
              <w:rPr>
                <w:sz w:val="20"/>
              </w:rPr>
              <w:t>Última información sobre la reunión</w:t>
            </w:r>
          </w:p>
        </w:tc>
      </w:tr>
    </w:tbl>
    <w:p w:rsidR="007508CB" w:rsidRPr="00E35001" w:rsidRDefault="007508CB" w:rsidP="008E338D">
      <w:pPr>
        <w:spacing w:before="1200"/>
        <w:rPr>
          <w:bCs/>
        </w:rPr>
      </w:pPr>
      <w:r w:rsidRPr="008E338D">
        <w:rPr>
          <w:b/>
          <w:bCs/>
        </w:rPr>
        <w:t>Anexos</w:t>
      </w:r>
      <w:r>
        <w:rPr>
          <w:bCs/>
        </w:rPr>
        <w:t>: 2</w:t>
      </w:r>
    </w:p>
    <w:p w:rsidR="007508CB" w:rsidRPr="00E35001" w:rsidRDefault="007508CB" w:rsidP="001547F7">
      <w:r w:rsidRPr="00E35001">
        <w:br w:type="page"/>
      </w:r>
    </w:p>
    <w:p w:rsidR="00D07BA9" w:rsidRPr="00D07BA9" w:rsidRDefault="00701C03" w:rsidP="00D07BA9">
      <w:pPr>
        <w:pStyle w:val="AnnexNo"/>
      </w:pPr>
      <w:r w:rsidRPr="00D07BA9">
        <w:lastRenderedPageBreak/>
        <w:t xml:space="preserve">ANEXO </w:t>
      </w:r>
      <w:r w:rsidR="007508CB" w:rsidRPr="00D07BA9">
        <w:t>A</w:t>
      </w:r>
    </w:p>
    <w:p w:rsidR="007508CB" w:rsidRDefault="007508CB" w:rsidP="00D07BA9">
      <w:pPr>
        <w:pStyle w:val="Annextitle0"/>
      </w:pPr>
      <w:r w:rsidRPr="00674253">
        <w:t>Información práctica sobre la reunión</w:t>
      </w:r>
    </w:p>
    <w:p w:rsidR="007508CB" w:rsidRPr="00160C2D" w:rsidRDefault="007508CB" w:rsidP="00D07BA9">
      <w:pPr>
        <w:spacing w:before="240" w:after="240"/>
        <w:jc w:val="center"/>
        <w:rPr>
          <w:b/>
          <w:bCs/>
        </w:rPr>
      </w:pPr>
      <w:r w:rsidRPr="00160C2D">
        <w:rPr>
          <w:b/>
          <w:bCs/>
          <w:lang w:val="es-ES"/>
        </w:rPr>
        <w:t>MÉTODOS DE TRABAJO E INSTALACIONES</w:t>
      </w:r>
    </w:p>
    <w:p w:rsidR="007508CB" w:rsidRPr="00DC60F1" w:rsidRDefault="007508CB" w:rsidP="00160C2D">
      <w:pPr>
        <w:rPr>
          <w:lang w:val="es-ES"/>
        </w:rPr>
      </w:pPr>
      <w:r w:rsidRPr="00DC60F1">
        <w:rPr>
          <w:b/>
          <w:bCs/>
          <w:lang w:val="es-ES"/>
        </w:rPr>
        <w:t>PRESENTACIÓN DE Y ACCESO A LOS DOCUMENTOS</w:t>
      </w:r>
      <w:r w:rsidRPr="00DC60F1">
        <w:rPr>
          <w:lang w:val="es-ES"/>
        </w:rPr>
        <w:t xml:space="preserve">: La reunión se celebrará sin hacer uso del papel. Las contribuciones deben presentarse utilizando la </w:t>
      </w:r>
      <w:hyperlink r:id="rId19" w:history="1">
        <w:r w:rsidRPr="00F91E81">
          <w:rPr>
            <w:rStyle w:val="Hyperlink"/>
          </w:rPr>
          <w:t>Publicación Directa de Documentos</w:t>
        </w:r>
      </w:hyperlink>
      <w:r w:rsidRPr="00DC60F1">
        <w:rPr>
          <w:lang w:val="es-ES"/>
        </w:rPr>
        <w:t xml:space="preserve">; los proyectos de DT deben remitirse por correo-e a la secretaría de la Comisión de Estudio utilizando la </w:t>
      </w:r>
      <w:hyperlink r:id="rId20" w:history="1">
        <w:r w:rsidRPr="00F91E81">
          <w:rPr>
            <w:rStyle w:val="Hyperlink"/>
          </w:rPr>
          <w:t>plantilla correspondiente</w:t>
        </w:r>
      </w:hyperlink>
      <w:r w:rsidRPr="00DC60F1">
        <w:rPr>
          <w:lang w:val="es-ES"/>
        </w:rPr>
        <w:t>. El acceso a los documentos de la reunión se facilita a partir de la página principal de la Comisión de Estudio, y está restringido a los Miembros del UIT-T/</w:t>
      </w:r>
      <w:hyperlink r:id="rId21" w:history="1">
        <w:r w:rsidR="002B06D1" w:rsidRPr="00F91E81">
          <w:rPr>
            <w:rStyle w:val="Hyperlink"/>
          </w:rPr>
          <w:t>t</w:t>
        </w:r>
        <w:r w:rsidRPr="00F91E81">
          <w:rPr>
            <w:rStyle w:val="Hyperlink"/>
          </w:rPr>
          <w:t>itulares de cuenta TIES</w:t>
        </w:r>
      </w:hyperlink>
      <w:r w:rsidRPr="00DC60F1">
        <w:rPr>
          <w:lang w:val="es-ES"/>
        </w:rPr>
        <w:t>.</w:t>
      </w:r>
    </w:p>
    <w:p w:rsidR="007508CB" w:rsidRPr="00DC60F1" w:rsidRDefault="007508CB" w:rsidP="007508CB">
      <w:pPr>
        <w:rPr>
          <w:lang w:val="es-ES"/>
        </w:rPr>
      </w:pPr>
      <w:r w:rsidRPr="00DC60F1">
        <w:rPr>
          <w:b/>
          <w:bCs/>
          <w:lang w:val="es-ES"/>
        </w:rPr>
        <w:t>INTERPRETACIÓN</w:t>
      </w:r>
      <w:r w:rsidRPr="00DC60F1">
        <w:rPr>
          <w:lang w:val="es-ES"/>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F91E81">
        <w:rPr>
          <w:b/>
          <w:bCs/>
        </w:rPr>
        <w:t>por lo menos seis semanas antes del primer día de la reunión</w:t>
      </w:r>
      <w:r w:rsidRPr="00DC60F1">
        <w:rPr>
          <w:lang w:val="es-ES"/>
        </w:rPr>
        <w:t>.</w:t>
      </w:r>
    </w:p>
    <w:p w:rsidR="007508CB" w:rsidRPr="00DC60F1" w:rsidRDefault="007508CB" w:rsidP="006359C5">
      <w:pPr>
        <w:rPr>
          <w:lang w:val="es-ES"/>
        </w:rPr>
      </w:pPr>
      <w:r w:rsidRPr="00DC60F1">
        <w:rPr>
          <w:b/>
          <w:bCs/>
          <w:lang w:val="es-ES"/>
        </w:rPr>
        <w:t>LAN INALÁMBRICA</w:t>
      </w:r>
      <w:r w:rsidRPr="00DC60F1">
        <w:rPr>
          <w:lang w:val="es-ES"/>
        </w:rPr>
        <w:t>: Los delegados disponen de instalaciones de red de área local inalámbrica en todas las salas de conferencias de la UIT (SSID: "ITUwifi", contraseña: itu@GVA1211). En la dirección web del UIT-T (</w:t>
      </w:r>
      <w:hyperlink r:id="rId22" w:history="1">
        <w:r w:rsidR="006359C5" w:rsidRPr="00135C88">
          <w:rPr>
            <w:rStyle w:val="Hyperlink"/>
          </w:rPr>
          <w:t>http://itu.int/ITU-T/edh/faqs-support.html</w:t>
        </w:r>
      </w:hyperlink>
      <w:r w:rsidRPr="00DC60F1">
        <w:rPr>
          <w:lang w:val="es-ES"/>
        </w:rPr>
        <w:t xml:space="preserve">) e </w:t>
      </w:r>
      <w:r w:rsidRPr="00DC60F1">
        <w:rPr>
          <w:i/>
          <w:iCs/>
          <w:lang w:val="es-ES"/>
        </w:rPr>
        <w:t>in situ</w:t>
      </w:r>
      <w:r w:rsidRPr="00DC60F1">
        <w:rPr>
          <w:lang w:val="es-ES"/>
        </w:rPr>
        <w:t xml:space="preserve"> se puede encontrar información más detallada al respecto.</w:t>
      </w:r>
    </w:p>
    <w:p w:rsidR="007508CB" w:rsidRPr="00DC60F1" w:rsidRDefault="007508CB" w:rsidP="007508CB">
      <w:pPr>
        <w:rPr>
          <w:lang w:val="es-ES"/>
        </w:rPr>
      </w:pPr>
      <w:r w:rsidRPr="00DC60F1">
        <w:rPr>
          <w:b/>
          <w:bCs/>
          <w:lang w:val="es-ES"/>
        </w:rPr>
        <w:t>TAQUILLAS ELECTRÓNICAS</w:t>
      </w:r>
      <w:r w:rsidRPr="00DC60F1">
        <w:rPr>
          <w:lang w:val="es-ES"/>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3" w:history="1">
        <w:r w:rsidRPr="00822B04">
          <w:rPr>
            <w:rStyle w:val="Hyperlink"/>
          </w:rPr>
          <w:t>edificio Montbrillant</w:t>
        </w:r>
      </w:hyperlink>
      <w:r w:rsidRPr="00DC60F1">
        <w:rPr>
          <w:lang w:val="es-ES"/>
        </w:rPr>
        <w:t>.</w:t>
      </w:r>
    </w:p>
    <w:p w:rsidR="007508CB" w:rsidRPr="00DC60F1" w:rsidRDefault="007508CB" w:rsidP="00822B04">
      <w:pPr>
        <w:rPr>
          <w:lang w:val="es-ES"/>
        </w:rPr>
      </w:pPr>
      <w:r w:rsidRPr="00DC60F1">
        <w:rPr>
          <w:b/>
          <w:bCs/>
          <w:lang w:val="es-ES"/>
        </w:rPr>
        <w:t>IMPRESORAS</w:t>
      </w:r>
      <w:r w:rsidRPr="00DC60F1">
        <w:rPr>
          <w:lang w:val="es-ES"/>
        </w:rPr>
        <w:t xml:space="preserve">: En las salas para los delegados y en las proximidades de las </w:t>
      </w:r>
      <w:hyperlink r:id="rId24" w:history="1">
        <w:r w:rsidRPr="00822B04">
          <w:rPr>
            <w:rStyle w:val="Hyperlink"/>
          </w:rPr>
          <w:t>principales salas de reunión</w:t>
        </w:r>
      </w:hyperlink>
      <w:r w:rsidRPr="00DC60F1">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5" w:history="1">
        <w:r w:rsidR="00822B04" w:rsidRPr="00135C88">
          <w:rPr>
            <w:rStyle w:val="Hyperlink"/>
          </w:rPr>
          <w:t>http://itu.int/go/e-print</w:t>
        </w:r>
      </w:hyperlink>
      <w:r w:rsidRPr="00DC60F1">
        <w:rPr>
          <w:lang w:val="es-ES"/>
        </w:rPr>
        <w:t>.</w:t>
      </w:r>
    </w:p>
    <w:p w:rsidR="007508CB" w:rsidRPr="00DC60F1" w:rsidRDefault="007508CB" w:rsidP="00822B04">
      <w:pPr>
        <w:rPr>
          <w:lang w:val="es-ES"/>
        </w:rPr>
      </w:pPr>
      <w:r w:rsidRPr="00DC60F1">
        <w:rPr>
          <w:b/>
          <w:bCs/>
          <w:lang w:val="es-ES"/>
        </w:rPr>
        <w:t>PRÉSTAMO DE COMPUTADORAS PORTÁTILES</w:t>
      </w:r>
      <w:r w:rsidRPr="00DC60F1">
        <w:rPr>
          <w:lang w:val="es-ES"/>
        </w:rPr>
        <w:t>: El Servicio de Asistencia de la UIT (</w:t>
      </w:r>
      <w:hyperlink r:id="rId26" w:history="1">
        <w:r w:rsidR="00822B04" w:rsidRPr="00135C88">
          <w:rPr>
            <w:rStyle w:val="Hyperlink"/>
          </w:rPr>
          <w:t>servicedesk@itu.int</w:t>
        </w:r>
      </w:hyperlink>
      <w:r w:rsidRPr="00DC60F1">
        <w:rPr>
          <w:lang w:val="es-ES"/>
        </w:rPr>
        <w:t>) pondrá un número limitado de computadoras portátiles a disposición de los delegados. Se atenderán las solicitudes por orden de llegada.</w:t>
      </w:r>
    </w:p>
    <w:p w:rsidR="007508CB" w:rsidRPr="00160C2D" w:rsidRDefault="007508CB" w:rsidP="00D07BA9">
      <w:pPr>
        <w:spacing w:before="240" w:after="240"/>
        <w:jc w:val="center"/>
        <w:rPr>
          <w:b/>
          <w:bCs/>
          <w:lang w:val="es-ES"/>
        </w:rPr>
      </w:pPr>
      <w:r w:rsidRPr="00160C2D">
        <w:rPr>
          <w:b/>
          <w:bCs/>
          <w:lang w:val="es-ES"/>
        </w:rPr>
        <w:t>PREINSCRIPCIÓN, NUEVOS DELEGADOS, BECAS Y AYUDA PARA LA SOLICITUD DE VISADOS</w:t>
      </w:r>
    </w:p>
    <w:p w:rsidR="007508CB" w:rsidRPr="00DC60F1" w:rsidRDefault="007508CB" w:rsidP="00160C2D">
      <w:pPr>
        <w:rPr>
          <w:lang w:val="es-ES"/>
        </w:rPr>
      </w:pPr>
      <w:r w:rsidRPr="00DC60F1">
        <w:rPr>
          <w:b/>
          <w:bCs/>
          <w:lang w:val="es-ES"/>
        </w:rPr>
        <w:t>PREINSCRIPCIÓN</w:t>
      </w:r>
      <w:r w:rsidRPr="00DC60F1">
        <w:rPr>
          <w:lang w:val="es-ES"/>
        </w:rPr>
        <w:t xml:space="preserve">: La preinscripción </w:t>
      </w:r>
      <w:r w:rsidR="00667955">
        <w:rPr>
          <w:lang w:val="es-ES"/>
        </w:rPr>
        <w:t xml:space="preserve">es obligatoria y </w:t>
      </w:r>
      <w:r w:rsidRPr="00DC60F1">
        <w:rPr>
          <w:lang w:val="es-ES"/>
        </w:rPr>
        <w:t xml:space="preserve">ha de hacerse en línea a través de la página principal de la Comisión de Estudio </w:t>
      </w:r>
      <w:r w:rsidRPr="00F91E81">
        <w:rPr>
          <w:b/>
          <w:bCs/>
        </w:rPr>
        <w:t>a más tardar un mes antes de la reunión</w:t>
      </w:r>
      <w:r w:rsidRPr="00DC60F1">
        <w:rPr>
          <w:bCs/>
          <w:lang w:val="es-ES"/>
        </w:rPr>
        <w:t xml:space="preserve">. Según lo indicado en la </w:t>
      </w:r>
      <w:hyperlink r:id="rId27" w:history="1">
        <w:r w:rsidRPr="002C083B">
          <w:rPr>
            <w:rStyle w:val="Hyperlink"/>
            <w:bCs/>
            <w:lang w:val="es-ES"/>
          </w:rPr>
          <w:t>Circular 68 de la TSB</w:t>
        </w:r>
      </w:hyperlink>
      <w:r w:rsidRPr="00DC60F1">
        <w:rPr>
          <w:bCs/>
          <w:lang w:val="es-ES"/>
        </w:rPr>
        <w:t>, el nuevo sistema de inscripción requiere la aprobación del Coordinador para todas las solicitudes de inscripción.</w:t>
      </w:r>
      <w:r w:rsidRPr="00DC60F1">
        <w:t xml:space="preserve"> </w:t>
      </w:r>
      <w:r w:rsidRPr="00DC60F1">
        <w:rPr>
          <w:bCs/>
          <w:lang w:val="es-ES"/>
        </w:rPr>
        <w:t>Se invita a los miembros a incluir mujeres en sus delegaciones siempre que sea posible.</w:t>
      </w:r>
    </w:p>
    <w:p w:rsidR="007508CB" w:rsidRPr="00DC60F1" w:rsidRDefault="007508CB" w:rsidP="00822B04">
      <w:pPr>
        <w:rPr>
          <w:lang w:val="es-ES"/>
        </w:rPr>
      </w:pPr>
      <w:r w:rsidRPr="00DC60F1">
        <w:rPr>
          <w:b/>
          <w:bCs/>
          <w:lang w:val="es-ES"/>
        </w:rPr>
        <w:t>LOS NUEVOS DELEGADOS</w:t>
      </w:r>
      <w:r w:rsidRPr="00DC60F1">
        <w:rPr>
          <w:lang w:val="es-ES"/>
        </w:rPr>
        <w:t xml:space="preserve"> </w:t>
      </w:r>
      <w:r w:rsidR="00FE5DB2">
        <w:rPr>
          <w:lang w:val="es-ES"/>
        </w:rPr>
        <w:t>e</w:t>
      </w:r>
      <w:r w:rsidRPr="00DC60F1">
        <w:rPr>
          <w:lang w:val="es-ES"/>
        </w:rPr>
        <w:t>stán invitados a participar en un programa de acompañamiento</w:t>
      </w:r>
      <w:r w:rsidRPr="00DC60F1">
        <w:rPr>
          <w:b/>
          <w:bCs/>
          <w:lang w:val="es-ES"/>
        </w:rPr>
        <w:t xml:space="preserve"> </w:t>
      </w:r>
      <w:r w:rsidRPr="00DC60F1">
        <w:rPr>
          <w:lang w:val="es-ES"/>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00822B04" w:rsidRPr="00135C88">
          <w:rPr>
            <w:rStyle w:val="Hyperlink"/>
          </w:rPr>
          <w:t>ITU-Tmembership@itu.int</w:t>
        </w:r>
      </w:hyperlink>
      <w:r w:rsidRPr="00DC60F1">
        <w:rPr>
          <w:lang w:val="es-ES"/>
        </w:rPr>
        <w:t xml:space="preserve">. Puede consultar una guía resumida </w:t>
      </w:r>
      <w:hyperlink r:id="rId29" w:history="1">
        <w:r w:rsidRPr="00822B04">
          <w:rPr>
            <w:rStyle w:val="Hyperlink"/>
          </w:rPr>
          <w:t>aquí</w:t>
        </w:r>
      </w:hyperlink>
      <w:r w:rsidRPr="00DC60F1">
        <w:rPr>
          <w:lang w:val="es-ES"/>
        </w:rPr>
        <w:t>.</w:t>
      </w:r>
    </w:p>
    <w:p w:rsidR="007508CB" w:rsidRPr="00DC60F1" w:rsidRDefault="007508CB" w:rsidP="00667955">
      <w:pPr>
        <w:rPr>
          <w:lang w:val="es-ES"/>
        </w:rPr>
      </w:pPr>
      <w:r w:rsidRPr="00DC60F1">
        <w:rPr>
          <w:b/>
          <w:bCs/>
          <w:lang w:val="es-ES"/>
        </w:rPr>
        <w:t>BECAS</w:t>
      </w:r>
      <w:r w:rsidRPr="00DC60F1">
        <w:rPr>
          <w:lang w:val="es-ES"/>
        </w:rPr>
        <w:t xml:space="preserve">: Podrán concederse dos becas parciales por administración, en función de la financiación disponible, con objeto de facilitar la participación de </w:t>
      </w:r>
      <w:hyperlink r:id="rId30" w:history="1">
        <w:r w:rsidRPr="00822B04">
          <w:rPr>
            <w:rStyle w:val="Hyperlink"/>
          </w:rPr>
          <w:t>países</w:t>
        </w:r>
      </w:hyperlink>
      <w:r w:rsidRPr="00DC60F1">
        <w:rPr>
          <w:lang w:val="es-ES"/>
        </w:rPr>
        <w:t xml:space="preserve"> </w:t>
      </w:r>
      <w:r>
        <w:rPr>
          <w:lang w:val="es-ES"/>
        </w:rPr>
        <w:t>que reúnan los requisitos.</w:t>
      </w:r>
      <w:r w:rsidRPr="00DC60F1">
        <w:t xml:space="preserve"> </w:t>
      </w:r>
      <w:r w:rsidRPr="00DC60F1">
        <w:rPr>
          <w:lang w:val="es-ES"/>
        </w:rPr>
        <w:t>Como parte del nuevo sistema de inscripción, los formularios de solicitud de becas serán enviados a los delegados que marquen la casilla correspondiente en el formulario de inscripción.</w:t>
      </w:r>
      <w:r>
        <w:rPr>
          <w:lang w:val="es-ES"/>
        </w:rPr>
        <w:t xml:space="preserve"> </w:t>
      </w:r>
      <w:r w:rsidRPr="00DC60F1">
        <w:rPr>
          <w:b/>
          <w:bCs/>
          <w:lang w:val="es-ES"/>
        </w:rPr>
        <w:t xml:space="preserve">Las solicitudes deben recibirse </w:t>
      </w:r>
      <w:r>
        <w:rPr>
          <w:b/>
          <w:bCs/>
          <w:lang w:val="es-ES"/>
        </w:rPr>
        <w:t>a más tardar el 20</w:t>
      </w:r>
      <w:r w:rsidRPr="00DC60F1">
        <w:rPr>
          <w:b/>
          <w:bCs/>
          <w:lang w:val="es-ES"/>
        </w:rPr>
        <w:t xml:space="preserve"> de </w:t>
      </w:r>
      <w:r>
        <w:rPr>
          <w:b/>
          <w:bCs/>
          <w:lang w:val="es-ES"/>
        </w:rPr>
        <w:t xml:space="preserve">mayo de 2019, </w:t>
      </w:r>
      <w:r w:rsidRPr="0050507A">
        <w:rPr>
          <w:b/>
          <w:bCs/>
          <w:lang w:val="es-ES"/>
        </w:rPr>
        <w:t>y se recomienda encarecidamente inscribirse para el evento e iniciar el proceso de solicitud al menos siete semanas antes de la reunión</w:t>
      </w:r>
      <w:r w:rsidRPr="00DC60F1">
        <w:rPr>
          <w:lang w:val="es-ES"/>
        </w:rPr>
        <w:t>. Rogamos tome nota de que los criterios aplicados en la decisión del otorgamiento de becas incluyen el presupuesto disponible de la UIT; la participación activa, incluida la presentación de contribuciones escritas; la distribución equitativa entre países y regiones; y el equilibrio en materia de género.</w:t>
      </w:r>
    </w:p>
    <w:p w:rsidR="007508CB" w:rsidRPr="00DC60F1" w:rsidRDefault="007508CB" w:rsidP="007508CB">
      <w:pPr>
        <w:rPr>
          <w:lang w:val="es-ES"/>
        </w:rPr>
      </w:pPr>
      <w:r w:rsidRPr="00DC60F1">
        <w:rPr>
          <w:b/>
          <w:bCs/>
          <w:lang w:val="es-ES"/>
        </w:rPr>
        <w:lastRenderedPageBreak/>
        <w:t>AYUDA PARA LA SOLICITUD DE VISADOS</w:t>
      </w:r>
      <w:r w:rsidRPr="00DC60F1">
        <w:rPr>
          <w:lang w:val="es-ES"/>
        </w:rPr>
        <w:t>: En su caso, los</w:t>
      </w:r>
      <w:r w:rsidRPr="00DC60F1">
        <w:rPr>
          <w:b/>
          <w:bCs/>
          <w:lang w:val="es-ES"/>
        </w:rPr>
        <w:t xml:space="preserve"> </w:t>
      </w:r>
      <w:r w:rsidRPr="00DC60F1">
        <w:rPr>
          <w:lang w:val="es-ES"/>
        </w:rPr>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7508CB" w:rsidRPr="00DC60F1" w:rsidRDefault="007508CB" w:rsidP="00822B04">
      <w:pPr>
        <w:rPr>
          <w:lang w:val="es-ES"/>
        </w:rPr>
      </w:pPr>
      <w:r w:rsidRPr="00DC60F1">
        <w:rPr>
          <w:lang w:val="es-ES"/>
        </w:rPr>
        <w:t xml:space="preserve">Si tropieza con problemas, la Unión puede, previa solicitud oficial de la administración o la entidad que usted representa, intervenir ante las autoridades suizas competentes para facilitar la expedición de ese visado. Las solicitudes deben formularse marcando la casilla correspondiente en el formulario de inscripción </w:t>
      </w:r>
      <w:r w:rsidRPr="00DC60F1">
        <w:rPr>
          <w:b/>
          <w:bCs/>
          <w:lang w:val="es-ES"/>
        </w:rPr>
        <w:t>a más tardar un mes antes de la reunión.</w:t>
      </w:r>
      <w:r w:rsidRPr="00DC60F1">
        <w:rPr>
          <w:lang w:val="es-ES"/>
        </w:rPr>
        <w:t xml:space="preserve"> Las solicitudes de información deben enviarse a la Sección de Viajes de la UIT (</w:t>
      </w:r>
      <w:hyperlink r:id="rId31" w:history="1">
        <w:r w:rsidR="00822B04" w:rsidRPr="00135C88">
          <w:rPr>
            <w:rStyle w:val="Hyperlink"/>
          </w:rPr>
          <w:t>travel@itu.int</w:t>
        </w:r>
      </w:hyperlink>
      <w:r w:rsidRPr="00DC60F1">
        <w:rPr>
          <w:lang w:val="es-ES"/>
        </w:rPr>
        <w:t>), con la mención "</w:t>
      </w:r>
      <w:r w:rsidRPr="00DC60F1">
        <w:rPr>
          <w:b/>
          <w:bCs/>
          <w:lang w:val="es-ES"/>
        </w:rPr>
        <w:t>apoyo para la obtención de visado</w:t>
      </w:r>
      <w:r w:rsidR="00E00148" w:rsidRPr="00E00148">
        <w:rPr>
          <w:lang w:val="es-ES"/>
        </w:rPr>
        <w:t>"</w:t>
      </w:r>
      <w:r w:rsidRPr="00DC60F1">
        <w:rPr>
          <w:lang w:val="es-ES"/>
        </w:rPr>
        <w:t>.</w:t>
      </w:r>
    </w:p>
    <w:p w:rsidR="007508CB" w:rsidRPr="00160C2D" w:rsidRDefault="007508CB" w:rsidP="00D07BA9">
      <w:pPr>
        <w:spacing w:before="240" w:after="240"/>
        <w:jc w:val="center"/>
        <w:rPr>
          <w:b/>
          <w:bCs/>
          <w:lang w:val="es-ES"/>
        </w:rPr>
      </w:pPr>
      <w:r w:rsidRPr="00160C2D">
        <w:rPr>
          <w:b/>
          <w:bCs/>
          <w:lang w:val="es-ES"/>
        </w:rPr>
        <w:t>VISITAS A GINEBRA: HOTELES, TRANSPORTE PÚBLICO</w:t>
      </w:r>
    </w:p>
    <w:p w:rsidR="007508CB" w:rsidRPr="00DC60F1" w:rsidRDefault="007508CB" w:rsidP="00822B04">
      <w:pPr>
        <w:rPr>
          <w:lang w:val="es-ES"/>
        </w:rPr>
      </w:pPr>
      <w:r w:rsidRPr="00DC60F1">
        <w:rPr>
          <w:b/>
          <w:bCs/>
          <w:lang w:val="es-ES"/>
        </w:rPr>
        <w:t>VISITAS A GINEBRA</w:t>
      </w:r>
      <w:r w:rsidRPr="00DC60F1">
        <w:rPr>
          <w:lang w:val="es-ES"/>
        </w:rPr>
        <w:t xml:space="preserve">: Los delegados que asistan a reuniones de la UIT en Ginebra pueden encontrar información práctica en </w:t>
      </w:r>
      <w:hyperlink r:id="rId32" w:history="1">
        <w:r w:rsidR="00822B04" w:rsidRPr="00135C88">
          <w:rPr>
            <w:rStyle w:val="Hyperlink"/>
          </w:rPr>
          <w:t>http://itu.int/es/delegates-corner/</w:t>
        </w:r>
      </w:hyperlink>
      <w:r w:rsidRPr="00822B04">
        <w:t>.</w:t>
      </w:r>
    </w:p>
    <w:p w:rsidR="007508CB" w:rsidRPr="00E35001" w:rsidRDefault="007508CB" w:rsidP="00822B04">
      <w:pPr>
        <w:rPr>
          <w:szCs w:val="24"/>
        </w:rPr>
      </w:pPr>
      <w:r w:rsidRPr="00DC60F1">
        <w:rPr>
          <w:b/>
          <w:bCs/>
          <w:lang w:val="es-ES"/>
        </w:rPr>
        <w:t>DESCUENTOS PARA HOTELES</w:t>
      </w:r>
      <w:r w:rsidRPr="00DC60F1">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history="1">
        <w:r w:rsidR="00822B04" w:rsidRPr="00135C88">
          <w:rPr>
            <w:rStyle w:val="Hyperlink"/>
          </w:rPr>
          <w:t>http://itu.int/travel/</w:t>
        </w:r>
      </w:hyperlink>
      <w:r w:rsidRPr="00822B04">
        <w:t>.</w:t>
      </w:r>
    </w:p>
    <w:p w:rsidR="007508CB" w:rsidRPr="00E35001" w:rsidRDefault="007508CB" w:rsidP="007508CB">
      <w:r w:rsidRPr="00E35001">
        <w:br w:type="page"/>
      </w:r>
    </w:p>
    <w:p w:rsidR="00D07BA9" w:rsidRDefault="00701C03" w:rsidP="00D07BA9">
      <w:pPr>
        <w:pStyle w:val="AnnexNo"/>
      </w:pPr>
      <w:r w:rsidRPr="00E35001">
        <w:lastRenderedPageBreak/>
        <w:t xml:space="preserve">ANEXO </w:t>
      </w:r>
      <w:r w:rsidR="007508CB" w:rsidRPr="00E35001">
        <w:t>B</w:t>
      </w:r>
    </w:p>
    <w:p w:rsidR="007508CB" w:rsidRPr="00DC60F1" w:rsidRDefault="007508CB" w:rsidP="00D07BA9">
      <w:pPr>
        <w:pStyle w:val="Annextitle0"/>
      </w:pPr>
      <w:r w:rsidRPr="00DC60F1">
        <w:t xml:space="preserve">Proyecto de orden del día </w:t>
      </w:r>
      <w:r>
        <w:t>y plan de gestión del tiempo</w:t>
      </w:r>
    </w:p>
    <w:p w:rsidR="007508CB" w:rsidRPr="00DC60F1" w:rsidRDefault="007508CB" w:rsidP="007508CB">
      <w:pPr>
        <w:pStyle w:val="enumlev1"/>
        <w:rPr>
          <w:lang w:val="es-ES"/>
        </w:rPr>
      </w:pPr>
      <w:r w:rsidRPr="00DC60F1">
        <w:rPr>
          <w:lang w:val="es-ES"/>
        </w:rPr>
        <w:t>1)</w:t>
      </w:r>
      <w:r w:rsidRPr="00DC60F1">
        <w:rPr>
          <w:lang w:val="es-ES"/>
        </w:rPr>
        <w:tab/>
        <w:t>Apertura de la reunión</w:t>
      </w:r>
    </w:p>
    <w:p w:rsidR="007508CB" w:rsidRPr="00DC60F1" w:rsidRDefault="007508CB" w:rsidP="007508CB">
      <w:pPr>
        <w:pStyle w:val="enumlev1"/>
        <w:rPr>
          <w:lang w:val="es-ES"/>
        </w:rPr>
      </w:pPr>
      <w:r w:rsidRPr="00DC60F1">
        <w:rPr>
          <w:lang w:val="es-ES"/>
        </w:rPr>
        <w:t>2)</w:t>
      </w:r>
      <w:r w:rsidRPr="00DC60F1">
        <w:rPr>
          <w:lang w:val="es-ES"/>
        </w:rPr>
        <w:tab/>
        <w:t>Observaciones iniciales</w:t>
      </w:r>
    </w:p>
    <w:p w:rsidR="007508CB" w:rsidRPr="00DC60F1" w:rsidRDefault="007508CB" w:rsidP="007508CB">
      <w:pPr>
        <w:pStyle w:val="enumlev1"/>
        <w:rPr>
          <w:lang w:val="es-ES"/>
        </w:rPr>
      </w:pPr>
      <w:r w:rsidRPr="00DC60F1">
        <w:rPr>
          <w:lang w:val="es-ES"/>
        </w:rPr>
        <w:t>3)</w:t>
      </w:r>
      <w:r w:rsidRPr="00DC60F1">
        <w:rPr>
          <w:lang w:val="es-ES"/>
        </w:rPr>
        <w:tab/>
        <w:t>Aprobación del orden del día</w:t>
      </w:r>
    </w:p>
    <w:p w:rsidR="007508CB" w:rsidRPr="001547F7" w:rsidRDefault="007508CB" w:rsidP="007508CB">
      <w:pPr>
        <w:pStyle w:val="enumlev1"/>
      </w:pPr>
      <w:r w:rsidRPr="001547F7">
        <w:t>4)</w:t>
      </w:r>
      <w:r w:rsidRPr="001547F7">
        <w:tab/>
        <w:t>Comentarios e informes sobre las actividades intermedias (desde octubre de 2018)</w:t>
      </w:r>
    </w:p>
    <w:p w:rsidR="007508CB" w:rsidRPr="001547F7" w:rsidRDefault="007508CB" w:rsidP="001547F7">
      <w:pPr>
        <w:pStyle w:val="enumlev2"/>
      </w:pPr>
      <w:r w:rsidRPr="001547F7">
        <w:t>a)</w:t>
      </w:r>
      <w:r w:rsidRPr="001547F7">
        <w:tab/>
        <w:t>Aprobación de los informes de la tercera reunión de la CE 15 (octubre de 2018)</w:t>
      </w:r>
    </w:p>
    <w:p w:rsidR="007508CB" w:rsidRPr="001547F7" w:rsidRDefault="007508CB" w:rsidP="001547F7">
      <w:pPr>
        <w:pStyle w:val="enumlev2"/>
      </w:pPr>
      <w:r w:rsidRPr="001547F7">
        <w:t>b)</w:t>
      </w:r>
      <w:r w:rsidRPr="001547F7">
        <w:tab/>
        <w:t>Asuntos del GANT de interés para la CE 15</w:t>
      </w:r>
    </w:p>
    <w:p w:rsidR="007508CB" w:rsidRPr="001547F7" w:rsidRDefault="007508CB" w:rsidP="001547F7">
      <w:pPr>
        <w:pStyle w:val="enumlev2"/>
      </w:pPr>
      <w:r w:rsidRPr="001547F7">
        <w:t>c)</w:t>
      </w:r>
      <w:r w:rsidRPr="001547F7">
        <w:tab/>
        <w:t>Actividades intermedias de la CE 15 (cuestiones de interés para la Plenaria)</w:t>
      </w:r>
    </w:p>
    <w:p w:rsidR="007508CB" w:rsidRPr="001547F7" w:rsidRDefault="007508CB" w:rsidP="00F91E81">
      <w:pPr>
        <w:pStyle w:val="enumlev2"/>
      </w:pPr>
      <w:r w:rsidRPr="001547F7">
        <w:t>d)</w:t>
      </w:r>
      <w:r w:rsidRPr="001547F7">
        <w:tab/>
        <w:t>Relatores de coordinación de la CE</w:t>
      </w:r>
      <w:r w:rsidR="00F91E81">
        <w:t> </w:t>
      </w:r>
      <w:r w:rsidRPr="001547F7">
        <w:t>15</w:t>
      </w:r>
    </w:p>
    <w:p w:rsidR="007508CB" w:rsidRPr="001547F7" w:rsidRDefault="007508CB" w:rsidP="001547F7">
      <w:pPr>
        <w:pStyle w:val="enumlev2"/>
      </w:pPr>
      <w:r w:rsidRPr="001547F7">
        <w:t>e)</w:t>
      </w:r>
      <w:r w:rsidRPr="001547F7">
        <w:tab/>
        <w:t>Situación de las funciones de promoción y coordinación de la CE 15</w:t>
      </w:r>
    </w:p>
    <w:p w:rsidR="007508CB" w:rsidRPr="001547F7" w:rsidRDefault="007508CB" w:rsidP="001547F7">
      <w:pPr>
        <w:pStyle w:val="enumlev2"/>
      </w:pPr>
      <w:r w:rsidRPr="001547F7">
        <w:t>f)</w:t>
      </w:r>
      <w:r w:rsidRPr="001547F7">
        <w:tab/>
        <w:t>Situación de los proyectos de Recomendación consentidos</w:t>
      </w:r>
    </w:p>
    <w:p w:rsidR="007508CB" w:rsidRDefault="007508CB" w:rsidP="007508CB">
      <w:pPr>
        <w:pStyle w:val="enumlev1"/>
        <w:rPr>
          <w:lang w:val="es-ES"/>
        </w:rPr>
      </w:pPr>
      <w:r>
        <w:rPr>
          <w:lang w:val="es-ES"/>
        </w:rPr>
        <w:t>5</w:t>
      </w:r>
      <w:r w:rsidRPr="00DC60F1">
        <w:rPr>
          <w:lang w:val="es-ES"/>
        </w:rPr>
        <w:t>)</w:t>
      </w:r>
      <w:r w:rsidRPr="00DC60F1">
        <w:rPr>
          <w:lang w:val="es-ES"/>
        </w:rPr>
        <w:tab/>
        <w:t>Objetivos de esta reunión</w:t>
      </w:r>
    </w:p>
    <w:p w:rsidR="007508CB" w:rsidRPr="00DC60F1" w:rsidRDefault="007508CB" w:rsidP="007508CB">
      <w:pPr>
        <w:pStyle w:val="enumlev1"/>
        <w:rPr>
          <w:lang w:val="es-ES"/>
        </w:rPr>
      </w:pPr>
      <w:r>
        <w:rPr>
          <w:lang w:val="es-ES"/>
        </w:rPr>
        <w:t>6)</w:t>
      </w:r>
      <w:r>
        <w:rPr>
          <w:lang w:val="es-ES"/>
        </w:rPr>
        <w:tab/>
        <w:t>Comienzo de los preparativos de la AMNT-2020</w:t>
      </w:r>
    </w:p>
    <w:p w:rsidR="007508CB" w:rsidRPr="00DC60F1" w:rsidRDefault="007508CB" w:rsidP="007508CB">
      <w:pPr>
        <w:pStyle w:val="enumlev1"/>
        <w:rPr>
          <w:lang w:val="es-ES"/>
        </w:rPr>
      </w:pPr>
      <w:r>
        <w:rPr>
          <w:lang w:val="es-ES"/>
        </w:rPr>
        <w:t>7</w:t>
      </w:r>
      <w:r w:rsidRPr="00DC60F1">
        <w:rPr>
          <w:lang w:val="es-ES"/>
        </w:rPr>
        <w:t>)</w:t>
      </w:r>
      <w:r w:rsidRPr="00DC60F1">
        <w:rPr>
          <w:lang w:val="es-ES"/>
        </w:rPr>
        <w:tab/>
        <w:t xml:space="preserve">Plan de trabajo para esta reunión </w:t>
      </w:r>
    </w:p>
    <w:p w:rsidR="007508CB" w:rsidRPr="00DC60F1" w:rsidRDefault="007508CB" w:rsidP="007508CB">
      <w:pPr>
        <w:pStyle w:val="enumlev1"/>
        <w:rPr>
          <w:lang w:val="es-ES"/>
        </w:rPr>
      </w:pPr>
      <w:r>
        <w:rPr>
          <w:lang w:val="es-ES"/>
        </w:rPr>
        <w:t>8</w:t>
      </w:r>
      <w:r w:rsidRPr="00DC60F1">
        <w:rPr>
          <w:lang w:val="es-ES"/>
        </w:rPr>
        <w:t>)</w:t>
      </w:r>
      <w:r w:rsidRPr="00DC60F1">
        <w:rPr>
          <w:lang w:val="es-ES"/>
        </w:rPr>
        <w:tab/>
        <w:t>Dirección y medios a disposición de la reunión</w:t>
      </w:r>
    </w:p>
    <w:p w:rsidR="007508CB" w:rsidRPr="00DC60F1" w:rsidRDefault="007508CB" w:rsidP="007508CB">
      <w:pPr>
        <w:pStyle w:val="enumlev1"/>
        <w:rPr>
          <w:lang w:val="es-ES"/>
        </w:rPr>
      </w:pPr>
      <w:r>
        <w:rPr>
          <w:lang w:val="es-ES"/>
        </w:rPr>
        <w:t>9</w:t>
      </w:r>
      <w:r w:rsidRPr="00DC60F1">
        <w:rPr>
          <w:lang w:val="es-ES"/>
        </w:rPr>
        <w:t>)</w:t>
      </w:r>
      <w:r w:rsidRPr="00DC60F1">
        <w:rPr>
          <w:lang w:val="es-ES"/>
        </w:rPr>
        <w:tab/>
        <w:t>Documentos y su atribución</w:t>
      </w:r>
    </w:p>
    <w:p w:rsidR="007508CB" w:rsidRPr="00DC60F1" w:rsidRDefault="007508CB" w:rsidP="007508CB">
      <w:pPr>
        <w:pStyle w:val="enumlev1"/>
        <w:rPr>
          <w:lang w:val="es-ES"/>
        </w:rPr>
      </w:pPr>
      <w:r>
        <w:rPr>
          <w:lang w:val="es-ES"/>
        </w:rPr>
        <w:t>10</w:t>
      </w:r>
      <w:r w:rsidRPr="00DC60F1">
        <w:rPr>
          <w:lang w:val="es-ES"/>
        </w:rPr>
        <w:t>)</w:t>
      </w:r>
      <w:r w:rsidRPr="00DC60F1">
        <w:rPr>
          <w:lang w:val="es-ES"/>
        </w:rPr>
        <w:tab/>
        <w:t>Asuntos varios</w:t>
      </w:r>
    </w:p>
    <w:p w:rsidR="007508CB" w:rsidRPr="00DC60F1" w:rsidRDefault="007508CB" w:rsidP="007508CB">
      <w:pPr>
        <w:pStyle w:val="enumlev1"/>
        <w:rPr>
          <w:lang w:val="es-ES"/>
        </w:rPr>
      </w:pPr>
      <w:r w:rsidRPr="00DC60F1">
        <w:rPr>
          <w:lang w:val="es-ES"/>
        </w:rPr>
        <w:t>1</w:t>
      </w:r>
      <w:r>
        <w:rPr>
          <w:lang w:val="es-ES"/>
        </w:rPr>
        <w:t>1</w:t>
      </w:r>
      <w:r w:rsidRPr="00DC60F1">
        <w:rPr>
          <w:lang w:val="es-ES"/>
        </w:rPr>
        <w:t>)</w:t>
      </w:r>
      <w:r w:rsidRPr="00DC60F1">
        <w:rPr>
          <w:lang w:val="es-ES"/>
        </w:rPr>
        <w:tab/>
        <w:t>Informes de los Grupos de Trabajo</w:t>
      </w:r>
    </w:p>
    <w:p w:rsidR="007508CB" w:rsidRPr="001547F7" w:rsidRDefault="007508CB" w:rsidP="001547F7">
      <w:pPr>
        <w:pStyle w:val="enumlev2"/>
      </w:pPr>
      <w:r w:rsidRPr="001547F7">
        <w:t>a)</w:t>
      </w:r>
      <w:r w:rsidRPr="001547F7">
        <w:tab/>
        <w:t>Cuestiones que han de resolverse a nivel de la Comisión de Estudio</w:t>
      </w:r>
    </w:p>
    <w:p w:rsidR="007508CB" w:rsidRPr="001547F7" w:rsidRDefault="007508CB" w:rsidP="001547F7">
      <w:pPr>
        <w:pStyle w:val="enumlev2"/>
      </w:pPr>
      <w:r w:rsidRPr="001547F7">
        <w:t>b)</w:t>
      </w:r>
      <w:r w:rsidRPr="001547F7">
        <w:tab/>
        <w:t>Consulta acerca de los derechos de propiedad intelectual</w:t>
      </w:r>
    </w:p>
    <w:p w:rsidR="007508CB" w:rsidRPr="001547F7" w:rsidRDefault="007508CB" w:rsidP="001547F7">
      <w:pPr>
        <w:pStyle w:val="enumlev2"/>
      </w:pPr>
      <w:r w:rsidRPr="001547F7">
        <w:t>c)</w:t>
      </w:r>
      <w:r w:rsidRPr="001547F7">
        <w:tab/>
        <w:t>Determinación de proyectos de Recomendación nueva y revisada con arreglo a la Resolución 1 (TAP)</w:t>
      </w:r>
    </w:p>
    <w:p w:rsidR="007508CB" w:rsidRPr="001547F7" w:rsidRDefault="007508CB" w:rsidP="001547F7">
      <w:pPr>
        <w:pStyle w:val="enumlev2"/>
      </w:pPr>
      <w:r w:rsidRPr="001547F7">
        <w:t>d)</w:t>
      </w:r>
      <w:r w:rsidRPr="001547F7">
        <w:tab/>
        <w:t>Consentimiento de las propuestas de aprobación de Recomendaciones en aplicación de la Recomendación UIT-T A.8</w:t>
      </w:r>
    </w:p>
    <w:p w:rsidR="007508CB" w:rsidRPr="001547F7" w:rsidRDefault="007508CB" w:rsidP="001547F7">
      <w:pPr>
        <w:pStyle w:val="enumlev2"/>
      </w:pPr>
      <w:r w:rsidRPr="001547F7">
        <w:t>e)</w:t>
      </w:r>
      <w:r w:rsidRPr="001547F7">
        <w:tab/>
        <w:t>Acuerdo de otros textos</w:t>
      </w:r>
    </w:p>
    <w:p w:rsidR="007508CB" w:rsidRPr="001547F7" w:rsidRDefault="007508CB" w:rsidP="001547F7">
      <w:pPr>
        <w:pStyle w:val="enumlev2"/>
      </w:pPr>
      <w:r w:rsidRPr="001547F7">
        <w:t>f)</w:t>
      </w:r>
      <w:r w:rsidRPr="001547F7">
        <w:tab/>
        <w:t>Programa de trabajo</w:t>
      </w:r>
    </w:p>
    <w:p w:rsidR="007508CB" w:rsidRPr="001547F7" w:rsidRDefault="007508CB" w:rsidP="001547F7">
      <w:pPr>
        <w:pStyle w:val="enumlev2"/>
      </w:pPr>
      <w:r w:rsidRPr="001547F7">
        <w:t>g)</w:t>
      </w:r>
      <w:r w:rsidRPr="001547F7">
        <w:tab/>
        <w:t>Coordinación e interacción con otros grupos</w:t>
      </w:r>
    </w:p>
    <w:p w:rsidR="007508CB" w:rsidRPr="001547F7" w:rsidRDefault="007508CB" w:rsidP="001547F7">
      <w:pPr>
        <w:pStyle w:val="enumlev2"/>
      </w:pPr>
      <w:r w:rsidRPr="001547F7">
        <w:t>h)</w:t>
      </w:r>
      <w:r w:rsidRPr="001547F7">
        <w:tab/>
        <w:t>Actividades intermedias de los Relatores/Grupos de Trabajo</w:t>
      </w:r>
    </w:p>
    <w:p w:rsidR="007508CB" w:rsidRPr="001547F7" w:rsidRDefault="007508CB" w:rsidP="001547F7">
      <w:pPr>
        <w:pStyle w:val="enumlev2"/>
      </w:pPr>
      <w:r w:rsidRPr="001547F7">
        <w:t>i)</w:t>
      </w:r>
      <w:r w:rsidRPr="001547F7">
        <w:tab/>
        <w:t>Textos para supresión, de haberlos</w:t>
      </w:r>
    </w:p>
    <w:p w:rsidR="007508CB" w:rsidRPr="001547F7" w:rsidRDefault="007508CB" w:rsidP="007508CB">
      <w:pPr>
        <w:pStyle w:val="enumlev1"/>
      </w:pPr>
      <w:r w:rsidRPr="001547F7">
        <w:t>12)</w:t>
      </w:r>
      <w:r w:rsidRPr="001547F7">
        <w:tab/>
        <w:t>Estructura y equipo directivo de la CE 15</w:t>
      </w:r>
    </w:p>
    <w:p w:rsidR="007508CB" w:rsidRPr="001547F7" w:rsidRDefault="007508CB" w:rsidP="007508CB">
      <w:pPr>
        <w:pStyle w:val="enumlev1"/>
      </w:pPr>
      <w:r w:rsidRPr="001547F7">
        <w:t>13)</w:t>
      </w:r>
      <w:r w:rsidRPr="001547F7">
        <w:tab/>
        <w:t>Guía de los trabajos de la CE 15</w:t>
      </w:r>
    </w:p>
    <w:p w:rsidR="007508CB" w:rsidRPr="001547F7" w:rsidRDefault="007508CB" w:rsidP="001547F7">
      <w:pPr>
        <w:pStyle w:val="enumlev1"/>
      </w:pPr>
      <w:r w:rsidRPr="001547F7">
        <w:t>14)</w:t>
      </w:r>
      <w:r w:rsidRPr="001547F7">
        <w:tab/>
        <w:t>Informes sobre la Coordinación, el Grupo de Coordinación y Promoción y otras funciones de la CE 15</w:t>
      </w:r>
    </w:p>
    <w:p w:rsidR="007508CB" w:rsidRPr="001547F7" w:rsidRDefault="007508CB" w:rsidP="007508CB">
      <w:pPr>
        <w:pStyle w:val="enumlev1"/>
      </w:pPr>
      <w:r w:rsidRPr="001547F7">
        <w:t>15)</w:t>
      </w:r>
      <w:r w:rsidRPr="001547F7">
        <w:tab/>
        <w:t>Actividades futuras</w:t>
      </w:r>
    </w:p>
    <w:p w:rsidR="007508CB" w:rsidRPr="001547F7" w:rsidRDefault="007508CB" w:rsidP="001547F7">
      <w:pPr>
        <w:pStyle w:val="enumlev2"/>
      </w:pPr>
      <w:r w:rsidRPr="001547F7">
        <w:t>a)</w:t>
      </w:r>
      <w:r w:rsidRPr="001547F7">
        <w:tab/>
        <w:t>Quinta Plenaria de la CE 15, del 27 de enero al 7 de febrero de 2020 (provisional). Consideración de la posibilidad de celebrar IEEE 802.1/802.3 la semana del 20 de enero con un taller el 25 de enero.</w:t>
      </w:r>
    </w:p>
    <w:p w:rsidR="007508CB" w:rsidRPr="001547F7" w:rsidRDefault="007508CB" w:rsidP="001547F7">
      <w:pPr>
        <w:pStyle w:val="enumlev2"/>
      </w:pPr>
      <w:r w:rsidRPr="001547F7">
        <w:t>b)</w:t>
      </w:r>
      <w:r w:rsidRPr="001547F7">
        <w:tab/>
        <w:t>Sexta Plenaria de la CE 15, del 7 al 18 de septiembre de 2020 (provisional)</w:t>
      </w:r>
    </w:p>
    <w:p w:rsidR="001547F7" w:rsidRDefault="001547F7" w:rsidP="001547F7">
      <w:pPr>
        <w:rPr>
          <w:lang w:val="es-ES"/>
        </w:rPr>
      </w:pPr>
      <w:r>
        <w:rPr>
          <w:lang w:val="es-ES"/>
        </w:rPr>
        <w:br w:type="page"/>
      </w:r>
    </w:p>
    <w:p w:rsidR="007508CB" w:rsidRDefault="007508CB" w:rsidP="007508CB">
      <w:pPr>
        <w:pStyle w:val="enumlev1"/>
        <w:rPr>
          <w:lang w:val="es-ES"/>
        </w:rPr>
      </w:pPr>
      <w:r w:rsidRPr="00DC60F1">
        <w:rPr>
          <w:lang w:val="es-ES"/>
        </w:rPr>
        <w:lastRenderedPageBreak/>
        <w:t>1</w:t>
      </w:r>
      <w:r>
        <w:rPr>
          <w:lang w:val="es-ES"/>
        </w:rPr>
        <w:t>6</w:t>
      </w:r>
      <w:r w:rsidRPr="00DC60F1">
        <w:rPr>
          <w:lang w:val="es-ES"/>
        </w:rPr>
        <w:t>)</w:t>
      </w:r>
      <w:r w:rsidRPr="00DC60F1">
        <w:rPr>
          <w:lang w:val="es-ES"/>
        </w:rPr>
        <w:tab/>
        <w:t>Otros asuntos</w:t>
      </w:r>
    </w:p>
    <w:p w:rsidR="007508CB" w:rsidRPr="00DC60F1" w:rsidRDefault="007508CB" w:rsidP="007508CB">
      <w:pPr>
        <w:pStyle w:val="enumlev1"/>
        <w:rPr>
          <w:lang w:val="es-ES"/>
        </w:rPr>
      </w:pPr>
      <w:r>
        <w:rPr>
          <w:lang w:val="es-ES"/>
        </w:rPr>
        <w:t>17)</w:t>
      </w:r>
      <w:r>
        <w:rPr>
          <w:lang w:val="es-ES"/>
        </w:rPr>
        <w:tab/>
        <w:t>Examen del proyecto de informe de la 4ª reunión de la CE 15 del UIT-T</w:t>
      </w:r>
    </w:p>
    <w:p w:rsidR="007508CB" w:rsidRPr="00EF10EF" w:rsidRDefault="007508CB" w:rsidP="007508CB">
      <w:pPr>
        <w:pStyle w:val="enumlev1"/>
        <w:rPr>
          <w:lang w:val="es-ES"/>
        </w:rPr>
      </w:pPr>
      <w:r w:rsidRPr="00DC60F1">
        <w:rPr>
          <w:lang w:val="es-ES"/>
        </w:rPr>
        <w:t>1</w:t>
      </w:r>
      <w:r>
        <w:rPr>
          <w:lang w:val="es-ES"/>
        </w:rPr>
        <w:t>8</w:t>
      </w:r>
      <w:r w:rsidRPr="00DC60F1">
        <w:rPr>
          <w:lang w:val="es-ES"/>
        </w:rPr>
        <w:t>)</w:t>
      </w:r>
      <w:r w:rsidRPr="00DC60F1">
        <w:rPr>
          <w:lang w:val="es-ES"/>
        </w:rPr>
        <w:tab/>
        <w:t>Clausura</w:t>
      </w:r>
    </w:p>
    <w:p w:rsidR="007508CB" w:rsidRDefault="007508CB" w:rsidP="001547F7">
      <w:pPr>
        <w:pStyle w:val="Note"/>
      </w:pPr>
      <w:r w:rsidRPr="00E35001">
        <w:t>NOTA – Las actualizaciones del orden del día figuran en el Documento</w:t>
      </w:r>
      <w:r>
        <w:t xml:space="preserve"> TD350/PLEN.</w:t>
      </w:r>
    </w:p>
    <w:p w:rsidR="001547F7" w:rsidRDefault="001547F7" w:rsidP="001547F7"/>
    <w:p w:rsidR="007508CB" w:rsidRDefault="007508CB" w:rsidP="007508CB">
      <w:pPr>
        <w:pStyle w:val="Reasons"/>
        <w:rPr>
          <w:lang w:val="es-ES_tradnl"/>
        </w:rPr>
        <w:sectPr w:rsidR="007508CB" w:rsidSect="002545AA">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134" w:header="567" w:footer="567" w:gutter="0"/>
          <w:paperSrc w:first="261" w:other="261"/>
          <w:cols w:space="720"/>
          <w:titlePg/>
          <w:docGrid w:linePitch="326"/>
        </w:sectPr>
      </w:pPr>
    </w:p>
    <w:p w:rsidR="00EC335B" w:rsidRDefault="00EC335B" w:rsidP="00EC335B">
      <w:pPr>
        <w:pStyle w:val="Annextitle0"/>
        <w:rPr>
          <w:lang w:val="es-ES"/>
        </w:rPr>
      </w:pPr>
      <w:bookmarkStart w:id="3" w:name="lt_pId124"/>
      <w:r w:rsidRPr="001547F7">
        <w:rPr>
          <w:lang w:val="es-ES"/>
        </w:rPr>
        <w:lastRenderedPageBreak/>
        <w:t xml:space="preserve">Proyecto de plan de </w:t>
      </w:r>
      <w:r>
        <w:rPr>
          <w:lang w:val="es-ES"/>
        </w:rPr>
        <w:t>trabajo</w:t>
      </w:r>
    </w:p>
    <w:p w:rsidR="007508CB" w:rsidRPr="00EC335B" w:rsidRDefault="007508CB" w:rsidP="00EC335B">
      <w:pPr>
        <w:pStyle w:val="Annextitle0"/>
        <w:rPr>
          <w:lang w:val="es-ES"/>
        </w:rPr>
      </w:pPr>
      <w:r w:rsidRPr="00EC335B">
        <w:rPr>
          <w:lang w:val="es-ES"/>
        </w:rPr>
        <w:t>Proyecto de plan de</w:t>
      </w:r>
      <w:r w:rsidR="00EC335B" w:rsidRPr="00EC335B">
        <w:rPr>
          <w:lang w:val="es-ES"/>
        </w:rPr>
        <w:t xml:space="preserve"> trabajo</w:t>
      </w:r>
      <w:r w:rsidRPr="00EC335B">
        <w:rPr>
          <w:lang w:val="es-ES"/>
        </w:rPr>
        <w:t xml:space="preserve"> de la Comisión de Estudio 15; </w:t>
      </w:r>
      <w:r w:rsidRPr="00EC335B">
        <w:rPr>
          <w:lang w:val="es-ES"/>
        </w:rPr>
        <w:br/>
        <w:t>Ginebra, 1-12 de julio de 2019 (primera semana)</w:t>
      </w:r>
      <w:bookmarkEnd w:id="3"/>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tcPr>
          <w:p w:rsidR="007508CB" w:rsidRPr="00DC60F1" w:rsidRDefault="007508CB" w:rsidP="008E338D">
            <w:pPr>
              <w:spacing w:before="20" w:after="20"/>
              <w:jc w:val="center"/>
              <w:rPr>
                <w:rFonts w:ascii="Calibri" w:eastAsia="SimSun" w:hAnsi="Calibri"/>
                <w:sz w:val="16"/>
                <w:szCs w:val="16"/>
                <w:lang w:val="es-ES"/>
              </w:rPr>
            </w:pPr>
          </w:p>
        </w:tc>
        <w:tc>
          <w:tcPr>
            <w:tcW w:w="1983"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Lunes </w:t>
            </w:r>
            <w:r>
              <w:rPr>
                <w:rFonts w:ascii="Calibri" w:eastAsia="SimSun" w:hAnsi="Calibri"/>
                <w:b/>
                <w:sz w:val="16"/>
                <w:szCs w:val="16"/>
                <w:lang w:val="es-ES"/>
              </w:rPr>
              <w:t>1</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c>
          <w:tcPr>
            <w:tcW w:w="2093" w:type="dxa"/>
            <w:gridSpan w:val="7"/>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Martes </w:t>
            </w:r>
            <w:r>
              <w:rPr>
                <w:rFonts w:ascii="Calibri" w:eastAsia="SimSun" w:hAnsi="Calibri"/>
                <w:b/>
                <w:sz w:val="16"/>
                <w:szCs w:val="16"/>
                <w:lang w:val="es-ES"/>
              </w:rPr>
              <w:t>2</w:t>
            </w:r>
            <w:r w:rsidRPr="00DC60F1">
              <w:rPr>
                <w:rFonts w:ascii="Calibri" w:eastAsia="SimSun" w:hAnsi="Calibri"/>
                <w:b/>
                <w:sz w:val="16"/>
                <w:szCs w:val="16"/>
                <w:lang w:val="es-ES"/>
              </w:rPr>
              <w:t xml:space="preserve"> de </w:t>
            </w:r>
            <w:r>
              <w:rPr>
                <w:rFonts w:ascii="Calibri" w:eastAsia="SimSun" w:hAnsi="Calibri"/>
                <w:b/>
                <w:sz w:val="16"/>
                <w:szCs w:val="16"/>
                <w:lang w:val="es-ES"/>
              </w:rPr>
              <w:t xml:space="preserve">julio </w:t>
            </w:r>
          </w:p>
        </w:tc>
        <w:tc>
          <w:tcPr>
            <w:tcW w:w="2104"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Miércoles </w:t>
            </w:r>
            <w:r>
              <w:rPr>
                <w:rFonts w:ascii="Calibri" w:eastAsia="SimSun" w:hAnsi="Calibri"/>
                <w:b/>
                <w:sz w:val="16"/>
                <w:szCs w:val="16"/>
                <w:lang w:val="es-ES"/>
              </w:rPr>
              <w:t>3</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c>
          <w:tcPr>
            <w:tcW w:w="2111" w:type="dxa"/>
            <w:gridSpan w:val="7"/>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Jueves </w:t>
            </w:r>
            <w:r>
              <w:rPr>
                <w:rFonts w:ascii="Calibri" w:eastAsia="SimSun" w:hAnsi="Calibri"/>
                <w:b/>
                <w:sz w:val="16"/>
                <w:szCs w:val="16"/>
                <w:lang w:val="es-ES"/>
              </w:rPr>
              <w:t>4</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c>
          <w:tcPr>
            <w:tcW w:w="2126"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Viernes </w:t>
            </w:r>
            <w:r>
              <w:rPr>
                <w:rFonts w:ascii="Calibri" w:eastAsia="SimSun" w:hAnsi="Calibri"/>
                <w:b/>
                <w:sz w:val="16"/>
                <w:szCs w:val="16"/>
                <w:lang w:val="es-ES"/>
              </w:rPr>
              <w:t>5</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C/15</w:t>
            </w:r>
          </w:p>
        </w:tc>
        <w:tc>
          <w:tcPr>
            <w:tcW w:w="298"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298"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49"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2"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5"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6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5</w:t>
            </w: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 xml:space="preserve">CE 15 </w:t>
            </w:r>
            <w:r w:rsidRPr="00EF10EF">
              <w:rPr>
                <w:rFonts w:ascii="Calibri" w:eastAsia="SimSun" w:hAnsi="Calibri"/>
                <w:b/>
                <w:sz w:val="16"/>
                <w:szCs w:val="16"/>
              </w:rPr>
              <w:t>Plen</w:t>
            </w:r>
          </w:p>
        </w:tc>
        <w:tc>
          <w:tcPr>
            <w:tcW w:w="298"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508CB" w:rsidRPr="00DC60F1" w:rsidRDefault="007508CB" w:rsidP="008E338D">
            <w:pPr>
              <w:spacing w:before="20" w:after="20"/>
              <w:jc w:val="center"/>
              <w:rPr>
                <w:rFonts w:ascii="Calibri" w:eastAsia="SimSun" w:hAnsi="Calibri"/>
                <w:sz w:val="16"/>
                <w:szCs w:val="16"/>
                <w:lang w:val="es-ES"/>
              </w:rPr>
            </w:pPr>
            <w:r>
              <w:rPr>
                <w:rFonts w:ascii="Calibri" w:eastAsia="SimSun" w:hAnsi="Calibri"/>
                <w:sz w:val="16"/>
                <w:szCs w:val="16"/>
                <w:lang w:val="es-ES"/>
              </w:rPr>
              <w:t>F</w:t>
            </w: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GT 1 Plen</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6"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C2/15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C4/15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01C03"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C15/15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C18/15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GT 2 Plen</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6"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C5/15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bCs/>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A</w:t>
            </w: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C6/15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7508CB" w:rsidRPr="00DC60F1" w:rsidRDefault="007508CB" w:rsidP="008E338D">
            <w:pPr>
              <w:spacing w:before="60"/>
              <w:jc w:val="center"/>
              <w:rPr>
                <w:rFonts w:ascii="Calibri" w:eastAsia="SimSun" w:hAnsi="Calibri"/>
                <w:bCs/>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A</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C</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C7/15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7508CB" w:rsidRPr="00DC60F1" w:rsidRDefault="007508CB" w:rsidP="008E338D">
            <w:pPr>
              <w:spacing w:before="60"/>
              <w:jc w:val="center"/>
              <w:rPr>
                <w:rFonts w:ascii="Calibri" w:eastAsia="SimSun" w:hAnsi="Calibri"/>
                <w:bCs/>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C</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C8/15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7508CB" w:rsidRPr="00DC60F1" w:rsidRDefault="007508CB" w:rsidP="008E338D">
            <w:pPr>
              <w:spacing w:before="60"/>
              <w:jc w:val="center"/>
              <w:rPr>
                <w:rFonts w:ascii="Calibri" w:eastAsia="SimSun" w:hAnsi="Calibri"/>
                <w:bCs/>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C16/15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7508CB" w:rsidRPr="00DC60F1" w:rsidRDefault="007508CB" w:rsidP="008E338D">
            <w:pPr>
              <w:spacing w:before="60"/>
              <w:jc w:val="center"/>
              <w:rPr>
                <w:rFonts w:ascii="Calibri" w:eastAsia="SimSun" w:hAnsi="Calibri"/>
                <w:bCs/>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w:t>
            </w: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C17/15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7508CB" w:rsidRPr="00DC60F1" w:rsidRDefault="007508CB" w:rsidP="008E338D">
            <w:pPr>
              <w:spacing w:before="60"/>
              <w:jc w:val="center"/>
              <w:rPr>
                <w:rFonts w:ascii="Calibri" w:eastAsia="SimSun" w:hAnsi="Calibri"/>
                <w:bCs/>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GT 3 Plen</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6"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C10/15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C11/15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C12/15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D</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D</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H</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H</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I</w:t>
            </w:r>
          </w:p>
        </w:tc>
        <w:tc>
          <w:tcPr>
            <w:tcW w:w="3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I</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vertAlign w:val="superscript"/>
                <w:lang w:val="es-ES"/>
              </w:rPr>
            </w:pPr>
            <w:r w:rsidRPr="00DC60F1">
              <w:rPr>
                <w:rFonts w:ascii="Calibri" w:eastAsia="SimSun" w:hAnsi="Calibri"/>
                <w:b/>
                <w:bCs/>
                <w:sz w:val="16"/>
                <w:szCs w:val="16"/>
                <w:lang w:val="es-ES"/>
              </w:rPr>
              <w:t>C13/15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C</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C14/15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20" w:after="20"/>
              <w:jc w:val="center"/>
              <w:rPr>
                <w:rFonts w:ascii="Calibri" w:eastAsia="SimSun"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D</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D</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H</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H</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I</w:t>
            </w:r>
          </w:p>
        </w:tc>
        <w:tc>
          <w:tcPr>
            <w:tcW w:w="3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I</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3"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r>
      <w:tr w:rsidR="007508CB" w:rsidRPr="00DC60F1" w:rsidTr="008E338D">
        <w:trPr>
          <w:trHeight w:val="270"/>
          <w:jc w:val="center"/>
        </w:trPr>
        <w:tc>
          <w:tcPr>
            <w:tcW w:w="11277" w:type="dxa"/>
            <w:gridSpan w:val="33"/>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rPr>
                <w:rFonts w:ascii="Calibri" w:eastAsia="SimSun" w:hAnsi="Calibri"/>
                <w:sz w:val="16"/>
                <w:szCs w:val="16"/>
                <w:lang w:val="es-ES"/>
              </w:rPr>
            </w:pPr>
            <w:r w:rsidRPr="00DC60F1">
              <w:rPr>
                <w:rFonts w:ascii="Calibri" w:hAnsi="Calibri"/>
                <w:sz w:val="16"/>
                <w:szCs w:val="16"/>
                <w:lang w:val="es-ES"/>
              </w:rPr>
              <w:t xml:space="preserve">Horarios de sesión: 0 </w:t>
            </w:r>
            <w:r w:rsidR="00701C03" w:rsidRPr="00701C03">
              <w:rPr>
                <w:rFonts w:ascii="Calibri" w:hAnsi="Calibri"/>
                <w:sz w:val="16"/>
                <w:szCs w:val="16"/>
                <w:lang w:val="es-ES"/>
              </w:rPr>
              <w:t>–</w:t>
            </w:r>
            <w:r w:rsidRPr="00DC60F1">
              <w:rPr>
                <w:rFonts w:ascii="Calibri" w:hAnsi="Calibri"/>
                <w:sz w:val="16"/>
                <w:szCs w:val="16"/>
                <w:lang w:val="es-ES"/>
              </w:rPr>
              <w:t xml:space="preserve"> 08.30-09.30; 1 </w:t>
            </w:r>
            <w:r w:rsidR="00701C03" w:rsidRPr="00701C03">
              <w:rPr>
                <w:rFonts w:ascii="Calibri" w:hAnsi="Calibri"/>
                <w:sz w:val="16"/>
                <w:szCs w:val="16"/>
                <w:lang w:val="es-ES"/>
              </w:rPr>
              <w:t>–</w:t>
            </w:r>
            <w:r w:rsidRPr="00DC60F1">
              <w:rPr>
                <w:rFonts w:ascii="Calibri" w:hAnsi="Calibri"/>
                <w:sz w:val="16"/>
                <w:szCs w:val="16"/>
                <w:lang w:val="es-ES"/>
              </w:rPr>
              <w:t xml:space="preserve"> 09.30-10.45; 2 </w:t>
            </w:r>
            <w:r w:rsidR="00701C03" w:rsidRPr="00701C03">
              <w:rPr>
                <w:rFonts w:ascii="Calibri" w:hAnsi="Calibri"/>
                <w:sz w:val="16"/>
                <w:szCs w:val="16"/>
                <w:lang w:val="es-ES"/>
              </w:rPr>
              <w:t>–</w:t>
            </w:r>
            <w:r w:rsidRPr="00DC60F1">
              <w:rPr>
                <w:rFonts w:ascii="Calibri" w:hAnsi="Calibri"/>
                <w:sz w:val="16"/>
                <w:szCs w:val="16"/>
                <w:lang w:val="es-ES"/>
              </w:rPr>
              <w:t xml:space="preserve"> 11.15-12.30; 3 </w:t>
            </w:r>
            <w:r w:rsidR="00701C03" w:rsidRPr="00701C03">
              <w:rPr>
                <w:rFonts w:ascii="Calibri" w:hAnsi="Calibri"/>
                <w:sz w:val="16"/>
                <w:szCs w:val="16"/>
                <w:lang w:val="es-ES"/>
              </w:rPr>
              <w:t>–</w:t>
            </w:r>
            <w:r w:rsidRPr="00DC60F1">
              <w:rPr>
                <w:rFonts w:ascii="Calibri" w:hAnsi="Calibri"/>
                <w:sz w:val="16"/>
                <w:szCs w:val="16"/>
                <w:lang w:val="es-ES"/>
              </w:rPr>
              <w:t xml:space="preserve"> 14.30-15.45; 4 </w:t>
            </w:r>
            <w:r w:rsidR="00701C03" w:rsidRPr="00701C03">
              <w:rPr>
                <w:rFonts w:ascii="Calibri" w:hAnsi="Calibri"/>
                <w:sz w:val="16"/>
                <w:szCs w:val="16"/>
                <w:lang w:val="es-ES"/>
              </w:rPr>
              <w:t>–</w:t>
            </w:r>
            <w:r w:rsidRPr="00DC60F1">
              <w:rPr>
                <w:rFonts w:ascii="Calibri" w:hAnsi="Calibri"/>
                <w:sz w:val="16"/>
                <w:szCs w:val="16"/>
                <w:lang w:val="es-ES"/>
              </w:rPr>
              <w:t xml:space="preserve"> 16.15-17.30; 5 </w:t>
            </w:r>
            <w:r w:rsidR="00701C03" w:rsidRPr="00701C03">
              <w:rPr>
                <w:rFonts w:ascii="Calibri" w:hAnsi="Calibri"/>
                <w:sz w:val="16"/>
                <w:szCs w:val="16"/>
                <w:lang w:val="es-ES"/>
              </w:rPr>
              <w:t>–</w:t>
            </w:r>
            <w:r w:rsidRPr="00DC60F1">
              <w:rPr>
                <w:rFonts w:ascii="Calibri" w:hAnsi="Calibri"/>
                <w:sz w:val="16"/>
                <w:szCs w:val="16"/>
                <w:lang w:val="es-ES"/>
              </w:rPr>
              <w:t xml:space="preserve"> 18.00→</w:t>
            </w:r>
          </w:p>
        </w:tc>
      </w:tr>
      <w:tr w:rsidR="007508CB" w:rsidRPr="00DC60F1" w:rsidTr="008E338D">
        <w:trPr>
          <w:trHeight w:val="249"/>
          <w:jc w:val="center"/>
        </w:trPr>
        <w:tc>
          <w:tcPr>
            <w:tcW w:w="3823" w:type="dxa"/>
            <w:gridSpan w:val="10"/>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rPr>
                <w:rFonts w:ascii="Calibri" w:eastAsia="SimSun" w:hAnsi="Calibri"/>
                <w:sz w:val="16"/>
                <w:szCs w:val="16"/>
                <w:lang w:val="es-ES"/>
              </w:rPr>
            </w:pPr>
            <w:r w:rsidRPr="00DC60F1">
              <w:rPr>
                <w:rFonts w:ascii="Calibri" w:eastAsia="SimSun" w:hAnsi="Calibri"/>
                <w:sz w:val="16"/>
                <w:szCs w:val="16"/>
                <w:lang w:val="es-ES"/>
              </w:rPr>
              <w:t>§ Evento de creación de redes (por confirmar).</w:t>
            </w:r>
          </w:p>
        </w:tc>
        <w:tc>
          <w:tcPr>
            <w:tcW w:w="3543" w:type="dxa"/>
            <w:gridSpan w:val="11"/>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rPr>
                <w:rFonts w:ascii="Calibri" w:eastAsia="SimSun" w:hAnsi="Calibri"/>
                <w:sz w:val="16"/>
                <w:szCs w:val="16"/>
                <w:lang w:val="es-ES"/>
              </w:rPr>
            </w:pPr>
            <w:r w:rsidRPr="00DC60F1">
              <w:rPr>
                <w:rFonts w:ascii="Calibri" w:eastAsia="SimSun" w:hAnsi="Calibri"/>
                <w:sz w:val="16"/>
                <w:szCs w:val="16"/>
                <w:lang w:val="es-ES"/>
              </w:rPr>
              <w:t>? Sesión(es) nocturna</w:t>
            </w:r>
            <w:r>
              <w:rPr>
                <w:rFonts w:ascii="Calibri" w:eastAsia="SimSun" w:hAnsi="Calibri"/>
                <w:sz w:val="16"/>
                <w:szCs w:val="16"/>
                <w:lang w:val="es-ES"/>
              </w:rPr>
              <w:t>(</w:t>
            </w:r>
            <w:r w:rsidRPr="00DC60F1">
              <w:rPr>
                <w:rFonts w:ascii="Calibri" w:eastAsia="SimSun" w:hAnsi="Calibri"/>
                <w:sz w:val="16"/>
                <w:szCs w:val="16"/>
                <w:lang w:val="es-ES"/>
              </w:rPr>
              <w:t>s</w:t>
            </w:r>
            <w:r>
              <w:rPr>
                <w:rFonts w:ascii="Calibri" w:eastAsia="SimSun" w:hAnsi="Calibri"/>
                <w:sz w:val="16"/>
                <w:szCs w:val="16"/>
                <w:lang w:val="es-ES"/>
              </w:rPr>
              <w:t>)</w:t>
            </w:r>
            <w:r w:rsidRPr="00DC60F1">
              <w:rPr>
                <w:rFonts w:ascii="Calibri" w:eastAsia="SimSun" w:hAnsi="Calibri"/>
                <w:sz w:val="16"/>
                <w:szCs w:val="16"/>
                <w:lang w:val="es-ES"/>
              </w:rPr>
              <w:t xml:space="preserve"> (si fuera necesario).</w:t>
            </w:r>
          </w:p>
        </w:tc>
        <w:tc>
          <w:tcPr>
            <w:tcW w:w="3911" w:type="dxa"/>
            <w:gridSpan w:val="12"/>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rPr>
                <w:rFonts w:ascii="Calibri" w:eastAsia="SimSun" w:hAnsi="Calibri"/>
                <w:sz w:val="16"/>
                <w:szCs w:val="16"/>
                <w:lang w:val="es-ES"/>
              </w:rPr>
            </w:pPr>
            <w:r w:rsidRPr="00DC60F1">
              <w:rPr>
                <w:rFonts w:ascii="Calibri" w:eastAsia="SimSun" w:hAnsi="Calibri"/>
                <w:sz w:val="16"/>
                <w:szCs w:val="16"/>
                <w:lang w:val="es-ES"/>
              </w:rPr>
              <w:t># Desayuno</w:t>
            </w:r>
            <w:r>
              <w:rPr>
                <w:rFonts w:ascii="Calibri" w:eastAsia="SimSun" w:hAnsi="Calibri"/>
                <w:sz w:val="16"/>
                <w:szCs w:val="16"/>
                <w:lang w:val="es-ES"/>
              </w:rPr>
              <w:t>(</w:t>
            </w:r>
            <w:r w:rsidRPr="00DC60F1">
              <w:rPr>
                <w:rFonts w:ascii="Calibri" w:eastAsia="SimSun" w:hAnsi="Calibri"/>
                <w:sz w:val="16"/>
                <w:szCs w:val="16"/>
                <w:lang w:val="es-ES"/>
              </w:rPr>
              <w:t>s</w:t>
            </w:r>
            <w:r>
              <w:rPr>
                <w:rFonts w:ascii="Calibri" w:eastAsia="SimSun" w:hAnsi="Calibri"/>
                <w:sz w:val="16"/>
                <w:szCs w:val="16"/>
                <w:lang w:val="es-ES"/>
              </w:rPr>
              <w:t>)</w:t>
            </w:r>
            <w:r w:rsidRPr="00DC60F1">
              <w:rPr>
                <w:rFonts w:ascii="Calibri" w:eastAsia="SimSun" w:hAnsi="Calibri"/>
                <w:sz w:val="16"/>
                <w:szCs w:val="16"/>
                <w:lang w:val="es-ES"/>
              </w:rPr>
              <w:t xml:space="preserve"> de tutoriales (si fuera necesario).</w:t>
            </w:r>
          </w:p>
        </w:tc>
      </w:tr>
    </w:tbl>
    <w:p w:rsidR="007508CB" w:rsidRPr="001547F7" w:rsidRDefault="007508CB" w:rsidP="00EC335B">
      <w:pPr>
        <w:pStyle w:val="Annextitle0"/>
        <w:rPr>
          <w:lang w:val="es-ES"/>
        </w:rPr>
      </w:pPr>
      <w:r w:rsidRPr="001547F7">
        <w:rPr>
          <w:lang w:val="es-ES"/>
        </w:rPr>
        <w:lastRenderedPageBreak/>
        <w:t xml:space="preserve">Proyecto de plan de </w:t>
      </w:r>
      <w:r w:rsidR="00EC335B">
        <w:rPr>
          <w:lang w:val="es-ES"/>
        </w:rPr>
        <w:t>trabajo</w:t>
      </w:r>
      <w:r w:rsidRPr="001547F7">
        <w:rPr>
          <w:lang w:val="es-ES"/>
        </w:rPr>
        <w:t xml:space="preserve"> de la Comisión de Estudio 15;</w:t>
      </w:r>
      <w:r w:rsidRPr="001547F7">
        <w:rPr>
          <w:lang w:val="es-ES"/>
        </w:rPr>
        <w:br/>
        <w:t>Ginebra, 1-12 de julio de 2019 (segunda semana)</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7508CB" w:rsidRPr="00DC60F1" w:rsidRDefault="007508CB" w:rsidP="008E338D">
            <w:pPr>
              <w:spacing w:before="20" w:after="20"/>
              <w:jc w:val="center"/>
              <w:rPr>
                <w:rFonts w:ascii="Calibri" w:eastAsia="SimSun" w:hAnsi="Calibri"/>
                <w:sz w:val="16"/>
                <w:szCs w:val="16"/>
                <w:lang w:val="es-ES"/>
              </w:rPr>
            </w:pPr>
          </w:p>
        </w:tc>
        <w:tc>
          <w:tcPr>
            <w:tcW w:w="2110"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Lunes </w:t>
            </w:r>
            <w:r>
              <w:rPr>
                <w:rFonts w:ascii="Calibri" w:eastAsia="SimSun" w:hAnsi="Calibri"/>
                <w:b/>
                <w:sz w:val="16"/>
                <w:szCs w:val="16"/>
                <w:lang w:val="es-ES"/>
              </w:rPr>
              <w:t>8</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c>
          <w:tcPr>
            <w:tcW w:w="2104"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Martes </w:t>
            </w:r>
            <w:r>
              <w:rPr>
                <w:rFonts w:ascii="Calibri" w:eastAsia="SimSun" w:hAnsi="Calibri"/>
                <w:b/>
                <w:sz w:val="16"/>
                <w:szCs w:val="16"/>
                <w:lang w:val="es-ES"/>
              </w:rPr>
              <w:t>9</w:t>
            </w:r>
            <w:r w:rsidRPr="00DC60F1">
              <w:rPr>
                <w:rFonts w:ascii="Calibri" w:eastAsia="SimSun" w:hAnsi="Calibri"/>
                <w:b/>
                <w:sz w:val="16"/>
                <w:szCs w:val="16"/>
                <w:lang w:val="es-ES"/>
              </w:rPr>
              <w:t xml:space="preserve"> de </w:t>
            </w:r>
            <w:r>
              <w:rPr>
                <w:rFonts w:ascii="Calibri" w:eastAsia="SimSun" w:hAnsi="Calibri"/>
                <w:b/>
                <w:sz w:val="16"/>
                <w:szCs w:val="16"/>
                <w:lang w:val="es-ES"/>
              </w:rPr>
              <w:t xml:space="preserve">julio </w:t>
            </w:r>
          </w:p>
        </w:tc>
        <w:tc>
          <w:tcPr>
            <w:tcW w:w="2104"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Miércoles </w:t>
            </w:r>
            <w:r>
              <w:rPr>
                <w:rFonts w:ascii="Calibri" w:eastAsia="SimSun" w:hAnsi="Calibri"/>
                <w:b/>
                <w:sz w:val="16"/>
                <w:szCs w:val="16"/>
                <w:lang w:val="es-ES"/>
              </w:rPr>
              <w:t>10</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c>
          <w:tcPr>
            <w:tcW w:w="2104"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Jueves </w:t>
            </w:r>
            <w:r>
              <w:rPr>
                <w:rFonts w:ascii="Calibri" w:eastAsia="SimSun" w:hAnsi="Calibri"/>
                <w:b/>
                <w:sz w:val="16"/>
                <w:szCs w:val="16"/>
                <w:lang w:val="es-ES"/>
              </w:rPr>
              <w:t>11</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c>
          <w:tcPr>
            <w:tcW w:w="2105" w:type="dxa"/>
            <w:gridSpan w:val="6"/>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b/>
                <w:sz w:val="16"/>
                <w:szCs w:val="16"/>
                <w:lang w:val="es-ES"/>
              </w:rPr>
              <w:t xml:space="preserve">Viernes </w:t>
            </w:r>
            <w:r>
              <w:rPr>
                <w:rFonts w:ascii="Calibri" w:eastAsia="SimSun" w:hAnsi="Calibri"/>
                <w:b/>
                <w:sz w:val="16"/>
                <w:szCs w:val="16"/>
                <w:lang w:val="es-ES"/>
              </w:rPr>
              <w:t>12</w:t>
            </w:r>
            <w:r w:rsidRPr="00DC60F1">
              <w:rPr>
                <w:rFonts w:ascii="Calibri" w:eastAsia="SimSun" w:hAnsi="Calibri"/>
                <w:b/>
                <w:sz w:val="16"/>
                <w:szCs w:val="16"/>
                <w:lang w:val="es-ES"/>
              </w:rPr>
              <w:t xml:space="preserve"> de </w:t>
            </w:r>
            <w:r>
              <w:rPr>
                <w:rFonts w:ascii="Calibri" w:eastAsia="SimSun" w:hAnsi="Calibri"/>
                <w:b/>
                <w:sz w:val="16"/>
                <w:szCs w:val="16"/>
                <w:lang w:val="es-ES"/>
              </w:rPr>
              <w:t>julio</w:t>
            </w: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C/15</w:t>
            </w:r>
          </w:p>
        </w:tc>
        <w:tc>
          <w:tcPr>
            <w:tcW w:w="35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2</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3</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5</w:t>
            </w: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CE 15 Plen</w:t>
            </w:r>
          </w:p>
        </w:tc>
        <w:tc>
          <w:tcPr>
            <w:tcW w:w="354"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E</w:t>
            </w: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GT 1 Plen</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Y</w:t>
            </w: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C2/15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Y</w:t>
            </w: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C4/15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20" w:after="20"/>
              <w:jc w:val="center"/>
              <w:rPr>
                <w:rFonts w:ascii="Calibri" w:eastAsia="SimSun" w:hAnsi="Calibri"/>
                <w:sz w:val="16"/>
                <w:szCs w:val="16"/>
                <w:lang w:val="es-ES"/>
              </w:rPr>
            </w:pPr>
            <w:r>
              <w:rPr>
                <w:rFonts w:ascii="Calibri" w:eastAsia="SimSun" w:hAnsi="Calibri"/>
                <w:sz w:val="16"/>
                <w:szCs w:val="16"/>
                <w:lang w:val="es-ES"/>
              </w:rPr>
              <w:t>J</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Y</w:t>
            </w: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C15/15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Y</w:t>
            </w: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C18/15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20" w:after="20"/>
              <w:jc w:val="center"/>
              <w:rPr>
                <w:rFonts w:ascii="Calibri" w:eastAsia="SimSun" w:hAnsi="Calibri"/>
                <w:sz w:val="16"/>
                <w:szCs w:val="16"/>
                <w:lang w:val="es-ES"/>
              </w:rPr>
            </w:pPr>
            <w:r>
              <w:rPr>
                <w:rFonts w:ascii="Calibri" w:eastAsia="SimSun" w:hAnsi="Calibri"/>
                <w:sz w:val="16"/>
                <w:szCs w:val="16"/>
                <w:lang w:val="es-ES"/>
              </w:rPr>
              <w:t>J</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08CB" w:rsidRPr="00DC60F1" w:rsidRDefault="007508CB" w:rsidP="008E338D">
            <w:pPr>
              <w:spacing w:before="60"/>
              <w:jc w:val="center"/>
              <w:rPr>
                <w:rFonts w:ascii="Calibri" w:eastAsia="SimSun" w:hAnsi="Calibri"/>
                <w:sz w:val="16"/>
                <w:szCs w:val="16"/>
                <w:lang w:val="es-ES"/>
              </w:rPr>
            </w:pPr>
            <w:r>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60"/>
              <w:jc w:val="center"/>
              <w:rPr>
                <w:rFonts w:ascii="Calibri" w:eastAsia="SimSun" w:hAnsi="Calibri"/>
                <w:sz w:val="16"/>
                <w:szCs w:val="16"/>
                <w:lang w:val="es-ES"/>
              </w:rPr>
            </w:pPr>
            <w:r w:rsidRPr="00DC60F1">
              <w:rPr>
                <w:rFonts w:ascii="Calibri" w:eastAsia="SimSun" w:hAnsi="Calibri"/>
                <w:sz w:val="16"/>
                <w:szCs w:val="16"/>
                <w:lang w:val="es-ES"/>
              </w:rPr>
              <w:t>Y</w:t>
            </w: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6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GT 2 Plen</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C5/15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C6/15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C7/15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C8/15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sz w:val="16"/>
                <w:szCs w:val="16"/>
                <w:lang w:val="es-ES"/>
              </w:rPr>
            </w:pPr>
            <w:r w:rsidRPr="00DC60F1">
              <w:rPr>
                <w:rFonts w:ascii="Calibri" w:eastAsia="SimSun" w:hAnsi="Calibri"/>
                <w:sz w:val="16"/>
                <w:szCs w:val="16"/>
                <w:lang w:val="es-ES"/>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C16/15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20" w:after="20"/>
              <w:jc w:val="center"/>
              <w:rPr>
                <w:rFonts w:ascii="Calibri" w:eastAsia="SimSun" w:hAnsi="Calibri"/>
                <w:b/>
                <w:sz w:val="16"/>
                <w:szCs w:val="16"/>
                <w:lang w:val="es-ES"/>
              </w:rPr>
            </w:pPr>
            <w:r w:rsidRPr="00DC60F1">
              <w:rPr>
                <w:rFonts w:ascii="Calibri" w:eastAsia="SimSun" w:hAnsi="Calibri"/>
                <w:b/>
                <w:sz w:val="16"/>
                <w:szCs w:val="16"/>
                <w:lang w:val="es-ES"/>
              </w:rPr>
              <w:t>C17/15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GT 3 Plen</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C10/15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C11/15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G</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C12/15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K</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K</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G</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tcPr>
          <w:p w:rsidR="007508CB" w:rsidRPr="00DC60F1" w:rsidRDefault="007508CB" w:rsidP="008E338D">
            <w:pPr>
              <w:spacing w:before="0"/>
              <w:jc w:val="center"/>
              <w:rPr>
                <w:rFonts w:ascii="Calibri" w:eastAsia="SimSun" w:hAnsi="Calibri"/>
                <w:color w:val="000000"/>
                <w:sz w:val="16"/>
                <w:szCs w:val="16"/>
                <w:lang w:val="es-ES"/>
              </w:rPr>
            </w:pPr>
            <w:r>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vertAlign w:val="superscript"/>
                <w:lang w:val="es-ES"/>
              </w:rPr>
            </w:pPr>
            <w:r w:rsidRPr="00DC60F1">
              <w:rPr>
                <w:rFonts w:ascii="Calibri" w:eastAsia="SimSun" w:hAnsi="Calibri"/>
                <w:b/>
                <w:bCs/>
                <w:sz w:val="16"/>
                <w:szCs w:val="16"/>
                <w:lang w:val="es-ES"/>
              </w:rPr>
              <w:t>C13/15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2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08CB" w:rsidRPr="00DC60F1" w:rsidRDefault="007508CB" w:rsidP="008E338D">
            <w:pPr>
              <w:spacing w:before="0" w:after="20"/>
              <w:jc w:val="center"/>
              <w:rPr>
                <w:rFonts w:ascii="Calibri" w:eastAsia="SimSun" w:hAnsi="Calibri"/>
                <w:sz w:val="16"/>
                <w:szCs w:val="16"/>
                <w:lang w:val="es-ES"/>
              </w:rPr>
            </w:pPr>
            <w:r w:rsidRPr="00DC60F1">
              <w:rPr>
                <w:rFonts w:ascii="Calibri" w:eastAsia="SimSun" w:hAnsi="Calibri"/>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20" w:after="20"/>
              <w:jc w:val="center"/>
              <w:rPr>
                <w:rFonts w:ascii="Calibri" w:eastAsia="SimSun" w:hAnsi="Calibri"/>
                <w:b/>
                <w:bCs/>
                <w:sz w:val="16"/>
                <w:szCs w:val="16"/>
                <w:lang w:val="es-ES"/>
              </w:rPr>
            </w:pPr>
            <w:r w:rsidRPr="00DC60F1">
              <w:rPr>
                <w:rFonts w:ascii="Calibri" w:eastAsia="SimSun" w:hAnsi="Calibri"/>
                <w:b/>
                <w:bCs/>
                <w:sz w:val="16"/>
                <w:szCs w:val="16"/>
                <w:lang w:val="es-ES"/>
              </w:rPr>
              <w:t>C14/15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K</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K</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2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jc w:val="center"/>
              <w:rPr>
                <w:rFonts w:ascii="Calibri" w:eastAsia="SimSun" w:hAnsi="Calibri"/>
                <w:color w:val="00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508CB" w:rsidRPr="00DC60F1" w:rsidRDefault="007508CB" w:rsidP="008E338D">
            <w:pPr>
              <w:spacing w:before="0"/>
              <w:jc w:val="center"/>
              <w:rPr>
                <w:rFonts w:ascii="Calibri" w:eastAsia="SimSun" w:hAnsi="Calibri"/>
                <w:color w:val="000000"/>
                <w:sz w:val="16"/>
                <w:szCs w:val="16"/>
                <w:lang w:val="es-ES"/>
              </w:rPr>
            </w:pPr>
            <w:r w:rsidRPr="00DC60F1">
              <w:rPr>
                <w:rFonts w:ascii="Calibri" w:eastAsia="SimSun" w:hAnsi="Calibri"/>
                <w:color w:val="000000"/>
                <w:sz w:val="16"/>
                <w:szCs w:val="16"/>
                <w:lang w:val="es-ES"/>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7508CB" w:rsidRPr="00DC60F1" w:rsidRDefault="007508CB" w:rsidP="008E338D">
            <w:pPr>
              <w:spacing w:before="0" w:after="20"/>
              <w:jc w:val="center"/>
              <w:rPr>
                <w:rFonts w:ascii="Calibri" w:eastAsia="SimSun"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7508CB" w:rsidRPr="00DC60F1" w:rsidRDefault="007508CB" w:rsidP="008E338D">
            <w:pPr>
              <w:spacing w:before="0" w:after="20"/>
              <w:jc w:val="center"/>
              <w:rPr>
                <w:rFonts w:ascii="Calibri" w:eastAsia="SimSun" w:hAnsi="Calibri"/>
                <w:sz w:val="16"/>
                <w:szCs w:val="16"/>
                <w:lang w:val="es-ES"/>
              </w:rPr>
            </w:pPr>
          </w:p>
        </w:tc>
      </w:tr>
      <w:tr w:rsidR="007508CB" w:rsidRPr="00DC60F1" w:rsidTr="008E338D">
        <w:trPr>
          <w:trHeight w:val="270"/>
          <w:jc w:val="center"/>
        </w:trPr>
        <w:tc>
          <w:tcPr>
            <w:tcW w:w="11388" w:type="dxa"/>
            <w:gridSpan w:val="31"/>
            <w:tcBorders>
              <w:top w:val="single" w:sz="4" w:space="0" w:color="auto"/>
              <w:left w:val="single" w:sz="4" w:space="0" w:color="auto"/>
              <w:bottom w:val="single" w:sz="4" w:space="0" w:color="auto"/>
              <w:right w:val="single" w:sz="4" w:space="0" w:color="auto"/>
            </w:tcBorders>
            <w:hideMark/>
          </w:tcPr>
          <w:p w:rsidR="007508CB" w:rsidRPr="00DC60F1" w:rsidRDefault="007508CB" w:rsidP="008E338D">
            <w:pPr>
              <w:spacing w:before="20" w:after="20"/>
              <w:rPr>
                <w:rFonts w:ascii="Calibri" w:eastAsia="SimSun" w:hAnsi="Calibri"/>
                <w:sz w:val="16"/>
                <w:szCs w:val="16"/>
                <w:lang w:val="es-ES"/>
              </w:rPr>
            </w:pPr>
            <w:r w:rsidRPr="00DC60F1">
              <w:rPr>
                <w:rFonts w:ascii="Calibri" w:hAnsi="Calibri"/>
                <w:sz w:val="16"/>
                <w:szCs w:val="16"/>
                <w:lang w:val="es-ES"/>
              </w:rPr>
              <w:t xml:space="preserve">Horarios de sesión: 0 </w:t>
            </w:r>
            <w:r w:rsidR="00701C03" w:rsidRPr="00701C03">
              <w:rPr>
                <w:rFonts w:ascii="Calibri" w:hAnsi="Calibri"/>
                <w:sz w:val="16"/>
                <w:szCs w:val="16"/>
                <w:lang w:val="es-ES"/>
              </w:rPr>
              <w:t>–</w:t>
            </w:r>
            <w:r w:rsidRPr="00DC60F1">
              <w:rPr>
                <w:rFonts w:ascii="Calibri" w:hAnsi="Calibri"/>
                <w:sz w:val="16"/>
                <w:szCs w:val="16"/>
                <w:lang w:val="es-ES"/>
              </w:rPr>
              <w:t xml:space="preserve"> 08.30-09.30; 1 </w:t>
            </w:r>
            <w:r w:rsidR="00701C03" w:rsidRPr="00701C03">
              <w:rPr>
                <w:rFonts w:ascii="Calibri" w:hAnsi="Calibri"/>
                <w:sz w:val="16"/>
                <w:szCs w:val="16"/>
                <w:lang w:val="es-ES"/>
              </w:rPr>
              <w:t>–</w:t>
            </w:r>
            <w:r w:rsidRPr="00DC60F1">
              <w:rPr>
                <w:rFonts w:ascii="Calibri" w:hAnsi="Calibri"/>
                <w:sz w:val="16"/>
                <w:szCs w:val="16"/>
                <w:lang w:val="es-ES"/>
              </w:rPr>
              <w:t xml:space="preserve"> 09.30-10.45; 2 </w:t>
            </w:r>
            <w:r w:rsidR="00701C03" w:rsidRPr="00701C03">
              <w:rPr>
                <w:rFonts w:ascii="Calibri" w:hAnsi="Calibri"/>
                <w:sz w:val="16"/>
                <w:szCs w:val="16"/>
                <w:lang w:val="es-ES"/>
              </w:rPr>
              <w:t>–</w:t>
            </w:r>
            <w:r w:rsidRPr="00DC60F1">
              <w:rPr>
                <w:rFonts w:ascii="Calibri" w:hAnsi="Calibri"/>
                <w:sz w:val="16"/>
                <w:szCs w:val="16"/>
                <w:lang w:val="es-ES"/>
              </w:rPr>
              <w:t xml:space="preserve"> 11.15-12.30; 3 </w:t>
            </w:r>
            <w:r w:rsidR="00701C03" w:rsidRPr="00701C03">
              <w:rPr>
                <w:rFonts w:ascii="Calibri" w:hAnsi="Calibri"/>
                <w:sz w:val="16"/>
                <w:szCs w:val="16"/>
                <w:lang w:val="es-ES"/>
              </w:rPr>
              <w:t>–</w:t>
            </w:r>
            <w:r w:rsidRPr="00DC60F1">
              <w:rPr>
                <w:rFonts w:ascii="Calibri" w:hAnsi="Calibri"/>
                <w:sz w:val="16"/>
                <w:szCs w:val="16"/>
                <w:lang w:val="es-ES"/>
              </w:rPr>
              <w:t xml:space="preserve"> 14.30-15.45; 4 </w:t>
            </w:r>
            <w:r w:rsidR="00701C03" w:rsidRPr="00701C03">
              <w:rPr>
                <w:rFonts w:ascii="Calibri" w:hAnsi="Calibri"/>
                <w:sz w:val="16"/>
                <w:szCs w:val="16"/>
                <w:lang w:val="es-ES"/>
              </w:rPr>
              <w:t>–</w:t>
            </w:r>
            <w:r w:rsidRPr="00DC60F1">
              <w:rPr>
                <w:rFonts w:ascii="Calibri" w:hAnsi="Calibri"/>
                <w:sz w:val="16"/>
                <w:szCs w:val="16"/>
                <w:lang w:val="es-ES"/>
              </w:rPr>
              <w:t xml:space="preserve"> 16.15-17.30; 5 </w:t>
            </w:r>
            <w:r w:rsidR="00701C03" w:rsidRPr="00701C03">
              <w:rPr>
                <w:rFonts w:ascii="Calibri" w:hAnsi="Calibri"/>
                <w:sz w:val="16"/>
                <w:szCs w:val="16"/>
                <w:lang w:val="es-ES"/>
              </w:rPr>
              <w:t>–</w:t>
            </w:r>
            <w:r w:rsidRPr="00DC60F1">
              <w:rPr>
                <w:rFonts w:ascii="Calibri" w:hAnsi="Calibri"/>
                <w:sz w:val="16"/>
                <w:szCs w:val="16"/>
                <w:lang w:val="es-ES"/>
              </w:rPr>
              <w:t xml:space="preserve"> 18.00→</w:t>
            </w:r>
          </w:p>
        </w:tc>
      </w:tr>
    </w:tbl>
    <w:p w:rsidR="007508CB" w:rsidRDefault="007508CB" w:rsidP="001547F7"/>
    <w:p w:rsidR="007508CB" w:rsidRDefault="007508CB" w:rsidP="007508CB">
      <w:pPr>
        <w:pStyle w:val="Reasons"/>
        <w:rPr>
          <w:lang w:val="es-ES_tradnl"/>
        </w:rPr>
        <w:sectPr w:rsidR="007508CB" w:rsidSect="008E338D">
          <w:headerReference w:type="first" r:id="rId40"/>
          <w:footerReference w:type="first" r:id="rId41"/>
          <w:pgSz w:w="16840" w:h="11907" w:orient="landscape" w:code="9"/>
          <w:pgMar w:top="1417" w:right="1134" w:bottom="1417" w:left="1134" w:header="720" w:footer="720" w:gutter="0"/>
          <w:paperSrc w:first="15" w:other="15"/>
          <w:cols w:space="720"/>
          <w:docGrid w:linePitch="326"/>
        </w:sectPr>
      </w:pPr>
    </w:p>
    <w:p w:rsidR="007508CB" w:rsidRPr="001547F7" w:rsidRDefault="007508CB" w:rsidP="001547F7">
      <w:pPr>
        <w:spacing w:after="120"/>
      </w:pPr>
      <w:r w:rsidRPr="001547F7">
        <w:lastRenderedPageBreak/>
        <w:t>Notas:</w:t>
      </w:r>
    </w:p>
    <w:tbl>
      <w:tblPr>
        <w:tblStyle w:val="TableWeb11"/>
        <w:tblW w:w="9639" w:type="dxa"/>
        <w:tblLook w:val="04A0" w:firstRow="1" w:lastRow="0" w:firstColumn="1" w:lastColumn="0" w:noHBand="0" w:noVBand="1"/>
      </w:tblPr>
      <w:tblGrid>
        <w:gridCol w:w="785"/>
        <w:gridCol w:w="8854"/>
      </w:tblGrid>
      <w:tr w:rsidR="007508CB" w:rsidRPr="00DC60F1" w:rsidTr="008E338D">
        <w:trPr>
          <w:cnfStyle w:val="100000000000" w:firstRow="1" w:lastRow="0" w:firstColumn="0" w:lastColumn="0" w:oddVBand="0" w:evenVBand="0" w:oddHBand="0" w:evenHBand="0" w:firstRowFirstColumn="0" w:firstRowLastColumn="0" w:lastRowFirstColumn="0" w:lastRowLastColumn="0"/>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A</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C5, C6/15: Temas de fibra G.654.E</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B</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C6, 7, 11, 12, 13, 14/15 Temas de interés común</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 xml:space="preserve">Conjunta C6, 7, 13/15 sobre compensación/medición del retardo asimétrico </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D</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C12, 14/15 temas de interés común sobre ASON, SDN, nube y medios</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DC60F1" w:rsidRDefault="007508CB" w:rsidP="00160C2D">
            <w:pPr>
              <w:rPr>
                <w:lang w:val="es-ES"/>
              </w:rPr>
            </w:pPr>
            <w:r w:rsidRPr="00DC60F1">
              <w:rPr>
                <w:lang w:val="es-ES"/>
              </w:rPr>
              <w:t>E</w:t>
            </w:r>
          </w:p>
        </w:tc>
        <w:tc>
          <w:tcPr>
            <w:tcW w:w="8794" w:type="dxa"/>
            <w:tcBorders>
              <w:top w:val="outset" w:sz="6" w:space="0" w:color="auto"/>
              <w:left w:val="outset" w:sz="6" w:space="0" w:color="auto"/>
              <w:bottom w:val="outset" w:sz="6" w:space="0" w:color="auto"/>
              <w:right w:val="outset" w:sz="6" w:space="0" w:color="auto"/>
            </w:tcBorders>
            <w:hideMark/>
          </w:tcPr>
          <w:p w:rsidR="007508CB" w:rsidRPr="00DC60F1" w:rsidRDefault="007508CB" w:rsidP="00160C2D">
            <w:pPr>
              <w:rPr>
                <w:rFonts w:cs="Arial"/>
                <w:lang w:val="es-ES" w:eastAsia="en-CA"/>
              </w:rPr>
            </w:pPr>
            <w:r w:rsidRPr="00DC60F1">
              <w:rPr>
                <w:lang w:val="es-ES"/>
              </w:rPr>
              <w:t>Grupo de Promoción y Coordinación</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F</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Actividad Conjunta de Coordinación sobre IMT2020 (JCA-IMT2020)</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G</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C11, 12/15, IMT2020/5G</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H</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 xml:space="preserve">Conjunta </w:t>
            </w:r>
            <w:r w:rsidR="00EC335B">
              <w:rPr>
                <w:lang w:val="es-ES"/>
              </w:rPr>
              <w:t>C</w:t>
            </w:r>
            <w:r w:rsidRPr="00160C2D">
              <w:rPr>
                <w:lang w:val="es-ES"/>
              </w:rPr>
              <w:t>12, 14/15 Aspecto de control de gestión de transporte IMT-2020/5G</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I</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C12, 14/15 Aspectos del transporte IMT-2020/5G relativos al control de gestión</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J</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C4 y 18/15</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K</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160C2D">
            <w:pPr>
              <w:rPr>
                <w:lang w:val="es-ES"/>
              </w:rPr>
            </w:pPr>
            <w:r w:rsidRPr="00160C2D">
              <w:rPr>
                <w:lang w:val="es-ES"/>
              </w:rPr>
              <w:t>Conjunta C12, 14/15 Temas de interés común sobre ASON, SDN, nube y medios</w:t>
            </w:r>
          </w:p>
        </w:tc>
      </w:tr>
      <w:tr w:rsidR="009A1674"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tcPr>
          <w:p w:rsidR="009A1674" w:rsidRPr="00160C2D" w:rsidRDefault="009A1674" w:rsidP="00160C2D">
            <w:pPr>
              <w:rPr>
                <w:lang w:val="es-ES"/>
              </w:rPr>
            </w:pPr>
          </w:p>
        </w:tc>
        <w:tc>
          <w:tcPr>
            <w:tcW w:w="8794" w:type="dxa"/>
          </w:tcPr>
          <w:p w:rsidR="009A1674" w:rsidRPr="00160C2D" w:rsidRDefault="009A1674" w:rsidP="00160C2D">
            <w:pPr>
              <w:overflowPunct/>
              <w:autoSpaceDE/>
              <w:autoSpaceDN/>
              <w:adjustRightInd/>
              <w:textAlignment w:val="auto"/>
              <w:rPr>
                <w:lang w:val="es-ES"/>
              </w:rPr>
            </w:pPr>
          </w:p>
        </w:tc>
      </w:tr>
      <w:tr w:rsidR="009A1674"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tcPr>
          <w:p w:rsidR="009A1674" w:rsidRPr="00160C2D" w:rsidRDefault="009A1674" w:rsidP="00160C2D">
            <w:pPr>
              <w:rPr>
                <w:lang w:val="es-ES"/>
              </w:rPr>
            </w:pPr>
          </w:p>
        </w:tc>
        <w:tc>
          <w:tcPr>
            <w:tcW w:w="8794" w:type="dxa"/>
          </w:tcPr>
          <w:p w:rsidR="009A1674" w:rsidRPr="00160C2D" w:rsidRDefault="009A1674" w:rsidP="00160C2D">
            <w:pPr>
              <w:overflowPunct/>
              <w:autoSpaceDE/>
              <w:autoSpaceDN/>
              <w:adjustRightInd/>
              <w:textAlignment w:val="auto"/>
              <w:rPr>
                <w:lang w:val="es-ES"/>
              </w:rPr>
            </w:pP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tcPr>
          <w:p w:rsidR="007508CB" w:rsidRPr="00160C2D" w:rsidRDefault="007508CB" w:rsidP="00160C2D">
            <w:pPr>
              <w:rPr>
                <w:lang w:val="es-ES"/>
              </w:rPr>
            </w:pPr>
          </w:p>
        </w:tc>
        <w:tc>
          <w:tcPr>
            <w:tcW w:w="8794" w:type="dxa"/>
          </w:tcPr>
          <w:p w:rsidR="007508CB" w:rsidRPr="00160C2D" w:rsidRDefault="007508CB" w:rsidP="00160C2D">
            <w:pPr>
              <w:overflowPunct/>
              <w:autoSpaceDE/>
              <w:autoSpaceDN/>
              <w:adjustRightInd/>
              <w:textAlignment w:val="auto"/>
              <w:rPr>
                <w:lang w:val="es-ES"/>
              </w:rPr>
            </w:pP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8E338D">
            <w:pPr>
              <w:rPr>
                <w:lang w:val="es-ES"/>
              </w:rPr>
            </w:pPr>
            <w:r w:rsidRPr="00160C2D">
              <w:rPr>
                <w:lang w:val="es-ES"/>
              </w:rPr>
              <w:t>W</w:t>
            </w:r>
          </w:p>
        </w:tc>
        <w:tc>
          <w:tcPr>
            <w:tcW w:w="8794" w:type="dxa"/>
            <w:tcBorders>
              <w:top w:val="outset" w:sz="6" w:space="0" w:color="auto"/>
              <w:left w:val="outset" w:sz="6" w:space="0" w:color="auto"/>
              <w:bottom w:val="outset" w:sz="6" w:space="0" w:color="auto"/>
              <w:right w:val="outset" w:sz="6" w:space="0" w:color="auto"/>
            </w:tcBorders>
            <w:hideMark/>
          </w:tcPr>
          <w:p w:rsidR="007508CB" w:rsidRPr="00160C2D" w:rsidRDefault="007508CB" w:rsidP="008E338D">
            <w:pPr>
              <w:rPr>
                <w:lang w:val="es-ES"/>
              </w:rPr>
            </w:pPr>
            <w:r w:rsidRPr="00160C2D">
              <w:rPr>
                <w:lang w:val="es-ES"/>
              </w:rPr>
              <w:t>GT 3/15 sólo Presidentes y Relatores – Preparación del Informe</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8E338D">
            <w:pPr>
              <w:rPr>
                <w:lang w:val="es-ES"/>
              </w:rPr>
            </w:pPr>
            <w:r w:rsidRPr="00160C2D">
              <w:rPr>
                <w:lang w:val="es-ES"/>
              </w:rPr>
              <w:t>Y</w:t>
            </w:r>
          </w:p>
        </w:tc>
        <w:tc>
          <w:tcPr>
            <w:tcW w:w="8794" w:type="dxa"/>
            <w:hideMark/>
          </w:tcPr>
          <w:p w:rsidR="007508CB" w:rsidRPr="00160C2D" w:rsidRDefault="007508CB" w:rsidP="008E338D">
            <w:pPr>
              <w:overflowPunct/>
              <w:autoSpaceDE/>
              <w:autoSpaceDN/>
              <w:adjustRightInd/>
              <w:textAlignment w:val="auto"/>
              <w:rPr>
                <w:lang w:val="es-ES"/>
              </w:rPr>
            </w:pPr>
            <w:r w:rsidRPr="00160C2D">
              <w:rPr>
                <w:lang w:val="es-ES"/>
              </w:rPr>
              <w:t>GT 1/15 sólo Presidentes y Relatores – Preparación del Informe</w:t>
            </w:r>
          </w:p>
        </w:tc>
      </w:tr>
      <w:tr w:rsidR="007508CB" w:rsidRPr="00DC60F1" w:rsidTr="008E338D">
        <w:trPr>
          <w:trHeight w:val="480"/>
        </w:trPr>
        <w:tc>
          <w:tcPr>
            <w:tcW w:w="725" w:type="dxa"/>
            <w:tcBorders>
              <w:top w:val="outset" w:sz="6" w:space="0" w:color="auto"/>
              <w:left w:val="outset" w:sz="6" w:space="0" w:color="auto"/>
              <w:bottom w:val="outset" w:sz="6" w:space="0" w:color="auto"/>
              <w:right w:val="outset" w:sz="6" w:space="0" w:color="auto"/>
            </w:tcBorders>
            <w:hideMark/>
          </w:tcPr>
          <w:p w:rsidR="007508CB" w:rsidRPr="00160C2D" w:rsidRDefault="007508CB" w:rsidP="008E338D">
            <w:pPr>
              <w:rPr>
                <w:lang w:val="es-ES"/>
              </w:rPr>
            </w:pPr>
            <w:r w:rsidRPr="00160C2D">
              <w:rPr>
                <w:lang w:val="es-ES"/>
              </w:rPr>
              <w:t>Z</w:t>
            </w:r>
          </w:p>
        </w:tc>
        <w:tc>
          <w:tcPr>
            <w:tcW w:w="8794" w:type="dxa"/>
            <w:hideMark/>
          </w:tcPr>
          <w:p w:rsidR="007508CB" w:rsidRPr="00160C2D" w:rsidRDefault="007508CB" w:rsidP="008E338D">
            <w:pPr>
              <w:overflowPunct/>
              <w:autoSpaceDE/>
              <w:autoSpaceDN/>
              <w:adjustRightInd/>
              <w:textAlignment w:val="auto"/>
              <w:rPr>
                <w:lang w:val="es-ES"/>
              </w:rPr>
            </w:pPr>
            <w:r w:rsidRPr="00160C2D">
              <w:rPr>
                <w:lang w:val="es-ES"/>
              </w:rPr>
              <w:t>GT 2/15 sólo Presidentes y Relatores – Preparación del Informe para verificar los documentos para el consentimiento y las Coordinaciones</w:t>
            </w:r>
          </w:p>
        </w:tc>
      </w:tr>
    </w:tbl>
    <w:p w:rsidR="007508CB" w:rsidRDefault="007508CB" w:rsidP="001547F7">
      <w:pPr>
        <w:pStyle w:val="Note"/>
      </w:pPr>
      <w:r>
        <w:t>NOTA –</w:t>
      </w:r>
      <w:r w:rsidRPr="007F08F0">
        <w:t xml:space="preserve"> Las actualizaciones del plan de trabajo se encuentran en el Documento TD273/GEN.</w:t>
      </w:r>
    </w:p>
    <w:p w:rsidR="001547F7" w:rsidRDefault="001547F7" w:rsidP="001547F7"/>
    <w:p w:rsidR="001547F7" w:rsidRDefault="001547F7">
      <w:pPr>
        <w:jc w:val="center"/>
      </w:pPr>
      <w:r>
        <w:t>______________</w:t>
      </w:r>
    </w:p>
    <w:sectPr w:rsidR="001547F7" w:rsidSect="002545AA">
      <w:headerReference w:type="even" r:id="rId42"/>
      <w:headerReference w:type="default" r:id="rId43"/>
      <w:footerReference w:type="even" r:id="rId44"/>
      <w:footerReference w:type="default" r:id="rId45"/>
      <w:footerReference w:type="first" r:id="rId4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8D" w:rsidRDefault="008E338D">
      <w:r>
        <w:separator/>
      </w:r>
    </w:p>
  </w:endnote>
  <w:endnote w:type="continuationSeparator" w:id="0">
    <w:p w:rsidR="008E338D" w:rsidRDefault="008E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8E338D" w:rsidRDefault="008E338D" w:rsidP="006B5061">
    <w:pPr>
      <w:pStyle w:val="Footer"/>
      <w:tabs>
        <w:tab w:val="center" w:pos="5387"/>
      </w:tabs>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8E338D" w:rsidRDefault="008E338D" w:rsidP="006B5061">
    <w:pPr>
      <w:pStyle w:val="Footer"/>
      <w:tabs>
        <w:tab w:val="center" w:pos="5387"/>
      </w:tabs>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55719E" w:rsidRDefault="008E338D"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5C001E" w:rsidRDefault="008E338D" w:rsidP="008E33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6B5061" w:rsidRDefault="008E338D"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6B5061" w:rsidRDefault="008E338D"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8D" w:rsidRPr="008E338D" w:rsidRDefault="008E338D" w:rsidP="008E338D">
    <w:pPr>
      <w:pStyle w:val="Footer"/>
      <w:tabs>
        <w:tab w:val="center" w:pos="5387"/>
      </w:tabs>
      <w:rPr>
        <w:sz w:val="16"/>
        <w:szCs w:val="16"/>
        <w:lang w:val="fr-CH"/>
      </w:rPr>
    </w:pPr>
    <w:bookmarkStart w:id="4" w:name="_GoBack"/>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8D" w:rsidRDefault="008E338D">
      <w:r>
        <w:t>____________________</w:t>
      </w:r>
    </w:p>
  </w:footnote>
  <w:footnote w:type="continuationSeparator" w:id="0">
    <w:p w:rsidR="008E338D" w:rsidRDefault="008E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11000"/>
      <w:docPartObj>
        <w:docPartGallery w:val="Page Numbers (Top of Page)"/>
        <w:docPartUnique/>
      </w:docPartObj>
    </w:sdtPr>
    <w:sdtEndPr>
      <w:rPr>
        <w:noProof/>
        <w:sz w:val="18"/>
        <w:szCs w:val="18"/>
      </w:rPr>
    </w:sdtEndPr>
    <w:sdtContent>
      <w:p w:rsidR="008E338D" w:rsidRPr="00BC1FB8" w:rsidRDefault="008E338D" w:rsidP="008E338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A6C75">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15</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72258"/>
      <w:docPartObj>
        <w:docPartGallery w:val="Page Numbers (Top of Page)"/>
        <w:docPartUnique/>
      </w:docPartObj>
    </w:sdtPr>
    <w:sdtEndPr>
      <w:rPr>
        <w:noProof/>
        <w:sz w:val="18"/>
        <w:szCs w:val="18"/>
      </w:rPr>
    </w:sdtEndPr>
    <w:sdtContent>
      <w:p w:rsidR="008E338D" w:rsidRPr="00BC1FB8" w:rsidRDefault="008E338D" w:rsidP="008E338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A6C75">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75" w:rsidRDefault="003A6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791423"/>
      <w:docPartObj>
        <w:docPartGallery w:val="Page Numbers (Top of Page)"/>
        <w:docPartUnique/>
      </w:docPartObj>
    </w:sdtPr>
    <w:sdtEndPr>
      <w:rPr>
        <w:noProof/>
        <w:sz w:val="18"/>
        <w:szCs w:val="18"/>
      </w:rPr>
    </w:sdtEndPr>
    <w:sdtContent>
      <w:p w:rsidR="008E338D" w:rsidRPr="00821581" w:rsidRDefault="00821581" w:rsidP="00821581">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A6C75">
          <w:rPr>
            <w:noProof/>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15</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rsidR="008E338D" w:rsidRPr="00BC1FB8" w:rsidRDefault="008E338D"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rsidR="008E338D" w:rsidRPr="00BC1FB8" w:rsidRDefault="008E338D"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3"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3"/>
  </w:num>
  <w:num w:numId="2">
    <w:abstractNumId w:val="45"/>
  </w:num>
  <w:num w:numId="3">
    <w:abstractNumId w:val="38"/>
  </w:num>
  <w:num w:numId="4">
    <w:abstractNumId w:val="31"/>
  </w:num>
  <w:num w:numId="5">
    <w:abstractNumId w:val="33"/>
  </w:num>
  <w:num w:numId="6">
    <w:abstractNumId w:val="37"/>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2"/>
  </w:num>
  <w:num w:numId="19">
    <w:abstractNumId w:val="12"/>
  </w:num>
  <w:num w:numId="20">
    <w:abstractNumId w:val="40"/>
  </w:num>
  <w:num w:numId="21">
    <w:abstractNumId w:val="35"/>
  </w:num>
  <w:num w:numId="22">
    <w:abstractNumId w:val="20"/>
  </w:num>
  <w:num w:numId="23">
    <w:abstractNumId w:val="34"/>
  </w:num>
  <w:num w:numId="24">
    <w:abstractNumId w:val="19"/>
  </w:num>
  <w:num w:numId="25">
    <w:abstractNumId w:val="15"/>
  </w:num>
  <w:num w:numId="26">
    <w:abstractNumId w:val="24"/>
  </w:num>
  <w:num w:numId="27">
    <w:abstractNumId w:val="36"/>
  </w:num>
  <w:num w:numId="28">
    <w:abstractNumId w:val="14"/>
  </w:num>
  <w:num w:numId="29">
    <w:abstractNumId w:val="39"/>
  </w:num>
  <w:num w:numId="30">
    <w:abstractNumId w:val="29"/>
  </w:num>
  <w:num w:numId="31">
    <w:abstractNumId w:val="28"/>
  </w:num>
  <w:num w:numId="32">
    <w:abstractNumId w:val="25"/>
  </w:num>
  <w:num w:numId="33">
    <w:abstractNumId w:val="16"/>
  </w:num>
  <w:num w:numId="34">
    <w:abstractNumId w:val="41"/>
  </w:num>
  <w:num w:numId="35">
    <w:abstractNumId w:val="11"/>
  </w:num>
  <w:num w:numId="36">
    <w:abstractNumId w:val="26"/>
  </w:num>
  <w:num w:numId="37">
    <w:abstractNumId w:val="27"/>
  </w:num>
  <w:num w:numId="38">
    <w:abstractNumId w:val="22"/>
  </w:num>
  <w:num w:numId="39">
    <w:abstractNumId w:val="44"/>
  </w:num>
  <w:num w:numId="40">
    <w:abstractNumId w:val="13"/>
  </w:num>
  <w:num w:numId="41">
    <w:abstractNumId w:val="18"/>
  </w:num>
  <w:num w:numId="42">
    <w:abstractNumId w:val="43"/>
  </w:num>
  <w:num w:numId="43">
    <w:abstractNumId w:val="17"/>
  </w:num>
  <w:num w:numId="44">
    <w:abstractNumId w:val="32"/>
  </w:num>
  <w:num w:numId="45">
    <w:abstractNumId w:val="21"/>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916C2"/>
    <w:rsid w:val="000C375D"/>
    <w:rsid w:val="000C382F"/>
    <w:rsid w:val="000F67AE"/>
    <w:rsid w:val="00114963"/>
    <w:rsid w:val="001173CC"/>
    <w:rsid w:val="00126D02"/>
    <w:rsid w:val="001344C2"/>
    <w:rsid w:val="00136FC2"/>
    <w:rsid w:val="00141CB4"/>
    <w:rsid w:val="001547F7"/>
    <w:rsid w:val="00160C2D"/>
    <w:rsid w:val="001671BC"/>
    <w:rsid w:val="001A2905"/>
    <w:rsid w:val="001A54CC"/>
    <w:rsid w:val="001C2FAD"/>
    <w:rsid w:val="001D1BA9"/>
    <w:rsid w:val="001F0D48"/>
    <w:rsid w:val="002021BB"/>
    <w:rsid w:val="00212668"/>
    <w:rsid w:val="00221C83"/>
    <w:rsid w:val="002545AA"/>
    <w:rsid w:val="00257FB4"/>
    <w:rsid w:val="00271D3E"/>
    <w:rsid w:val="0027571F"/>
    <w:rsid w:val="002B06D1"/>
    <w:rsid w:val="002B28B9"/>
    <w:rsid w:val="002C1570"/>
    <w:rsid w:val="00303D62"/>
    <w:rsid w:val="00313DBB"/>
    <w:rsid w:val="00324783"/>
    <w:rsid w:val="00327BC9"/>
    <w:rsid w:val="00335367"/>
    <w:rsid w:val="0033768F"/>
    <w:rsid w:val="00370C2D"/>
    <w:rsid w:val="003A6C75"/>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9C5"/>
    <w:rsid w:val="00635FA2"/>
    <w:rsid w:val="0064235A"/>
    <w:rsid w:val="00647213"/>
    <w:rsid w:val="00653A0E"/>
    <w:rsid w:val="00653B29"/>
    <w:rsid w:val="00667955"/>
    <w:rsid w:val="0067009C"/>
    <w:rsid w:val="006760CF"/>
    <w:rsid w:val="006969B4"/>
    <w:rsid w:val="006A0C05"/>
    <w:rsid w:val="006A335A"/>
    <w:rsid w:val="006B5061"/>
    <w:rsid w:val="006C25CF"/>
    <w:rsid w:val="006E24F0"/>
    <w:rsid w:val="006F6581"/>
    <w:rsid w:val="00701C03"/>
    <w:rsid w:val="007128A1"/>
    <w:rsid w:val="00715D93"/>
    <w:rsid w:val="00720BA2"/>
    <w:rsid w:val="007508CB"/>
    <w:rsid w:val="00781E2A"/>
    <w:rsid w:val="007A6373"/>
    <w:rsid w:val="007B34FB"/>
    <w:rsid w:val="008134A7"/>
    <w:rsid w:val="00821581"/>
    <w:rsid w:val="00822B04"/>
    <w:rsid w:val="00823E22"/>
    <w:rsid w:val="008258C2"/>
    <w:rsid w:val="00833CCA"/>
    <w:rsid w:val="00846D89"/>
    <w:rsid w:val="008505BD"/>
    <w:rsid w:val="00850C78"/>
    <w:rsid w:val="00855B98"/>
    <w:rsid w:val="008C17AD"/>
    <w:rsid w:val="008D02CD"/>
    <w:rsid w:val="008E338D"/>
    <w:rsid w:val="008F29BD"/>
    <w:rsid w:val="0091255A"/>
    <w:rsid w:val="00934054"/>
    <w:rsid w:val="00946B29"/>
    <w:rsid w:val="0095172A"/>
    <w:rsid w:val="00963CD8"/>
    <w:rsid w:val="00975A06"/>
    <w:rsid w:val="009900B7"/>
    <w:rsid w:val="009A1674"/>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BF72FA"/>
    <w:rsid w:val="00C0097C"/>
    <w:rsid w:val="00C05882"/>
    <w:rsid w:val="00C17AC0"/>
    <w:rsid w:val="00C24BFC"/>
    <w:rsid w:val="00C31ED4"/>
    <w:rsid w:val="00C34772"/>
    <w:rsid w:val="00C36657"/>
    <w:rsid w:val="00C44C79"/>
    <w:rsid w:val="00C50A2D"/>
    <w:rsid w:val="00C51985"/>
    <w:rsid w:val="00C64243"/>
    <w:rsid w:val="00C71699"/>
    <w:rsid w:val="00C717E3"/>
    <w:rsid w:val="00C762A1"/>
    <w:rsid w:val="00CA1614"/>
    <w:rsid w:val="00CB3300"/>
    <w:rsid w:val="00CC1DE4"/>
    <w:rsid w:val="00CC40AE"/>
    <w:rsid w:val="00CD4AE3"/>
    <w:rsid w:val="00D027A3"/>
    <w:rsid w:val="00D07BA9"/>
    <w:rsid w:val="00D119EC"/>
    <w:rsid w:val="00DA16FC"/>
    <w:rsid w:val="00DA7E46"/>
    <w:rsid w:val="00DD77C9"/>
    <w:rsid w:val="00DD7900"/>
    <w:rsid w:val="00DF4D66"/>
    <w:rsid w:val="00DF5926"/>
    <w:rsid w:val="00DF61F3"/>
    <w:rsid w:val="00E00148"/>
    <w:rsid w:val="00E25441"/>
    <w:rsid w:val="00E5040E"/>
    <w:rsid w:val="00E764E2"/>
    <w:rsid w:val="00E81A56"/>
    <w:rsid w:val="00E839B0"/>
    <w:rsid w:val="00E85734"/>
    <w:rsid w:val="00E92C09"/>
    <w:rsid w:val="00EA3374"/>
    <w:rsid w:val="00EB4E19"/>
    <w:rsid w:val="00EC335B"/>
    <w:rsid w:val="00EF4FA4"/>
    <w:rsid w:val="00F40F4E"/>
    <w:rsid w:val="00F453C5"/>
    <w:rsid w:val="00F55157"/>
    <w:rsid w:val="00F6461F"/>
    <w:rsid w:val="00F81188"/>
    <w:rsid w:val="00F8524F"/>
    <w:rsid w:val="00F85832"/>
    <w:rsid w:val="00F904D8"/>
    <w:rsid w:val="00F91E81"/>
    <w:rsid w:val="00FA4A45"/>
    <w:rsid w:val="00FB1841"/>
    <w:rsid w:val="00FD2B2D"/>
    <w:rsid w:val="00FD2B88"/>
    <w:rsid w:val="00FE5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F1035"/>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aliases w:val="h1,1st level,toc1,l1,I1,1,AboutDocument,Gesamzüberschrift,Test"/>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7508CB"/>
    <w:pPr>
      <w:keepNext/>
      <w:keepLines/>
      <w:spacing w:before="240" w:after="280"/>
      <w:jc w:val="center"/>
    </w:pPr>
    <w:rPr>
      <w:b/>
      <w:sz w:val="28"/>
      <w:lang w:val="en-GB"/>
    </w:rPr>
  </w:style>
  <w:style w:type="paragraph" w:customStyle="1" w:styleId="TableNo">
    <w:name w:val="Table_No"/>
    <w:basedOn w:val="Normal"/>
    <w:next w:val="Tabletitle0"/>
    <w:rsid w:val="007508CB"/>
    <w:pPr>
      <w:keepNext/>
      <w:spacing w:before="560" w:after="120"/>
      <w:jc w:val="center"/>
    </w:pPr>
    <w:rPr>
      <w:caps/>
      <w:sz w:val="20"/>
      <w:lang w:val="en-GB"/>
    </w:rPr>
  </w:style>
  <w:style w:type="paragraph" w:customStyle="1" w:styleId="Tabletitle0">
    <w:name w:val="Table_title"/>
    <w:basedOn w:val="Normal"/>
    <w:next w:val="Tabletext0"/>
    <w:rsid w:val="007508CB"/>
    <w:pPr>
      <w:keepNext/>
      <w:keepLines/>
      <w:spacing w:before="0" w:after="120"/>
      <w:jc w:val="center"/>
    </w:pPr>
    <w:rPr>
      <w:b/>
      <w:sz w:val="20"/>
      <w:lang w:val="en-GB"/>
    </w:rPr>
  </w:style>
  <w:style w:type="paragraph" w:customStyle="1" w:styleId="Figuretitle0">
    <w:name w:val="Figure_title"/>
    <w:basedOn w:val="Tabletitle0"/>
    <w:next w:val="Normal"/>
    <w:rsid w:val="007508CB"/>
    <w:pPr>
      <w:spacing w:after="480"/>
    </w:pPr>
  </w:style>
  <w:style w:type="paragraph" w:customStyle="1" w:styleId="FigureNo">
    <w:name w:val="Figure_No"/>
    <w:basedOn w:val="Normal"/>
    <w:next w:val="Figuretitle0"/>
    <w:rsid w:val="007508CB"/>
    <w:pPr>
      <w:keepNext/>
      <w:keepLines/>
      <w:spacing w:before="480" w:after="120"/>
      <w:jc w:val="center"/>
    </w:pPr>
    <w:rPr>
      <w:caps/>
      <w:sz w:val="20"/>
      <w:lang w:val="en-GB"/>
    </w:rPr>
  </w:style>
  <w:style w:type="paragraph" w:customStyle="1" w:styleId="Annexref0">
    <w:name w:val="Annex_ref"/>
    <w:basedOn w:val="Normal"/>
    <w:next w:val="Normal"/>
    <w:rsid w:val="007508CB"/>
    <w:pPr>
      <w:keepNext/>
      <w:keepLines/>
      <w:spacing w:before="100" w:after="280"/>
      <w:jc w:val="center"/>
    </w:pPr>
    <w:rPr>
      <w:lang w:val="en-GB"/>
    </w:rPr>
  </w:style>
  <w:style w:type="paragraph" w:customStyle="1" w:styleId="AppendixNo">
    <w:name w:val="Appendix_No"/>
    <w:basedOn w:val="AnnexNo"/>
    <w:next w:val="Annexref0"/>
    <w:rsid w:val="007508CB"/>
    <w:pPr>
      <w:textAlignment w:val="baseline"/>
    </w:pPr>
    <w:rPr>
      <w:bCs/>
      <w:caps w:val="0"/>
      <w:lang w:val="en-GB"/>
    </w:rPr>
  </w:style>
  <w:style w:type="paragraph" w:customStyle="1" w:styleId="Appendixref0">
    <w:name w:val="Appendix_ref"/>
    <w:basedOn w:val="Annexref0"/>
    <w:next w:val="Annextitle0"/>
    <w:rsid w:val="007508CB"/>
  </w:style>
  <w:style w:type="paragraph" w:customStyle="1" w:styleId="Appendixtitle0">
    <w:name w:val="Appendix_title"/>
    <w:basedOn w:val="Annextitle0"/>
    <w:next w:val="Normal"/>
    <w:rsid w:val="007508CB"/>
  </w:style>
  <w:style w:type="paragraph" w:customStyle="1" w:styleId="Border">
    <w:name w:val="Border"/>
    <w:basedOn w:val="Tabletext0"/>
    <w:rsid w:val="007508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7508CB"/>
    <w:pPr>
      <w:keepNext/>
      <w:spacing w:before="240"/>
    </w:pPr>
    <w:rPr>
      <w:rFonts w:hAnsi="Times New Roman Bold"/>
      <w:lang w:val="en-GB"/>
    </w:rPr>
  </w:style>
  <w:style w:type="paragraph" w:customStyle="1" w:styleId="Section3">
    <w:name w:val="Section_3"/>
    <w:basedOn w:val="Section1"/>
    <w:rsid w:val="007508CB"/>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7508CB"/>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7508C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508CB"/>
    <w:rPr>
      <w:rFonts w:asciiTheme="minorHAnsi" w:hAnsiTheme="minorHAnsi"/>
      <w:sz w:val="22"/>
      <w:lang w:val="en-GB" w:eastAsia="en-US"/>
    </w:rPr>
  </w:style>
  <w:style w:type="paragraph" w:styleId="NormalWeb">
    <w:name w:val="Normal (Web)"/>
    <w:basedOn w:val="Normal"/>
    <w:rsid w:val="007508C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7508C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508CB"/>
    <w:rPr>
      <w:rFonts w:ascii="Times New Roman" w:eastAsiaTheme="minorEastAsia" w:hAnsi="Times New Roman"/>
      <w:sz w:val="21"/>
      <w:szCs w:val="21"/>
    </w:rPr>
  </w:style>
  <w:style w:type="character" w:styleId="CommentReference">
    <w:name w:val="annotation reference"/>
    <w:basedOn w:val="DefaultParagraphFont"/>
    <w:unhideWhenUsed/>
    <w:rsid w:val="007508CB"/>
    <w:rPr>
      <w:sz w:val="16"/>
      <w:szCs w:val="16"/>
    </w:rPr>
  </w:style>
  <w:style w:type="paragraph" w:styleId="CommentText">
    <w:name w:val="annotation text"/>
    <w:basedOn w:val="Normal"/>
    <w:link w:val="CommentTextChar"/>
    <w:unhideWhenUsed/>
    <w:rsid w:val="007508CB"/>
    <w:pPr>
      <w:spacing w:before="100"/>
    </w:pPr>
    <w:rPr>
      <w:sz w:val="20"/>
      <w:lang w:val="en-GB"/>
    </w:rPr>
  </w:style>
  <w:style w:type="character" w:customStyle="1" w:styleId="CommentTextChar">
    <w:name w:val="Comment Text Char"/>
    <w:basedOn w:val="DefaultParagraphFont"/>
    <w:link w:val="CommentText"/>
    <w:rsid w:val="007508CB"/>
    <w:rPr>
      <w:rFonts w:asciiTheme="minorHAnsi" w:hAnsiTheme="minorHAnsi"/>
      <w:lang w:val="en-GB" w:eastAsia="en-US"/>
    </w:rPr>
  </w:style>
  <w:style w:type="paragraph" w:styleId="CommentSubject">
    <w:name w:val="annotation subject"/>
    <w:basedOn w:val="CommentText"/>
    <w:next w:val="CommentText"/>
    <w:link w:val="CommentSubjectChar"/>
    <w:unhideWhenUsed/>
    <w:rsid w:val="007508CB"/>
    <w:rPr>
      <w:b/>
      <w:bCs/>
    </w:rPr>
  </w:style>
  <w:style w:type="character" w:customStyle="1" w:styleId="CommentSubjectChar">
    <w:name w:val="Comment Subject Char"/>
    <w:basedOn w:val="CommentTextChar"/>
    <w:link w:val="CommentSubject"/>
    <w:rsid w:val="007508CB"/>
    <w:rPr>
      <w:rFonts w:asciiTheme="minorHAnsi" w:hAnsiTheme="minorHAnsi"/>
      <w:b/>
      <w:bCs/>
      <w:lang w:val="en-GB" w:eastAsia="en-US"/>
    </w:rPr>
  </w:style>
  <w:style w:type="paragraph" w:styleId="Revision">
    <w:name w:val="Revision"/>
    <w:hidden/>
    <w:uiPriority w:val="99"/>
    <w:semiHidden/>
    <w:rsid w:val="007508CB"/>
    <w:rPr>
      <w:rFonts w:asciiTheme="minorHAnsi" w:hAnsiTheme="minorHAnsi"/>
      <w:sz w:val="24"/>
      <w:lang w:val="en-GB" w:eastAsia="en-US"/>
    </w:rPr>
  </w:style>
  <w:style w:type="table" w:customStyle="1" w:styleId="TableGrid1">
    <w:name w:val="Table Grid1"/>
    <w:basedOn w:val="TableNormal"/>
    <w:next w:val="TableGrid"/>
    <w:rsid w:val="0075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8CB"/>
    <w:rPr>
      <w:rFonts w:ascii="Times New Roman" w:hAnsi="Times New Roman"/>
      <w:color w:val="808080"/>
    </w:rPr>
  </w:style>
  <w:style w:type="paragraph" w:customStyle="1" w:styleId="Docnumber">
    <w:name w:val="Docnumber"/>
    <w:basedOn w:val="Normal"/>
    <w:link w:val="DocnumberChar"/>
    <w:qFormat/>
    <w:rsid w:val="007508CB"/>
    <w:pPr>
      <w:jc w:val="right"/>
    </w:pPr>
    <w:rPr>
      <w:rFonts w:ascii="Times New Roman" w:eastAsia="SimSun" w:hAnsi="Times New Roman"/>
      <w:b/>
      <w:sz w:val="32"/>
      <w:lang w:val="en-GB"/>
    </w:rPr>
  </w:style>
  <w:style w:type="character" w:customStyle="1" w:styleId="DocnumberChar">
    <w:name w:val="Docnumber Char"/>
    <w:link w:val="Docnumber"/>
    <w:rsid w:val="007508CB"/>
    <w:rPr>
      <w:rFonts w:ascii="Times New Roman" w:eastAsia="SimSun" w:hAnsi="Times New Roman"/>
      <w:b/>
      <w:sz w:val="32"/>
      <w:lang w:val="en-GB" w:eastAsia="en-US"/>
    </w:rPr>
  </w:style>
  <w:style w:type="paragraph" w:customStyle="1" w:styleId="CorrectionSeparatorBegin">
    <w:name w:val="Correction Separator Begin"/>
    <w:basedOn w:val="Normal"/>
    <w:rsid w:val="007508CB"/>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7508CB"/>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Headingib">
    <w:name w:val="Heading_ib"/>
    <w:basedOn w:val="Headingi0"/>
    <w:next w:val="Normal"/>
    <w:qFormat/>
    <w:rsid w:val="007508CB"/>
    <w:rPr>
      <w:rFonts w:ascii="Times New Roman" w:eastAsiaTheme="minorEastAsia" w:hAnsi="Times New Roman"/>
      <w:b/>
      <w:bCs/>
      <w:sz w:val="24"/>
      <w:lang w:val="en-GB" w:eastAsia="ja-JP"/>
    </w:rPr>
  </w:style>
  <w:style w:type="paragraph" w:customStyle="1" w:styleId="Normalbeforetable">
    <w:name w:val="Normal before table"/>
    <w:basedOn w:val="Normal"/>
    <w:rsid w:val="007508CB"/>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paragraph" w:styleId="TableofFigures">
    <w:name w:val="table of figures"/>
    <w:basedOn w:val="Normal"/>
    <w:next w:val="Normal"/>
    <w:uiPriority w:val="99"/>
    <w:rsid w:val="007508CB"/>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7508CB"/>
    <w:rPr>
      <w:rFonts w:asciiTheme="minorHAnsi" w:hAnsiTheme="minorHAnsi"/>
      <w:b/>
      <w:sz w:val="22"/>
      <w:lang w:val="es-ES_tradnl" w:eastAsia="en-US"/>
    </w:rPr>
  </w:style>
  <w:style w:type="character" w:customStyle="1" w:styleId="Heading2Char">
    <w:name w:val="Heading 2 Char"/>
    <w:basedOn w:val="DefaultParagraphFont"/>
    <w:link w:val="Heading2"/>
    <w:rsid w:val="007508CB"/>
    <w:rPr>
      <w:rFonts w:asciiTheme="minorHAnsi" w:hAnsiTheme="minorHAnsi"/>
      <w:b/>
      <w:sz w:val="22"/>
      <w:lang w:val="es-ES_tradnl" w:eastAsia="en-US"/>
    </w:rPr>
  </w:style>
  <w:style w:type="character" w:customStyle="1" w:styleId="Heading3Char">
    <w:name w:val="Heading 3 Char"/>
    <w:basedOn w:val="DefaultParagraphFont"/>
    <w:link w:val="Heading3"/>
    <w:rsid w:val="007508CB"/>
    <w:rPr>
      <w:rFonts w:asciiTheme="minorHAnsi" w:hAnsiTheme="minorHAnsi"/>
      <w:b/>
      <w:sz w:val="22"/>
      <w:lang w:val="es-ES_tradnl" w:eastAsia="en-US"/>
    </w:rPr>
  </w:style>
  <w:style w:type="character" w:customStyle="1" w:styleId="Heading4Char">
    <w:name w:val="Heading 4 Char"/>
    <w:basedOn w:val="DefaultParagraphFont"/>
    <w:link w:val="Heading4"/>
    <w:rsid w:val="007508CB"/>
    <w:rPr>
      <w:rFonts w:asciiTheme="minorHAnsi" w:hAnsiTheme="minorHAnsi"/>
      <w:b/>
      <w:sz w:val="22"/>
      <w:lang w:val="es-ES_tradnl" w:eastAsia="en-US"/>
    </w:rPr>
  </w:style>
  <w:style w:type="character" w:customStyle="1" w:styleId="Heading5Char">
    <w:name w:val="Heading 5 Char"/>
    <w:basedOn w:val="DefaultParagraphFont"/>
    <w:link w:val="Heading5"/>
    <w:rsid w:val="007508CB"/>
    <w:rPr>
      <w:rFonts w:asciiTheme="minorHAnsi" w:hAnsiTheme="minorHAnsi"/>
      <w:b/>
      <w:sz w:val="22"/>
      <w:lang w:val="es-ES_tradnl" w:eastAsia="en-US"/>
    </w:rPr>
  </w:style>
  <w:style w:type="character" w:customStyle="1" w:styleId="Heading6Char">
    <w:name w:val="Heading 6 Char"/>
    <w:basedOn w:val="DefaultParagraphFont"/>
    <w:link w:val="Heading6"/>
    <w:rsid w:val="007508CB"/>
    <w:rPr>
      <w:rFonts w:asciiTheme="minorHAnsi" w:hAnsiTheme="minorHAnsi"/>
      <w:b/>
      <w:sz w:val="22"/>
      <w:lang w:val="es-ES_tradnl" w:eastAsia="en-US"/>
    </w:rPr>
  </w:style>
  <w:style w:type="character" w:customStyle="1" w:styleId="Heading7Char">
    <w:name w:val="Heading 7 Char"/>
    <w:basedOn w:val="DefaultParagraphFont"/>
    <w:link w:val="Heading7"/>
    <w:rsid w:val="007508CB"/>
    <w:rPr>
      <w:rFonts w:asciiTheme="minorHAnsi" w:hAnsiTheme="minorHAnsi"/>
      <w:b/>
      <w:sz w:val="22"/>
      <w:lang w:val="es-ES_tradnl" w:eastAsia="en-US"/>
    </w:rPr>
  </w:style>
  <w:style w:type="character" w:customStyle="1" w:styleId="Heading8Char">
    <w:name w:val="Heading 8 Char"/>
    <w:basedOn w:val="DefaultParagraphFont"/>
    <w:link w:val="Heading8"/>
    <w:rsid w:val="007508CB"/>
    <w:rPr>
      <w:rFonts w:asciiTheme="minorHAnsi" w:hAnsiTheme="minorHAnsi"/>
      <w:b/>
      <w:sz w:val="22"/>
      <w:lang w:val="es-ES_tradnl" w:eastAsia="en-US"/>
    </w:rPr>
  </w:style>
  <w:style w:type="character" w:customStyle="1" w:styleId="Heading9Char">
    <w:name w:val="Heading 9 Char"/>
    <w:basedOn w:val="DefaultParagraphFont"/>
    <w:link w:val="Heading9"/>
    <w:rsid w:val="007508CB"/>
    <w:rPr>
      <w:rFonts w:asciiTheme="minorHAnsi" w:hAnsiTheme="minorHAnsi"/>
      <w:b/>
      <w:sz w:val="22"/>
      <w:lang w:val="es-ES_tradnl" w:eastAsia="en-US"/>
    </w:rPr>
  </w:style>
  <w:style w:type="paragraph" w:styleId="Caption">
    <w:name w:val="caption"/>
    <w:aliases w:val="cap"/>
    <w:basedOn w:val="Normal"/>
    <w:next w:val="Normal"/>
    <w:unhideWhenUsed/>
    <w:qFormat/>
    <w:rsid w:val="007508CB"/>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styleId="Emphasis">
    <w:name w:val="Emphasis"/>
    <w:basedOn w:val="DefaultParagraphFont"/>
    <w:uiPriority w:val="20"/>
    <w:rsid w:val="007508CB"/>
    <w:rPr>
      <w:i/>
      <w:iCs/>
    </w:rPr>
  </w:style>
  <w:style w:type="paragraph" w:styleId="Quote">
    <w:name w:val="Quote"/>
    <w:basedOn w:val="Normal"/>
    <w:next w:val="Normal"/>
    <w:link w:val="QuoteChar"/>
    <w:uiPriority w:val="29"/>
    <w:rsid w:val="007508CB"/>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val="en-GB" w:eastAsia="ja-JP"/>
    </w:rPr>
  </w:style>
  <w:style w:type="character" w:customStyle="1" w:styleId="QuoteChar">
    <w:name w:val="Quote Char"/>
    <w:basedOn w:val="DefaultParagraphFont"/>
    <w:link w:val="Quote"/>
    <w:uiPriority w:val="29"/>
    <w:rsid w:val="007508CB"/>
    <w:rPr>
      <w:rFonts w:ascii="Times New Roman" w:eastAsiaTheme="minorEastAsia" w:hAnsi="Times New Roman"/>
      <w:i/>
      <w:iCs/>
      <w:color w:val="404040" w:themeColor="text1" w:themeTint="BF"/>
      <w:sz w:val="24"/>
      <w:szCs w:val="24"/>
      <w:lang w:val="en-GB" w:eastAsia="ja-JP"/>
    </w:rPr>
  </w:style>
  <w:style w:type="character" w:customStyle="1" w:styleId="FootnoteTextChar">
    <w:name w:val="Footnote Text Char"/>
    <w:basedOn w:val="DefaultParagraphFont"/>
    <w:link w:val="FootnoteText"/>
    <w:rsid w:val="007508CB"/>
    <w:rPr>
      <w:rFonts w:asciiTheme="minorHAnsi" w:hAnsiTheme="minorHAnsi"/>
      <w:sz w:val="22"/>
      <w:lang w:val="es-ES_tradnl" w:eastAsia="en-US"/>
    </w:rPr>
  </w:style>
  <w:style w:type="paragraph" w:styleId="BodyTextIndent">
    <w:name w:val="Body Text Indent"/>
    <w:basedOn w:val="Normal"/>
    <w:link w:val="BodyTextIndentChar"/>
    <w:semiHidden/>
    <w:rsid w:val="007508CB"/>
    <w:pPr>
      <w:tabs>
        <w:tab w:val="clear" w:pos="794"/>
        <w:tab w:val="clear" w:pos="1191"/>
        <w:tab w:val="clear" w:pos="1588"/>
        <w:tab w:val="clear" w:pos="1985"/>
      </w:tabs>
      <w:overflowPunct/>
      <w:autoSpaceDE/>
      <w:autoSpaceDN/>
      <w:adjustRightInd/>
      <w:ind w:firstLine="720"/>
      <w:jc w:val="both"/>
      <w:textAlignment w:val="auto"/>
    </w:pPr>
    <w:rPr>
      <w:rFonts w:ascii="Times New Roman" w:hAnsi="Times New Roman"/>
      <w:sz w:val="24"/>
      <w:szCs w:val="24"/>
      <w:lang w:val="en-GB"/>
    </w:rPr>
  </w:style>
  <w:style w:type="character" w:customStyle="1" w:styleId="BodyTextIndentChar">
    <w:name w:val="Body Text Indent Char"/>
    <w:basedOn w:val="DefaultParagraphFont"/>
    <w:link w:val="BodyTextIndent"/>
    <w:semiHidden/>
    <w:rsid w:val="007508CB"/>
    <w:rPr>
      <w:rFonts w:ascii="Times New Roman" w:hAnsi="Times New Roman"/>
      <w:sz w:val="24"/>
      <w:szCs w:val="24"/>
      <w:lang w:val="en-GB" w:eastAsia="en-US"/>
    </w:rPr>
  </w:style>
  <w:style w:type="paragraph" w:customStyle="1" w:styleId="C1HBullet">
    <w:name w:val="C1H Bullet"/>
    <w:basedOn w:val="Normal"/>
    <w:rsid w:val="007508CB"/>
    <w:pPr>
      <w:numPr>
        <w:numId w:val="22"/>
      </w:numPr>
      <w:tabs>
        <w:tab w:val="clear" w:pos="4020"/>
        <w:tab w:val="num" w:pos="432"/>
      </w:tabs>
      <w:ind w:left="432" w:hanging="432"/>
      <w:jc w:val="both"/>
    </w:pPr>
    <w:rPr>
      <w:rFonts w:ascii="Times New Roman" w:hAnsi="Times New Roman"/>
      <w:sz w:val="24"/>
      <w:lang w:val="en-GB"/>
    </w:rPr>
  </w:style>
  <w:style w:type="paragraph" w:styleId="DocumentMap">
    <w:name w:val="Document Map"/>
    <w:basedOn w:val="Normal"/>
    <w:link w:val="DocumentMapChar"/>
    <w:uiPriority w:val="99"/>
    <w:semiHidden/>
    <w:unhideWhenUsed/>
    <w:rsid w:val="007508CB"/>
    <w:pPr>
      <w:jc w:val="both"/>
    </w:pPr>
    <w:rPr>
      <w:rFonts w:ascii="Tahoma" w:hAnsi="Tahoma" w:cs="Tahoma"/>
      <w:sz w:val="16"/>
      <w:szCs w:val="16"/>
      <w:lang w:val="en-GB"/>
    </w:rPr>
  </w:style>
  <w:style w:type="character" w:customStyle="1" w:styleId="DocumentMapChar">
    <w:name w:val="Document Map Char"/>
    <w:basedOn w:val="DefaultParagraphFont"/>
    <w:link w:val="DocumentMap"/>
    <w:uiPriority w:val="99"/>
    <w:semiHidden/>
    <w:rsid w:val="007508CB"/>
    <w:rPr>
      <w:rFonts w:ascii="Tahoma" w:hAnsi="Tahoma" w:cs="Tahoma"/>
      <w:sz w:val="16"/>
      <w:szCs w:val="16"/>
      <w:lang w:val="en-GB" w:eastAsia="en-US"/>
    </w:rPr>
  </w:style>
  <w:style w:type="paragraph" w:customStyle="1" w:styleId="Default">
    <w:name w:val="Default"/>
    <w:rsid w:val="007508CB"/>
    <w:pPr>
      <w:autoSpaceDE w:val="0"/>
      <w:autoSpaceDN w:val="0"/>
      <w:adjustRightInd w:val="0"/>
    </w:pPr>
    <w:rPr>
      <w:rFonts w:ascii="Times New Roman" w:hAnsi="Times New Roman"/>
      <w:color w:val="000000"/>
      <w:sz w:val="24"/>
      <w:szCs w:val="24"/>
      <w:lang w:eastAsia="en-US"/>
    </w:rPr>
  </w:style>
  <w:style w:type="paragraph" w:customStyle="1" w:styleId="AnnexNoTitle0">
    <w:name w:val="Annex_NoTitle"/>
    <w:basedOn w:val="Normal"/>
    <w:next w:val="Normalaftertitle0"/>
    <w:link w:val="AnnexNoTitleChar"/>
    <w:rsid w:val="007508CB"/>
    <w:pPr>
      <w:keepNext/>
      <w:keepLines/>
      <w:spacing w:before="720"/>
      <w:jc w:val="center"/>
      <w:outlineLvl w:val="0"/>
    </w:pPr>
    <w:rPr>
      <w:rFonts w:ascii="Times New Roman" w:hAnsi="Times New Roman"/>
      <w:b/>
      <w:sz w:val="28"/>
      <w:lang w:val="en-GB"/>
    </w:rPr>
  </w:style>
  <w:style w:type="paragraph" w:customStyle="1" w:styleId="AppendixNoTitle0">
    <w:name w:val="Appendix_NoTitle"/>
    <w:basedOn w:val="AnnexNoTitle0"/>
    <w:next w:val="Normalaftertitle0"/>
    <w:link w:val="AppendixNoTitleChar"/>
    <w:rsid w:val="007508CB"/>
  </w:style>
  <w:style w:type="paragraph" w:customStyle="1" w:styleId="FigureNoTitle0">
    <w:name w:val="Figure_NoTitle"/>
    <w:basedOn w:val="Normal"/>
    <w:next w:val="Normalaftertitle0"/>
    <w:rsid w:val="007508CB"/>
    <w:pPr>
      <w:keepLines/>
      <w:spacing w:before="240" w:after="120"/>
      <w:jc w:val="center"/>
    </w:pPr>
    <w:rPr>
      <w:rFonts w:ascii="Times New Roman" w:hAnsi="Times New Roman"/>
      <w:b/>
      <w:sz w:val="24"/>
      <w:lang w:val="en-GB"/>
    </w:rPr>
  </w:style>
  <w:style w:type="paragraph" w:customStyle="1" w:styleId="TableNoTitle0">
    <w:name w:val="Table_NoTitle"/>
    <w:basedOn w:val="Normal"/>
    <w:next w:val="Tablehead0"/>
    <w:rsid w:val="007508CB"/>
    <w:pPr>
      <w:keepNext/>
      <w:keepLines/>
      <w:spacing w:before="360" w:after="120"/>
      <w:jc w:val="center"/>
    </w:pPr>
    <w:rPr>
      <w:rFonts w:ascii="Times New Roman" w:hAnsi="Times New Roman"/>
      <w:b/>
      <w:sz w:val="24"/>
      <w:lang w:val="en-GB"/>
    </w:rPr>
  </w:style>
  <w:style w:type="paragraph" w:customStyle="1" w:styleId="AppHeading2">
    <w:name w:val="App Heading 2"/>
    <w:basedOn w:val="Heading2"/>
    <w:link w:val="AppHeading2Char"/>
    <w:qFormat/>
    <w:rsid w:val="007508CB"/>
    <w:pPr>
      <w:numPr>
        <w:ilvl w:val="1"/>
      </w:numPr>
      <w:tabs>
        <w:tab w:val="clear" w:pos="794"/>
        <w:tab w:val="clear" w:pos="2127"/>
        <w:tab w:val="clear" w:pos="2410"/>
        <w:tab w:val="clear" w:pos="2921"/>
        <w:tab w:val="clear" w:pos="3261"/>
        <w:tab w:val="left" w:pos="720"/>
        <w:tab w:val="left" w:pos="1191"/>
        <w:tab w:val="left" w:pos="1588"/>
        <w:tab w:val="left" w:pos="1985"/>
      </w:tabs>
      <w:spacing w:before="240"/>
      <w:ind w:left="576" w:hanging="576"/>
    </w:pPr>
    <w:rPr>
      <w:rFonts w:ascii="Times New Roman" w:hAnsi="Times New Roman"/>
      <w:sz w:val="24"/>
      <w:lang w:val="en-GB"/>
    </w:rPr>
  </w:style>
  <w:style w:type="paragraph" w:customStyle="1" w:styleId="AppHeading3">
    <w:name w:val="App Heading 3"/>
    <w:basedOn w:val="Heading3"/>
    <w:link w:val="AppHeading3Char"/>
    <w:autoRedefine/>
    <w:qFormat/>
    <w:rsid w:val="007508CB"/>
    <w:pPr>
      <w:tabs>
        <w:tab w:val="clear" w:pos="794"/>
        <w:tab w:val="clear" w:pos="2127"/>
        <w:tab w:val="clear" w:pos="2410"/>
        <w:tab w:val="clear" w:pos="2921"/>
        <w:tab w:val="clear" w:pos="3261"/>
        <w:tab w:val="left" w:pos="720"/>
        <w:tab w:val="left" w:pos="1191"/>
        <w:tab w:val="left" w:pos="1588"/>
        <w:tab w:val="left" w:pos="1985"/>
      </w:tabs>
      <w:spacing w:before="160"/>
      <w:ind w:left="0" w:firstLine="0"/>
    </w:pPr>
    <w:rPr>
      <w:rFonts w:ascii="Times New Roman" w:hAnsi="Times New Roman"/>
      <w:sz w:val="24"/>
      <w:lang w:val="en-GB"/>
    </w:rPr>
  </w:style>
  <w:style w:type="character" w:customStyle="1" w:styleId="AppHeading2Char">
    <w:name w:val="App Heading 2 Char"/>
    <w:basedOn w:val="Heading2Char"/>
    <w:link w:val="AppHeading2"/>
    <w:rsid w:val="007508CB"/>
    <w:rPr>
      <w:rFonts w:ascii="Times New Roman" w:hAnsi="Times New Roman"/>
      <w:b/>
      <w:sz w:val="24"/>
      <w:lang w:val="en-GB" w:eastAsia="en-US"/>
    </w:rPr>
  </w:style>
  <w:style w:type="paragraph" w:customStyle="1" w:styleId="AppHeading4">
    <w:name w:val="App Heading 4"/>
    <w:basedOn w:val="Heading4"/>
    <w:link w:val="AppHeading4Char"/>
    <w:autoRedefine/>
    <w:qFormat/>
    <w:rsid w:val="007508CB"/>
    <w:pPr>
      <w:tabs>
        <w:tab w:val="clear" w:pos="2127"/>
        <w:tab w:val="clear" w:pos="2410"/>
        <w:tab w:val="clear" w:pos="2921"/>
        <w:tab w:val="clear" w:pos="3261"/>
        <w:tab w:val="left" w:pos="720"/>
        <w:tab w:val="left" w:pos="1021"/>
        <w:tab w:val="left" w:pos="1588"/>
        <w:tab w:val="left" w:pos="1985"/>
      </w:tabs>
      <w:spacing w:before="160"/>
      <w:ind w:left="0" w:firstLine="0"/>
    </w:pPr>
    <w:rPr>
      <w:rFonts w:ascii="Times New Roman" w:hAnsi="Times New Roman"/>
      <w:sz w:val="24"/>
      <w:lang w:val="en-GB"/>
    </w:rPr>
  </w:style>
  <w:style w:type="character" w:customStyle="1" w:styleId="AppHeading3Char">
    <w:name w:val="App Heading 3 Char"/>
    <w:basedOn w:val="Heading3Char"/>
    <w:link w:val="AppHeading3"/>
    <w:rsid w:val="007508CB"/>
    <w:rPr>
      <w:rFonts w:ascii="Times New Roman" w:hAnsi="Times New Roman"/>
      <w:b/>
      <w:sz w:val="24"/>
      <w:lang w:val="en-GB" w:eastAsia="en-US"/>
    </w:rPr>
  </w:style>
  <w:style w:type="paragraph" w:customStyle="1" w:styleId="AppHeading1">
    <w:name w:val="App Heading 1"/>
    <w:basedOn w:val="AppendixNoTitle0"/>
    <w:link w:val="AppHeading1Char"/>
    <w:qFormat/>
    <w:rsid w:val="007508CB"/>
  </w:style>
  <w:style w:type="character" w:customStyle="1" w:styleId="AppHeading4Char">
    <w:name w:val="App Heading 4 Char"/>
    <w:basedOn w:val="Heading4Char"/>
    <w:link w:val="AppHeading4"/>
    <w:rsid w:val="007508CB"/>
    <w:rPr>
      <w:rFonts w:ascii="Times New Roman" w:hAnsi="Times New Roman"/>
      <w:b/>
      <w:sz w:val="24"/>
      <w:lang w:val="en-GB" w:eastAsia="en-US"/>
    </w:rPr>
  </w:style>
  <w:style w:type="character" w:customStyle="1" w:styleId="AnnexNoTitleChar">
    <w:name w:val="Annex_NoTitle Char"/>
    <w:basedOn w:val="DefaultParagraphFont"/>
    <w:link w:val="AnnexNoTitle0"/>
    <w:rsid w:val="007508CB"/>
    <w:rPr>
      <w:rFonts w:ascii="Times New Roman" w:hAnsi="Times New Roman"/>
      <w:b/>
      <w:sz w:val="28"/>
      <w:lang w:val="en-GB" w:eastAsia="en-US"/>
    </w:rPr>
  </w:style>
  <w:style w:type="character" w:customStyle="1" w:styleId="AppendixNoTitleChar">
    <w:name w:val="Appendix_NoTitle Char"/>
    <w:basedOn w:val="AnnexNoTitleChar"/>
    <w:link w:val="AppendixNoTitle0"/>
    <w:rsid w:val="007508CB"/>
    <w:rPr>
      <w:rFonts w:ascii="Times New Roman" w:hAnsi="Times New Roman"/>
      <w:b/>
      <w:sz w:val="28"/>
      <w:lang w:val="en-GB" w:eastAsia="en-US"/>
    </w:rPr>
  </w:style>
  <w:style w:type="character" w:customStyle="1" w:styleId="AppHeading1Char">
    <w:name w:val="App Heading 1 Char"/>
    <w:basedOn w:val="AppendixNoTitleChar"/>
    <w:link w:val="AppHeading1"/>
    <w:rsid w:val="007508CB"/>
    <w:rPr>
      <w:rFonts w:ascii="Times New Roman" w:hAnsi="Times New Roman"/>
      <w:b/>
      <w:sz w:val="28"/>
      <w:lang w:val="en-GB" w:eastAsia="en-US"/>
    </w:rPr>
  </w:style>
  <w:style w:type="paragraph" w:styleId="BodyText0">
    <w:name w:val="Body Text"/>
    <w:basedOn w:val="Normal"/>
    <w:link w:val="BodyTextChar"/>
    <w:rsid w:val="007508CB"/>
    <w:pPr>
      <w:spacing w:after="120"/>
      <w:jc w:val="both"/>
    </w:pPr>
    <w:rPr>
      <w:rFonts w:ascii="Times New Roman" w:hAnsi="Times New Roman"/>
      <w:sz w:val="24"/>
      <w:lang w:val="en-GB"/>
    </w:rPr>
  </w:style>
  <w:style w:type="character" w:customStyle="1" w:styleId="BodyTextChar">
    <w:name w:val="Body Text Char"/>
    <w:basedOn w:val="DefaultParagraphFont"/>
    <w:link w:val="BodyText0"/>
    <w:rsid w:val="007508CB"/>
    <w:rPr>
      <w:rFonts w:ascii="Times New Roman" w:hAnsi="Times New Roman"/>
      <w:sz w:val="24"/>
      <w:lang w:val="en-GB" w:eastAsia="en-US"/>
    </w:rPr>
  </w:style>
  <w:style w:type="paragraph" w:customStyle="1" w:styleId="endash">
    <w:name w:val="endash"/>
    <w:rsid w:val="007508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7508CB"/>
    <w:pPr>
      <w:tabs>
        <w:tab w:val="clear" w:pos="794"/>
        <w:tab w:val="clear" w:pos="1191"/>
        <w:tab w:val="clear" w:pos="1588"/>
        <w:tab w:val="clear" w:pos="1985"/>
        <w:tab w:val="center" w:pos="4680"/>
        <w:tab w:val="right" w:pos="9360"/>
      </w:tabs>
      <w:overflowPunct/>
      <w:autoSpaceDE/>
      <w:autoSpaceDN/>
      <w:adjustRightInd/>
      <w:jc w:val="both"/>
      <w:textAlignment w:val="auto"/>
    </w:pPr>
    <w:rPr>
      <w:rFonts w:ascii="Times New Roman" w:eastAsia="Calibri" w:hAnsi="Times New Roman"/>
      <w:sz w:val="24"/>
      <w:szCs w:val="22"/>
      <w:lang w:val="en-GB"/>
    </w:rPr>
  </w:style>
  <w:style w:type="character" w:customStyle="1" w:styleId="EqnParaChar">
    <w:name w:val="EqnPara Char"/>
    <w:link w:val="EqnPara"/>
    <w:rsid w:val="007508CB"/>
    <w:rPr>
      <w:rFonts w:ascii="Times New Roman" w:eastAsia="Calibri" w:hAnsi="Times New Roman"/>
      <w:sz w:val="24"/>
      <w:szCs w:val="22"/>
      <w:lang w:val="en-GB" w:eastAsia="en-US"/>
    </w:rPr>
  </w:style>
  <w:style w:type="paragraph" w:customStyle="1" w:styleId="Sectionheading">
    <w:name w:val="Section heading"/>
    <w:basedOn w:val="Headingb0"/>
    <w:next w:val="Normal"/>
    <w:rsid w:val="007508CB"/>
    <w:pPr>
      <w:spacing w:before="360"/>
    </w:pPr>
    <w:rPr>
      <w:rFonts w:ascii="Times New Roman" w:hAnsi="Times New Roman"/>
      <w:bCs/>
      <w:sz w:val="28"/>
      <w:szCs w:val="28"/>
      <w:lang w:val="en-GB"/>
    </w:rPr>
  </w:style>
  <w:style w:type="paragraph" w:customStyle="1" w:styleId="WW-Caption">
    <w:name w:val="WW-Caption"/>
    <w:basedOn w:val="Normal"/>
    <w:next w:val="NormalIndent"/>
    <w:rsid w:val="007508CB"/>
    <w:pPr>
      <w:tabs>
        <w:tab w:val="clear" w:pos="794"/>
        <w:tab w:val="clear" w:pos="1191"/>
        <w:tab w:val="clear" w:pos="1588"/>
        <w:tab w:val="clear" w:pos="1985"/>
      </w:tabs>
      <w:suppressAutoHyphens/>
      <w:overflowPunct/>
      <w:autoSpaceDE/>
      <w:autoSpaceDN/>
      <w:adjustRightInd/>
      <w:spacing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7508CB"/>
    <w:pPr>
      <w:ind w:left="720"/>
      <w:contextualSpacing/>
      <w:jc w:val="both"/>
    </w:pPr>
    <w:rPr>
      <w:rFonts w:ascii="Times New Roman" w:hAnsi="Times New Roman"/>
      <w:sz w:val="24"/>
      <w:lang w:val="en-GB"/>
    </w:rPr>
  </w:style>
  <w:style w:type="numbering" w:customStyle="1" w:styleId="NoList1">
    <w:name w:val="No List1"/>
    <w:next w:val="NoList"/>
    <w:uiPriority w:val="99"/>
    <w:semiHidden/>
    <w:unhideWhenUsed/>
    <w:rsid w:val="007508CB"/>
  </w:style>
  <w:style w:type="character" w:customStyle="1" w:styleId="FollowedHyperlink1">
    <w:name w:val="FollowedHyperlink1"/>
    <w:basedOn w:val="DefaultParagraphFont"/>
    <w:rsid w:val="007508CB"/>
    <w:rPr>
      <w:color w:val="800080"/>
      <w:u w:val="single"/>
    </w:rPr>
  </w:style>
  <w:style w:type="paragraph" w:customStyle="1" w:styleId="PlainText1">
    <w:name w:val="Plain Text1"/>
    <w:basedOn w:val="Normal"/>
    <w:next w:val="PlainText"/>
    <w:uiPriority w:val="99"/>
    <w:unhideWhenUsed/>
    <w:rsid w:val="007508CB"/>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numbering" w:customStyle="1" w:styleId="NoList11">
    <w:name w:val="No List11"/>
    <w:next w:val="NoList"/>
    <w:uiPriority w:val="99"/>
    <w:semiHidden/>
    <w:unhideWhenUsed/>
    <w:rsid w:val="007508CB"/>
  </w:style>
  <w:style w:type="character" w:customStyle="1" w:styleId="SignatureChar">
    <w:name w:val="Signature Char"/>
    <w:basedOn w:val="DefaultParagraphFont"/>
    <w:link w:val="Signature"/>
    <w:rsid w:val="007508CB"/>
    <w:rPr>
      <w:rFonts w:ascii="Arial" w:hAnsi="Arial"/>
      <w:sz w:val="22"/>
      <w:lang w:val="es-ES_tradnl" w:eastAsia="en-US"/>
    </w:rPr>
  </w:style>
  <w:style w:type="paragraph" w:customStyle="1" w:styleId="pnew">
    <w:name w:val="pnew"/>
    <w:basedOn w:val="Normal"/>
    <w:rsid w:val="007508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7508C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508CB"/>
  </w:style>
  <w:style w:type="numbering" w:customStyle="1" w:styleId="NoList1111">
    <w:name w:val="No List1111"/>
    <w:next w:val="NoList"/>
    <w:uiPriority w:val="99"/>
    <w:semiHidden/>
    <w:unhideWhenUsed/>
    <w:rsid w:val="007508CB"/>
  </w:style>
  <w:style w:type="paragraph" w:customStyle="1" w:styleId="RFCHeading1">
    <w:name w:val="RFC Heading1"/>
    <w:basedOn w:val="Normal"/>
    <w:rsid w:val="007508CB"/>
    <w:pPr>
      <w:ind w:left="720" w:hanging="360"/>
    </w:pPr>
    <w:rPr>
      <w:rFonts w:ascii="Times New Roman" w:eastAsia="MS Mincho" w:hAnsi="Times New Roman"/>
      <w:sz w:val="24"/>
      <w:lang w:val="en-GB"/>
    </w:rPr>
  </w:style>
  <w:style w:type="paragraph" w:customStyle="1" w:styleId="RFCHeading2">
    <w:name w:val="RFC Heading2"/>
    <w:basedOn w:val="Normal"/>
    <w:rsid w:val="007508CB"/>
    <w:pPr>
      <w:ind w:left="1440" w:hanging="360"/>
    </w:pPr>
    <w:rPr>
      <w:rFonts w:ascii="Times New Roman" w:eastAsia="MS Mincho" w:hAnsi="Times New Roman"/>
      <w:sz w:val="24"/>
      <w:lang w:val="en-GB"/>
    </w:rPr>
  </w:style>
  <w:style w:type="paragraph" w:customStyle="1" w:styleId="RFCHeading3">
    <w:name w:val="RFC Heading3"/>
    <w:basedOn w:val="Normal"/>
    <w:rsid w:val="007508CB"/>
    <w:pPr>
      <w:ind w:left="2160" w:hanging="180"/>
    </w:pPr>
    <w:rPr>
      <w:rFonts w:ascii="Times New Roman" w:eastAsia="MS Mincho" w:hAnsi="Times New Roman"/>
      <w:sz w:val="24"/>
      <w:lang w:val="en-GB"/>
    </w:rPr>
  </w:style>
  <w:style w:type="paragraph" w:customStyle="1" w:styleId="RFCHeading4">
    <w:name w:val="RFC Heading4"/>
    <w:basedOn w:val="Normal"/>
    <w:rsid w:val="007508CB"/>
    <w:pPr>
      <w:ind w:left="2880" w:hanging="360"/>
    </w:pPr>
    <w:rPr>
      <w:rFonts w:ascii="Times New Roman" w:eastAsia="MS Mincho" w:hAnsi="Times New Roman"/>
      <w:sz w:val="24"/>
      <w:lang w:val="en-GB"/>
    </w:rPr>
  </w:style>
  <w:style w:type="numbering" w:customStyle="1" w:styleId="NoList11111">
    <w:name w:val="No List11111"/>
    <w:next w:val="NoList"/>
    <w:uiPriority w:val="99"/>
    <w:semiHidden/>
    <w:unhideWhenUsed/>
    <w:rsid w:val="007508CB"/>
  </w:style>
  <w:style w:type="numbering" w:customStyle="1" w:styleId="NoList2">
    <w:name w:val="No List2"/>
    <w:next w:val="NoList"/>
    <w:uiPriority w:val="99"/>
    <w:semiHidden/>
    <w:unhideWhenUsed/>
    <w:rsid w:val="007508CB"/>
  </w:style>
  <w:style w:type="numbering" w:customStyle="1" w:styleId="NoList12">
    <w:name w:val="No List12"/>
    <w:next w:val="NoList"/>
    <w:uiPriority w:val="99"/>
    <w:semiHidden/>
    <w:unhideWhenUsed/>
    <w:rsid w:val="007508CB"/>
  </w:style>
  <w:style w:type="numbering" w:customStyle="1" w:styleId="NoList112">
    <w:name w:val="No List112"/>
    <w:next w:val="NoList"/>
    <w:uiPriority w:val="99"/>
    <w:semiHidden/>
    <w:unhideWhenUsed/>
    <w:rsid w:val="007508CB"/>
  </w:style>
  <w:style w:type="table" w:customStyle="1" w:styleId="TableGrid2">
    <w:name w:val="Table Grid2"/>
    <w:basedOn w:val="TableNormal"/>
    <w:next w:val="TableGrid"/>
    <w:uiPriority w:val="59"/>
    <w:rsid w:val="007508C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7508CB"/>
  </w:style>
  <w:style w:type="numbering" w:customStyle="1" w:styleId="NoList1111111">
    <w:name w:val="No List1111111"/>
    <w:next w:val="NoList"/>
    <w:uiPriority w:val="99"/>
    <w:semiHidden/>
    <w:unhideWhenUsed/>
    <w:rsid w:val="007508CB"/>
  </w:style>
  <w:style w:type="table" w:styleId="TableWeb1">
    <w:name w:val="Table Web 1"/>
    <w:basedOn w:val="TableNormal"/>
    <w:rsid w:val="007508C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7508CB"/>
    <w:rPr>
      <w:rFonts w:ascii="Consolas" w:hAnsi="Consolas" w:cs="Consolas"/>
      <w:sz w:val="21"/>
      <w:szCs w:val="21"/>
      <w:lang w:val="en-GB" w:eastAsia="ja-JP"/>
    </w:rPr>
  </w:style>
  <w:style w:type="numbering" w:customStyle="1" w:styleId="NoList3">
    <w:name w:val="No List3"/>
    <w:next w:val="NoList"/>
    <w:uiPriority w:val="99"/>
    <w:semiHidden/>
    <w:unhideWhenUsed/>
    <w:rsid w:val="007508CB"/>
  </w:style>
  <w:style w:type="table" w:customStyle="1" w:styleId="TableGrid3">
    <w:name w:val="Table Grid3"/>
    <w:basedOn w:val="TableNormal"/>
    <w:next w:val="TableGrid"/>
    <w:rsid w:val="007508C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508CB"/>
  </w:style>
  <w:style w:type="table" w:customStyle="1" w:styleId="TableGrid12">
    <w:name w:val="Table Grid12"/>
    <w:basedOn w:val="TableNormal"/>
    <w:next w:val="TableGrid"/>
    <w:rsid w:val="007508CB"/>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508CB"/>
  </w:style>
  <w:style w:type="numbering" w:customStyle="1" w:styleId="NoList1112">
    <w:name w:val="No List1112"/>
    <w:next w:val="NoList"/>
    <w:uiPriority w:val="99"/>
    <w:semiHidden/>
    <w:unhideWhenUsed/>
    <w:rsid w:val="007508CB"/>
  </w:style>
  <w:style w:type="numbering" w:customStyle="1" w:styleId="NoList11112">
    <w:name w:val="No List11112"/>
    <w:next w:val="NoList"/>
    <w:uiPriority w:val="99"/>
    <w:semiHidden/>
    <w:unhideWhenUsed/>
    <w:rsid w:val="007508CB"/>
  </w:style>
  <w:style w:type="numbering" w:customStyle="1" w:styleId="NoList21">
    <w:name w:val="No List21"/>
    <w:next w:val="NoList"/>
    <w:uiPriority w:val="99"/>
    <w:semiHidden/>
    <w:unhideWhenUsed/>
    <w:rsid w:val="007508CB"/>
  </w:style>
  <w:style w:type="numbering" w:customStyle="1" w:styleId="NoList121">
    <w:name w:val="No List121"/>
    <w:next w:val="NoList"/>
    <w:uiPriority w:val="99"/>
    <w:semiHidden/>
    <w:unhideWhenUsed/>
    <w:rsid w:val="007508CB"/>
  </w:style>
  <w:style w:type="numbering" w:customStyle="1" w:styleId="NoList1121">
    <w:name w:val="No List1121"/>
    <w:next w:val="NoList"/>
    <w:uiPriority w:val="99"/>
    <w:semiHidden/>
    <w:unhideWhenUsed/>
    <w:rsid w:val="007508CB"/>
  </w:style>
  <w:style w:type="table" w:customStyle="1" w:styleId="TableGrid21">
    <w:name w:val="Table Grid21"/>
    <w:basedOn w:val="TableNormal"/>
    <w:next w:val="TableGrid"/>
    <w:uiPriority w:val="59"/>
    <w:rsid w:val="007508CB"/>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7508CB"/>
  </w:style>
  <w:style w:type="table" w:customStyle="1" w:styleId="TableGrid111">
    <w:name w:val="Table Grid111"/>
    <w:basedOn w:val="TableNormal"/>
    <w:next w:val="TableGrid"/>
    <w:rsid w:val="007508CB"/>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7508CB"/>
  </w:style>
  <w:style w:type="table" w:customStyle="1" w:styleId="TableWeb11">
    <w:name w:val="Table Web 11"/>
    <w:basedOn w:val="TableNormal"/>
    <w:next w:val="TableWeb1"/>
    <w:rsid w:val="007508C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image" Target="cid:image003.png@01D2ADFE.45503AF0" TargetMode="External"/><Relationship Id="rId26" Type="http://schemas.openxmlformats.org/officeDocument/2006/relationships/hyperlink" Target="mailto:servicedesk@itu.int" TargetMode="External"/><Relationship Id="rId39" Type="http://schemas.openxmlformats.org/officeDocument/2006/relationships/footer" Target="footer3.xml"/><Relationship Id="rId21" Type="http://schemas.openxmlformats.org/officeDocument/2006/relationships/hyperlink" Target="https://www.itu.int/en/ties-services/Pages/default.aspx"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s/delegates-corner/"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itu.int/es/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es"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2.xml"/><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travel/" TargetMode="External"/><Relationship Id="rId38" Type="http://schemas.openxmlformats.org/officeDocument/2006/relationships/header" Target="header3.xml"/><Relationship Id="rId46" Type="http://schemas.openxmlformats.org/officeDocument/2006/relationships/footer" Target="footer7.xml"/><Relationship Id="rId20" Type="http://schemas.openxmlformats.org/officeDocument/2006/relationships/hyperlink" Target="https://www.itu.int/en/ITU-T/studygroups/Pages/templates.aspx" TargetMode="External"/><Relationship Id="rId41"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C91D-5417-42B6-9899-59875F83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2355</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15168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Labare, Emmanuelle</cp:lastModifiedBy>
  <cp:revision>23</cp:revision>
  <cp:lastPrinted>2019-04-24T09:10:00Z</cp:lastPrinted>
  <dcterms:created xsi:type="dcterms:W3CDTF">2019-04-24T08:34:00Z</dcterms:created>
  <dcterms:modified xsi:type="dcterms:W3CDTF">2019-05-06T08:48:00Z</dcterms:modified>
</cp:coreProperties>
</file>