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349" w:type="dxa"/>
        <w:tblLayout w:type="fixed"/>
        <w:tblCellMar>
          <w:left w:w="0" w:type="dxa"/>
          <w:right w:w="0" w:type="dxa"/>
        </w:tblCellMar>
        <w:tblLook w:val="0000" w:firstRow="0" w:lastRow="0" w:firstColumn="0" w:lastColumn="0" w:noHBand="0" w:noVBand="0"/>
      </w:tblPr>
      <w:tblGrid>
        <w:gridCol w:w="1277"/>
        <w:gridCol w:w="425"/>
        <w:gridCol w:w="3969"/>
        <w:gridCol w:w="2551"/>
        <w:gridCol w:w="2127"/>
      </w:tblGrid>
      <w:tr w:rsidR="002C3E7B" w:rsidRPr="00B70109" w14:paraId="24FBEB1D" w14:textId="77777777" w:rsidTr="00C96F66">
        <w:trPr>
          <w:cantSplit/>
          <w:trHeight w:val="15"/>
        </w:trPr>
        <w:tc>
          <w:tcPr>
            <w:tcW w:w="1702" w:type="dxa"/>
            <w:gridSpan w:val="2"/>
            <w:vAlign w:val="center"/>
          </w:tcPr>
          <w:p w14:paraId="4E5CDC83" w14:textId="3AA1552B" w:rsidR="002C3E7B" w:rsidRPr="00B70109" w:rsidRDefault="000A402E" w:rsidP="00CE218B">
            <w:pPr>
              <w:spacing w:before="0"/>
              <w:jc w:val="center"/>
              <w:rPr>
                <w:rFonts w:cs="Times New Roman Bold"/>
                <w:b/>
                <w:bCs/>
                <w:smallCaps/>
                <w:sz w:val="26"/>
                <w:szCs w:val="26"/>
              </w:rPr>
            </w:pPr>
            <w:r>
              <w:rPr>
                <w:noProof/>
                <w:lang w:eastAsia="zh-CN"/>
              </w:rPr>
              <w:drawing>
                <wp:inline distT="0" distB="0" distL="0" distR="0" wp14:anchorId="3ECCE813" wp14:editId="55EFE862">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B84712B"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F667D3"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1F9BE07" w14:textId="77777777" w:rsidR="002C3E7B" w:rsidRPr="00B70109" w:rsidRDefault="002C3E7B" w:rsidP="00CE218B">
            <w:pPr>
              <w:spacing w:before="0"/>
              <w:jc w:val="center"/>
              <w:rPr>
                <w:rFonts w:ascii="Verdana" w:hAnsi="Verdana"/>
                <w:color w:val="FFFFFF"/>
                <w:sz w:val="26"/>
                <w:szCs w:val="26"/>
              </w:rPr>
            </w:pPr>
          </w:p>
        </w:tc>
      </w:tr>
      <w:tr w:rsidR="000305E1" w:rsidRPr="00AB481E" w14:paraId="52EB1293" w14:textId="77777777" w:rsidTr="00AB481E">
        <w:trPr>
          <w:cantSplit/>
          <w:trHeight w:val="854"/>
        </w:trPr>
        <w:tc>
          <w:tcPr>
            <w:tcW w:w="5671" w:type="dxa"/>
            <w:gridSpan w:val="3"/>
            <w:vAlign w:val="center"/>
          </w:tcPr>
          <w:p w14:paraId="6F777679" w14:textId="77777777" w:rsidR="000305E1" w:rsidRPr="00AB481E" w:rsidRDefault="000305E1" w:rsidP="00A129C1">
            <w:pPr>
              <w:pStyle w:val="Tabletext"/>
              <w:jc w:val="right"/>
              <w:rPr>
                <w:szCs w:val="22"/>
              </w:rPr>
            </w:pPr>
          </w:p>
        </w:tc>
        <w:tc>
          <w:tcPr>
            <w:tcW w:w="4678" w:type="dxa"/>
            <w:gridSpan w:val="2"/>
            <w:vAlign w:val="center"/>
          </w:tcPr>
          <w:p w14:paraId="5508EFF9" w14:textId="5C1F240E" w:rsidR="000305E1" w:rsidRPr="00AB481E" w:rsidRDefault="000305E1" w:rsidP="00AE1E57">
            <w:pPr>
              <w:pStyle w:val="Tabletext"/>
              <w:spacing w:before="240" w:after="120"/>
              <w:rPr>
                <w:szCs w:val="22"/>
              </w:rPr>
            </w:pPr>
            <w:r w:rsidRPr="00AB481E">
              <w:rPr>
                <w:szCs w:val="22"/>
              </w:rPr>
              <w:t xml:space="preserve">Geneva, </w:t>
            </w:r>
            <w:r w:rsidR="00371279" w:rsidRPr="00AB481E">
              <w:rPr>
                <w:szCs w:val="22"/>
              </w:rPr>
              <w:t>15 September</w:t>
            </w:r>
            <w:r w:rsidR="003A1F34" w:rsidRPr="00AB481E">
              <w:rPr>
                <w:szCs w:val="22"/>
              </w:rPr>
              <w:t xml:space="preserve"> 2020</w:t>
            </w:r>
          </w:p>
        </w:tc>
      </w:tr>
      <w:tr w:rsidR="0038260B" w:rsidRPr="00AB481E" w14:paraId="2409FFAD" w14:textId="77777777" w:rsidTr="00C96F66">
        <w:trPr>
          <w:cantSplit/>
          <w:trHeight w:val="746"/>
        </w:trPr>
        <w:tc>
          <w:tcPr>
            <w:tcW w:w="1277" w:type="dxa"/>
          </w:tcPr>
          <w:p w14:paraId="1F34798E" w14:textId="77777777" w:rsidR="0038260B" w:rsidRPr="00AB481E" w:rsidRDefault="0038260B" w:rsidP="00C96F66">
            <w:pPr>
              <w:pStyle w:val="Tabletext"/>
              <w:rPr>
                <w:rFonts w:ascii="Futura Lt BT" w:hAnsi="Futura Lt BT"/>
                <w:szCs w:val="22"/>
              </w:rPr>
            </w:pPr>
            <w:bookmarkStart w:id="0" w:name="Adress_E" w:colFirst="2" w:colLast="2"/>
            <w:r w:rsidRPr="00AB481E">
              <w:rPr>
                <w:szCs w:val="22"/>
              </w:rPr>
              <w:t>Ref:</w:t>
            </w:r>
          </w:p>
        </w:tc>
        <w:tc>
          <w:tcPr>
            <w:tcW w:w="4394" w:type="dxa"/>
            <w:gridSpan w:val="2"/>
          </w:tcPr>
          <w:p w14:paraId="3B28027F" w14:textId="7FC793AB" w:rsidR="0038260B" w:rsidRPr="00AB481E" w:rsidRDefault="0038260B" w:rsidP="00C96F66">
            <w:pPr>
              <w:pStyle w:val="Tabletext"/>
              <w:rPr>
                <w:b/>
                <w:szCs w:val="22"/>
              </w:rPr>
            </w:pPr>
            <w:r w:rsidRPr="00AB481E">
              <w:rPr>
                <w:b/>
                <w:szCs w:val="22"/>
              </w:rPr>
              <w:t xml:space="preserve">TSB Collective letter </w:t>
            </w:r>
            <w:r w:rsidR="00F27B3A" w:rsidRPr="00AB481E">
              <w:rPr>
                <w:b/>
                <w:szCs w:val="22"/>
              </w:rPr>
              <w:t>1</w:t>
            </w:r>
            <w:r w:rsidR="00D95FBD" w:rsidRPr="00AB481E">
              <w:rPr>
                <w:b/>
                <w:szCs w:val="22"/>
              </w:rPr>
              <w:t>3</w:t>
            </w:r>
            <w:r w:rsidR="00CF1D31" w:rsidRPr="00AB481E">
              <w:rPr>
                <w:b/>
                <w:szCs w:val="22"/>
              </w:rPr>
              <w:t>/</w:t>
            </w:r>
            <w:r w:rsidR="00F27B3A" w:rsidRPr="00AB481E">
              <w:rPr>
                <w:b/>
                <w:szCs w:val="22"/>
              </w:rPr>
              <w:t>13</w:t>
            </w:r>
          </w:p>
          <w:p w14:paraId="08F487AD" w14:textId="77777777" w:rsidR="00C87A03" w:rsidRPr="00AB481E" w:rsidRDefault="00C87A03" w:rsidP="00C96F66">
            <w:pPr>
              <w:pStyle w:val="Tabletext"/>
              <w:rPr>
                <w:szCs w:val="22"/>
              </w:rPr>
            </w:pPr>
            <w:r w:rsidRPr="00AB481E">
              <w:rPr>
                <w:szCs w:val="22"/>
              </w:rPr>
              <w:t>SG</w:t>
            </w:r>
            <w:r w:rsidR="00F27B3A" w:rsidRPr="00AB481E">
              <w:rPr>
                <w:szCs w:val="22"/>
              </w:rPr>
              <w:t>13</w:t>
            </w:r>
            <w:r w:rsidRPr="00AB481E">
              <w:rPr>
                <w:szCs w:val="22"/>
              </w:rPr>
              <w:t>/</w:t>
            </w:r>
            <w:r w:rsidR="00F27B3A" w:rsidRPr="00AB481E">
              <w:rPr>
                <w:szCs w:val="22"/>
              </w:rPr>
              <w:t>TK</w:t>
            </w:r>
          </w:p>
        </w:tc>
        <w:tc>
          <w:tcPr>
            <w:tcW w:w="4678" w:type="dxa"/>
            <w:gridSpan w:val="2"/>
            <w:vMerge w:val="restart"/>
          </w:tcPr>
          <w:p w14:paraId="28059A8B" w14:textId="1E11BE3C" w:rsidR="0038260B" w:rsidRPr="00AB481E" w:rsidRDefault="0038260B" w:rsidP="00CE218B">
            <w:pPr>
              <w:pStyle w:val="Tabletext"/>
              <w:ind w:left="283" w:hanging="283"/>
              <w:rPr>
                <w:szCs w:val="22"/>
              </w:rPr>
            </w:pPr>
            <w:r w:rsidRPr="00AB481E">
              <w:rPr>
                <w:szCs w:val="22"/>
              </w:rPr>
              <w:t>-</w:t>
            </w:r>
            <w:r w:rsidRPr="00AB481E">
              <w:rPr>
                <w:szCs w:val="22"/>
              </w:rPr>
              <w:tab/>
              <w:t xml:space="preserve">To Administrations of Member States of the </w:t>
            </w:r>
            <w:proofErr w:type="gramStart"/>
            <w:r w:rsidRPr="00AB481E">
              <w:rPr>
                <w:szCs w:val="22"/>
              </w:rPr>
              <w:t>Union;</w:t>
            </w:r>
            <w:proofErr w:type="gramEnd"/>
            <w:r w:rsidRPr="00AB481E">
              <w:rPr>
                <w:szCs w:val="22"/>
              </w:rPr>
              <w:t xml:space="preserve"> </w:t>
            </w:r>
          </w:p>
          <w:p w14:paraId="7A067DCA" w14:textId="77777777" w:rsidR="0038260B" w:rsidRPr="00AB481E" w:rsidRDefault="0038260B" w:rsidP="00CE218B">
            <w:pPr>
              <w:pStyle w:val="Tabletext"/>
              <w:ind w:left="283" w:hanging="283"/>
              <w:rPr>
                <w:szCs w:val="22"/>
              </w:rPr>
            </w:pPr>
            <w:r w:rsidRPr="00AB481E">
              <w:rPr>
                <w:szCs w:val="22"/>
              </w:rPr>
              <w:t>-</w:t>
            </w:r>
            <w:r w:rsidRPr="00AB481E">
              <w:rPr>
                <w:szCs w:val="22"/>
              </w:rPr>
              <w:tab/>
              <w:t>To ITU</w:t>
            </w:r>
            <w:r w:rsidRPr="00AB481E">
              <w:rPr>
                <w:szCs w:val="22"/>
              </w:rPr>
              <w:noBreakHyphen/>
              <w:t xml:space="preserve">T Sector </w:t>
            </w:r>
            <w:proofErr w:type="gramStart"/>
            <w:r w:rsidRPr="00AB481E">
              <w:rPr>
                <w:szCs w:val="22"/>
              </w:rPr>
              <w:t>Members;</w:t>
            </w:r>
            <w:proofErr w:type="gramEnd"/>
          </w:p>
          <w:p w14:paraId="6614B088" w14:textId="77777777" w:rsidR="0038260B" w:rsidRPr="00AB481E" w:rsidRDefault="0038260B" w:rsidP="00792A3A">
            <w:pPr>
              <w:pStyle w:val="Tabletext"/>
              <w:ind w:left="283" w:hanging="283"/>
              <w:rPr>
                <w:szCs w:val="22"/>
              </w:rPr>
            </w:pPr>
            <w:r w:rsidRPr="00AB481E">
              <w:rPr>
                <w:szCs w:val="22"/>
              </w:rPr>
              <w:t>-</w:t>
            </w:r>
            <w:r w:rsidRPr="00AB481E">
              <w:rPr>
                <w:szCs w:val="22"/>
              </w:rPr>
              <w:tab/>
              <w:t>To ITU</w:t>
            </w:r>
            <w:r w:rsidRPr="00AB481E">
              <w:rPr>
                <w:szCs w:val="22"/>
              </w:rPr>
              <w:noBreakHyphen/>
              <w:t xml:space="preserve">T Associates of Study Group </w:t>
            </w:r>
            <w:proofErr w:type="gramStart"/>
            <w:r w:rsidR="00F27B3A" w:rsidRPr="00AB481E">
              <w:rPr>
                <w:szCs w:val="22"/>
              </w:rPr>
              <w:t>13</w:t>
            </w:r>
            <w:r w:rsidRPr="00AB481E">
              <w:rPr>
                <w:szCs w:val="22"/>
              </w:rPr>
              <w:t>;</w:t>
            </w:r>
            <w:proofErr w:type="gramEnd"/>
            <w:r w:rsidRPr="00AB481E">
              <w:rPr>
                <w:szCs w:val="22"/>
              </w:rPr>
              <w:t xml:space="preserve"> </w:t>
            </w:r>
          </w:p>
          <w:p w14:paraId="42C53EE0" w14:textId="77777777" w:rsidR="0038260B" w:rsidRPr="00AB481E" w:rsidRDefault="0038260B" w:rsidP="00F42EF2">
            <w:pPr>
              <w:pStyle w:val="Tabletext"/>
              <w:ind w:left="283" w:hanging="283"/>
              <w:rPr>
                <w:szCs w:val="22"/>
              </w:rPr>
            </w:pPr>
            <w:r w:rsidRPr="00AB481E">
              <w:rPr>
                <w:szCs w:val="22"/>
              </w:rPr>
              <w:t>-</w:t>
            </w:r>
            <w:r w:rsidRPr="00AB481E">
              <w:rPr>
                <w:szCs w:val="22"/>
              </w:rPr>
              <w:tab/>
              <w:t>To ITU Academia</w:t>
            </w:r>
          </w:p>
        </w:tc>
      </w:tr>
      <w:bookmarkEnd w:id="0"/>
      <w:tr w:rsidR="0038260B" w:rsidRPr="00AB481E" w14:paraId="7621BBD0" w14:textId="77777777" w:rsidTr="00C96F66">
        <w:trPr>
          <w:cantSplit/>
          <w:trHeight w:val="221"/>
        </w:trPr>
        <w:tc>
          <w:tcPr>
            <w:tcW w:w="1277" w:type="dxa"/>
          </w:tcPr>
          <w:p w14:paraId="2EA263B2" w14:textId="77777777" w:rsidR="0038260B" w:rsidRPr="00AB481E" w:rsidRDefault="0038260B" w:rsidP="00C96F66">
            <w:pPr>
              <w:pStyle w:val="Tabletext"/>
              <w:rPr>
                <w:szCs w:val="22"/>
              </w:rPr>
            </w:pPr>
            <w:r w:rsidRPr="00AB481E">
              <w:rPr>
                <w:szCs w:val="22"/>
              </w:rPr>
              <w:t>Tel:</w:t>
            </w:r>
          </w:p>
        </w:tc>
        <w:tc>
          <w:tcPr>
            <w:tcW w:w="4394" w:type="dxa"/>
            <w:gridSpan w:val="2"/>
          </w:tcPr>
          <w:p w14:paraId="26D760F5" w14:textId="77777777" w:rsidR="0038260B" w:rsidRPr="00AB481E" w:rsidRDefault="0038260B" w:rsidP="00C96F66">
            <w:pPr>
              <w:pStyle w:val="Tabletext"/>
              <w:rPr>
                <w:b/>
                <w:szCs w:val="22"/>
              </w:rPr>
            </w:pPr>
            <w:r w:rsidRPr="00AB481E">
              <w:rPr>
                <w:szCs w:val="22"/>
              </w:rPr>
              <w:t xml:space="preserve">+41 22 730 </w:t>
            </w:r>
            <w:r w:rsidR="00F27B3A" w:rsidRPr="00AB481E">
              <w:rPr>
                <w:szCs w:val="22"/>
              </w:rPr>
              <w:t>5126</w:t>
            </w:r>
          </w:p>
        </w:tc>
        <w:tc>
          <w:tcPr>
            <w:tcW w:w="4678" w:type="dxa"/>
            <w:gridSpan w:val="2"/>
            <w:vMerge/>
            <w:tcBorders>
              <w:top w:val="single" w:sz="4" w:space="0" w:color="auto"/>
            </w:tcBorders>
          </w:tcPr>
          <w:p w14:paraId="2FAF60CF" w14:textId="77777777" w:rsidR="0038260B" w:rsidRPr="00AB481E" w:rsidRDefault="0038260B" w:rsidP="00CE218B">
            <w:pPr>
              <w:pStyle w:val="Tabletext"/>
              <w:ind w:left="283" w:hanging="283"/>
              <w:rPr>
                <w:szCs w:val="22"/>
              </w:rPr>
            </w:pPr>
          </w:p>
        </w:tc>
      </w:tr>
      <w:tr w:rsidR="0038260B" w:rsidRPr="00AB481E" w14:paraId="4D4088E3" w14:textId="77777777" w:rsidTr="00C96F66">
        <w:trPr>
          <w:cantSplit/>
          <w:trHeight w:val="282"/>
        </w:trPr>
        <w:tc>
          <w:tcPr>
            <w:tcW w:w="1277" w:type="dxa"/>
          </w:tcPr>
          <w:p w14:paraId="072F19DF" w14:textId="77777777" w:rsidR="0038260B" w:rsidRPr="00AB481E" w:rsidRDefault="0038260B" w:rsidP="00C96F66">
            <w:pPr>
              <w:pStyle w:val="Tabletext"/>
              <w:rPr>
                <w:szCs w:val="22"/>
              </w:rPr>
            </w:pPr>
            <w:r w:rsidRPr="00AB481E">
              <w:rPr>
                <w:szCs w:val="22"/>
              </w:rPr>
              <w:t>Fax:</w:t>
            </w:r>
          </w:p>
        </w:tc>
        <w:tc>
          <w:tcPr>
            <w:tcW w:w="4394" w:type="dxa"/>
            <w:gridSpan w:val="2"/>
          </w:tcPr>
          <w:p w14:paraId="35002481" w14:textId="77777777" w:rsidR="0038260B" w:rsidRPr="00AB481E" w:rsidRDefault="0038260B" w:rsidP="00C96F66">
            <w:pPr>
              <w:pStyle w:val="Tabletext"/>
              <w:rPr>
                <w:b/>
                <w:szCs w:val="22"/>
              </w:rPr>
            </w:pPr>
            <w:r w:rsidRPr="00AB481E">
              <w:rPr>
                <w:szCs w:val="22"/>
              </w:rPr>
              <w:t>+41 22 730 5853</w:t>
            </w:r>
          </w:p>
        </w:tc>
        <w:tc>
          <w:tcPr>
            <w:tcW w:w="4678" w:type="dxa"/>
            <w:gridSpan w:val="2"/>
            <w:vMerge/>
            <w:tcBorders>
              <w:top w:val="single" w:sz="4" w:space="0" w:color="auto"/>
            </w:tcBorders>
          </w:tcPr>
          <w:p w14:paraId="61852DF2" w14:textId="77777777" w:rsidR="0038260B" w:rsidRPr="00AB481E" w:rsidRDefault="0038260B" w:rsidP="00CE218B">
            <w:pPr>
              <w:pStyle w:val="Tabletext"/>
              <w:ind w:left="283" w:hanging="283"/>
              <w:rPr>
                <w:szCs w:val="22"/>
              </w:rPr>
            </w:pPr>
          </w:p>
        </w:tc>
      </w:tr>
      <w:tr w:rsidR="0038260B" w:rsidRPr="00AB481E" w14:paraId="36688090" w14:textId="77777777" w:rsidTr="00C96F66">
        <w:trPr>
          <w:cantSplit/>
          <w:trHeight w:val="376"/>
        </w:trPr>
        <w:tc>
          <w:tcPr>
            <w:tcW w:w="1277" w:type="dxa"/>
          </w:tcPr>
          <w:p w14:paraId="3FD03C7D" w14:textId="77777777" w:rsidR="0038260B" w:rsidRPr="00AB481E" w:rsidRDefault="0038260B" w:rsidP="00C96F66">
            <w:pPr>
              <w:pStyle w:val="Tabletext"/>
              <w:rPr>
                <w:szCs w:val="22"/>
              </w:rPr>
            </w:pPr>
            <w:r w:rsidRPr="00AB481E">
              <w:rPr>
                <w:szCs w:val="22"/>
              </w:rPr>
              <w:t>E</w:t>
            </w:r>
            <w:r w:rsidR="00905875" w:rsidRPr="00AB481E">
              <w:rPr>
                <w:szCs w:val="22"/>
              </w:rPr>
              <w:t>-</w:t>
            </w:r>
            <w:r w:rsidRPr="00AB481E">
              <w:rPr>
                <w:szCs w:val="22"/>
              </w:rPr>
              <w:t>mail:</w:t>
            </w:r>
          </w:p>
        </w:tc>
        <w:tc>
          <w:tcPr>
            <w:tcW w:w="4394" w:type="dxa"/>
            <w:gridSpan w:val="2"/>
          </w:tcPr>
          <w:p w14:paraId="32AD60F3" w14:textId="77777777" w:rsidR="0038260B" w:rsidRPr="00AB481E" w:rsidRDefault="008A1CF1" w:rsidP="00C96F66">
            <w:pPr>
              <w:pStyle w:val="Tabletext"/>
              <w:rPr>
                <w:szCs w:val="22"/>
              </w:rPr>
            </w:pPr>
            <w:hyperlink r:id="rId9" w:history="1">
              <w:r w:rsidR="006A7ECC" w:rsidRPr="00AB481E">
                <w:rPr>
                  <w:rStyle w:val="Hyperlink"/>
                  <w:szCs w:val="22"/>
                </w:rPr>
                <w:t>tsbsg13@itu.int</w:t>
              </w:r>
            </w:hyperlink>
            <w:r w:rsidR="00F27B3A" w:rsidRPr="00AB481E">
              <w:rPr>
                <w:szCs w:val="22"/>
              </w:rPr>
              <w:t xml:space="preserve"> </w:t>
            </w:r>
          </w:p>
        </w:tc>
        <w:tc>
          <w:tcPr>
            <w:tcW w:w="4678" w:type="dxa"/>
            <w:gridSpan w:val="2"/>
            <w:vMerge/>
            <w:tcBorders>
              <w:top w:val="single" w:sz="4" w:space="0" w:color="auto"/>
            </w:tcBorders>
          </w:tcPr>
          <w:p w14:paraId="406D2670" w14:textId="77777777" w:rsidR="0038260B" w:rsidRPr="00AB481E" w:rsidRDefault="0038260B" w:rsidP="00CE218B">
            <w:pPr>
              <w:pStyle w:val="Tabletext"/>
              <w:ind w:left="283" w:hanging="283"/>
              <w:rPr>
                <w:szCs w:val="22"/>
              </w:rPr>
            </w:pPr>
          </w:p>
        </w:tc>
      </w:tr>
      <w:tr w:rsidR="0038260B" w:rsidRPr="00AB481E" w14:paraId="17B28708" w14:textId="77777777" w:rsidTr="00C96F66">
        <w:trPr>
          <w:cantSplit/>
          <w:trHeight w:val="737"/>
        </w:trPr>
        <w:tc>
          <w:tcPr>
            <w:tcW w:w="1277" w:type="dxa"/>
          </w:tcPr>
          <w:p w14:paraId="6218E10A" w14:textId="77777777" w:rsidR="0038260B" w:rsidRPr="00AB481E" w:rsidRDefault="0038260B" w:rsidP="00C96F66">
            <w:pPr>
              <w:pStyle w:val="Tabletext"/>
              <w:rPr>
                <w:szCs w:val="22"/>
              </w:rPr>
            </w:pPr>
            <w:r w:rsidRPr="00AB481E">
              <w:rPr>
                <w:szCs w:val="22"/>
              </w:rPr>
              <w:t>Web:</w:t>
            </w:r>
          </w:p>
        </w:tc>
        <w:tc>
          <w:tcPr>
            <w:tcW w:w="4394" w:type="dxa"/>
            <w:gridSpan w:val="2"/>
          </w:tcPr>
          <w:p w14:paraId="6F7E1678" w14:textId="77777777" w:rsidR="006A7ECC" w:rsidRPr="00AB481E" w:rsidRDefault="008A1CF1" w:rsidP="00C96F66">
            <w:pPr>
              <w:pStyle w:val="Tabletext"/>
              <w:rPr>
                <w:szCs w:val="22"/>
              </w:rPr>
            </w:pPr>
            <w:hyperlink r:id="rId10" w:history="1">
              <w:r w:rsidR="006A7ECC" w:rsidRPr="00AB481E">
                <w:rPr>
                  <w:rStyle w:val="Hyperlink"/>
                  <w:szCs w:val="22"/>
                </w:rPr>
                <w:t>http://itu.int/go/tsg13</w:t>
              </w:r>
            </w:hyperlink>
          </w:p>
        </w:tc>
        <w:tc>
          <w:tcPr>
            <w:tcW w:w="4678" w:type="dxa"/>
            <w:gridSpan w:val="2"/>
            <w:vMerge/>
            <w:tcBorders>
              <w:top w:val="single" w:sz="4" w:space="0" w:color="auto"/>
            </w:tcBorders>
          </w:tcPr>
          <w:p w14:paraId="5330F1A1" w14:textId="77777777" w:rsidR="0038260B" w:rsidRPr="00AB481E" w:rsidRDefault="0038260B" w:rsidP="0038260B">
            <w:pPr>
              <w:pStyle w:val="Tabletext"/>
              <w:rPr>
                <w:szCs w:val="22"/>
              </w:rPr>
            </w:pPr>
          </w:p>
        </w:tc>
      </w:tr>
      <w:tr w:rsidR="00951309" w:rsidRPr="00AB481E" w14:paraId="336E3F6E" w14:textId="77777777" w:rsidTr="00C96F66">
        <w:trPr>
          <w:cantSplit/>
          <w:trHeight w:val="80"/>
        </w:trPr>
        <w:tc>
          <w:tcPr>
            <w:tcW w:w="1277" w:type="dxa"/>
          </w:tcPr>
          <w:p w14:paraId="36F2F3B5" w14:textId="77777777" w:rsidR="00951309" w:rsidRPr="00AB481E" w:rsidRDefault="00951309" w:rsidP="00A129C1">
            <w:pPr>
              <w:pStyle w:val="Tabletext"/>
              <w:rPr>
                <w:szCs w:val="22"/>
              </w:rPr>
            </w:pPr>
            <w:r w:rsidRPr="00AB481E">
              <w:rPr>
                <w:b/>
                <w:bCs/>
                <w:szCs w:val="22"/>
              </w:rPr>
              <w:t>Subject</w:t>
            </w:r>
            <w:r w:rsidRPr="00AB481E">
              <w:rPr>
                <w:szCs w:val="22"/>
              </w:rPr>
              <w:t>:</w:t>
            </w:r>
          </w:p>
        </w:tc>
        <w:tc>
          <w:tcPr>
            <w:tcW w:w="9072" w:type="dxa"/>
            <w:gridSpan w:val="4"/>
          </w:tcPr>
          <w:p w14:paraId="217C2A44" w14:textId="2678FB1D" w:rsidR="00951309" w:rsidRPr="00AB481E" w:rsidRDefault="003A1F34" w:rsidP="00F27B3A">
            <w:pPr>
              <w:pStyle w:val="Tabletext"/>
              <w:rPr>
                <w:szCs w:val="22"/>
              </w:rPr>
            </w:pPr>
            <w:r w:rsidRPr="00AB481E">
              <w:rPr>
                <w:b/>
                <w:bCs/>
                <w:szCs w:val="22"/>
              </w:rPr>
              <w:t xml:space="preserve">Virtual </w:t>
            </w:r>
            <w:r w:rsidR="00B331EA" w:rsidRPr="00AB481E">
              <w:rPr>
                <w:b/>
                <w:bCs/>
                <w:szCs w:val="22"/>
              </w:rPr>
              <w:t>m</w:t>
            </w:r>
            <w:r w:rsidR="00501F4A" w:rsidRPr="00AB481E">
              <w:rPr>
                <w:b/>
                <w:bCs/>
                <w:szCs w:val="22"/>
              </w:rPr>
              <w:t xml:space="preserve">eeting of </w:t>
            </w:r>
            <w:r w:rsidR="00996D53" w:rsidRPr="00AB481E">
              <w:rPr>
                <w:b/>
                <w:bCs/>
                <w:szCs w:val="22"/>
              </w:rPr>
              <w:t xml:space="preserve">ITU-T </w:t>
            </w:r>
            <w:r w:rsidR="00501F4A" w:rsidRPr="00AB481E">
              <w:rPr>
                <w:b/>
                <w:bCs/>
                <w:szCs w:val="22"/>
              </w:rPr>
              <w:t xml:space="preserve">Study Group </w:t>
            </w:r>
            <w:r w:rsidR="00F27B3A" w:rsidRPr="00AB481E">
              <w:rPr>
                <w:b/>
                <w:bCs/>
                <w:szCs w:val="22"/>
              </w:rPr>
              <w:t>13</w:t>
            </w:r>
            <w:r w:rsidR="00501F4A" w:rsidRPr="00AB481E">
              <w:rPr>
                <w:b/>
                <w:bCs/>
                <w:szCs w:val="22"/>
              </w:rPr>
              <w:t xml:space="preserve">; </w:t>
            </w:r>
            <w:r w:rsidR="00D95FBD" w:rsidRPr="00AB481E">
              <w:rPr>
                <w:b/>
                <w:bCs/>
                <w:szCs w:val="22"/>
              </w:rPr>
              <w:t>1</w:t>
            </w:r>
            <w:r w:rsidRPr="00AB481E">
              <w:rPr>
                <w:b/>
                <w:bCs/>
                <w:szCs w:val="22"/>
              </w:rPr>
              <w:t>7</w:t>
            </w:r>
            <w:r w:rsidR="00C24F4D" w:rsidRPr="00AB481E">
              <w:rPr>
                <w:b/>
                <w:bCs/>
                <w:szCs w:val="22"/>
              </w:rPr>
              <w:t xml:space="preserve"> </w:t>
            </w:r>
            <w:r w:rsidRPr="00AB481E">
              <w:rPr>
                <w:b/>
                <w:bCs/>
                <w:szCs w:val="22"/>
              </w:rPr>
              <w:t xml:space="preserve">December </w:t>
            </w:r>
            <w:r w:rsidR="00F27B3A" w:rsidRPr="00AB481E">
              <w:rPr>
                <w:b/>
                <w:bCs/>
                <w:szCs w:val="22"/>
              </w:rPr>
              <w:t>2020</w:t>
            </w:r>
          </w:p>
        </w:tc>
      </w:tr>
    </w:tbl>
    <w:p w14:paraId="278438CD" w14:textId="3A5846FA" w:rsidR="000B46FB" w:rsidRPr="00AB481E" w:rsidRDefault="000B46FB" w:rsidP="00C96F66">
      <w:pPr>
        <w:tabs>
          <w:tab w:val="clear" w:pos="1985"/>
          <w:tab w:val="left" w:pos="2700"/>
        </w:tabs>
        <w:spacing w:before="240"/>
        <w:rPr>
          <w:rFonts w:cstheme="minorHAnsi"/>
          <w:szCs w:val="22"/>
        </w:rPr>
      </w:pPr>
      <w:bookmarkStart w:id="1" w:name="StartTyping_E"/>
      <w:bookmarkEnd w:id="1"/>
      <w:r w:rsidRPr="00AB481E">
        <w:rPr>
          <w:rFonts w:cstheme="minorHAnsi"/>
          <w:szCs w:val="22"/>
        </w:rPr>
        <w:t>Dear Sir/Madam,</w:t>
      </w:r>
    </w:p>
    <w:p w14:paraId="1683E226" w14:textId="420C4348" w:rsidR="00F27B3A" w:rsidRPr="00AB481E" w:rsidRDefault="00862C7A" w:rsidP="0036181D">
      <w:pPr>
        <w:spacing w:before="120"/>
        <w:rPr>
          <w:rFonts w:cstheme="minorHAnsi"/>
          <w:szCs w:val="22"/>
        </w:rPr>
      </w:pPr>
      <w:r w:rsidRPr="00AB481E">
        <w:rPr>
          <w:rFonts w:cstheme="minorHAnsi"/>
          <w:szCs w:val="22"/>
        </w:rPr>
        <w:t xml:space="preserve">After consulting with </w:t>
      </w:r>
      <w:r w:rsidR="00F27B3A" w:rsidRPr="00AB481E">
        <w:rPr>
          <w:rFonts w:cstheme="minorHAnsi"/>
          <w:szCs w:val="22"/>
        </w:rPr>
        <w:t>Study Group 13 Chairman (Mr Leo Lehmann), it is my pleasure to invite you to attend the meeting of the Study Group 13 (</w:t>
      </w:r>
      <w:r w:rsidR="0036181D" w:rsidRPr="00AB481E">
        <w:rPr>
          <w:rFonts w:cstheme="minorHAnsi"/>
          <w:i/>
          <w:szCs w:val="22"/>
        </w:rPr>
        <w:t>Future networks, with focus on IMT-2020, cloud computing and trusted network infrastructures</w:t>
      </w:r>
      <w:r w:rsidR="0036181D" w:rsidRPr="00AB481E">
        <w:rPr>
          <w:rFonts w:cstheme="minorHAnsi"/>
          <w:szCs w:val="22"/>
        </w:rPr>
        <w:t>)</w:t>
      </w:r>
      <w:r w:rsidR="003C0A2C" w:rsidRPr="00AB481E">
        <w:rPr>
          <w:rFonts w:cstheme="minorHAnsi"/>
          <w:szCs w:val="22"/>
        </w:rPr>
        <w:t xml:space="preserve"> </w:t>
      </w:r>
      <w:r w:rsidR="00C24F4D" w:rsidRPr="00AB481E">
        <w:rPr>
          <w:rFonts w:cstheme="minorHAnsi"/>
          <w:szCs w:val="22"/>
        </w:rPr>
        <w:t xml:space="preserve">which is planned to be run fully virtual </w:t>
      </w:r>
      <w:r w:rsidR="00D41317" w:rsidRPr="00AB481E">
        <w:rPr>
          <w:rFonts w:cstheme="minorHAnsi"/>
          <w:szCs w:val="22"/>
        </w:rPr>
        <w:t>on</w:t>
      </w:r>
      <w:r w:rsidR="00C24F4D" w:rsidRPr="00AB481E">
        <w:rPr>
          <w:rFonts w:cstheme="minorHAnsi"/>
          <w:szCs w:val="22"/>
        </w:rPr>
        <w:t xml:space="preserve"> </w:t>
      </w:r>
      <w:r w:rsidR="00546626" w:rsidRPr="00AB481E">
        <w:rPr>
          <w:rFonts w:cstheme="minorHAnsi"/>
          <w:szCs w:val="22"/>
        </w:rPr>
        <w:t>1</w:t>
      </w:r>
      <w:r w:rsidR="003A1F34" w:rsidRPr="00AB481E">
        <w:rPr>
          <w:rFonts w:cstheme="minorHAnsi"/>
          <w:szCs w:val="22"/>
        </w:rPr>
        <w:t xml:space="preserve">7 December </w:t>
      </w:r>
      <w:r w:rsidR="00F27B3A" w:rsidRPr="00AB481E">
        <w:rPr>
          <w:rFonts w:cstheme="minorHAnsi"/>
          <w:szCs w:val="22"/>
        </w:rPr>
        <w:t>2020</w:t>
      </w:r>
      <w:r w:rsidR="00546626" w:rsidRPr="00AB481E">
        <w:rPr>
          <w:rFonts w:cstheme="minorHAnsi"/>
          <w:szCs w:val="22"/>
        </w:rPr>
        <w:t xml:space="preserve"> (one-day meeting)</w:t>
      </w:r>
      <w:r w:rsidR="00F27B3A" w:rsidRPr="00AB481E">
        <w:rPr>
          <w:rFonts w:cstheme="minorHAnsi"/>
          <w:szCs w:val="22"/>
        </w:rPr>
        <w:t>.</w:t>
      </w:r>
    </w:p>
    <w:p w14:paraId="0797A193" w14:textId="6CECE7AF" w:rsidR="00C24F4D" w:rsidRPr="00AB481E" w:rsidRDefault="00C24F4D" w:rsidP="00DD0CF0">
      <w:pPr>
        <w:spacing w:before="120"/>
        <w:rPr>
          <w:rFonts w:cstheme="minorHAnsi"/>
          <w:szCs w:val="22"/>
        </w:rPr>
      </w:pPr>
      <w:r w:rsidRPr="00AB481E">
        <w:rPr>
          <w:rFonts w:cstheme="minorHAnsi"/>
          <w:szCs w:val="22"/>
        </w:rPr>
        <w:t>Note that no fellowships will be awarded</w:t>
      </w:r>
      <w:r w:rsidR="00862C7A" w:rsidRPr="00AB481E">
        <w:rPr>
          <w:rFonts w:cstheme="minorHAnsi"/>
          <w:szCs w:val="22"/>
        </w:rPr>
        <w:t>,</w:t>
      </w:r>
      <w:r w:rsidRPr="00AB481E">
        <w:rPr>
          <w:rFonts w:cstheme="minorHAnsi"/>
          <w:szCs w:val="22"/>
        </w:rPr>
        <w:t xml:space="preserve"> and the entire meeting will run in English only with no interpretation</w:t>
      </w:r>
      <w:r w:rsidR="00E33FD7" w:rsidRPr="00AB481E">
        <w:rPr>
          <w:rFonts w:cstheme="minorHAnsi"/>
          <w:szCs w:val="22"/>
        </w:rPr>
        <w:t>.</w:t>
      </w:r>
    </w:p>
    <w:p w14:paraId="41F87391" w14:textId="4005CB13" w:rsidR="00C24F4D" w:rsidRPr="00AB481E" w:rsidRDefault="00C24F4D" w:rsidP="00C24F4D">
      <w:pPr>
        <w:rPr>
          <w:szCs w:val="22"/>
        </w:rPr>
      </w:pPr>
      <w:r w:rsidRPr="00AB481E">
        <w:rPr>
          <w:rFonts w:cs="Calibri"/>
          <w:szCs w:val="22"/>
        </w:rPr>
        <w:t xml:space="preserve">The </w:t>
      </w:r>
      <w:r w:rsidR="00E33FD7" w:rsidRPr="00AB481E">
        <w:rPr>
          <w:rFonts w:cs="Calibri"/>
          <w:szCs w:val="22"/>
        </w:rPr>
        <w:t>meeting</w:t>
      </w:r>
      <w:r w:rsidRPr="00AB481E">
        <w:rPr>
          <w:rFonts w:cs="Calibri"/>
          <w:szCs w:val="22"/>
        </w:rPr>
        <w:t xml:space="preserve"> will be convened on </w:t>
      </w:r>
      <w:r w:rsidR="00546626" w:rsidRPr="00AB481E">
        <w:rPr>
          <w:rFonts w:cs="Calibri"/>
          <w:szCs w:val="22"/>
        </w:rPr>
        <w:t>Thursday</w:t>
      </w:r>
      <w:r w:rsidRPr="00AB481E">
        <w:rPr>
          <w:rFonts w:cs="Calibri"/>
          <w:szCs w:val="22"/>
        </w:rPr>
        <w:t xml:space="preserve"> morning, </w:t>
      </w:r>
      <w:r w:rsidR="00546626" w:rsidRPr="00AB481E">
        <w:rPr>
          <w:rFonts w:cs="Calibri"/>
          <w:szCs w:val="22"/>
        </w:rPr>
        <w:t>1</w:t>
      </w:r>
      <w:r w:rsidRPr="00AB481E">
        <w:rPr>
          <w:szCs w:val="22"/>
        </w:rPr>
        <w:t>7 December</w:t>
      </w:r>
      <w:r w:rsidRPr="00AB481E">
        <w:rPr>
          <w:rFonts w:cs="Calibri"/>
          <w:szCs w:val="22"/>
        </w:rPr>
        <w:t xml:space="preserve">, starting from </w:t>
      </w:r>
      <w:r w:rsidRPr="00AB481E">
        <w:rPr>
          <w:szCs w:val="22"/>
        </w:rPr>
        <w:t xml:space="preserve">1000 hours, Geneva time, using </w:t>
      </w:r>
      <w:hyperlink r:id="rId11" w:history="1">
        <w:proofErr w:type="spellStart"/>
        <w:r w:rsidRPr="00AB481E">
          <w:rPr>
            <w:color w:val="0000FF"/>
            <w:szCs w:val="22"/>
            <w:u w:val="single"/>
          </w:rPr>
          <w:t>MyMeetings</w:t>
        </w:r>
        <w:proofErr w:type="spellEnd"/>
        <w:r w:rsidRPr="00AB481E">
          <w:rPr>
            <w:color w:val="0000FF"/>
            <w:szCs w:val="22"/>
            <w:u w:val="single"/>
          </w:rPr>
          <w:t xml:space="preserve"> remote participation tool</w:t>
        </w:r>
      </w:hyperlink>
      <w:r w:rsidRPr="00AB481E">
        <w:rPr>
          <w:szCs w:val="22"/>
        </w:rPr>
        <w:t xml:space="preserve">. Documentation, remote participation details and other related information can be found on the home page of </w:t>
      </w:r>
      <w:hyperlink r:id="rId12" w:history="1">
        <w:r w:rsidRPr="00AB481E">
          <w:rPr>
            <w:color w:val="0000FF"/>
            <w:szCs w:val="22"/>
            <w:u w:val="single"/>
          </w:rPr>
          <w:t>the study group</w:t>
        </w:r>
      </w:hyperlink>
      <w:r w:rsidRPr="00AB481E">
        <w:rPr>
          <w:szCs w:val="22"/>
        </w:rPr>
        <w:t>.</w:t>
      </w:r>
    </w:p>
    <w:p w14:paraId="44607E80" w14:textId="7D8A6C08" w:rsidR="00C24F4D" w:rsidRPr="00AB481E" w:rsidRDefault="00C24F4D" w:rsidP="005F1F9A">
      <w:pPr>
        <w:rPr>
          <w:rFonts w:cstheme="minorHAnsi"/>
          <w:szCs w:val="22"/>
        </w:rPr>
      </w:pPr>
      <w:r w:rsidRPr="00AB481E">
        <w:rPr>
          <w:b/>
          <w:bCs/>
          <w:szCs w:val="22"/>
        </w:rPr>
        <w:t>Registration is mandatory</w:t>
      </w:r>
      <w:r w:rsidRPr="00AB481E">
        <w:rPr>
          <w:szCs w:val="22"/>
        </w:rPr>
        <w:t xml:space="preserve"> for the virtual SG13 meeting.</w:t>
      </w:r>
      <w:r w:rsidR="005F1F9A" w:rsidRPr="00AB481E">
        <w:rPr>
          <w:szCs w:val="22"/>
        </w:rPr>
        <w:t xml:space="preserve"> Link may be found on the SG13 homepage.</w:t>
      </w:r>
    </w:p>
    <w:p w14:paraId="2E73E646" w14:textId="5C466C78" w:rsidR="003C0A2C" w:rsidRPr="00AB481E" w:rsidRDefault="00F27B3A" w:rsidP="003C0A2C">
      <w:pPr>
        <w:spacing w:before="80"/>
        <w:rPr>
          <w:rFonts w:cstheme="minorHAnsi"/>
          <w:szCs w:val="22"/>
        </w:rPr>
      </w:pPr>
      <w:r w:rsidRPr="00AB481E">
        <w:rPr>
          <w:rFonts w:cstheme="minorHAnsi"/>
          <w:szCs w:val="22"/>
        </w:rPr>
        <w:t>The main objective</w:t>
      </w:r>
      <w:r w:rsidR="003C0A2C" w:rsidRPr="00AB481E">
        <w:rPr>
          <w:rFonts w:cstheme="minorHAnsi"/>
          <w:szCs w:val="22"/>
        </w:rPr>
        <w:t>s</w:t>
      </w:r>
      <w:r w:rsidRPr="00AB481E">
        <w:rPr>
          <w:rFonts w:cstheme="minorHAnsi"/>
          <w:szCs w:val="22"/>
        </w:rPr>
        <w:t xml:space="preserve"> of t</w:t>
      </w:r>
      <w:r w:rsidR="00F705AE" w:rsidRPr="00AB481E">
        <w:rPr>
          <w:rFonts w:cstheme="minorHAnsi"/>
          <w:szCs w:val="22"/>
        </w:rPr>
        <w:t>h</w:t>
      </w:r>
      <w:r w:rsidR="00862C7A" w:rsidRPr="00AB481E">
        <w:rPr>
          <w:rFonts w:cstheme="minorHAnsi"/>
          <w:szCs w:val="22"/>
        </w:rPr>
        <w:t>is</w:t>
      </w:r>
      <w:r w:rsidRPr="00AB481E">
        <w:rPr>
          <w:rFonts w:cstheme="minorHAnsi"/>
          <w:szCs w:val="22"/>
        </w:rPr>
        <w:t xml:space="preserve"> Study Group 13 meeting </w:t>
      </w:r>
      <w:r w:rsidR="003C0A2C" w:rsidRPr="00AB481E">
        <w:rPr>
          <w:rFonts w:cstheme="minorHAnsi"/>
          <w:szCs w:val="22"/>
        </w:rPr>
        <w:t>are</w:t>
      </w:r>
      <w:r w:rsidR="00862C7A" w:rsidRPr="00AB481E">
        <w:rPr>
          <w:rFonts w:cstheme="minorHAnsi"/>
          <w:szCs w:val="22"/>
        </w:rPr>
        <w:t xml:space="preserve"> as follows:</w:t>
      </w:r>
      <w:r w:rsidR="006859C2" w:rsidRPr="00AB481E">
        <w:rPr>
          <w:rFonts w:cstheme="minorHAnsi"/>
          <w:szCs w:val="22"/>
        </w:rPr>
        <w:t xml:space="preserve"> </w:t>
      </w:r>
    </w:p>
    <w:p w14:paraId="7C53C44C" w14:textId="14BC2478" w:rsidR="003C0A2C" w:rsidRPr="00AB481E" w:rsidRDefault="003C0A2C" w:rsidP="003C0A2C">
      <w:pPr>
        <w:pStyle w:val="ListParagraph"/>
        <w:numPr>
          <w:ilvl w:val="0"/>
          <w:numId w:val="24"/>
        </w:numPr>
        <w:spacing w:before="80"/>
        <w:rPr>
          <w:rFonts w:asciiTheme="minorHAnsi" w:hAnsiTheme="minorHAnsi"/>
          <w:szCs w:val="22"/>
        </w:rPr>
      </w:pPr>
      <w:bookmarkStart w:id="2" w:name="_Hlk48078370"/>
      <w:r w:rsidRPr="00AB481E">
        <w:rPr>
          <w:rFonts w:asciiTheme="minorHAnsi" w:hAnsiTheme="minorHAnsi"/>
          <w:szCs w:val="22"/>
        </w:rPr>
        <w:t xml:space="preserve">to </w:t>
      </w:r>
      <w:r w:rsidR="00862C7A" w:rsidRPr="00AB481E">
        <w:rPr>
          <w:rFonts w:asciiTheme="minorHAnsi" w:hAnsiTheme="minorHAnsi"/>
          <w:szCs w:val="22"/>
        </w:rPr>
        <w:t>decide</w:t>
      </w:r>
      <w:r w:rsidRPr="00AB481E">
        <w:rPr>
          <w:rFonts w:asciiTheme="minorHAnsi" w:hAnsiTheme="minorHAnsi"/>
          <w:szCs w:val="22"/>
        </w:rPr>
        <w:t xml:space="preserve"> on</w:t>
      </w:r>
      <w:r w:rsidR="00862C7A" w:rsidRPr="00AB481E">
        <w:rPr>
          <w:rFonts w:asciiTheme="minorHAnsi" w:hAnsiTheme="minorHAnsi"/>
          <w:szCs w:val="22"/>
        </w:rPr>
        <w:t xml:space="preserve"> the</w:t>
      </w:r>
      <w:r w:rsidRPr="00AB481E">
        <w:rPr>
          <w:rFonts w:asciiTheme="minorHAnsi" w:hAnsiTheme="minorHAnsi"/>
          <w:szCs w:val="22"/>
        </w:rPr>
        <w:t xml:space="preserve"> proposed Question F “</w:t>
      </w:r>
      <w:r w:rsidRPr="00AB481E">
        <w:rPr>
          <w:rFonts w:asciiTheme="minorHAnsi" w:hAnsiTheme="minorHAnsi"/>
          <w:i/>
          <w:iCs/>
          <w:szCs w:val="22"/>
        </w:rPr>
        <w:t>Requirements, capabilities and architecture for Future Vertical Communication Networks including support of high precision and deterministic networking</w:t>
      </w:r>
      <w:r w:rsidRPr="00AB481E">
        <w:rPr>
          <w:rFonts w:asciiTheme="minorHAnsi" w:hAnsiTheme="minorHAnsi"/>
          <w:szCs w:val="22"/>
        </w:rPr>
        <w:t>” and Question G ”</w:t>
      </w:r>
      <w:r w:rsidRPr="00AB481E">
        <w:rPr>
          <w:rFonts w:asciiTheme="minorHAnsi" w:hAnsiTheme="minorHAnsi"/>
          <w:i/>
          <w:iCs/>
          <w:szCs w:val="22"/>
        </w:rPr>
        <w:t xml:space="preserve">Framework and Technologies for </w:t>
      </w:r>
      <w:proofErr w:type="spellStart"/>
      <w:r w:rsidRPr="00AB481E">
        <w:rPr>
          <w:rFonts w:asciiTheme="minorHAnsi" w:hAnsiTheme="minorHAnsi"/>
          <w:i/>
          <w:iCs/>
          <w:szCs w:val="22"/>
        </w:rPr>
        <w:t>ManyNets</w:t>
      </w:r>
      <w:proofErr w:type="spellEnd"/>
      <w:r w:rsidRPr="00AB481E">
        <w:rPr>
          <w:rFonts w:asciiTheme="minorHAnsi" w:hAnsiTheme="minorHAnsi"/>
          <w:i/>
          <w:iCs/>
          <w:szCs w:val="22"/>
        </w:rPr>
        <w:t xml:space="preserve"> in Future Vertical Communication Networks</w:t>
      </w:r>
      <w:r w:rsidRPr="00AB481E">
        <w:rPr>
          <w:rFonts w:asciiTheme="minorHAnsi" w:hAnsiTheme="minorHAnsi"/>
          <w:szCs w:val="22"/>
        </w:rPr>
        <w:t>” for the next study period</w:t>
      </w:r>
      <w:bookmarkEnd w:id="2"/>
      <w:r w:rsidRPr="00AB481E">
        <w:rPr>
          <w:rFonts w:asciiTheme="minorHAnsi" w:hAnsiTheme="minorHAnsi"/>
          <w:szCs w:val="22"/>
        </w:rPr>
        <w:t>,</w:t>
      </w:r>
    </w:p>
    <w:p w14:paraId="5D01A480" w14:textId="01BBB3AC" w:rsidR="008E0644" w:rsidRPr="00AB481E" w:rsidRDefault="00862C7A" w:rsidP="003C0A2C">
      <w:pPr>
        <w:pStyle w:val="ListParagraph"/>
        <w:numPr>
          <w:ilvl w:val="0"/>
          <w:numId w:val="24"/>
        </w:numPr>
        <w:spacing w:before="80"/>
        <w:rPr>
          <w:rFonts w:asciiTheme="minorHAnsi" w:hAnsiTheme="minorHAnsi"/>
          <w:szCs w:val="22"/>
        </w:rPr>
      </w:pPr>
      <w:r w:rsidRPr="00AB481E">
        <w:rPr>
          <w:rFonts w:asciiTheme="minorHAnsi" w:hAnsiTheme="minorHAnsi"/>
          <w:szCs w:val="22"/>
        </w:rPr>
        <w:t xml:space="preserve">to </w:t>
      </w:r>
      <w:r w:rsidR="008E0644" w:rsidRPr="00AB481E">
        <w:rPr>
          <w:rFonts w:asciiTheme="minorHAnsi" w:hAnsiTheme="minorHAnsi"/>
          <w:szCs w:val="22"/>
        </w:rPr>
        <w:t>review the status of “</w:t>
      </w:r>
      <w:r w:rsidR="008E0644" w:rsidRPr="00AB481E">
        <w:rPr>
          <w:rFonts w:asciiTheme="minorHAnsi" w:hAnsiTheme="minorHAnsi"/>
          <w:i/>
          <w:iCs/>
          <w:szCs w:val="22"/>
        </w:rPr>
        <w:t>Gap Analysis of Network 2030 New Services, Capabilities and Use Cases</w:t>
      </w:r>
      <w:r w:rsidR="008E0644" w:rsidRPr="00AB481E">
        <w:rPr>
          <w:rFonts w:asciiTheme="minorHAnsi" w:hAnsiTheme="minorHAnsi"/>
          <w:szCs w:val="22"/>
        </w:rPr>
        <w:t>” and take the corresponding follow up steps</w:t>
      </w:r>
      <w:r w:rsidR="00C672E9" w:rsidRPr="00AB481E">
        <w:rPr>
          <w:rFonts w:asciiTheme="minorHAnsi" w:hAnsiTheme="minorHAnsi"/>
          <w:szCs w:val="22"/>
        </w:rPr>
        <w:t xml:space="preserve"> (consider approval),</w:t>
      </w:r>
    </w:p>
    <w:p w14:paraId="517A7263" w14:textId="7E9FF808" w:rsidR="008C63FF" w:rsidRPr="00AB481E" w:rsidRDefault="008C63FF" w:rsidP="008C63FF">
      <w:pPr>
        <w:pStyle w:val="ListParagraph"/>
        <w:numPr>
          <w:ilvl w:val="0"/>
          <w:numId w:val="24"/>
        </w:numPr>
        <w:spacing w:before="80"/>
        <w:rPr>
          <w:rFonts w:asciiTheme="minorHAnsi" w:hAnsiTheme="minorHAnsi"/>
          <w:szCs w:val="22"/>
        </w:rPr>
      </w:pPr>
      <w:r w:rsidRPr="00AB481E">
        <w:rPr>
          <w:rFonts w:asciiTheme="minorHAnsi" w:hAnsiTheme="minorHAnsi"/>
          <w:szCs w:val="22"/>
        </w:rPr>
        <w:t xml:space="preserve">to </w:t>
      </w:r>
      <w:r w:rsidR="00862C7A" w:rsidRPr="00AB481E">
        <w:rPr>
          <w:rFonts w:asciiTheme="minorHAnsi" w:hAnsiTheme="minorHAnsi"/>
          <w:szCs w:val="22"/>
        </w:rPr>
        <w:t xml:space="preserve">consider </w:t>
      </w:r>
      <w:r w:rsidR="00F705AE" w:rsidRPr="00AB481E">
        <w:rPr>
          <w:rFonts w:asciiTheme="minorHAnsi" w:hAnsiTheme="minorHAnsi"/>
          <w:szCs w:val="22"/>
        </w:rPr>
        <w:t xml:space="preserve">for </w:t>
      </w:r>
      <w:r w:rsidRPr="00AB481E">
        <w:rPr>
          <w:rFonts w:asciiTheme="minorHAnsi" w:hAnsiTheme="minorHAnsi"/>
          <w:szCs w:val="22"/>
        </w:rPr>
        <w:t>consent the following draft Recommendations:</w:t>
      </w:r>
      <w:r w:rsidR="00EC3ED2" w:rsidRPr="00AB481E">
        <w:rPr>
          <w:rFonts w:asciiTheme="minorHAnsi" w:hAnsiTheme="minorHAnsi"/>
          <w:szCs w:val="22"/>
        </w:rPr>
        <w:br/>
      </w:r>
    </w:p>
    <w:p w14:paraId="006D23E3" w14:textId="77777777" w:rsidR="008C63FF" w:rsidRPr="00AB481E" w:rsidRDefault="008C63FF" w:rsidP="008C63FF">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proofErr w:type="gramStart"/>
      <w:r w:rsidRPr="00AB481E">
        <w:rPr>
          <w:szCs w:val="22"/>
        </w:rPr>
        <w:t>Y.IMT</w:t>
      </w:r>
      <w:proofErr w:type="gramEnd"/>
      <w:r w:rsidRPr="00AB481E">
        <w:rPr>
          <w:szCs w:val="22"/>
        </w:rPr>
        <w:t>2020-qos-lg, Requirements for latency guarantee in IMT-2020 network, Q6/13</w:t>
      </w:r>
    </w:p>
    <w:p w14:paraId="7606712F" w14:textId="77777777" w:rsidR="008C63FF" w:rsidRPr="00AB481E" w:rsidRDefault="008C63FF" w:rsidP="008C63FF">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r w:rsidRPr="00AB481E">
        <w:rPr>
          <w:szCs w:val="22"/>
        </w:rPr>
        <w:t>Y.ML-IMT2020-RAFR, Architecture framework for AI-based network automation of resource adaptation and failure recovery for future networks including IMT-2020, Q20/13</w:t>
      </w:r>
    </w:p>
    <w:p w14:paraId="70312157" w14:textId="77777777" w:rsidR="008C63FF" w:rsidRPr="00AB481E" w:rsidRDefault="008C63FF" w:rsidP="008C63FF">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proofErr w:type="gramStart"/>
      <w:r w:rsidRPr="00AB481E">
        <w:rPr>
          <w:szCs w:val="22"/>
        </w:rPr>
        <w:t>Y.IMT</w:t>
      </w:r>
      <w:proofErr w:type="gramEnd"/>
      <w:r w:rsidRPr="00AB481E">
        <w:rPr>
          <w:szCs w:val="22"/>
        </w:rPr>
        <w:t>2020-NSC IMT-2020, IMT-2020 network slice configuration, Q21/13</w:t>
      </w:r>
    </w:p>
    <w:p w14:paraId="27D9095B" w14:textId="77777777" w:rsidR="008C63FF" w:rsidRPr="00AB481E" w:rsidRDefault="008C63FF" w:rsidP="008C63FF">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r w:rsidRPr="00AB481E">
        <w:rPr>
          <w:szCs w:val="22"/>
        </w:rPr>
        <w:t>Y.FMC-EC, Unified edge computing for supporting fixed mobile convergence in IMT-2020 networks, Q23/13</w:t>
      </w:r>
    </w:p>
    <w:p w14:paraId="4C48C08C" w14:textId="65B374FD" w:rsidR="00AB481E" w:rsidRPr="00AB481E" w:rsidRDefault="008C63FF" w:rsidP="008C63FF">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r w:rsidRPr="00AB481E">
        <w:rPr>
          <w:szCs w:val="22"/>
        </w:rPr>
        <w:t>Y.FMC-SS, Service scheduling for supporting FMC in IMT-2020 network, Q23/13</w:t>
      </w:r>
    </w:p>
    <w:p w14:paraId="4F42E4C0" w14:textId="77777777" w:rsidR="00291366" w:rsidRPr="00AB481E" w:rsidRDefault="008C63FF" w:rsidP="00112042">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r w:rsidRPr="00AB481E">
        <w:rPr>
          <w:szCs w:val="22"/>
        </w:rPr>
        <w:t>Y.SBN-TR, Service brokering network framework for Trusted Reality, Q23/13</w:t>
      </w:r>
    </w:p>
    <w:p w14:paraId="762F00D4" w14:textId="05E57840" w:rsidR="008C63FF" w:rsidRPr="00AB481E" w:rsidRDefault="008C63FF" w:rsidP="00112042">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r w:rsidRPr="00AB481E">
        <w:rPr>
          <w:szCs w:val="22"/>
        </w:rPr>
        <w:t>Y.NGN-PLA-</w:t>
      </w:r>
      <w:proofErr w:type="spellStart"/>
      <w:r w:rsidRPr="00AB481E">
        <w:rPr>
          <w:szCs w:val="22"/>
        </w:rPr>
        <w:t>reqts</w:t>
      </w:r>
      <w:proofErr w:type="spellEnd"/>
      <w:r w:rsidRPr="00AB481E">
        <w:rPr>
          <w:szCs w:val="22"/>
        </w:rPr>
        <w:t>, Scenarios and Capability Requirements of Programmable Log Analysis in Next Generation Networks, Q2/13</w:t>
      </w:r>
    </w:p>
    <w:p w14:paraId="49B6F7F1" w14:textId="77777777" w:rsidR="0064716B" w:rsidRPr="00AB481E" w:rsidRDefault="008C63FF" w:rsidP="0064716B">
      <w:pPr>
        <w:numPr>
          <w:ilvl w:val="0"/>
          <w:numId w:val="22"/>
        </w:numPr>
        <w:tabs>
          <w:tab w:val="clear" w:pos="794"/>
          <w:tab w:val="clear" w:pos="1191"/>
          <w:tab w:val="clear" w:pos="1588"/>
          <w:tab w:val="clear" w:pos="1985"/>
        </w:tabs>
        <w:overflowPunct/>
        <w:autoSpaceDE/>
        <w:autoSpaceDN/>
        <w:adjustRightInd/>
        <w:spacing w:before="0" w:after="160" w:line="259" w:lineRule="auto"/>
        <w:textAlignment w:val="auto"/>
        <w:rPr>
          <w:szCs w:val="22"/>
        </w:rPr>
      </w:pPr>
      <w:proofErr w:type="spellStart"/>
      <w:r w:rsidRPr="00AB481E">
        <w:rPr>
          <w:szCs w:val="22"/>
        </w:rPr>
        <w:t>Y.OBF_trust</w:t>
      </w:r>
      <w:proofErr w:type="spellEnd"/>
      <w:r w:rsidRPr="00AB481E">
        <w:rPr>
          <w:szCs w:val="22"/>
        </w:rPr>
        <w:t>, Open Bootstrap Framework enabling trusted devices, applications and services for distributed diverse ecosystems, Q16/13</w:t>
      </w:r>
    </w:p>
    <w:p w14:paraId="63441732" w14:textId="28200A90" w:rsidR="0064716B" w:rsidRPr="00AB481E" w:rsidRDefault="0064716B" w:rsidP="0064716B">
      <w:pPr>
        <w:tabs>
          <w:tab w:val="clear" w:pos="794"/>
          <w:tab w:val="clear" w:pos="1191"/>
          <w:tab w:val="clear" w:pos="1588"/>
          <w:tab w:val="clear" w:pos="1985"/>
        </w:tabs>
        <w:overflowPunct/>
        <w:autoSpaceDE/>
        <w:autoSpaceDN/>
        <w:adjustRightInd/>
        <w:spacing w:before="0" w:after="160" w:line="259" w:lineRule="auto"/>
        <w:textAlignment w:val="auto"/>
        <w:rPr>
          <w:szCs w:val="22"/>
        </w:rPr>
      </w:pPr>
      <w:r w:rsidRPr="00AB481E">
        <w:rPr>
          <w:rFonts w:cstheme="minorHAnsi"/>
          <w:szCs w:val="22"/>
        </w:rPr>
        <w:lastRenderedPageBreak/>
        <w:t xml:space="preserve">Consideration of the new work items, the outgoing liaison statements and </w:t>
      </w:r>
      <w:proofErr w:type="gramStart"/>
      <w:r w:rsidRPr="00AB481E">
        <w:rPr>
          <w:rFonts w:cstheme="minorHAnsi"/>
          <w:szCs w:val="22"/>
        </w:rPr>
        <w:t>future plans</w:t>
      </w:r>
      <w:proofErr w:type="gramEnd"/>
      <w:r w:rsidRPr="00AB481E">
        <w:rPr>
          <w:rFonts w:cstheme="minorHAnsi"/>
          <w:szCs w:val="22"/>
        </w:rPr>
        <w:t xml:space="preserve"> are also part of the agenda of the SG13 meeting.</w:t>
      </w:r>
    </w:p>
    <w:p w14:paraId="5AE49962" w14:textId="77777777" w:rsidR="00A129C1" w:rsidRPr="00AB481E" w:rsidRDefault="00A129C1" w:rsidP="00A129C1">
      <w:pPr>
        <w:rPr>
          <w:szCs w:val="22"/>
        </w:rPr>
      </w:pPr>
      <w:r w:rsidRPr="00AB481E">
        <w:rPr>
          <w:b/>
          <w:bCs/>
          <w:szCs w:val="22"/>
        </w:rPr>
        <w:t>Key deadlines</w:t>
      </w:r>
      <w:r w:rsidRPr="00AB481E">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AB481E" w14:paraId="52FE6084" w14:textId="77777777" w:rsidTr="00DC6AE7">
        <w:tc>
          <w:tcPr>
            <w:tcW w:w="1980" w:type="dxa"/>
            <w:shd w:val="clear" w:color="auto" w:fill="auto"/>
            <w:vAlign w:val="center"/>
          </w:tcPr>
          <w:p w14:paraId="0EDD372C" w14:textId="394C7D5B" w:rsidR="00025A7B" w:rsidRPr="00AB481E" w:rsidRDefault="00546626" w:rsidP="00792A3A">
            <w:pPr>
              <w:pStyle w:val="TableText0"/>
              <w:rPr>
                <w:rFonts w:asciiTheme="minorHAnsi" w:hAnsiTheme="minorHAnsi"/>
                <w:szCs w:val="22"/>
              </w:rPr>
            </w:pPr>
            <w:r w:rsidRPr="00AB481E">
              <w:rPr>
                <w:rFonts w:asciiTheme="minorHAnsi" w:hAnsiTheme="minorHAnsi"/>
                <w:szCs w:val="22"/>
              </w:rPr>
              <w:t>1</w:t>
            </w:r>
            <w:r w:rsidR="00C24F4D" w:rsidRPr="00AB481E">
              <w:rPr>
                <w:rFonts w:asciiTheme="minorHAnsi" w:hAnsiTheme="minorHAnsi"/>
                <w:szCs w:val="22"/>
              </w:rPr>
              <w:t>7 October</w:t>
            </w:r>
            <w:r w:rsidR="00DD0CF0" w:rsidRPr="00AB481E">
              <w:rPr>
                <w:rFonts w:asciiTheme="minorHAnsi" w:hAnsiTheme="minorHAnsi"/>
                <w:szCs w:val="22"/>
              </w:rPr>
              <w:t xml:space="preserve"> 2020</w:t>
            </w:r>
          </w:p>
        </w:tc>
        <w:tc>
          <w:tcPr>
            <w:tcW w:w="7668" w:type="dxa"/>
            <w:shd w:val="clear" w:color="auto" w:fill="auto"/>
          </w:tcPr>
          <w:p w14:paraId="579A3C0B" w14:textId="77777777" w:rsidR="00025A7B" w:rsidRPr="00AB481E" w:rsidRDefault="00B027CC" w:rsidP="00C76E40">
            <w:pPr>
              <w:pStyle w:val="TableText0"/>
              <w:ind w:left="172" w:hanging="207"/>
              <w:rPr>
                <w:rFonts w:asciiTheme="minorHAnsi" w:hAnsiTheme="minorHAnsi"/>
                <w:szCs w:val="22"/>
              </w:rPr>
            </w:pPr>
            <w:r w:rsidRPr="00AB481E">
              <w:rPr>
                <w:rFonts w:asciiTheme="minorHAnsi" w:hAnsiTheme="minorHAnsi"/>
                <w:szCs w:val="22"/>
              </w:rPr>
              <w:t>-</w:t>
            </w:r>
            <w:r w:rsidRPr="00AB481E">
              <w:rPr>
                <w:rFonts w:asciiTheme="minorHAnsi" w:hAnsiTheme="minorHAnsi"/>
                <w:szCs w:val="22"/>
              </w:rPr>
              <w:tab/>
            </w:r>
            <w:hyperlink r:id="rId13" w:history="1">
              <w:r w:rsidR="007A3B5D" w:rsidRPr="00AB481E">
                <w:rPr>
                  <w:rStyle w:val="Hyperlink"/>
                  <w:rFonts w:asciiTheme="minorHAnsi" w:hAnsiTheme="minorHAnsi"/>
                  <w:szCs w:val="22"/>
                </w:rPr>
                <w:t>Submit ITU-T Member contributions</w:t>
              </w:r>
            </w:hyperlink>
            <w:r w:rsidR="00025A7B" w:rsidRPr="00AB481E">
              <w:rPr>
                <w:rFonts w:asciiTheme="minorHAnsi" w:hAnsiTheme="minorHAnsi"/>
                <w:szCs w:val="22"/>
              </w:rPr>
              <w:t xml:space="preserve"> for which translation is requested</w:t>
            </w:r>
          </w:p>
        </w:tc>
      </w:tr>
      <w:tr w:rsidR="00292701" w:rsidRPr="00AB481E" w14:paraId="380C5EBF" w14:textId="77777777" w:rsidTr="00DC6AE7">
        <w:trPr>
          <w:trHeight w:val="462"/>
        </w:trPr>
        <w:tc>
          <w:tcPr>
            <w:tcW w:w="1980" w:type="dxa"/>
            <w:shd w:val="clear" w:color="auto" w:fill="auto"/>
            <w:vAlign w:val="center"/>
          </w:tcPr>
          <w:p w14:paraId="03C97EB9" w14:textId="1A7D9097" w:rsidR="00292701" w:rsidRPr="00AB481E" w:rsidRDefault="00546626" w:rsidP="00792A3A">
            <w:pPr>
              <w:pStyle w:val="TableText0"/>
              <w:rPr>
                <w:rFonts w:asciiTheme="minorHAnsi" w:hAnsiTheme="minorHAnsi"/>
                <w:szCs w:val="22"/>
              </w:rPr>
            </w:pPr>
            <w:r w:rsidRPr="00AB481E">
              <w:rPr>
                <w:rFonts w:asciiTheme="minorHAnsi" w:hAnsiTheme="minorHAnsi"/>
                <w:szCs w:val="22"/>
              </w:rPr>
              <w:t>1</w:t>
            </w:r>
            <w:r w:rsidR="00C24F4D" w:rsidRPr="00AB481E">
              <w:rPr>
                <w:rFonts w:asciiTheme="minorHAnsi" w:hAnsiTheme="minorHAnsi"/>
                <w:szCs w:val="22"/>
              </w:rPr>
              <w:t>7 November</w:t>
            </w:r>
            <w:r w:rsidR="00292701" w:rsidRPr="00AB481E">
              <w:rPr>
                <w:rFonts w:asciiTheme="minorHAnsi" w:hAnsiTheme="minorHAnsi"/>
                <w:szCs w:val="22"/>
              </w:rPr>
              <w:t xml:space="preserve"> 2020</w:t>
            </w:r>
          </w:p>
        </w:tc>
        <w:tc>
          <w:tcPr>
            <w:tcW w:w="7668" w:type="dxa"/>
            <w:shd w:val="clear" w:color="auto" w:fill="auto"/>
          </w:tcPr>
          <w:p w14:paraId="640F3FB8" w14:textId="7F538D28" w:rsidR="00292701" w:rsidRPr="00AB481E" w:rsidRDefault="00292701" w:rsidP="002C4D1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AB481E">
              <w:rPr>
                <w:rFonts w:asciiTheme="minorHAnsi" w:hAnsiTheme="minorHAnsi"/>
                <w:szCs w:val="22"/>
              </w:rPr>
              <w:t>-</w:t>
            </w:r>
            <w:r w:rsidRPr="00AB481E">
              <w:rPr>
                <w:rFonts w:asciiTheme="minorHAnsi" w:hAnsiTheme="minorHAnsi"/>
                <w:szCs w:val="22"/>
              </w:rPr>
              <w:tab/>
            </w:r>
            <w:r w:rsidR="00C16228" w:rsidRPr="00AB481E">
              <w:rPr>
                <w:rFonts w:asciiTheme="minorHAnsi" w:hAnsiTheme="minorHAnsi"/>
                <w:szCs w:val="22"/>
              </w:rPr>
              <w:t>R</w:t>
            </w:r>
            <w:r w:rsidRPr="00AB481E">
              <w:rPr>
                <w:rFonts w:asciiTheme="minorHAnsi" w:hAnsiTheme="minorHAnsi"/>
                <w:szCs w:val="22"/>
              </w:rPr>
              <w:t>egistration (via the online registration form on the study group homepage</w:t>
            </w:r>
            <w:r w:rsidR="002C4D11" w:rsidRPr="00AB481E">
              <w:rPr>
                <w:rFonts w:asciiTheme="minorHAnsi" w:hAnsiTheme="minorHAnsi"/>
                <w:szCs w:val="22"/>
              </w:rPr>
              <w:t xml:space="preserve"> </w:t>
            </w:r>
            <w:hyperlink r:id="rId14" w:history="1">
              <w:r w:rsidR="002C4D11" w:rsidRPr="00AB481E">
                <w:rPr>
                  <w:rStyle w:val="Hyperlink"/>
                  <w:rFonts w:asciiTheme="minorHAnsi" w:hAnsiTheme="minorHAnsi"/>
                  <w:szCs w:val="22"/>
                </w:rPr>
                <w:t>www.itu.int/go/tsg13</w:t>
              </w:r>
            </w:hyperlink>
            <w:r w:rsidRPr="00AB481E">
              <w:rPr>
                <w:rFonts w:asciiTheme="minorHAnsi" w:hAnsiTheme="minorHAnsi"/>
                <w:szCs w:val="22"/>
              </w:rPr>
              <w:t>)</w:t>
            </w:r>
          </w:p>
        </w:tc>
      </w:tr>
      <w:tr w:rsidR="00292701" w:rsidRPr="00AB481E" w14:paraId="22FADF62" w14:textId="77777777" w:rsidTr="00DC6AE7">
        <w:tc>
          <w:tcPr>
            <w:tcW w:w="1980" w:type="dxa"/>
            <w:shd w:val="clear" w:color="auto" w:fill="auto"/>
            <w:vAlign w:val="center"/>
          </w:tcPr>
          <w:p w14:paraId="4019DEBD" w14:textId="2CD23DAE" w:rsidR="00292701" w:rsidRPr="00AB481E" w:rsidRDefault="00DC6AE7" w:rsidP="00292701">
            <w:pPr>
              <w:pStyle w:val="TableText0"/>
              <w:rPr>
                <w:rFonts w:asciiTheme="minorHAnsi" w:hAnsiTheme="minorHAnsi"/>
                <w:szCs w:val="22"/>
                <w:highlight w:val="yellow"/>
              </w:rPr>
            </w:pPr>
            <w:r w:rsidRPr="00AB481E">
              <w:rPr>
                <w:rFonts w:asciiTheme="minorHAnsi" w:hAnsiTheme="minorHAnsi"/>
                <w:szCs w:val="22"/>
              </w:rPr>
              <w:t>24 November</w:t>
            </w:r>
            <w:r w:rsidR="00292701" w:rsidRPr="00AB481E">
              <w:rPr>
                <w:rFonts w:asciiTheme="minorHAnsi" w:hAnsiTheme="minorHAnsi"/>
                <w:szCs w:val="22"/>
              </w:rPr>
              <w:t xml:space="preserve"> 2020</w:t>
            </w:r>
          </w:p>
        </w:tc>
        <w:tc>
          <w:tcPr>
            <w:tcW w:w="7668" w:type="dxa"/>
            <w:shd w:val="clear" w:color="auto" w:fill="auto"/>
          </w:tcPr>
          <w:p w14:paraId="3B82C636" w14:textId="77777777" w:rsidR="00292701" w:rsidRPr="00AB481E" w:rsidRDefault="00292701" w:rsidP="0029270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AB481E">
              <w:rPr>
                <w:rFonts w:asciiTheme="minorHAnsi" w:hAnsiTheme="minorHAnsi"/>
                <w:szCs w:val="22"/>
                <w:lang w:val="fr-FR"/>
              </w:rPr>
              <w:t>-</w:t>
            </w:r>
            <w:r w:rsidRPr="00AB481E">
              <w:rPr>
                <w:rFonts w:asciiTheme="minorHAnsi" w:hAnsiTheme="minorHAnsi"/>
                <w:szCs w:val="22"/>
                <w:lang w:val="fr-FR"/>
              </w:rPr>
              <w:tab/>
            </w:r>
            <w:hyperlink r:id="rId15" w:history="1">
              <w:proofErr w:type="spellStart"/>
              <w:r w:rsidRPr="00AB481E">
                <w:rPr>
                  <w:rStyle w:val="Hyperlink"/>
                  <w:rFonts w:asciiTheme="minorHAnsi" w:hAnsiTheme="minorHAnsi"/>
                  <w:szCs w:val="22"/>
                  <w:lang w:val="fr-FR"/>
                </w:rPr>
                <w:t>Submit</w:t>
              </w:r>
              <w:proofErr w:type="spellEnd"/>
              <w:r w:rsidRPr="00AB481E">
                <w:rPr>
                  <w:rStyle w:val="Hyperlink"/>
                  <w:rFonts w:asciiTheme="minorHAnsi" w:hAnsiTheme="minorHAnsi"/>
                  <w:szCs w:val="22"/>
                  <w:lang w:val="fr-FR"/>
                </w:rPr>
                <w:t xml:space="preserve"> ITU-T Member contributions (via Direct Document </w:t>
              </w:r>
              <w:proofErr w:type="spellStart"/>
              <w:r w:rsidRPr="00AB481E">
                <w:rPr>
                  <w:rStyle w:val="Hyperlink"/>
                  <w:rFonts w:asciiTheme="minorHAnsi" w:hAnsiTheme="minorHAnsi"/>
                  <w:szCs w:val="22"/>
                  <w:lang w:val="fr-FR"/>
                </w:rPr>
                <w:t>Posting</w:t>
              </w:r>
              <w:proofErr w:type="spellEnd"/>
              <w:r w:rsidRPr="00AB481E">
                <w:rPr>
                  <w:rStyle w:val="Hyperlink"/>
                  <w:rFonts w:asciiTheme="minorHAnsi" w:hAnsiTheme="minorHAnsi"/>
                  <w:szCs w:val="22"/>
                  <w:lang w:val="fr-FR"/>
                </w:rPr>
                <w:t>)</w:t>
              </w:r>
            </w:hyperlink>
          </w:p>
        </w:tc>
      </w:tr>
    </w:tbl>
    <w:p w14:paraId="16CBF6D9" w14:textId="5F769428" w:rsidR="00F27B3A" w:rsidRPr="00AB481E" w:rsidRDefault="003B0452" w:rsidP="004E007C">
      <w:pPr>
        <w:spacing w:before="120"/>
        <w:rPr>
          <w:szCs w:val="22"/>
        </w:rPr>
      </w:pPr>
      <w:r w:rsidRPr="00AB481E">
        <w:rPr>
          <w:szCs w:val="22"/>
        </w:rPr>
        <w:t xml:space="preserve">Practical meeting information is set out in </w:t>
      </w:r>
      <w:r w:rsidRPr="00AB481E">
        <w:rPr>
          <w:b/>
          <w:bCs/>
          <w:szCs w:val="22"/>
        </w:rPr>
        <w:t>Annex A</w:t>
      </w:r>
      <w:r w:rsidRPr="00AB481E">
        <w:rPr>
          <w:szCs w:val="22"/>
        </w:rPr>
        <w:t xml:space="preserve">. The draft </w:t>
      </w:r>
      <w:r w:rsidRPr="00AB481E">
        <w:rPr>
          <w:b/>
          <w:bCs/>
          <w:szCs w:val="22"/>
        </w:rPr>
        <w:t xml:space="preserve">Agenda </w:t>
      </w:r>
      <w:r w:rsidRPr="00AB481E">
        <w:rPr>
          <w:szCs w:val="22"/>
        </w:rPr>
        <w:t xml:space="preserve">of the meeting, as prepared by the Chairman of the Study Group 13, </w:t>
      </w:r>
      <w:r w:rsidR="00B118AC" w:rsidRPr="00AB481E">
        <w:rPr>
          <w:szCs w:val="22"/>
        </w:rPr>
        <w:t>Mr Leo Lehmann</w:t>
      </w:r>
      <w:r w:rsidR="001C2521" w:rsidRPr="00AB481E">
        <w:rPr>
          <w:szCs w:val="22"/>
        </w:rPr>
        <w:t xml:space="preserve"> (Switzerland)</w:t>
      </w:r>
      <w:r w:rsidR="00B118AC" w:rsidRPr="00AB481E">
        <w:rPr>
          <w:szCs w:val="22"/>
        </w:rPr>
        <w:t xml:space="preserve">, </w:t>
      </w:r>
      <w:r w:rsidRPr="00AB481E">
        <w:rPr>
          <w:szCs w:val="22"/>
        </w:rPr>
        <w:t xml:space="preserve">is set out in in </w:t>
      </w:r>
      <w:r w:rsidRPr="00AB481E">
        <w:rPr>
          <w:b/>
          <w:bCs/>
          <w:szCs w:val="22"/>
        </w:rPr>
        <w:t>Annex B</w:t>
      </w:r>
      <w:r w:rsidRPr="00AB481E">
        <w:rPr>
          <w:szCs w:val="22"/>
        </w:rPr>
        <w:t>.</w:t>
      </w:r>
      <w:r w:rsidRPr="00AB481E">
        <w:rPr>
          <w:szCs w:val="22"/>
        </w:rPr>
        <w:br/>
      </w:r>
    </w:p>
    <w:p w14:paraId="29C9B0AF" w14:textId="77777777" w:rsidR="000B46FB" w:rsidRPr="00AB481E" w:rsidRDefault="001C0948" w:rsidP="00491EEB">
      <w:pPr>
        <w:keepNext/>
        <w:keepLines/>
        <w:spacing w:before="240"/>
        <w:rPr>
          <w:szCs w:val="22"/>
        </w:rPr>
      </w:pPr>
      <w:r w:rsidRPr="00AB481E">
        <w:rPr>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AB481E" w14:paraId="00E9A7D3" w14:textId="77777777" w:rsidTr="00C96F66">
        <w:trPr>
          <w:cantSplit/>
          <w:trHeight w:val="1955"/>
        </w:trPr>
        <w:tc>
          <w:tcPr>
            <w:tcW w:w="6663" w:type="dxa"/>
            <w:vMerge w:val="restart"/>
            <w:tcBorders>
              <w:right w:val="single" w:sz="4" w:space="0" w:color="auto"/>
            </w:tcBorders>
          </w:tcPr>
          <w:p w14:paraId="4FE9F014" w14:textId="15D60DA4" w:rsidR="00BC5760" w:rsidRPr="00AB481E" w:rsidRDefault="0057770B" w:rsidP="00AB481E">
            <w:pPr>
              <w:keepNext/>
              <w:keepLines/>
              <w:spacing w:before="480"/>
              <w:ind w:left="-110"/>
              <w:rPr>
                <w:szCs w:val="22"/>
              </w:rPr>
            </w:pPr>
            <w:r w:rsidRPr="00AB481E">
              <w:rPr>
                <w:szCs w:val="22"/>
              </w:rPr>
              <w:t>Yours faithfully,</w:t>
            </w:r>
          </w:p>
          <w:p w14:paraId="5CAC1F35" w14:textId="4FD60D8A" w:rsidR="0057770B" w:rsidRPr="00AB481E" w:rsidRDefault="008A1CF1" w:rsidP="00AB481E">
            <w:pPr>
              <w:keepNext/>
              <w:keepLines/>
              <w:spacing w:before="960"/>
              <w:ind w:left="-108"/>
              <w:rPr>
                <w:szCs w:val="22"/>
              </w:rPr>
            </w:pPr>
            <w:r>
              <w:rPr>
                <w:noProof/>
                <w:szCs w:val="22"/>
              </w:rPr>
              <w:drawing>
                <wp:anchor distT="0" distB="0" distL="114300" distR="114300" simplePos="0" relativeHeight="251658240" behindDoc="1" locked="0" layoutInCell="1" allowOverlap="1" wp14:anchorId="02FCB83D" wp14:editId="4F05E4BD">
                  <wp:simplePos x="0" y="0"/>
                  <wp:positionH relativeFrom="column">
                    <wp:posOffset>-69086</wp:posOffset>
                  </wp:positionH>
                  <wp:positionV relativeFrom="paragraph">
                    <wp:posOffset>177800</wp:posOffset>
                  </wp:positionV>
                  <wp:extent cx="654050" cy="276280"/>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654050" cy="276280"/>
                          </a:xfrm>
                          <a:prstGeom prst="rect">
                            <a:avLst/>
                          </a:prstGeom>
                        </pic:spPr>
                      </pic:pic>
                    </a:graphicData>
                  </a:graphic>
                  <wp14:sizeRelH relativeFrom="margin">
                    <wp14:pctWidth>0</wp14:pctWidth>
                  </wp14:sizeRelH>
                  <wp14:sizeRelV relativeFrom="margin">
                    <wp14:pctHeight>0</wp14:pctHeight>
                  </wp14:sizeRelV>
                </wp:anchor>
              </w:drawing>
            </w:r>
            <w:r w:rsidR="0057770B" w:rsidRPr="00AB481E">
              <w:rPr>
                <w:szCs w:val="22"/>
              </w:rPr>
              <w:t>Chaesub Lee</w:t>
            </w:r>
            <w:r w:rsidR="0057770B" w:rsidRPr="00AB481E">
              <w:rPr>
                <w:szCs w:val="22"/>
              </w:rPr>
              <w:br/>
              <w:t>Director of the Telecommunication</w:t>
            </w:r>
            <w:r w:rsidR="0057770B" w:rsidRPr="00AB481E">
              <w:rPr>
                <w:szCs w:val="22"/>
              </w:rPr>
              <w:br/>
              <w:t>Standardization Bureau</w:t>
            </w:r>
            <w:r w:rsidR="0057770B" w:rsidRPr="00AB481E">
              <w:rPr>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52361C54" w14:textId="77777777" w:rsidR="0057770B" w:rsidRPr="00AB481E" w:rsidRDefault="0057770B" w:rsidP="00491EEB">
            <w:pPr>
              <w:keepNext/>
              <w:keepLines/>
              <w:spacing w:before="0"/>
              <w:ind w:left="113" w:right="113"/>
              <w:jc w:val="center"/>
              <w:rPr>
                <w:szCs w:val="22"/>
              </w:rPr>
            </w:pPr>
            <w:r w:rsidRPr="00AB481E">
              <w:rPr>
                <w:rFonts w:ascii="Calibri" w:eastAsia="SimSun" w:hAnsi="Calibri" w:cs="Arial"/>
                <w:noProof/>
                <w:szCs w:val="22"/>
                <w:lang w:eastAsia="zh-CN"/>
              </w:rPr>
              <w:drawing>
                <wp:inline distT="0" distB="0" distL="0" distR="0" wp14:anchorId="6FB2DC61" wp14:editId="3BBD5AD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AB481E">
              <w:rPr>
                <w:rFonts w:ascii="Calibri" w:eastAsia="SimSun" w:hAnsi="Calibri" w:cs="Arial"/>
                <w:szCs w:val="22"/>
                <w:lang w:eastAsia="zh-CN"/>
              </w:rPr>
              <w:t xml:space="preserve"> ITU-T SG13</w:t>
            </w:r>
          </w:p>
        </w:tc>
      </w:tr>
      <w:tr w:rsidR="0057770B" w:rsidRPr="00AB481E" w14:paraId="78815BE6" w14:textId="77777777" w:rsidTr="00C96F66">
        <w:trPr>
          <w:cantSplit/>
          <w:trHeight w:val="227"/>
        </w:trPr>
        <w:tc>
          <w:tcPr>
            <w:tcW w:w="6663" w:type="dxa"/>
            <w:vMerge/>
            <w:tcBorders>
              <w:right w:val="single" w:sz="4" w:space="0" w:color="auto"/>
            </w:tcBorders>
          </w:tcPr>
          <w:p w14:paraId="1ED7ECF2" w14:textId="77777777" w:rsidR="0057770B" w:rsidRPr="00AB481E" w:rsidRDefault="0057770B" w:rsidP="0057770B">
            <w:pPr>
              <w:spacing w:before="480"/>
              <w:rPr>
                <w:szCs w:val="22"/>
              </w:rPr>
            </w:pPr>
          </w:p>
        </w:tc>
        <w:tc>
          <w:tcPr>
            <w:tcW w:w="3118" w:type="dxa"/>
            <w:tcBorders>
              <w:left w:val="single" w:sz="4" w:space="0" w:color="auto"/>
              <w:bottom w:val="single" w:sz="4" w:space="0" w:color="auto"/>
              <w:right w:val="single" w:sz="4" w:space="0" w:color="auto"/>
            </w:tcBorders>
            <w:vAlign w:val="center"/>
          </w:tcPr>
          <w:p w14:paraId="5CA9C898" w14:textId="77777777" w:rsidR="0057770B" w:rsidRPr="00AB481E" w:rsidRDefault="0057770B" w:rsidP="0057770B">
            <w:pPr>
              <w:spacing w:before="0"/>
              <w:jc w:val="center"/>
              <w:rPr>
                <w:rFonts w:ascii="Calibri" w:eastAsia="SimSun" w:hAnsi="Calibri" w:cs="Arial"/>
                <w:noProof/>
                <w:szCs w:val="22"/>
                <w:lang w:eastAsia="zh-CN"/>
              </w:rPr>
            </w:pPr>
            <w:r w:rsidRPr="00AB481E">
              <w:rPr>
                <w:szCs w:val="22"/>
              </w:rPr>
              <w:t>Latest meeting information</w:t>
            </w:r>
          </w:p>
        </w:tc>
      </w:tr>
    </w:tbl>
    <w:p w14:paraId="15AF85A3" w14:textId="77777777" w:rsidR="00384E5D" w:rsidRPr="00140476" w:rsidRDefault="0024485F" w:rsidP="00C96F66">
      <w:pPr>
        <w:spacing w:before="480"/>
        <w:rPr>
          <w:sz w:val="24"/>
          <w:szCs w:val="24"/>
        </w:rPr>
      </w:pPr>
      <w:r w:rsidRPr="00AB481E">
        <w:rPr>
          <w:b/>
          <w:bCs/>
          <w:szCs w:val="22"/>
        </w:rPr>
        <w:t>Annexes</w:t>
      </w:r>
      <w:r w:rsidRPr="00AB481E">
        <w:rPr>
          <w:szCs w:val="22"/>
        </w:rPr>
        <w:t xml:space="preserve">: </w:t>
      </w:r>
      <w:r w:rsidR="002A3D35" w:rsidRPr="00AB481E">
        <w:rPr>
          <w:szCs w:val="22"/>
        </w:rPr>
        <w:t>2</w:t>
      </w:r>
      <w:r w:rsidR="00384E5D" w:rsidRPr="00140476">
        <w:rPr>
          <w:sz w:val="24"/>
          <w:szCs w:val="24"/>
        </w:rPr>
        <w:br w:type="page"/>
      </w:r>
    </w:p>
    <w:p w14:paraId="05333E37" w14:textId="77777777" w:rsidR="00B331EA" w:rsidRDefault="00D33EE4" w:rsidP="00442C9B">
      <w:pPr>
        <w:pStyle w:val="Annextitle"/>
      </w:pPr>
      <w:r w:rsidRPr="00B70109">
        <w:lastRenderedPageBreak/>
        <w:t>ANNEX</w:t>
      </w:r>
      <w:r w:rsidR="00EE12EF" w:rsidRPr="00B70109">
        <w:t xml:space="preserve"> </w:t>
      </w:r>
      <w:r w:rsidR="00384E5D" w:rsidRPr="00B70109">
        <w:t>A</w:t>
      </w:r>
    </w:p>
    <w:p w14:paraId="09A67418" w14:textId="578A7D92" w:rsidR="00AC2918" w:rsidRPr="00B70109" w:rsidRDefault="00B331EA" w:rsidP="00442C9B">
      <w:pPr>
        <w:pStyle w:val="Annextitle"/>
      </w:pPr>
      <w:r w:rsidRPr="00B331EA">
        <w:rPr>
          <w:b w:val="0"/>
          <w:bCs/>
          <w:sz w:val="24"/>
        </w:rPr>
        <w:t>(to TSB Collective letter 1</w:t>
      </w:r>
      <w:r w:rsidR="0038217F">
        <w:rPr>
          <w:b w:val="0"/>
          <w:bCs/>
          <w:sz w:val="24"/>
        </w:rPr>
        <w:t>3</w:t>
      </w:r>
      <w:r w:rsidRPr="00B331EA">
        <w:rPr>
          <w:b w:val="0"/>
          <w:bCs/>
          <w:sz w:val="24"/>
        </w:rPr>
        <w:t>/13)</w:t>
      </w:r>
      <w:r w:rsidR="001C39A4" w:rsidRPr="00B331EA">
        <w:rPr>
          <w:b w:val="0"/>
          <w:bCs/>
        </w:rPr>
        <w:br/>
      </w:r>
      <w:r w:rsidR="001C39A4" w:rsidRPr="00B70109">
        <w:t>Practical meeting information</w:t>
      </w:r>
    </w:p>
    <w:p w14:paraId="38290FA9" w14:textId="77777777" w:rsidR="003B356C" w:rsidRPr="003B356C" w:rsidRDefault="003B356C" w:rsidP="003B356C">
      <w:pPr>
        <w:tabs>
          <w:tab w:val="left" w:pos="1418"/>
          <w:tab w:val="left" w:pos="1702"/>
          <w:tab w:val="left" w:pos="2160"/>
        </w:tabs>
        <w:spacing w:before="80" w:after="120"/>
        <w:ind w:right="91"/>
        <w:jc w:val="center"/>
        <w:rPr>
          <w:b/>
          <w:bCs/>
          <w:szCs w:val="24"/>
        </w:rPr>
      </w:pPr>
      <w:r w:rsidRPr="003B356C">
        <w:rPr>
          <w:b/>
          <w:bCs/>
          <w:szCs w:val="24"/>
        </w:rPr>
        <w:t>WORKING METHODS AND FACILITIES</w:t>
      </w:r>
    </w:p>
    <w:p w14:paraId="1A4A98F8" w14:textId="77777777" w:rsidR="003B356C" w:rsidRPr="003B356C" w:rsidRDefault="003B356C" w:rsidP="003B356C">
      <w:pPr>
        <w:spacing w:after="120"/>
        <w:rPr>
          <w:rFonts w:eastAsia="SimSun"/>
          <w:b/>
          <w:bCs/>
          <w:szCs w:val="22"/>
          <w:lang w:eastAsia="zh-CN"/>
        </w:rPr>
      </w:pPr>
      <w:r w:rsidRPr="003B356C">
        <w:rPr>
          <w:rFonts w:eastAsia="SimSun"/>
          <w:b/>
          <w:bCs/>
          <w:szCs w:val="22"/>
          <w:lang w:eastAsia="zh-CN"/>
        </w:rPr>
        <w:t>DOCUMENT SUBMISSION AND ACCESS</w:t>
      </w:r>
      <w:r w:rsidRPr="003B356C">
        <w:rPr>
          <w:rFonts w:eastAsia="SimSun"/>
          <w:szCs w:val="22"/>
          <w:lang w:eastAsia="zh-CN"/>
        </w:rPr>
        <w:t>:</w:t>
      </w:r>
      <w:r w:rsidRPr="003B356C">
        <w:rPr>
          <w:rFonts w:eastAsia="SimSun"/>
          <w:b/>
          <w:bCs/>
          <w:szCs w:val="22"/>
          <w:lang w:eastAsia="zh-CN"/>
        </w:rPr>
        <w:t xml:space="preserve"> </w:t>
      </w:r>
      <w:r w:rsidRPr="003B356C">
        <w:rPr>
          <w:rFonts w:eastAsia="SimSun"/>
          <w:szCs w:val="22"/>
          <w:lang w:eastAsia="zh-CN"/>
        </w:rPr>
        <w:t xml:space="preserve">Member contributions should be submitted using </w:t>
      </w:r>
      <w:hyperlink r:id="rId18" w:history="1">
        <w:r w:rsidRPr="003B356C">
          <w:rPr>
            <w:rFonts w:eastAsia="SimSun"/>
            <w:color w:val="0000FF"/>
            <w:szCs w:val="22"/>
            <w:u w:val="single"/>
            <w:lang w:eastAsia="zh-CN"/>
          </w:rPr>
          <w:t>Direct Document Posting</w:t>
        </w:r>
      </w:hyperlink>
      <w:r w:rsidRPr="003B356C">
        <w:rPr>
          <w:rFonts w:eastAsia="SimSun"/>
          <w:szCs w:val="22"/>
          <w:lang w:eastAsia="zh-CN"/>
        </w:rPr>
        <w:t xml:space="preserve">; draft TDs should be submitted by e-mail to the study group secretariat using the </w:t>
      </w:r>
      <w:hyperlink r:id="rId19" w:history="1">
        <w:r w:rsidRPr="003B356C">
          <w:rPr>
            <w:rFonts w:eastAsia="SimSun"/>
            <w:color w:val="0000FF"/>
            <w:szCs w:val="22"/>
            <w:u w:val="single"/>
            <w:lang w:eastAsia="zh-CN"/>
          </w:rPr>
          <w:t>appropriate template</w:t>
        </w:r>
      </w:hyperlink>
      <w:r w:rsidRPr="003B356C">
        <w:rPr>
          <w:rFonts w:eastAsia="SimSun"/>
          <w:szCs w:val="22"/>
          <w:lang w:eastAsia="zh-CN"/>
        </w:rPr>
        <w:t xml:space="preserve">. Access to meeting documents is provided from the study group homepage, and is restricted to ITU-T Members who have an </w:t>
      </w:r>
      <w:hyperlink r:id="rId20" w:history="1">
        <w:r w:rsidRPr="003B356C">
          <w:rPr>
            <w:rFonts w:eastAsia="SimSun"/>
            <w:color w:val="0000FF"/>
            <w:szCs w:val="22"/>
            <w:u w:val="single"/>
            <w:lang w:eastAsia="zh-CN"/>
          </w:rPr>
          <w:t>ITU user account</w:t>
        </w:r>
      </w:hyperlink>
      <w:r w:rsidRPr="003B356C">
        <w:rPr>
          <w:rFonts w:eastAsia="SimSun"/>
          <w:szCs w:val="22"/>
          <w:lang w:eastAsia="zh-CN"/>
        </w:rPr>
        <w:t xml:space="preserve"> with TIES access.</w:t>
      </w:r>
    </w:p>
    <w:p w14:paraId="3ADB1C04" w14:textId="77777777" w:rsidR="003B356C" w:rsidRPr="003B356C" w:rsidRDefault="003B356C" w:rsidP="003B356C">
      <w:pPr>
        <w:rPr>
          <w:szCs w:val="22"/>
        </w:rPr>
      </w:pPr>
      <w:r w:rsidRPr="009C72B4">
        <w:rPr>
          <w:b/>
          <w:bCs/>
          <w:caps/>
          <w:szCs w:val="22"/>
        </w:rPr>
        <w:t>Working language</w:t>
      </w:r>
      <w:r w:rsidRPr="003B356C">
        <w:rPr>
          <w:szCs w:val="22"/>
        </w:rPr>
        <w:t>: The entire meeting will run in English only.</w:t>
      </w:r>
    </w:p>
    <w:p w14:paraId="02CE8898" w14:textId="32FDDAF9" w:rsidR="003B356C" w:rsidRPr="003B356C" w:rsidRDefault="003B356C" w:rsidP="003B356C">
      <w:pPr>
        <w:snapToGrid w:val="0"/>
        <w:spacing w:after="120"/>
        <w:rPr>
          <w:szCs w:val="22"/>
          <w:lang w:val="en-US"/>
        </w:rPr>
      </w:pPr>
      <w:r w:rsidRPr="003B356C">
        <w:rPr>
          <w:b/>
          <w:bCs/>
          <w:szCs w:val="22"/>
        </w:rPr>
        <w:t>INTERACTIVE REMOTE PARTICIPATION</w:t>
      </w:r>
      <w:r w:rsidRPr="003B356C">
        <w:rPr>
          <w:szCs w:val="22"/>
        </w:rPr>
        <w:t xml:space="preserve">: </w:t>
      </w:r>
      <w:r w:rsidR="008C420F" w:rsidRPr="439886B5">
        <w:rPr>
          <w:lang w:val="en-US"/>
        </w:rPr>
        <w:t xml:space="preserve">The </w:t>
      </w:r>
      <w:hyperlink r:id="rId21">
        <w:proofErr w:type="spellStart"/>
        <w:r w:rsidR="008C420F" w:rsidRPr="439886B5">
          <w:rPr>
            <w:rStyle w:val="Hyperlink"/>
            <w:lang w:val="en-US"/>
          </w:rPr>
          <w:t>MyMeetings</w:t>
        </w:r>
        <w:proofErr w:type="spellEnd"/>
      </w:hyperlink>
      <w:r w:rsidR="008C420F" w:rsidRPr="439886B5">
        <w:rPr>
          <w:lang w:val="en-US"/>
        </w:rPr>
        <w:t xml:space="preserve"> tool will be used to provide remote participation for </w:t>
      </w:r>
      <w:r w:rsidR="002B5593">
        <w:rPr>
          <w:lang w:val="en-US"/>
        </w:rPr>
        <w:t xml:space="preserve">this SG13 </w:t>
      </w:r>
      <w:r w:rsidR="008C420F" w:rsidRPr="439886B5">
        <w:rPr>
          <w:lang w:val="en-US"/>
        </w:rPr>
        <w:t>plenar</w:t>
      </w:r>
      <w:r w:rsidR="002B5593">
        <w:rPr>
          <w:lang w:val="en-US"/>
        </w:rPr>
        <w:t>y meeting</w:t>
      </w:r>
      <w:r w:rsidR="008C420F" w:rsidRPr="439886B5">
        <w:rPr>
          <w:lang w:val="en-US"/>
        </w:rPr>
        <w:t xml:space="preserve">.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8C420F" w:rsidRPr="439886B5">
        <w:rPr>
          <w:lang w:val="en-US"/>
        </w:rPr>
        <w:t>listen</w:t>
      </w:r>
      <w:proofErr w:type="gramEnd"/>
      <w:r w:rsidR="008C420F" w:rsidRPr="439886B5">
        <w:rPr>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r w:rsidR="008C420F">
        <w:rPr>
          <w:lang w:val="en-US"/>
        </w:rPr>
        <w:br/>
      </w:r>
    </w:p>
    <w:p w14:paraId="44801426" w14:textId="1AFD1931" w:rsidR="008C420F" w:rsidRPr="00B70109" w:rsidRDefault="008C420F" w:rsidP="008C420F">
      <w:pPr>
        <w:tabs>
          <w:tab w:val="clear" w:pos="794"/>
          <w:tab w:val="clear" w:pos="1191"/>
          <w:tab w:val="clear" w:pos="1588"/>
          <w:tab w:val="clear" w:pos="1985"/>
        </w:tabs>
        <w:spacing w:before="200" w:after="120"/>
        <w:ind w:right="91"/>
        <w:jc w:val="center"/>
        <w:rPr>
          <w:b/>
        </w:rPr>
      </w:pPr>
      <w:r w:rsidRPr="19927505">
        <w:rPr>
          <w:b/>
        </w:rPr>
        <w:t>REGISTRATION, FELLOWSHIPS AND VISA SUPPORT</w:t>
      </w:r>
    </w:p>
    <w:p w14:paraId="6A4CE67D" w14:textId="1557A24A" w:rsidR="001C2521" w:rsidRPr="001C2521" w:rsidRDefault="008C420F" w:rsidP="001C2521">
      <w:r w:rsidRPr="00B70109">
        <w:rPr>
          <w:b/>
          <w:bCs/>
        </w:rPr>
        <w:t>REGISTRATION</w:t>
      </w:r>
      <w:r w:rsidRPr="00E93E5E">
        <w:t>:</w:t>
      </w:r>
      <w:r w:rsidRPr="00B70109">
        <w:rPr>
          <w:b/>
          <w:bCs/>
        </w:rPr>
        <w:t xml:space="preserve"> </w:t>
      </w:r>
      <w:r>
        <w:t>Registration</w:t>
      </w:r>
      <w:r w:rsidRPr="00B70109">
        <w:t xml:space="preserve"> is mandatory and is to be done online via the study group home page </w:t>
      </w:r>
      <w:r w:rsidRPr="00B70109">
        <w:rPr>
          <w:b/>
          <w:bCs/>
        </w:rPr>
        <w:t>at least one month before the start of the meeting</w:t>
      </w:r>
      <w:r w:rsidRPr="00B70109">
        <w:t xml:space="preserve">. </w:t>
      </w:r>
      <w:r w:rsidR="001C2521" w:rsidRPr="001C2521">
        <w:t xml:space="preserve">Without registration, delegates will not be able to access the </w:t>
      </w:r>
      <w:hyperlink r:id="rId22" w:history="1">
        <w:proofErr w:type="spellStart"/>
        <w:r w:rsidR="001C7FD8" w:rsidRPr="0027530C">
          <w:rPr>
            <w:rStyle w:val="Hyperlink"/>
          </w:rPr>
          <w:t>MyMeetings</w:t>
        </w:r>
        <w:proofErr w:type="spellEnd"/>
        <w:r w:rsidR="001C7FD8" w:rsidRPr="0027530C">
          <w:rPr>
            <w:rStyle w:val="Hyperlink"/>
          </w:rPr>
          <w:t xml:space="preserve"> </w:t>
        </w:r>
        <w:r w:rsidR="001C7FD8">
          <w:rPr>
            <w:rStyle w:val="Hyperlink"/>
          </w:rPr>
          <w:t xml:space="preserve">remote participation </w:t>
        </w:r>
        <w:r w:rsidR="001C7FD8" w:rsidRPr="0027530C">
          <w:rPr>
            <w:rStyle w:val="Hyperlink"/>
          </w:rPr>
          <w:t>tool</w:t>
        </w:r>
      </w:hyperlink>
      <w:r w:rsidR="001C2521" w:rsidRPr="001C2521">
        <w:t>.</w:t>
      </w:r>
    </w:p>
    <w:p w14:paraId="0091C409" w14:textId="233344F8" w:rsidR="008C420F" w:rsidRDefault="008C420F" w:rsidP="008C420F">
      <w:r w:rsidRPr="00B70109">
        <w:t xml:space="preserve">As outlined in </w:t>
      </w:r>
      <w:hyperlink r:id="rId23">
        <w:r w:rsidRPr="19927505">
          <w:rPr>
            <w:rStyle w:val="Hyperlink"/>
          </w:rPr>
          <w:t>TSB Circular 68</w:t>
        </w:r>
      </w:hyperlink>
      <w:r w:rsidRPr="00B70109">
        <w:t xml:space="preserve">, the </w:t>
      </w:r>
      <w:r>
        <w:t>ITU-T</w:t>
      </w:r>
      <w:r w:rsidRPr="00B70109">
        <w:t xml:space="preserve"> registration system requires focal-point approval for registration requests</w:t>
      </w:r>
      <w:r>
        <w:t xml:space="preserve">; </w:t>
      </w:r>
      <w:hyperlink r:id="rId24">
        <w:r w:rsidRPr="19927505">
          <w:rPr>
            <w:rStyle w:val="Hyperlink"/>
          </w:rPr>
          <w:t>TSB Circular 118</w:t>
        </w:r>
      </w:hyperlink>
      <w:r>
        <w:t xml:space="preserve"> describes how to set up automatic approval of these requests</w:t>
      </w:r>
      <w:r w:rsidRPr="00B70109">
        <w:t xml:space="preserve">. </w:t>
      </w:r>
      <w:r>
        <w:t xml:space="preserve">Some options in the registration form apply only to Member States. </w:t>
      </w:r>
      <w:r w:rsidRPr="00B70109">
        <w:t>The membership is invited to include women in their delegations whenever possible.</w:t>
      </w:r>
    </w:p>
    <w:p w14:paraId="4F16495F" w14:textId="211B9A3A" w:rsidR="008C420F" w:rsidRPr="00A049A9" w:rsidRDefault="008C420F" w:rsidP="008C420F">
      <w:r w:rsidRPr="00A049A9">
        <w:rPr>
          <w:b/>
          <w:bCs/>
        </w:rPr>
        <w:t>FELLOWSHIPS AND VISA SUPPORT</w:t>
      </w:r>
      <w:r>
        <w:t xml:space="preserve">: For virtual meetings, since there is no travel involved, no fellowships are </w:t>
      </w:r>
      <w:proofErr w:type="gramStart"/>
      <w:r>
        <w:t>provided</w:t>
      </w:r>
      <w:proofErr w:type="gramEnd"/>
      <w:r>
        <w:t xml:space="preserve"> and visa support is not applicable.</w:t>
      </w:r>
    </w:p>
    <w:p w14:paraId="20594605" w14:textId="0AA25550" w:rsidR="003B356C" w:rsidRPr="003B356C" w:rsidRDefault="008C420F" w:rsidP="008C420F">
      <w:pPr>
        <w:spacing w:before="60"/>
        <w:rPr>
          <w:b/>
          <w:bCs/>
        </w:rPr>
      </w:pPr>
      <w:r w:rsidRPr="00B70109">
        <w:rPr>
          <w:b/>
          <w:bCs/>
        </w:rPr>
        <w:br w:type="page"/>
      </w:r>
    </w:p>
    <w:p w14:paraId="07B146D6" w14:textId="77777777" w:rsidR="005F1F9A" w:rsidRPr="004E007C" w:rsidRDefault="005F1F9A" w:rsidP="005F1F9A">
      <w:pPr>
        <w:spacing w:before="240"/>
        <w:ind w:right="-187"/>
        <w:jc w:val="center"/>
        <w:rPr>
          <w:rFonts w:cstheme="majorBidi"/>
          <w:b/>
          <w:bCs/>
          <w:sz w:val="28"/>
          <w:szCs w:val="28"/>
        </w:rPr>
      </w:pPr>
      <w:r w:rsidRPr="004E007C">
        <w:rPr>
          <w:rFonts w:cstheme="majorBidi"/>
          <w:b/>
          <w:bCs/>
          <w:sz w:val="28"/>
          <w:szCs w:val="28"/>
        </w:rPr>
        <w:lastRenderedPageBreak/>
        <w:t>ANNEX B</w:t>
      </w:r>
    </w:p>
    <w:p w14:paraId="36F72EA6" w14:textId="0D3CA7BD" w:rsidR="005F1F9A" w:rsidRPr="004E007C" w:rsidRDefault="005F1F9A" w:rsidP="005F1F9A">
      <w:pPr>
        <w:spacing w:before="0"/>
        <w:jc w:val="center"/>
        <w:rPr>
          <w:sz w:val="24"/>
        </w:rPr>
      </w:pPr>
      <w:r w:rsidRPr="004E007C">
        <w:rPr>
          <w:sz w:val="24"/>
        </w:rPr>
        <w:t xml:space="preserve"> (to TSB Collective letter 1</w:t>
      </w:r>
      <w:r w:rsidR="0038217F">
        <w:rPr>
          <w:sz w:val="24"/>
        </w:rPr>
        <w:t>3</w:t>
      </w:r>
      <w:r w:rsidRPr="004E007C">
        <w:rPr>
          <w:sz w:val="24"/>
        </w:rPr>
        <w:t>/13)</w:t>
      </w:r>
    </w:p>
    <w:p w14:paraId="16FDDF54" w14:textId="7F82129A" w:rsidR="005F1F9A" w:rsidRPr="00EC3ED2" w:rsidRDefault="00B331EA" w:rsidP="00EC3ED2">
      <w:pPr>
        <w:spacing w:before="120"/>
        <w:ind w:right="91"/>
        <w:jc w:val="center"/>
        <w:rPr>
          <w:sz w:val="24"/>
        </w:rPr>
      </w:pPr>
      <w:r w:rsidRPr="00611D65">
        <w:rPr>
          <w:b/>
          <w:sz w:val="24"/>
        </w:rPr>
        <w:t>Draft Agenda</w:t>
      </w:r>
      <w:r>
        <w:rPr>
          <w:b/>
          <w:sz w:val="24"/>
        </w:rPr>
        <w:t xml:space="preserve"> for the virtual meeting of SG13,</w:t>
      </w:r>
      <w:r w:rsidR="00EC3ED2">
        <w:rPr>
          <w:sz w:val="24"/>
        </w:rPr>
        <w:t xml:space="preserve"> </w:t>
      </w:r>
      <w:r w:rsidR="0038217F" w:rsidRPr="0052773C">
        <w:rPr>
          <w:b/>
          <w:sz w:val="24"/>
        </w:rPr>
        <w:t>1</w:t>
      </w:r>
      <w:r w:rsidR="005F1F9A" w:rsidRPr="0052773C">
        <w:rPr>
          <w:b/>
          <w:sz w:val="24"/>
        </w:rPr>
        <w:t>7 December 2020</w:t>
      </w:r>
    </w:p>
    <w:p w14:paraId="1568F3E2" w14:textId="77777777" w:rsidR="00D5442C" w:rsidRPr="0052773C" w:rsidRDefault="00D5442C" w:rsidP="00D5442C">
      <w:pPr>
        <w:numPr>
          <w:ilvl w:val="0"/>
          <w:numId w:val="16"/>
        </w:numPr>
        <w:tabs>
          <w:tab w:val="clear" w:pos="1363"/>
          <w:tab w:val="num" w:pos="1155"/>
          <w:tab w:val="num" w:pos="3135"/>
        </w:tabs>
        <w:overflowPunct/>
        <w:autoSpaceDE/>
        <w:autoSpaceDN/>
        <w:adjustRightInd/>
        <w:spacing w:before="240"/>
        <w:ind w:left="794" w:hanging="794"/>
        <w:textAlignment w:val="auto"/>
        <w:rPr>
          <w:rFonts w:cstheme="minorHAnsi"/>
        </w:rPr>
      </w:pPr>
      <w:r w:rsidRPr="0052773C">
        <w:rPr>
          <w:rFonts w:cstheme="minorHAnsi"/>
        </w:rPr>
        <w:t>Opening remarks and welcome</w:t>
      </w:r>
    </w:p>
    <w:p w14:paraId="7660D8CD" w14:textId="77777777" w:rsidR="00D5442C" w:rsidRPr="0052773C" w:rsidRDefault="00D5442C" w:rsidP="00D5442C">
      <w:pPr>
        <w:numPr>
          <w:ilvl w:val="0"/>
          <w:numId w:val="16"/>
        </w:numPr>
        <w:tabs>
          <w:tab w:val="clear" w:pos="1363"/>
          <w:tab w:val="num" w:pos="1155"/>
          <w:tab w:val="num" w:pos="3135"/>
        </w:tabs>
        <w:overflowPunct/>
        <w:autoSpaceDE/>
        <w:autoSpaceDN/>
        <w:adjustRightInd/>
        <w:spacing w:before="120"/>
        <w:ind w:left="794" w:hanging="794"/>
        <w:textAlignment w:val="auto"/>
        <w:rPr>
          <w:rFonts w:cstheme="minorHAnsi"/>
        </w:rPr>
      </w:pPr>
      <w:r w:rsidRPr="0052773C">
        <w:rPr>
          <w:rFonts w:cstheme="minorHAnsi"/>
        </w:rPr>
        <w:t xml:space="preserve">Approval of the agenda </w:t>
      </w:r>
    </w:p>
    <w:p w14:paraId="7C6A170C" w14:textId="77777777" w:rsidR="00D5442C" w:rsidRPr="0052773C" w:rsidRDefault="00D5442C" w:rsidP="00D5442C">
      <w:pPr>
        <w:numPr>
          <w:ilvl w:val="0"/>
          <w:numId w:val="16"/>
        </w:numPr>
        <w:tabs>
          <w:tab w:val="clear" w:pos="1363"/>
          <w:tab w:val="num" w:pos="1155"/>
          <w:tab w:val="num" w:pos="3135"/>
        </w:tabs>
        <w:overflowPunct/>
        <w:autoSpaceDE/>
        <w:autoSpaceDN/>
        <w:adjustRightInd/>
        <w:spacing w:before="120"/>
        <w:ind w:left="794" w:hanging="794"/>
        <w:textAlignment w:val="auto"/>
        <w:rPr>
          <w:rFonts w:cstheme="minorHAnsi"/>
        </w:rPr>
      </w:pPr>
      <w:r w:rsidRPr="0052773C">
        <w:rPr>
          <w:rFonts w:cstheme="minorHAnsi"/>
        </w:rPr>
        <w:t>Next Study Period preparations: proposed Question F “</w:t>
      </w:r>
      <w:r w:rsidRPr="0052773C">
        <w:rPr>
          <w:rFonts w:cstheme="minorHAnsi"/>
          <w:i/>
          <w:iCs/>
        </w:rPr>
        <w:t>Requirements, capabilities and architecture for Future Vertical Communication Networks including support of high precision and deterministic networking</w:t>
      </w:r>
      <w:r w:rsidRPr="0052773C">
        <w:rPr>
          <w:rFonts w:cstheme="minorHAnsi"/>
        </w:rPr>
        <w:t xml:space="preserve">” and Question </w:t>
      </w:r>
      <w:proofErr w:type="gramStart"/>
      <w:r w:rsidRPr="0052773C">
        <w:rPr>
          <w:rFonts w:cstheme="minorHAnsi"/>
        </w:rPr>
        <w:t>G ”</w:t>
      </w:r>
      <w:r w:rsidRPr="0052773C">
        <w:rPr>
          <w:rFonts w:cstheme="minorHAnsi"/>
          <w:i/>
          <w:iCs/>
        </w:rPr>
        <w:t>Framework</w:t>
      </w:r>
      <w:proofErr w:type="gramEnd"/>
      <w:r w:rsidRPr="0052773C">
        <w:rPr>
          <w:rFonts w:cstheme="minorHAnsi"/>
          <w:i/>
          <w:iCs/>
        </w:rPr>
        <w:t xml:space="preserve"> and Technologies for </w:t>
      </w:r>
      <w:proofErr w:type="spellStart"/>
      <w:r w:rsidRPr="0052773C">
        <w:rPr>
          <w:rFonts w:cstheme="minorHAnsi"/>
          <w:i/>
          <w:iCs/>
        </w:rPr>
        <w:t>ManyNets</w:t>
      </w:r>
      <w:proofErr w:type="spellEnd"/>
      <w:r w:rsidRPr="0052773C">
        <w:rPr>
          <w:rFonts w:cstheme="minorHAnsi"/>
          <w:i/>
          <w:iCs/>
        </w:rPr>
        <w:t xml:space="preserve"> in Future Vertical Communication Networks</w:t>
      </w:r>
      <w:r w:rsidRPr="0052773C">
        <w:rPr>
          <w:rFonts w:cstheme="minorHAnsi"/>
        </w:rPr>
        <w:t xml:space="preserve">” </w:t>
      </w:r>
    </w:p>
    <w:p w14:paraId="0D031AD4" w14:textId="77777777" w:rsidR="00D5442C" w:rsidRPr="0052773C" w:rsidRDefault="00D5442C" w:rsidP="00D5442C">
      <w:pPr>
        <w:numPr>
          <w:ilvl w:val="0"/>
          <w:numId w:val="16"/>
        </w:numPr>
        <w:tabs>
          <w:tab w:val="clear" w:pos="1363"/>
          <w:tab w:val="num" w:pos="1155"/>
          <w:tab w:val="num" w:pos="3135"/>
        </w:tabs>
        <w:overflowPunct/>
        <w:autoSpaceDE/>
        <w:autoSpaceDN/>
        <w:adjustRightInd/>
        <w:spacing w:before="120"/>
        <w:ind w:left="794" w:hanging="794"/>
        <w:textAlignment w:val="auto"/>
        <w:rPr>
          <w:rFonts w:cstheme="minorHAnsi"/>
        </w:rPr>
      </w:pPr>
      <w:r w:rsidRPr="0052773C">
        <w:rPr>
          <w:rFonts w:cstheme="minorHAnsi"/>
        </w:rPr>
        <w:t>Summary of activities since the July 2020 Study Group 13 meeting</w:t>
      </w:r>
    </w:p>
    <w:p w14:paraId="4B28E70B" w14:textId="77777777" w:rsidR="00D5442C" w:rsidRPr="0052773C" w:rsidRDefault="00D5442C" w:rsidP="00D5442C">
      <w:pPr>
        <w:tabs>
          <w:tab w:val="clear" w:pos="1191"/>
          <w:tab w:val="clear" w:pos="1588"/>
          <w:tab w:val="left" w:pos="1418"/>
        </w:tabs>
        <w:spacing w:before="80"/>
        <w:ind w:left="1418" w:hanging="1418"/>
        <w:rPr>
          <w:rFonts w:cstheme="minorHAnsi"/>
        </w:rPr>
      </w:pPr>
      <w:r w:rsidRPr="0052773C">
        <w:rPr>
          <w:rFonts w:cstheme="minorHAnsi"/>
        </w:rPr>
        <w:tab/>
        <w:t>4.1</w:t>
      </w:r>
      <w:r w:rsidRPr="0052773C">
        <w:rPr>
          <w:rFonts w:cstheme="minorHAnsi"/>
        </w:rPr>
        <w:tab/>
        <w:t>TSAG (21 – 25 September 2020, virtual meeting)</w:t>
      </w:r>
    </w:p>
    <w:p w14:paraId="7B347B64" w14:textId="77777777" w:rsidR="00D5442C" w:rsidRPr="0052773C" w:rsidRDefault="00D5442C" w:rsidP="00D5442C">
      <w:pPr>
        <w:tabs>
          <w:tab w:val="clear" w:pos="1191"/>
          <w:tab w:val="clear" w:pos="1588"/>
          <w:tab w:val="left" w:pos="1418"/>
        </w:tabs>
        <w:spacing w:before="80"/>
        <w:ind w:left="1418" w:hanging="1418"/>
        <w:rPr>
          <w:rFonts w:cstheme="minorHAnsi"/>
        </w:rPr>
      </w:pPr>
      <w:r w:rsidRPr="0052773C">
        <w:rPr>
          <w:rFonts w:cstheme="minorHAnsi"/>
        </w:rPr>
        <w:tab/>
        <w:t xml:space="preserve">4.2 </w:t>
      </w:r>
      <w:r w:rsidRPr="0052773C">
        <w:rPr>
          <w:rFonts w:cstheme="minorHAnsi"/>
        </w:rPr>
        <w:tab/>
        <w:t>SG13 (7 December 2020, virtual meeting)</w:t>
      </w:r>
    </w:p>
    <w:p w14:paraId="276EA8D6" w14:textId="77777777" w:rsidR="00D5442C" w:rsidRPr="0052773C" w:rsidRDefault="00D5442C" w:rsidP="00D5442C">
      <w:pPr>
        <w:tabs>
          <w:tab w:val="clear" w:pos="1191"/>
          <w:tab w:val="clear" w:pos="1588"/>
          <w:tab w:val="left" w:pos="1418"/>
        </w:tabs>
        <w:spacing w:before="80"/>
        <w:ind w:left="1418" w:hanging="1418"/>
        <w:rPr>
          <w:rFonts w:cstheme="minorHAnsi"/>
          <w:lang w:val="en-US"/>
        </w:rPr>
      </w:pPr>
      <w:r w:rsidRPr="0052773C">
        <w:rPr>
          <w:rFonts w:cstheme="minorHAnsi"/>
        </w:rPr>
        <w:t xml:space="preserve">                4.3       </w:t>
      </w:r>
      <w:r w:rsidRPr="0052773C">
        <w:rPr>
          <w:rFonts w:cstheme="minorHAnsi"/>
          <w:lang w:val="en-US"/>
        </w:rPr>
        <w:t xml:space="preserve">Individual Rapporteur Group activities </w:t>
      </w:r>
    </w:p>
    <w:p w14:paraId="5B4FD6CF" w14:textId="77777777" w:rsidR="00D5442C" w:rsidRPr="0052773C" w:rsidRDefault="00D5442C" w:rsidP="00D5442C">
      <w:pPr>
        <w:tabs>
          <w:tab w:val="clear" w:pos="1191"/>
          <w:tab w:val="clear" w:pos="1588"/>
          <w:tab w:val="left" w:pos="1418"/>
        </w:tabs>
        <w:spacing w:before="80"/>
        <w:ind w:left="1418" w:hanging="1418"/>
        <w:rPr>
          <w:rFonts w:cstheme="minorHAnsi"/>
          <w:lang w:val="en-US"/>
        </w:rPr>
      </w:pPr>
      <w:r w:rsidRPr="0052773C">
        <w:rPr>
          <w:rFonts w:cstheme="minorHAnsi"/>
          <w:lang w:val="en-US"/>
        </w:rPr>
        <w:tab/>
        <w:t>4.4</w:t>
      </w:r>
      <w:r w:rsidRPr="0052773C">
        <w:rPr>
          <w:rFonts w:cstheme="minorHAnsi"/>
          <w:lang w:val="en-US"/>
        </w:rPr>
        <w:tab/>
        <w:t>Co-located rapporteur groups activities (7 – 17 December 2020, virtual meetings)</w:t>
      </w:r>
    </w:p>
    <w:p w14:paraId="20F09E77" w14:textId="77777777" w:rsidR="00D5442C" w:rsidRPr="009D5B81" w:rsidRDefault="00D5442C" w:rsidP="00D5442C">
      <w:pPr>
        <w:tabs>
          <w:tab w:val="clear" w:pos="1191"/>
          <w:tab w:val="clear" w:pos="1588"/>
          <w:tab w:val="left" w:pos="1418"/>
        </w:tabs>
        <w:spacing w:before="80"/>
        <w:ind w:left="1418" w:hanging="1418"/>
        <w:rPr>
          <w:rFonts w:cstheme="minorHAnsi"/>
          <w:lang w:val="en-US"/>
        </w:rPr>
      </w:pPr>
      <w:r w:rsidRPr="0052773C">
        <w:rPr>
          <w:rFonts w:cstheme="minorHAnsi"/>
          <w:lang w:val="en-US"/>
        </w:rPr>
        <w:tab/>
        <w:t>4.5</w:t>
      </w:r>
      <w:r w:rsidRPr="0052773C">
        <w:rPr>
          <w:rFonts w:cstheme="minorHAnsi"/>
          <w:lang w:val="en-US"/>
        </w:rPr>
        <w:tab/>
        <w:t>Correspondence/Drafting Group activities, if any</w:t>
      </w:r>
    </w:p>
    <w:p w14:paraId="49FBF7D9" w14:textId="77777777" w:rsidR="00D5442C" w:rsidRPr="009D5B81" w:rsidRDefault="00D5442C" w:rsidP="00D5442C">
      <w:pPr>
        <w:tabs>
          <w:tab w:val="clear" w:pos="1191"/>
          <w:tab w:val="clear" w:pos="1588"/>
          <w:tab w:val="left" w:pos="1418"/>
        </w:tabs>
        <w:spacing w:before="80"/>
        <w:ind w:left="1418" w:hanging="1418"/>
        <w:rPr>
          <w:rFonts w:cstheme="minorHAnsi"/>
          <w:lang w:val="en-US"/>
        </w:rPr>
      </w:pPr>
      <w:r w:rsidRPr="009D5B81">
        <w:rPr>
          <w:rFonts w:cstheme="minorHAnsi"/>
          <w:lang w:val="en-US"/>
        </w:rPr>
        <w:tab/>
      </w:r>
      <w:r>
        <w:rPr>
          <w:rFonts w:cstheme="minorHAnsi"/>
          <w:lang w:val="en-US"/>
        </w:rPr>
        <w:t>4.6</w:t>
      </w:r>
      <w:r w:rsidRPr="009D5B81">
        <w:rPr>
          <w:rFonts w:cstheme="minorHAnsi"/>
          <w:lang w:val="en-US"/>
        </w:rPr>
        <w:tab/>
        <w:t>Others as identified</w:t>
      </w:r>
    </w:p>
    <w:p w14:paraId="626017A5" w14:textId="77777777" w:rsidR="00D5442C" w:rsidRPr="009D5B81" w:rsidRDefault="00D5442C" w:rsidP="00D5442C">
      <w:pPr>
        <w:numPr>
          <w:ilvl w:val="0"/>
          <w:numId w:val="16"/>
        </w:numPr>
        <w:tabs>
          <w:tab w:val="clear" w:pos="1363"/>
          <w:tab w:val="num" w:pos="1155"/>
          <w:tab w:val="num" w:pos="3135"/>
        </w:tabs>
        <w:overflowPunct/>
        <w:autoSpaceDE/>
        <w:autoSpaceDN/>
        <w:adjustRightInd/>
        <w:spacing w:before="120"/>
        <w:ind w:left="794" w:hanging="794"/>
        <w:textAlignment w:val="auto"/>
        <w:rPr>
          <w:rFonts w:cstheme="minorHAnsi"/>
        </w:rPr>
      </w:pPr>
      <w:r w:rsidRPr="009D5B81">
        <w:rPr>
          <w:rFonts w:cstheme="minorHAnsi"/>
        </w:rPr>
        <w:t>Result of Recommendations consented for approval at the</w:t>
      </w:r>
      <w:r>
        <w:rPr>
          <w:rFonts w:cstheme="minorHAnsi"/>
        </w:rPr>
        <w:t xml:space="preserve"> July</w:t>
      </w:r>
      <w:r w:rsidRPr="009D5B81">
        <w:rPr>
          <w:rFonts w:cstheme="minorHAnsi"/>
        </w:rPr>
        <w:t xml:space="preserve"> SG13 meeting and consider any necessary follow up on those</w:t>
      </w:r>
    </w:p>
    <w:p w14:paraId="682385DF" w14:textId="5EE482DD" w:rsidR="00D5442C" w:rsidRPr="00275776" w:rsidRDefault="00D5442C" w:rsidP="00275776">
      <w:pPr>
        <w:numPr>
          <w:ilvl w:val="0"/>
          <w:numId w:val="16"/>
        </w:numPr>
        <w:tabs>
          <w:tab w:val="clear" w:pos="1363"/>
          <w:tab w:val="num" w:pos="1155"/>
          <w:tab w:val="num" w:pos="3135"/>
        </w:tabs>
        <w:overflowPunct/>
        <w:autoSpaceDE/>
        <w:autoSpaceDN/>
        <w:adjustRightInd/>
        <w:spacing w:before="120"/>
        <w:ind w:left="794" w:hanging="794"/>
        <w:textAlignment w:val="auto"/>
        <w:rPr>
          <w:rFonts w:cstheme="minorHAnsi"/>
          <w:bCs/>
        </w:rPr>
      </w:pPr>
      <w:r w:rsidRPr="009D5B81">
        <w:rPr>
          <w:rFonts w:cstheme="minorHAnsi"/>
          <w:bCs/>
        </w:rPr>
        <w:t>Review the status of draft Recommendations:</w:t>
      </w:r>
      <w:r w:rsidR="00EC3ED2">
        <w:rPr>
          <w:rFonts w:cstheme="minorHAnsi"/>
          <w:bCs/>
        </w:rPr>
        <w:br/>
      </w:r>
    </w:p>
    <w:p w14:paraId="35D3A67C"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proofErr w:type="gramStart"/>
      <w:r w:rsidRPr="00EC3ED2">
        <w:rPr>
          <w:rFonts w:cstheme="minorHAnsi"/>
          <w:szCs w:val="22"/>
        </w:rPr>
        <w:t>Y.IMT</w:t>
      </w:r>
      <w:proofErr w:type="gramEnd"/>
      <w:r w:rsidRPr="00EC3ED2">
        <w:rPr>
          <w:rFonts w:cstheme="minorHAnsi"/>
          <w:szCs w:val="22"/>
        </w:rPr>
        <w:t>2020-qos-lg, Requirements for latency guarantee in IMT-2020 network, Q6/13</w:t>
      </w:r>
    </w:p>
    <w:p w14:paraId="13A6C129"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r w:rsidRPr="00EC3ED2">
        <w:rPr>
          <w:rFonts w:cstheme="minorHAnsi"/>
          <w:szCs w:val="22"/>
        </w:rPr>
        <w:t>Y.ML-IMT2020-RAFR, Architecture framework for AI-based network automation of resource adaptation and failure recovery for future networks including IMT-2020, Q20/13</w:t>
      </w:r>
    </w:p>
    <w:p w14:paraId="7F4CFAC3"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proofErr w:type="gramStart"/>
      <w:r w:rsidRPr="00EC3ED2">
        <w:rPr>
          <w:rFonts w:cstheme="minorHAnsi"/>
          <w:szCs w:val="22"/>
        </w:rPr>
        <w:t>Y.IMT</w:t>
      </w:r>
      <w:proofErr w:type="gramEnd"/>
      <w:r w:rsidRPr="00EC3ED2">
        <w:rPr>
          <w:rFonts w:cstheme="minorHAnsi"/>
          <w:szCs w:val="22"/>
        </w:rPr>
        <w:t>2020-NSC IMT-2020, IMT-2020 network slice configuration, Q21/13</w:t>
      </w:r>
    </w:p>
    <w:p w14:paraId="473D05DF"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r w:rsidRPr="00EC3ED2">
        <w:rPr>
          <w:rFonts w:cstheme="minorHAnsi"/>
          <w:szCs w:val="22"/>
        </w:rPr>
        <w:t>Y.FMC-EC, Unified edge computing for supporting fixed mobile convergence in IMT-2020 networks, Q23/13</w:t>
      </w:r>
    </w:p>
    <w:p w14:paraId="0B171FBF"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r w:rsidRPr="00EC3ED2">
        <w:rPr>
          <w:rFonts w:cstheme="minorHAnsi"/>
          <w:szCs w:val="22"/>
        </w:rPr>
        <w:t>Y.FMC-SS, Service scheduling for supporting FMC in IMT-2020 network, Q23/13</w:t>
      </w:r>
    </w:p>
    <w:p w14:paraId="020B409C" w14:textId="25316968" w:rsidR="00D5442C" w:rsidRPr="00EC3ED2" w:rsidRDefault="00D5442C" w:rsidP="00EC3ED2">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r w:rsidRPr="00EC3ED2">
        <w:rPr>
          <w:rFonts w:cstheme="minorHAnsi"/>
          <w:szCs w:val="22"/>
        </w:rPr>
        <w:t>Y.SBN-TR, Service brokering network framework for Trusted Reality, Q23/13</w:t>
      </w:r>
    </w:p>
    <w:p w14:paraId="04BA53A1"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r w:rsidRPr="00EC3ED2">
        <w:rPr>
          <w:rFonts w:cstheme="minorHAnsi"/>
          <w:szCs w:val="22"/>
        </w:rPr>
        <w:t>Y.NGN-PLA-</w:t>
      </w:r>
      <w:proofErr w:type="spellStart"/>
      <w:r w:rsidRPr="00EC3ED2">
        <w:rPr>
          <w:rFonts w:cstheme="minorHAnsi"/>
          <w:szCs w:val="22"/>
        </w:rPr>
        <w:t>reqts</w:t>
      </w:r>
      <w:proofErr w:type="spellEnd"/>
      <w:r w:rsidRPr="00EC3ED2">
        <w:rPr>
          <w:rFonts w:cstheme="minorHAnsi"/>
          <w:szCs w:val="22"/>
        </w:rPr>
        <w:t>, Scenarios and Capability Requirements of Programmable Log Analysis in Next Generation Networks, Q2/13</w:t>
      </w:r>
    </w:p>
    <w:p w14:paraId="7B26E862" w14:textId="77777777" w:rsidR="00D5442C" w:rsidRPr="00EC3ED2" w:rsidRDefault="00D5442C" w:rsidP="00275776">
      <w:pPr>
        <w:numPr>
          <w:ilvl w:val="0"/>
          <w:numId w:val="2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2"/>
        </w:rPr>
      </w:pPr>
      <w:proofErr w:type="spellStart"/>
      <w:r w:rsidRPr="00EC3ED2">
        <w:rPr>
          <w:rFonts w:cstheme="minorHAnsi"/>
          <w:szCs w:val="22"/>
          <w:lang w:val="en-US"/>
        </w:rPr>
        <w:t>Y.OBF_trust</w:t>
      </w:r>
      <w:proofErr w:type="spellEnd"/>
      <w:r w:rsidRPr="00EC3ED2">
        <w:rPr>
          <w:rFonts w:cstheme="minorHAnsi"/>
          <w:szCs w:val="22"/>
          <w:lang w:val="en-US"/>
        </w:rPr>
        <w:t xml:space="preserve">, </w:t>
      </w:r>
      <w:r w:rsidRPr="00EC3ED2">
        <w:rPr>
          <w:rFonts w:cstheme="minorHAnsi"/>
          <w:szCs w:val="22"/>
        </w:rPr>
        <w:t>Open Bootstrap Framework enabling trusted devices, applications and services for distributed diverse ecosystems</w:t>
      </w:r>
      <w:r w:rsidRPr="00EC3ED2">
        <w:rPr>
          <w:rFonts w:cstheme="minorHAnsi"/>
          <w:szCs w:val="22"/>
          <w:lang w:val="en-US"/>
        </w:rPr>
        <w:t>, Q16/13</w:t>
      </w:r>
    </w:p>
    <w:p w14:paraId="1E526342" w14:textId="6F1B9B4A" w:rsidR="00D5442C" w:rsidRPr="009D5B81" w:rsidRDefault="00D5442C" w:rsidP="00D5442C">
      <w:pPr>
        <w:overflowPunct/>
        <w:autoSpaceDE/>
        <w:autoSpaceDN/>
        <w:adjustRightInd/>
        <w:textAlignment w:val="auto"/>
        <w:rPr>
          <w:rFonts w:cstheme="minorHAnsi"/>
        </w:rPr>
      </w:pPr>
      <w:r w:rsidRPr="009D5B81">
        <w:rPr>
          <w:rFonts w:cstheme="minorHAnsi"/>
          <w:bCs/>
          <w:lang w:val="en-US"/>
        </w:rPr>
        <w:t>and any</w:t>
      </w:r>
      <w:r w:rsidRPr="009D5B81">
        <w:rPr>
          <w:rFonts w:cstheme="minorHAnsi"/>
          <w:bCs/>
        </w:rPr>
        <w:t xml:space="preserve"> related liaison statements or contributions received. </w:t>
      </w:r>
      <w:r w:rsidRPr="009D5B81">
        <w:rPr>
          <w:rFonts w:cstheme="minorHAnsi"/>
        </w:rPr>
        <w:t xml:space="preserve">Proceed with the consent of above-mentioned Recommendations </w:t>
      </w:r>
      <w:r w:rsidRPr="009D5B81">
        <w:rPr>
          <w:rFonts w:cstheme="minorHAnsi"/>
          <w:bCs/>
        </w:rPr>
        <w:t>(per Recommendation A.8) as well as any other draft Recommendations that would be deemed mature</w:t>
      </w:r>
      <w:r w:rsidRPr="009D5B81">
        <w:rPr>
          <w:rFonts w:cstheme="minorHAnsi"/>
        </w:rPr>
        <w:t xml:space="preserve"> as a result of progress made at the preceding c</w:t>
      </w:r>
      <w:r w:rsidRPr="009D5B81">
        <w:rPr>
          <w:rFonts w:cstheme="minorHAnsi"/>
          <w:lang w:val="en-US"/>
        </w:rPr>
        <w:t>o-located rapporteur groups activities (</w:t>
      </w:r>
      <w:r>
        <w:rPr>
          <w:rFonts w:cstheme="minorHAnsi"/>
          <w:lang w:val="en-US"/>
        </w:rPr>
        <w:t xml:space="preserve">7 </w:t>
      </w:r>
      <w:r w:rsidRPr="0052773C">
        <w:rPr>
          <w:rFonts w:cstheme="minorHAnsi"/>
          <w:lang w:val="en-US"/>
        </w:rPr>
        <w:t>– 17 December</w:t>
      </w:r>
      <w:r>
        <w:rPr>
          <w:rFonts w:cstheme="minorHAnsi"/>
          <w:lang w:val="en-US"/>
        </w:rPr>
        <w:t xml:space="preserve"> </w:t>
      </w:r>
      <w:r w:rsidRPr="009D5B81">
        <w:rPr>
          <w:rFonts w:cstheme="minorHAnsi"/>
          <w:lang w:val="en-US"/>
        </w:rPr>
        <w:t>2020).</w:t>
      </w:r>
    </w:p>
    <w:p w14:paraId="59B6963E" w14:textId="500851DB" w:rsidR="00D5442C" w:rsidRPr="009D5B81" w:rsidRDefault="00D5442C" w:rsidP="00D5442C">
      <w:pPr>
        <w:tabs>
          <w:tab w:val="num" w:pos="993"/>
          <w:tab w:val="num" w:pos="1155"/>
        </w:tabs>
        <w:overflowPunct/>
        <w:autoSpaceDE/>
        <w:autoSpaceDN/>
        <w:adjustRightInd/>
        <w:spacing w:before="120" w:line="276" w:lineRule="auto"/>
        <w:textAlignment w:val="auto"/>
        <w:rPr>
          <w:rFonts w:cstheme="minorHAnsi"/>
        </w:rPr>
      </w:pPr>
      <w:r>
        <w:rPr>
          <w:rFonts w:cstheme="minorHAnsi"/>
          <w:bCs/>
        </w:rPr>
        <w:t xml:space="preserve">7.      </w:t>
      </w:r>
      <w:r w:rsidRPr="00E728A5">
        <w:rPr>
          <w:rFonts w:cstheme="minorHAnsi"/>
          <w:bCs/>
        </w:rPr>
        <w:t xml:space="preserve">Review the status of </w:t>
      </w:r>
      <w:r w:rsidRPr="00E728A5">
        <w:rPr>
          <w:rFonts w:cstheme="minorHAnsi"/>
          <w:bCs/>
          <w:i/>
          <w:szCs w:val="22"/>
        </w:rPr>
        <w:t>"</w:t>
      </w:r>
      <w:r w:rsidRPr="00E728A5">
        <w:rPr>
          <w:rFonts w:cstheme="minorHAnsi"/>
          <w:bCs/>
          <w:i/>
          <w:iCs/>
          <w:szCs w:val="22"/>
        </w:rPr>
        <w:t>Gap Analysis of Network 2030 New Services, Capabilities and Use Cases</w:t>
      </w:r>
      <w:r w:rsidRPr="00E728A5">
        <w:rPr>
          <w:rFonts w:cstheme="minorHAnsi"/>
          <w:bCs/>
          <w:i/>
          <w:szCs w:val="22"/>
        </w:rPr>
        <w:t>"</w:t>
      </w:r>
      <w:r w:rsidRPr="00E728A5">
        <w:rPr>
          <w:rFonts w:cstheme="minorHAnsi"/>
          <w:bCs/>
          <w:szCs w:val="22"/>
        </w:rPr>
        <w:t>, Q2/13,</w:t>
      </w:r>
      <w:r>
        <w:rPr>
          <w:rFonts w:cstheme="minorHAnsi"/>
          <w:bCs/>
          <w:szCs w:val="22"/>
        </w:rPr>
        <w:t xml:space="preserve"> </w:t>
      </w:r>
      <w:r w:rsidR="00DC3CD2">
        <w:rPr>
          <w:rFonts w:cstheme="minorHAnsi"/>
          <w:bCs/>
          <w:szCs w:val="22"/>
        </w:rPr>
        <w:br/>
        <w:t xml:space="preserve">         </w:t>
      </w:r>
      <w:r w:rsidRPr="007A7F13">
        <w:rPr>
          <w:rFonts w:cstheme="minorHAnsi"/>
          <w:szCs w:val="22"/>
        </w:rPr>
        <w:t>and take corresponding follow up steps</w:t>
      </w:r>
      <w:r w:rsidRPr="009D5B81">
        <w:rPr>
          <w:rFonts w:cstheme="minorHAnsi"/>
        </w:rPr>
        <w:t xml:space="preserve"> </w:t>
      </w:r>
      <w:r>
        <w:rPr>
          <w:rFonts w:cstheme="minorHAnsi"/>
        </w:rPr>
        <w:t>(consider approval)</w:t>
      </w:r>
    </w:p>
    <w:p w14:paraId="4CAEBC5D" w14:textId="77777777" w:rsidR="00D5442C" w:rsidRPr="005B1B0B" w:rsidRDefault="00D5442C" w:rsidP="00D5442C">
      <w:pPr>
        <w:spacing w:before="120"/>
        <w:rPr>
          <w:rFonts w:cstheme="minorHAnsi"/>
          <w:szCs w:val="22"/>
        </w:rPr>
      </w:pPr>
      <w:r>
        <w:rPr>
          <w:rFonts w:cstheme="minorHAnsi"/>
          <w:szCs w:val="22"/>
        </w:rPr>
        <w:t xml:space="preserve">8.      </w:t>
      </w:r>
      <w:r w:rsidRPr="005B1B0B">
        <w:rPr>
          <w:rFonts w:cstheme="minorHAnsi"/>
          <w:szCs w:val="22"/>
        </w:rPr>
        <w:t>Updating of the Study Group 13 work programme and agreement on new work items</w:t>
      </w:r>
    </w:p>
    <w:p w14:paraId="667D0E94" w14:textId="77777777" w:rsidR="00D5442C" w:rsidRPr="009D5B81" w:rsidRDefault="00D5442C" w:rsidP="00D5442C">
      <w:pPr>
        <w:overflowPunct/>
        <w:autoSpaceDE/>
        <w:autoSpaceDN/>
        <w:adjustRightInd/>
        <w:spacing w:before="120"/>
        <w:textAlignment w:val="auto"/>
        <w:rPr>
          <w:rFonts w:cstheme="minorHAnsi"/>
        </w:rPr>
      </w:pPr>
      <w:r>
        <w:rPr>
          <w:rFonts w:cstheme="minorHAnsi"/>
          <w:szCs w:val="22"/>
        </w:rPr>
        <w:t xml:space="preserve">9.      </w:t>
      </w:r>
      <w:r w:rsidRPr="007A7F13">
        <w:rPr>
          <w:rFonts w:cstheme="minorHAnsi"/>
          <w:szCs w:val="22"/>
        </w:rPr>
        <w:t>Liaison and interaction with other groups</w:t>
      </w:r>
      <w:r w:rsidRPr="009D5B81">
        <w:rPr>
          <w:rFonts w:cstheme="minorHAnsi"/>
        </w:rPr>
        <w:t xml:space="preserve"> </w:t>
      </w:r>
    </w:p>
    <w:p w14:paraId="66A538F4" w14:textId="77777777" w:rsidR="00D5442C" w:rsidRPr="009D5B81" w:rsidRDefault="00D5442C" w:rsidP="00D5442C">
      <w:pPr>
        <w:overflowPunct/>
        <w:autoSpaceDE/>
        <w:autoSpaceDN/>
        <w:adjustRightInd/>
        <w:spacing w:before="120"/>
        <w:textAlignment w:val="auto"/>
        <w:rPr>
          <w:rFonts w:cstheme="minorHAnsi"/>
        </w:rPr>
      </w:pPr>
      <w:r>
        <w:rPr>
          <w:rFonts w:cstheme="minorHAnsi"/>
        </w:rPr>
        <w:t xml:space="preserve">10.    </w:t>
      </w:r>
      <w:r w:rsidRPr="009D5B81">
        <w:rPr>
          <w:rFonts w:cstheme="minorHAnsi"/>
        </w:rPr>
        <w:t>Agreement on future activities (including workshops)</w:t>
      </w:r>
    </w:p>
    <w:p w14:paraId="6B86C5C6" w14:textId="77777777" w:rsidR="00D5442C" w:rsidRPr="009D5B81" w:rsidRDefault="00D5442C" w:rsidP="00D5442C">
      <w:pPr>
        <w:overflowPunct/>
        <w:autoSpaceDE/>
        <w:autoSpaceDN/>
        <w:adjustRightInd/>
        <w:spacing w:before="120"/>
        <w:textAlignment w:val="auto"/>
        <w:rPr>
          <w:rFonts w:cstheme="minorHAnsi"/>
        </w:rPr>
      </w:pPr>
      <w:r>
        <w:rPr>
          <w:rFonts w:cstheme="minorHAnsi"/>
        </w:rPr>
        <w:t xml:space="preserve">11.    </w:t>
      </w:r>
      <w:r w:rsidRPr="009D5B81">
        <w:rPr>
          <w:rFonts w:cstheme="minorHAnsi"/>
        </w:rPr>
        <w:t>Miscellaneous</w:t>
      </w:r>
    </w:p>
    <w:p w14:paraId="48A605EC" w14:textId="3C108CFD" w:rsidR="00275776" w:rsidRDefault="00D5442C" w:rsidP="00275776">
      <w:pPr>
        <w:overflowPunct/>
        <w:autoSpaceDE/>
        <w:autoSpaceDN/>
        <w:adjustRightInd/>
        <w:spacing w:before="120"/>
        <w:textAlignment w:val="auto"/>
        <w:rPr>
          <w:rFonts w:cstheme="minorHAnsi"/>
        </w:rPr>
      </w:pPr>
      <w:r>
        <w:rPr>
          <w:rFonts w:cstheme="minorHAnsi"/>
        </w:rPr>
        <w:t xml:space="preserve">12.    </w:t>
      </w:r>
      <w:r w:rsidRPr="009D5B81">
        <w:rPr>
          <w:rFonts w:cstheme="minorHAnsi"/>
        </w:rPr>
        <w:t xml:space="preserve">Adjournment </w:t>
      </w:r>
    </w:p>
    <w:p w14:paraId="786BFD23" w14:textId="61FDA73E" w:rsidR="00275776" w:rsidRPr="00EC3ED2" w:rsidRDefault="00275776" w:rsidP="00EC3ED2">
      <w:pPr>
        <w:jc w:val="center"/>
        <w:rPr>
          <w:lang w:val="en-US"/>
        </w:rPr>
      </w:pPr>
      <w:r w:rsidRPr="00B70109">
        <w:t>_____________________</w:t>
      </w:r>
    </w:p>
    <w:sectPr w:rsidR="00275776" w:rsidRPr="00EC3ED2" w:rsidSect="00EC3ED2">
      <w:headerReference w:type="default" r:id="rId25"/>
      <w:footerReference w:type="first" r:id="rId26"/>
      <w:type w:val="oddPage"/>
      <w:pgSz w:w="11907" w:h="16834" w:code="9"/>
      <w:pgMar w:top="567" w:right="708" w:bottom="0" w:left="851" w:header="567" w:footer="194"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50F93" w14:textId="77777777" w:rsidR="00555070" w:rsidRDefault="00555070">
      <w:r>
        <w:separator/>
      </w:r>
    </w:p>
  </w:endnote>
  <w:endnote w:type="continuationSeparator" w:id="0">
    <w:p w14:paraId="10FAEBC8" w14:textId="77777777" w:rsidR="00555070" w:rsidRDefault="0055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60B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ECEC6" w14:textId="77777777" w:rsidR="00555070" w:rsidRDefault="00555070">
      <w:r>
        <w:t>____________________</w:t>
      </w:r>
    </w:p>
  </w:footnote>
  <w:footnote w:type="continuationSeparator" w:id="0">
    <w:p w14:paraId="3862388C" w14:textId="77777777" w:rsidR="00555070" w:rsidRDefault="0055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F253" w14:textId="77777777" w:rsidR="00C740E1" w:rsidRDefault="008A1CF1" w:rsidP="0024485F">
    <w:pPr>
      <w:pStyle w:val="Header"/>
      <w:rPr>
        <w:noProof/>
      </w:rPr>
    </w:pPr>
    <w:sdt>
      <w:sdtPr>
        <w:id w:val="1962066108"/>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EB6A04">
          <w:rPr>
            <w:noProof/>
          </w:rPr>
          <w:t>3</w:t>
        </w:r>
        <w:r w:rsidR="00C740E1">
          <w:rPr>
            <w:noProof/>
          </w:rPr>
          <w:fldChar w:fldCharType="end"/>
        </w:r>
      </w:sdtContent>
    </w:sdt>
    <w:r w:rsidR="00C740E1">
      <w:rPr>
        <w:noProof/>
      </w:rPr>
      <w:t xml:space="preserve"> </w:t>
    </w:r>
    <w:r w:rsidR="003A71AF">
      <w:rPr>
        <w:noProof/>
      </w:rPr>
      <w:t>-</w:t>
    </w:r>
  </w:p>
  <w:p w14:paraId="63A93351" w14:textId="2858286A" w:rsidR="00C740E1" w:rsidRDefault="001850FC" w:rsidP="003B0452">
    <w:pPr>
      <w:pStyle w:val="Header"/>
      <w:rPr>
        <w:noProof/>
      </w:rPr>
    </w:pPr>
    <w:r>
      <w:rPr>
        <w:noProof/>
      </w:rPr>
      <w:t xml:space="preserve">Collective letter </w:t>
    </w:r>
    <w:r w:rsidR="003B0452">
      <w:rPr>
        <w:noProof/>
      </w:rPr>
      <w:t>1</w:t>
    </w:r>
    <w:r w:rsidR="00C672E9">
      <w:rPr>
        <w:noProof/>
      </w:rPr>
      <w:t>3</w:t>
    </w:r>
    <w:r w:rsidR="003B0452">
      <w:rPr>
        <w:noProof/>
      </w:rPr>
      <w:t>/13</w:t>
    </w:r>
  </w:p>
  <w:p w14:paraId="591343AC" w14:textId="77777777" w:rsidR="00AB481E" w:rsidRPr="00C740E1" w:rsidRDefault="00AB481E" w:rsidP="003B045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4264AE5"/>
    <w:multiLevelType w:val="hybridMultilevel"/>
    <w:tmpl w:val="ED6C08FC"/>
    <w:lvl w:ilvl="0" w:tplc="DC2E59A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14"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51131CC7"/>
    <w:multiLevelType w:val="hybridMultilevel"/>
    <w:tmpl w:val="490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269B"/>
    <w:multiLevelType w:val="hybridMultilevel"/>
    <w:tmpl w:val="4AB21A20"/>
    <w:lvl w:ilvl="0" w:tplc="66D68030">
      <w:start w:val="25"/>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E3E7A"/>
    <w:multiLevelType w:val="hybridMultilevel"/>
    <w:tmpl w:val="FA009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2" w15:restartNumberingAfterBreak="0">
    <w:nsid w:val="781A5845"/>
    <w:multiLevelType w:val="hybridMultilevel"/>
    <w:tmpl w:val="062C1222"/>
    <w:lvl w:ilvl="0" w:tplc="DC2E59A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0"/>
  </w:num>
  <w:num w:numId="14">
    <w:abstractNumId w:val="19"/>
  </w:num>
  <w:num w:numId="15">
    <w:abstractNumId w:val="14"/>
  </w:num>
  <w:num w:numId="16">
    <w:abstractNumId w:val="21"/>
  </w:num>
  <w:num w:numId="17">
    <w:abstractNumId w:val="1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6"/>
  </w:num>
  <w:num w:numId="24">
    <w:abstractNumId w:val="22"/>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3A"/>
    <w:rsid w:val="00000FC7"/>
    <w:rsid w:val="00001655"/>
    <w:rsid w:val="000069D4"/>
    <w:rsid w:val="0000705A"/>
    <w:rsid w:val="000103B1"/>
    <w:rsid w:val="00010B0B"/>
    <w:rsid w:val="0001658C"/>
    <w:rsid w:val="000174AD"/>
    <w:rsid w:val="00025A7B"/>
    <w:rsid w:val="00026048"/>
    <w:rsid w:val="000305E1"/>
    <w:rsid w:val="00030DC5"/>
    <w:rsid w:val="000473DF"/>
    <w:rsid w:val="00053AD3"/>
    <w:rsid w:val="000549B1"/>
    <w:rsid w:val="00057223"/>
    <w:rsid w:val="00073152"/>
    <w:rsid w:val="00074539"/>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E219C"/>
    <w:rsid w:val="000F1B4B"/>
    <w:rsid w:val="000F6D51"/>
    <w:rsid w:val="00115DF1"/>
    <w:rsid w:val="001165E2"/>
    <w:rsid w:val="00120B55"/>
    <w:rsid w:val="00124AE2"/>
    <w:rsid w:val="00126E71"/>
    <w:rsid w:val="0012744F"/>
    <w:rsid w:val="00135065"/>
    <w:rsid w:val="0013699E"/>
    <w:rsid w:val="00136A91"/>
    <w:rsid w:val="00140476"/>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2521"/>
    <w:rsid w:val="001C39A4"/>
    <w:rsid w:val="001C3CDB"/>
    <w:rsid w:val="001C7FD8"/>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75776"/>
    <w:rsid w:val="00282A23"/>
    <w:rsid w:val="00287BF1"/>
    <w:rsid w:val="002901FC"/>
    <w:rsid w:val="00291366"/>
    <w:rsid w:val="002926C6"/>
    <w:rsid w:val="00292701"/>
    <w:rsid w:val="002A2F20"/>
    <w:rsid w:val="002A3D35"/>
    <w:rsid w:val="002A7FE2"/>
    <w:rsid w:val="002B5593"/>
    <w:rsid w:val="002B7101"/>
    <w:rsid w:val="002B711C"/>
    <w:rsid w:val="002C0244"/>
    <w:rsid w:val="002C3E7B"/>
    <w:rsid w:val="002C4D11"/>
    <w:rsid w:val="002D0ACE"/>
    <w:rsid w:val="002D2D49"/>
    <w:rsid w:val="002E1B4F"/>
    <w:rsid w:val="002F2E67"/>
    <w:rsid w:val="002F6530"/>
    <w:rsid w:val="00300095"/>
    <w:rsid w:val="00301488"/>
    <w:rsid w:val="00310217"/>
    <w:rsid w:val="00315546"/>
    <w:rsid w:val="0031577B"/>
    <w:rsid w:val="003172EE"/>
    <w:rsid w:val="0032055C"/>
    <w:rsid w:val="00327726"/>
    <w:rsid w:val="003302F9"/>
    <w:rsid w:val="00330567"/>
    <w:rsid w:val="00341B07"/>
    <w:rsid w:val="0034610C"/>
    <w:rsid w:val="00350914"/>
    <w:rsid w:val="00351DA5"/>
    <w:rsid w:val="003614F8"/>
    <w:rsid w:val="0036181D"/>
    <w:rsid w:val="00364B7E"/>
    <w:rsid w:val="00365034"/>
    <w:rsid w:val="00371279"/>
    <w:rsid w:val="003733BE"/>
    <w:rsid w:val="0038217F"/>
    <w:rsid w:val="0038260B"/>
    <w:rsid w:val="00383203"/>
    <w:rsid w:val="00383598"/>
    <w:rsid w:val="003839E7"/>
    <w:rsid w:val="00384E5D"/>
    <w:rsid w:val="00386A9D"/>
    <w:rsid w:val="00391081"/>
    <w:rsid w:val="003A1F34"/>
    <w:rsid w:val="003A33CB"/>
    <w:rsid w:val="003A71AF"/>
    <w:rsid w:val="003B0452"/>
    <w:rsid w:val="003B2789"/>
    <w:rsid w:val="003B356C"/>
    <w:rsid w:val="003B362E"/>
    <w:rsid w:val="003B7FF4"/>
    <w:rsid w:val="003C0A2C"/>
    <w:rsid w:val="003C13CE"/>
    <w:rsid w:val="003C29A6"/>
    <w:rsid w:val="003D0F04"/>
    <w:rsid w:val="003D1461"/>
    <w:rsid w:val="003D16BA"/>
    <w:rsid w:val="003E19E4"/>
    <w:rsid w:val="003E2518"/>
    <w:rsid w:val="003F0DED"/>
    <w:rsid w:val="0040250E"/>
    <w:rsid w:val="00413914"/>
    <w:rsid w:val="00414944"/>
    <w:rsid w:val="00415C7A"/>
    <w:rsid w:val="00426BDA"/>
    <w:rsid w:val="004275B6"/>
    <w:rsid w:val="0043040C"/>
    <w:rsid w:val="004314A2"/>
    <w:rsid w:val="00436712"/>
    <w:rsid w:val="00442C9B"/>
    <w:rsid w:val="00446E76"/>
    <w:rsid w:val="00447690"/>
    <w:rsid w:val="00451E69"/>
    <w:rsid w:val="00453805"/>
    <w:rsid w:val="00461ABC"/>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007C"/>
    <w:rsid w:val="004E1C71"/>
    <w:rsid w:val="004E3CF9"/>
    <w:rsid w:val="004F7071"/>
    <w:rsid w:val="00501DCA"/>
    <w:rsid w:val="00501F4A"/>
    <w:rsid w:val="00507E0C"/>
    <w:rsid w:val="00513A47"/>
    <w:rsid w:val="00514383"/>
    <w:rsid w:val="00514907"/>
    <w:rsid w:val="00517901"/>
    <w:rsid w:val="005255BC"/>
    <w:rsid w:val="0052773C"/>
    <w:rsid w:val="005301EA"/>
    <w:rsid w:val="00532ADA"/>
    <w:rsid w:val="00535F8D"/>
    <w:rsid w:val="00537EF9"/>
    <w:rsid w:val="005408DF"/>
    <w:rsid w:val="005444BD"/>
    <w:rsid w:val="00546626"/>
    <w:rsid w:val="0055318D"/>
    <w:rsid w:val="00555070"/>
    <w:rsid w:val="00556C47"/>
    <w:rsid w:val="0057179C"/>
    <w:rsid w:val="005729DB"/>
    <w:rsid w:val="00573344"/>
    <w:rsid w:val="00576D0E"/>
    <w:rsid w:val="0057770B"/>
    <w:rsid w:val="00583F9B"/>
    <w:rsid w:val="00584AFA"/>
    <w:rsid w:val="0058770B"/>
    <w:rsid w:val="005A465E"/>
    <w:rsid w:val="005A569C"/>
    <w:rsid w:val="005C19B3"/>
    <w:rsid w:val="005C580C"/>
    <w:rsid w:val="005C7E74"/>
    <w:rsid w:val="005D3724"/>
    <w:rsid w:val="005D56B1"/>
    <w:rsid w:val="005D71A2"/>
    <w:rsid w:val="005E1223"/>
    <w:rsid w:val="005E5C10"/>
    <w:rsid w:val="005E70E3"/>
    <w:rsid w:val="005E7830"/>
    <w:rsid w:val="005F1F9A"/>
    <w:rsid w:val="005F2C78"/>
    <w:rsid w:val="006006A3"/>
    <w:rsid w:val="00600E7E"/>
    <w:rsid w:val="00611D65"/>
    <w:rsid w:val="006144E4"/>
    <w:rsid w:val="00617501"/>
    <w:rsid w:val="00622D0F"/>
    <w:rsid w:val="00624555"/>
    <w:rsid w:val="00636F0B"/>
    <w:rsid w:val="00642228"/>
    <w:rsid w:val="00643535"/>
    <w:rsid w:val="0064716B"/>
    <w:rsid w:val="00650299"/>
    <w:rsid w:val="006513DD"/>
    <w:rsid w:val="006550C0"/>
    <w:rsid w:val="00655FC5"/>
    <w:rsid w:val="00655FDD"/>
    <w:rsid w:val="00666105"/>
    <w:rsid w:val="00670B08"/>
    <w:rsid w:val="00680D49"/>
    <w:rsid w:val="006859C2"/>
    <w:rsid w:val="00687BD5"/>
    <w:rsid w:val="006907AE"/>
    <w:rsid w:val="00690BFB"/>
    <w:rsid w:val="006A116C"/>
    <w:rsid w:val="006A184C"/>
    <w:rsid w:val="006A7ECC"/>
    <w:rsid w:val="006B43D3"/>
    <w:rsid w:val="006C44C1"/>
    <w:rsid w:val="006C6E0B"/>
    <w:rsid w:val="006D1708"/>
    <w:rsid w:val="006D4085"/>
    <w:rsid w:val="006D6AF4"/>
    <w:rsid w:val="006D7202"/>
    <w:rsid w:val="00710D11"/>
    <w:rsid w:val="00713CDB"/>
    <w:rsid w:val="00730C9D"/>
    <w:rsid w:val="0075739B"/>
    <w:rsid w:val="00766333"/>
    <w:rsid w:val="00775AB4"/>
    <w:rsid w:val="00776750"/>
    <w:rsid w:val="00783E10"/>
    <w:rsid w:val="00792A3A"/>
    <w:rsid w:val="00794FA5"/>
    <w:rsid w:val="007A3B5D"/>
    <w:rsid w:val="007A481F"/>
    <w:rsid w:val="007C2288"/>
    <w:rsid w:val="007C39FF"/>
    <w:rsid w:val="007D0DC2"/>
    <w:rsid w:val="007D2F64"/>
    <w:rsid w:val="007D36EE"/>
    <w:rsid w:val="007E51DC"/>
    <w:rsid w:val="00801031"/>
    <w:rsid w:val="00802953"/>
    <w:rsid w:val="00803F97"/>
    <w:rsid w:val="00807FF1"/>
    <w:rsid w:val="00817BB4"/>
    <w:rsid w:val="00822581"/>
    <w:rsid w:val="008309DD"/>
    <w:rsid w:val="00830DBC"/>
    <w:rsid w:val="00831A6E"/>
    <w:rsid w:val="0083227A"/>
    <w:rsid w:val="00834B1E"/>
    <w:rsid w:val="00835B8B"/>
    <w:rsid w:val="00836354"/>
    <w:rsid w:val="008415AD"/>
    <w:rsid w:val="00843171"/>
    <w:rsid w:val="00857C67"/>
    <w:rsid w:val="00862C7A"/>
    <w:rsid w:val="00862CC9"/>
    <w:rsid w:val="00866900"/>
    <w:rsid w:val="00870336"/>
    <w:rsid w:val="0087300D"/>
    <w:rsid w:val="00874A81"/>
    <w:rsid w:val="0087539F"/>
    <w:rsid w:val="0087593F"/>
    <w:rsid w:val="00875B05"/>
    <w:rsid w:val="008768C5"/>
    <w:rsid w:val="00881BA1"/>
    <w:rsid w:val="00884F3B"/>
    <w:rsid w:val="00885066"/>
    <w:rsid w:val="008A0A55"/>
    <w:rsid w:val="008A0CAA"/>
    <w:rsid w:val="008A1CF1"/>
    <w:rsid w:val="008B0087"/>
    <w:rsid w:val="008C26B8"/>
    <w:rsid w:val="008C420F"/>
    <w:rsid w:val="008C63FF"/>
    <w:rsid w:val="008C7E47"/>
    <w:rsid w:val="008D79A4"/>
    <w:rsid w:val="008E0644"/>
    <w:rsid w:val="008E51E1"/>
    <w:rsid w:val="0090173C"/>
    <w:rsid w:val="00902D14"/>
    <w:rsid w:val="00905875"/>
    <w:rsid w:val="009069C7"/>
    <w:rsid w:val="00912B2C"/>
    <w:rsid w:val="00913C97"/>
    <w:rsid w:val="009273EC"/>
    <w:rsid w:val="00931726"/>
    <w:rsid w:val="00931D00"/>
    <w:rsid w:val="00932E45"/>
    <w:rsid w:val="00936D00"/>
    <w:rsid w:val="00943574"/>
    <w:rsid w:val="00951309"/>
    <w:rsid w:val="0095168F"/>
    <w:rsid w:val="00957761"/>
    <w:rsid w:val="00957A2F"/>
    <w:rsid w:val="00960310"/>
    <w:rsid w:val="009607B6"/>
    <w:rsid w:val="009616FE"/>
    <w:rsid w:val="00964CF0"/>
    <w:rsid w:val="00977A25"/>
    <w:rsid w:val="00980F76"/>
    <w:rsid w:val="00982084"/>
    <w:rsid w:val="00991A72"/>
    <w:rsid w:val="00995963"/>
    <w:rsid w:val="00996D53"/>
    <w:rsid w:val="009A00F4"/>
    <w:rsid w:val="009A4488"/>
    <w:rsid w:val="009A54D9"/>
    <w:rsid w:val="009B5C68"/>
    <w:rsid w:val="009B61EB"/>
    <w:rsid w:val="009B6449"/>
    <w:rsid w:val="009C2064"/>
    <w:rsid w:val="009C72B4"/>
    <w:rsid w:val="009D1697"/>
    <w:rsid w:val="009D1DF9"/>
    <w:rsid w:val="009D5B81"/>
    <w:rsid w:val="009E13BC"/>
    <w:rsid w:val="009E4F80"/>
    <w:rsid w:val="009F12DC"/>
    <w:rsid w:val="009F3E9B"/>
    <w:rsid w:val="009F6A52"/>
    <w:rsid w:val="00A014F8"/>
    <w:rsid w:val="00A015F3"/>
    <w:rsid w:val="00A03CA3"/>
    <w:rsid w:val="00A11DCA"/>
    <w:rsid w:val="00A129C1"/>
    <w:rsid w:val="00A1765C"/>
    <w:rsid w:val="00A47BC7"/>
    <w:rsid w:val="00A5173C"/>
    <w:rsid w:val="00A57624"/>
    <w:rsid w:val="00A60FE3"/>
    <w:rsid w:val="00A61AEF"/>
    <w:rsid w:val="00A64506"/>
    <w:rsid w:val="00A75CB3"/>
    <w:rsid w:val="00A8676D"/>
    <w:rsid w:val="00A87AFE"/>
    <w:rsid w:val="00A9233F"/>
    <w:rsid w:val="00A95848"/>
    <w:rsid w:val="00A9652E"/>
    <w:rsid w:val="00A9718D"/>
    <w:rsid w:val="00AA1543"/>
    <w:rsid w:val="00AA5940"/>
    <w:rsid w:val="00AB0FFD"/>
    <w:rsid w:val="00AB481E"/>
    <w:rsid w:val="00AC2537"/>
    <w:rsid w:val="00AC2918"/>
    <w:rsid w:val="00AC31EA"/>
    <w:rsid w:val="00AC694E"/>
    <w:rsid w:val="00AD32BA"/>
    <w:rsid w:val="00AD32FB"/>
    <w:rsid w:val="00AD7192"/>
    <w:rsid w:val="00AE03A7"/>
    <w:rsid w:val="00AE1E57"/>
    <w:rsid w:val="00AF10F1"/>
    <w:rsid w:val="00AF173A"/>
    <w:rsid w:val="00AF2757"/>
    <w:rsid w:val="00B027CC"/>
    <w:rsid w:val="00B066A4"/>
    <w:rsid w:val="00B07A13"/>
    <w:rsid w:val="00B07B81"/>
    <w:rsid w:val="00B07C96"/>
    <w:rsid w:val="00B118AC"/>
    <w:rsid w:val="00B143E2"/>
    <w:rsid w:val="00B20A67"/>
    <w:rsid w:val="00B30E7D"/>
    <w:rsid w:val="00B331EA"/>
    <w:rsid w:val="00B34BDA"/>
    <w:rsid w:val="00B4279B"/>
    <w:rsid w:val="00B45FC9"/>
    <w:rsid w:val="00B46C10"/>
    <w:rsid w:val="00B50540"/>
    <w:rsid w:val="00B556C2"/>
    <w:rsid w:val="00B57728"/>
    <w:rsid w:val="00B60D37"/>
    <w:rsid w:val="00B61795"/>
    <w:rsid w:val="00B70109"/>
    <w:rsid w:val="00B75797"/>
    <w:rsid w:val="00B805FC"/>
    <w:rsid w:val="00B83029"/>
    <w:rsid w:val="00B83461"/>
    <w:rsid w:val="00B9685D"/>
    <w:rsid w:val="00BC398D"/>
    <w:rsid w:val="00BC41E7"/>
    <w:rsid w:val="00BC5760"/>
    <w:rsid w:val="00BC7CCF"/>
    <w:rsid w:val="00BE1A8D"/>
    <w:rsid w:val="00BE3F36"/>
    <w:rsid w:val="00BE470B"/>
    <w:rsid w:val="00BF72E2"/>
    <w:rsid w:val="00C018E7"/>
    <w:rsid w:val="00C16228"/>
    <w:rsid w:val="00C24F4D"/>
    <w:rsid w:val="00C25538"/>
    <w:rsid w:val="00C43091"/>
    <w:rsid w:val="00C54F85"/>
    <w:rsid w:val="00C57A91"/>
    <w:rsid w:val="00C672E9"/>
    <w:rsid w:val="00C740E1"/>
    <w:rsid w:val="00C75C0D"/>
    <w:rsid w:val="00C76E40"/>
    <w:rsid w:val="00C81884"/>
    <w:rsid w:val="00C87A03"/>
    <w:rsid w:val="00C87E56"/>
    <w:rsid w:val="00C96F66"/>
    <w:rsid w:val="00CA2AA1"/>
    <w:rsid w:val="00CA4D9F"/>
    <w:rsid w:val="00CB01D4"/>
    <w:rsid w:val="00CB2B66"/>
    <w:rsid w:val="00CB3DB0"/>
    <w:rsid w:val="00CB43AF"/>
    <w:rsid w:val="00CC01C2"/>
    <w:rsid w:val="00CD70B3"/>
    <w:rsid w:val="00CE0B25"/>
    <w:rsid w:val="00CE218B"/>
    <w:rsid w:val="00CE37EC"/>
    <w:rsid w:val="00CE58A4"/>
    <w:rsid w:val="00CE7E3D"/>
    <w:rsid w:val="00CF141F"/>
    <w:rsid w:val="00CF1D31"/>
    <w:rsid w:val="00CF21F2"/>
    <w:rsid w:val="00CF4DBA"/>
    <w:rsid w:val="00CF5EBB"/>
    <w:rsid w:val="00D02712"/>
    <w:rsid w:val="00D057B9"/>
    <w:rsid w:val="00D070C6"/>
    <w:rsid w:val="00D145D8"/>
    <w:rsid w:val="00D214D0"/>
    <w:rsid w:val="00D26045"/>
    <w:rsid w:val="00D33EE4"/>
    <w:rsid w:val="00D3526A"/>
    <w:rsid w:val="00D360C6"/>
    <w:rsid w:val="00D41317"/>
    <w:rsid w:val="00D41E01"/>
    <w:rsid w:val="00D442B4"/>
    <w:rsid w:val="00D44F90"/>
    <w:rsid w:val="00D50796"/>
    <w:rsid w:val="00D5442C"/>
    <w:rsid w:val="00D565B5"/>
    <w:rsid w:val="00D63E79"/>
    <w:rsid w:val="00D6546B"/>
    <w:rsid w:val="00D80150"/>
    <w:rsid w:val="00D82A2A"/>
    <w:rsid w:val="00D8684E"/>
    <w:rsid w:val="00D872FD"/>
    <w:rsid w:val="00D9439B"/>
    <w:rsid w:val="00D95FBD"/>
    <w:rsid w:val="00DA3E91"/>
    <w:rsid w:val="00DA6274"/>
    <w:rsid w:val="00DA7519"/>
    <w:rsid w:val="00DB3E56"/>
    <w:rsid w:val="00DB6AC5"/>
    <w:rsid w:val="00DC36AC"/>
    <w:rsid w:val="00DC3CD2"/>
    <w:rsid w:val="00DC4133"/>
    <w:rsid w:val="00DC4A91"/>
    <w:rsid w:val="00DC6AE7"/>
    <w:rsid w:val="00DD0952"/>
    <w:rsid w:val="00DD0CF0"/>
    <w:rsid w:val="00DD42B2"/>
    <w:rsid w:val="00DD4BED"/>
    <w:rsid w:val="00DD73D1"/>
    <w:rsid w:val="00DE39F0"/>
    <w:rsid w:val="00DF0AF3"/>
    <w:rsid w:val="00E0115C"/>
    <w:rsid w:val="00E03A76"/>
    <w:rsid w:val="00E06CA9"/>
    <w:rsid w:val="00E072CC"/>
    <w:rsid w:val="00E17CCC"/>
    <w:rsid w:val="00E17F0A"/>
    <w:rsid w:val="00E20FD8"/>
    <w:rsid w:val="00E21FE2"/>
    <w:rsid w:val="00E27D7E"/>
    <w:rsid w:val="00E3102C"/>
    <w:rsid w:val="00E319EC"/>
    <w:rsid w:val="00E33FD7"/>
    <w:rsid w:val="00E34935"/>
    <w:rsid w:val="00E35A1F"/>
    <w:rsid w:val="00E40339"/>
    <w:rsid w:val="00E40E7B"/>
    <w:rsid w:val="00E425D2"/>
    <w:rsid w:val="00E42E13"/>
    <w:rsid w:val="00E5309E"/>
    <w:rsid w:val="00E6257C"/>
    <w:rsid w:val="00E63C59"/>
    <w:rsid w:val="00E64B03"/>
    <w:rsid w:val="00E6788D"/>
    <w:rsid w:val="00E757C8"/>
    <w:rsid w:val="00E8574E"/>
    <w:rsid w:val="00E93E5E"/>
    <w:rsid w:val="00E970D6"/>
    <w:rsid w:val="00EA48F1"/>
    <w:rsid w:val="00EA4E6F"/>
    <w:rsid w:val="00EA554C"/>
    <w:rsid w:val="00EA789F"/>
    <w:rsid w:val="00EB6A04"/>
    <w:rsid w:val="00EC0EF4"/>
    <w:rsid w:val="00EC21DF"/>
    <w:rsid w:val="00EC3ED2"/>
    <w:rsid w:val="00EE12EF"/>
    <w:rsid w:val="00EE1D23"/>
    <w:rsid w:val="00EE32F5"/>
    <w:rsid w:val="00EE72FD"/>
    <w:rsid w:val="00EF1BDB"/>
    <w:rsid w:val="00F07162"/>
    <w:rsid w:val="00F10C0D"/>
    <w:rsid w:val="00F27B3A"/>
    <w:rsid w:val="00F37AB8"/>
    <w:rsid w:val="00F40852"/>
    <w:rsid w:val="00F42BB7"/>
    <w:rsid w:val="00F42EF2"/>
    <w:rsid w:val="00F443AE"/>
    <w:rsid w:val="00F54DF5"/>
    <w:rsid w:val="00F676CC"/>
    <w:rsid w:val="00F67C38"/>
    <w:rsid w:val="00F705AE"/>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5CB30F"/>
  <w15:docId w15:val="{5109544A-3FC6-435F-8F7A-94B7C5B4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6181D"/>
    <w:rPr>
      <w:rFonts w:asciiTheme="minorHAnsi" w:hAnsiTheme="minorHAnsi"/>
      <w:sz w:val="22"/>
      <w:lang w:val="en-GB" w:eastAsia="en-US"/>
    </w:rPr>
  </w:style>
  <w:style w:type="character" w:customStyle="1" w:styleId="ListParagraphChar">
    <w:name w:val="List Paragraph Char"/>
    <w:basedOn w:val="DefaultParagraphFont"/>
    <w:link w:val="ListParagraph"/>
    <w:uiPriority w:val="34"/>
    <w:locked/>
    <w:rsid w:val="007C39FF"/>
    <w:rPr>
      <w:rFonts w:ascii="Times New Roman" w:hAnsi="Times New Roman"/>
      <w:sz w:val="22"/>
      <w:lang w:val="en-GB" w:eastAsia="en-US"/>
    </w:rPr>
  </w:style>
  <w:style w:type="character" w:styleId="UnresolvedMention">
    <w:name w:val="Unresolved Mention"/>
    <w:basedOn w:val="DefaultParagraphFont"/>
    <w:uiPriority w:val="99"/>
    <w:semiHidden/>
    <w:unhideWhenUsed/>
    <w:rsid w:val="002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85479">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 TargetMode="Externa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md/T17-TSB-CIR-0068" TargetMode="External"/><Relationship Id="rId28"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go/tsg13" TargetMode="External"/><Relationship Id="rId22" Type="http://schemas.openxmlformats.org/officeDocument/2006/relationships/hyperlink" Target="https://remote.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0D64-81F1-46BD-A202-A990B0C8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24</TotalTime>
  <Pages>4</Pages>
  <Words>1196</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Braud, Olivia</cp:lastModifiedBy>
  <cp:revision>9</cp:revision>
  <cp:lastPrinted>2020-09-15T15:32:00Z</cp:lastPrinted>
  <dcterms:created xsi:type="dcterms:W3CDTF">2020-09-15T13:33:00Z</dcterms:created>
  <dcterms:modified xsi:type="dcterms:W3CDTF">2020-09-15T15:33:00Z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