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14:paraId="70A08E41" w14:textId="77777777" w:rsidTr="00427EA6">
        <w:trPr>
          <w:cantSplit/>
        </w:trPr>
        <w:tc>
          <w:tcPr>
            <w:tcW w:w="1418" w:type="dxa"/>
            <w:vAlign w:val="center"/>
          </w:tcPr>
          <w:p w14:paraId="22DBD721" w14:textId="77777777"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 wp14:anchorId="7F358A9F" wp14:editId="441403A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6D8C974" w14:textId="77777777"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5B55763" w14:textId="77777777"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38E62830" w14:textId="77777777"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5A7E4521" w14:textId="77777777" w:rsidR="002545AA" w:rsidRPr="00081D06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081D06" w14:paraId="3FF73F35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392EE405" w14:textId="77777777" w:rsidR="002545AA" w:rsidRPr="00081D06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14:paraId="56EE7645" w14:textId="77777777" w:rsidR="002545AA" w:rsidRPr="00081D06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14:paraId="153C28D5" w14:textId="76E94265" w:rsidR="002545AA" w:rsidRPr="00081D06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r w:rsidRPr="00081D06">
              <w:t xml:space="preserve">Ginebra, </w:t>
            </w:r>
            <w:r w:rsidR="0055666D" w:rsidRPr="00081D06">
              <w:t>1 de noviembre de 2019</w:t>
            </w:r>
          </w:p>
        </w:tc>
      </w:tr>
      <w:tr w:rsidR="002545AA" w:rsidRPr="00081D06" w14:paraId="4191EC1E" w14:textId="77777777" w:rsidTr="002C58A4">
        <w:trPr>
          <w:cantSplit/>
          <w:trHeight w:val="649"/>
        </w:trPr>
        <w:tc>
          <w:tcPr>
            <w:tcW w:w="1084" w:type="dxa"/>
            <w:gridSpan w:val="2"/>
          </w:tcPr>
          <w:p w14:paraId="0B40A734" w14:textId="77777777" w:rsidR="002545AA" w:rsidRPr="00081D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81D06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14:paraId="37A65660" w14:textId="77777777" w:rsidR="0055666D" w:rsidRPr="00081D06" w:rsidRDefault="002545AA" w:rsidP="0055666D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</w:rPr>
            </w:pPr>
            <w:r w:rsidRPr="00081D06">
              <w:rPr>
                <w:b/>
              </w:rPr>
              <w:t xml:space="preserve">Carta Colectiva TSB </w:t>
            </w:r>
            <w:r w:rsidR="0055666D" w:rsidRPr="00081D06">
              <w:rPr>
                <w:b/>
                <w:bCs/>
                <w:szCs w:val="24"/>
              </w:rPr>
              <w:t>10/13</w:t>
            </w:r>
          </w:p>
          <w:p w14:paraId="26BEE7C7" w14:textId="1B88C467" w:rsidR="002545AA" w:rsidRPr="00081D06" w:rsidRDefault="0055666D" w:rsidP="0055666D">
            <w:pPr>
              <w:tabs>
                <w:tab w:val="left" w:pos="4111"/>
              </w:tabs>
              <w:spacing w:before="40" w:after="40"/>
              <w:ind w:left="57"/>
              <w:rPr>
                <w:u w:val="single"/>
              </w:rPr>
            </w:pPr>
            <w:r w:rsidRPr="00081D06">
              <w:rPr>
                <w:szCs w:val="24"/>
              </w:rPr>
              <w:t>SG13/TK</w:t>
            </w:r>
          </w:p>
        </w:tc>
        <w:tc>
          <w:tcPr>
            <w:tcW w:w="4762" w:type="dxa"/>
            <w:vMerge w:val="restart"/>
          </w:tcPr>
          <w:p w14:paraId="570B4943" w14:textId="77777777" w:rsidR="0055666D" w:rsidRPr="00081D06" w:rsidRDefault="0055666D" w:rsidP="0055666D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081D06">
              <w:rPr>
                <w:bCs/>
              </w:rPr>
              <w:t>A:</w:t>
            </w:r>
          </w:p>
          <w:p w14:paraId="670666C7" w14:textId="77777777" w:rsidR="0055666D" w:rsidRPr="00081D06" w:rsidRDefault="0055666D" w:rsidP="0055666D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081D06">
              <w:t>-</w:t>
            </w:r>
            <w:r w:rsidRPr="00081D06">
              <w:tab/>
              <w:t>Las Administraciones de los Estados Miembros de la Unión;</w:t>
            </w:r>
          </w:p>
          <w:p w14:paraId="7BA1DF85" w14:textId="77777777" w:rsidR="0055666D" w:rsidRPr="00081D06" w:rsidRDefault="0055666D" w:rsidP="0055666D">
            <w:pPr>
              <w:tabs>
                <w:tab w:val="clear" w:pos="794"/>
                <w:tab w:val="left" w:pos="218"/>
              </w:tabs>
              <w:spacing w:before="0" w:after="40"/>
              <w:ind w:left="57"/>
            </w:pPr>
            <w:r w:rsidRPr="00081D06">
              <w:t>-</w:t>
            </w:r>
            <w:r w:rsidRPr="00081D06">
              <w:tab/>
              <w:t>Los Miembros del Sector UIT</w:t>
            </w:r>
            <w:r w:rsidRPr="00081D06">
              <w:noBreakHyphen/>
              <w:t>T;</w:t>
            </w:r>
          </w:p>
          <w:p w14:paraId="0C08DB7E" w14:textId="77777777" w:rsidR="0055666D" w:rsidRPr="00081D06" w:rsidRDefault="0055666D" w:rsidP="0055666D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081D06">
              <w:t>-</w:t>
            </w:r>
            <w:r w:rsidRPr="00081D06">
              <w:tab/>
              <w:t>Los Asociados que participan en los trabajos de la Comisión de Estudio 13; y a</w:t>
            </w:r>
          </w:p>
          <w:p w14:paraId="2655B873" w14:textId="4AD93316" w:rsidR="002545AA" w:rsidRPr="00081D06" w:rsidRDefault="0055666D" w:rsidP="0055666D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081D06">
              <w:t>-</w:t>
            </w:r>
            <w:r w:rsidRPr="00081D06">
              <w:tab/>
              <w:t>Las Instituciones Académicas de la UIT</w:t>
            </w:r>
          </w:p>
        </w:tc>
      </w:tr>
      <w:tr w:rsidR="002545AA" w:rsidRPr="00081D06" w14:paraId="2D410B50" w14:textId="77777777" w:rsidTr="002C58A4">
        <w:trPr>
          <w:cantSplit/>
          <w:trHeight w:val="390"/>
        </w:trPr>
        <w:tc>
          <w:tcPr>
            <w:tcW w:w="1084" w:type="dxa"/>
            <w:gridSpan w:val="2"/>
          </w:tcPr>
          <w:p w14:paraId="161C1AA9" w14:textId="77777777" w:rsidR="002545AA" w:rsidRPr="00081D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81D06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14:paraId="4F377E1D" w14:textId="77777777" w:rsidR="002545AA" w:rsidRPr="00081D06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081D06">
              <w:t xml:space="preserve">+41 22 730 </w:t>
            </w:r>
          </w:p>
        </w:tc>
        <w:tc>
          <w:tcPr>
            <w:tcW w:w="4762" w:type="dxa"/>
            <w:vMerge/>
          </w:tcPr>
          <w:p w14:paraId="1EEE0BA2" w14:textId="77777777" w:rsidR="002545AA" w:rsidRPr="00081D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081D06" w14:paraId="21FA90D6" w14:textId="77777777" w:rsidTr="002C58A4">
        <w:trPr>
          <w:cantSplit/>
          <w:trHeight w:val="431"/>
        </w:trPr>
        <w:tc>
          <w:tcPr>
            <w:tcW w:w="1084" w:type="dxa"/>
            <w:gridSpan w:val="2"/>
          </w:tcPr>
          <w:p w14:paraId="335BBE26" w14:textId="77777777" w:rsidR="002545AA" w:rsidRPr="00081D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81D06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14:paraId="619A9996" w14:textId="77777777" w:rsidR="002545AA" w:rsidRPr="00081D06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081D06">
              <w:t>+41 22 730 5853</w:t>
            </w:r>
          </w:p>
        </w:tc>
        <w:tc>
          <w:tcPr>
            <w:tcW w:w="4762" w:type="dxa"/>
            <w:vMerge/>
          </w:tcPr>
          <w:p w14:paraId="0302EAE9" w14:textId="77777777" w:rsidR="002545AA" w:rsidRPr="00081D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081D06" w14:paraId="2602DE2B" w14:textId="77777777" w:rsidTr="002C58A4">
        <w:trPr>
          <w:cantSplit/>
        </w:trPr>
        <w:tc>
          <w:tcPr>
            <w:tcW w:w="1084" w:type="dxa"/>
            <w:gridSpan w:val="2"/>
          </w:tcPr>
          <w:p w14:paraId="24933152" w14:textId="77777777" w:rsidR="002545AA" w:rsidRPr="00081D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81D06">
              <w:rPr>
                <w:szCs w:val="24"/>
              </w:rPr>
              <w:t>Correo-e:</w:t>
            </w:r>
          </w:p>
        </w:tc>
        <w:tc>
          <w:tcPr>
            <w:tcW w:w="3793" w:type="dxa"/>
          </w:tcPr>
          <w:p w14:paraId="3DD7DD86" w14:textId="71F0183F" w:rsidR="002545AA" w:rsidRPr="00081D06" w:rsidRDefault="008415BE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55666D" w:rsidRPr="00081D06">
                <w:rPr>
                  <w:rStyle w:val="Hyperlink"/>
                  <w:szCs w:val="24"/>
                </w:rPr>
                <w:t>tsbsg13@itu.int</w:t>
              </w:r>
            </w:hyperlink>
          </w:p>
        </w:tc>
        <w:tc>
          <w:tcPr>
            <w:tcW w:w="4762" w:type="dxa"/>
            <w:vMerge/>
          </w:tcPr>
          <w:p w14:paraId="1D5A2324" w14:textId="77777777" w:rsidR="002545AA" w:rsidRPr="00081D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081D06" w14:paraId="5F65F094" w14:textId="77777777" w:rsidTr="002C58A4">
        <w:trPr>
          <w:cantSplit/>
        </w:trPr>
        <w:tc>
          <w:tcPr>
            <w:tcW w:w="1084" w:type="dxa"/>
            <w:gridSpan w:val="2"/>
          </w:tcPr>
          <w:p w14:paraId="5711D30A" w14:textId="77777777" w:rsidR="002545AA" w:rsidRPr="00081D06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081D06">
              <w:rPr>
                <w:szCs w:val="24"/>
              </w:rPr>
              <w:t>Web:</w:t>
            </w:r>
          </w:p>
        </w:tc>
        <w:tc>
          <w:tcPr>
            <w:tcW w:w="3793" w:type="dxa"/>
          </w:tcPr>
          <w:p w14:paraId="61DA020B" w14:textId="2FA0924E" w:rsidR="002545AA" w:rsidRPr="00081D06" w:rsidRDefault="008415BE" w:rsidP="002C58A4">
            <w:pPr>
              <w:tabs>
                <w:tab w:val="left" w:pos="4111"/>
              </w:tabs>
              <w:spacing w:before="40" w:after="40"/>
              <w:ind w:left="57"/>
            </w:pPr>
            <w:hyperlink r:id="rId10" w:history="1">
              <w:r w:rsidR="0055666D" w:rsidRPr="00081D06">
                <w:rPr>
                  <w:rStyle w:val="Hyperlink"/>
                </w:rPr>
                <w:t>http://itu.int/go/tsg13</w:t>
              </w:r>
            </w:hyperlink>
          </w:p>
        </w:tc>
        <w:tc>
          <w:tcPr>
            <w:tcW w:w="4762" w:type="dxa"/>
            <w:vMerge/>
          </w:tcPr>
          <w:p w14:paraId="038D50EB" w14:textId="77777777" w:rsidR="002545AA" w:rsidRPr="00081D06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081D06" w14:paraId="0828BE10" w14:textId="77777777" w:rsidTr="002C58A4">
        <w:trPr>
          <w:cantSplit/>
          <w:trHeight w:val="680"/>
        </w:trPr>
        <w:tc>
          <w:tcPr>
            <w:tcW w:w="1070" w:type="dxa"/>
          </w:tcPr>
          <w:p w14:paraId="64CB5A38" w14:textId="77777777" w:rsidR="002545AA" w:rsidRPr="00081D06" w:rsidRDefault="002545AA" w:rsidP="004E2A80">
            <w:pPr>
              <w:tabs>
                <w:tab w:val="left" w:pos="4111"/>
              </w:tabs>
              <w:spacing w:before="240" w:after="40"/>
              <w:ind w:left="58"/>
              <w:rPr>
                <w:szCs w:val="24"/>
              </w:rPr>
            </w:pPr>
            <w:r w:rsidRPr="00081D06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14:paraId="68510B3B" w14:textId="7456025A" w:rsidR="002545AA" w:rsidRPr="00081D06" w:rsidRDefault="0055666D" w:rsidP="004E2A80">
            <w:pPr>
              <w:tabs>
                <w:tab w:val="left" w:pos="4111"/>
              </w:tabs>
              <w:spacing w:before="240" w:after="40"/>
              <w:ind w:left="58"/>
              <w:rPr>
                <w:b/>
                <w:bCs/>
              </w:rPr>
            </w:pPr>
            <w:r w:rsidRPr="00081D06">
              <w:rPr>
                <w:b/>
                <w:bCs/>
                <w:szCs w:val="24"/>
              </w:rPr>
              <w:t>Reunión de la Comisión de Estudio 13 del UIT-T (Ginebra, 13 de marzo de 2020)</w:t>
            </w:r>
          </w:p>
        </w:tc>
      </w:tr>
    </w:tbl>
    <w:p w14:paraId="04DAD08A" w14:textId="78AFDA65" w:rsidR="0055666D" w:rsidRPr="00081D06" w:rsidRDefault="0055666D" w:rsidP="00F1341B">
      <w:pPr>
        <w:spacing w:before="240"/>
        <w:rPr>
          <w:sz w:val="24"/>
          <w:szCs w:val="24"/>
        </w:rPr>
      </w:pPr>
      <w:bookmarkStart w:id="0" w:name="ditulogo"/>
      <w:bookmarkEnd w:id="0"/>
      <w:r w:rsidRPr="00081D06">
        <w:rPr>
          <w:sz w:val="24"/>
          <w:szCs w:val="24"/>
        </w:rPr>
        <w:t>Muy Señora mía/Muy Señor mío</w:t>
      </w:r>
      <w:r w:rsidR="004E2A80">
        <w:rPr>
          <w:sz w:val="24"/>
          <w:szCs w:val="24"/>
        </w:rPr>
        <w:t>,</w:t>
      </w:r>
    </w:p>
    <w:p w14:paraId="597EF833" w14:textId="086D04F2" w:rsidR="0055666D" w:rsidRPr="00081D06" w:rsidRDefault="0055666D" w:rsidP="00DD1995">
      <w:pPr>
        <w:rPr>
          <w:sz w:val="24"/>
          <w:szCs w:val="24"/>
        </w:rPr>
      </w:pPr>
      <w:r w:rsidRPr="00081D06">
        <w:rPr>
          <w:sz w:val="24"/>
          <w:szCs w:val="24"/>
        </w:rPr>
        <w:t>Con mi acuerdo a lo solicitado por el Presidente de la Comisión de Estudio 13 (Sr. Leo Lehmann), y según lo aprobado en la reunión de dicha Comisión (Ginebra, 14-25 de octubre de 2019), me complace invitarle a asistir a la reunión de la Comisión de Estudio 13 (</w:t>
      </w:r>
      <w:r w:rsidRPr="00081D06">
        <w:rPr>
          <w:i/>
          <w:iCs/>
          <w:sz w:val="24"/>
          <w:szCs w:val="24"/>
        </w:rPr>
        <w:t>Redes futuras, especialmente las IMT-2020, la computación en la nube y las infraestructuras de red de confianza</w:t>
      </w:r>
      <w:r w:rsidRPr="00081D06">
        <w:rPr>
          <w:sz w:val="24"/>
          <w:szCs w:val="24"/>
        </w:rPr>
        <w:t>), que se celebrará en la Sede de la UIT en Ginebra, el día 13 de marzo de 2020 con el fin de tomar una decisión (consentimiento, determinación o aprobación) respecto de una serie de proyectos de Recomendación o de la aprobación de Suplementos</w:t>
      </w:r>
      <w:r w:rsidR="00081D06" w:rsidRPr="00081D06">
        <w:rPr>
          <w:sz w:val="24"/>
          <w:szCs w:val="24"/>
        </w:rPr>
        <w:t xml:space="preserve"> e informes técnicos</w:t>
      </w:r>
      <w:r w:rsidRPr="00081D06">
        <w:rPr>
          <w:sz w:val="24"/>
          <w:szCs w:val="24"/>
        </w:rPr>
        <w:t>.</w:t>
      </w:r>
    </w:p>
    <w:p w14:paraId="7704B3F6" w14:textId="22CFEAA9" w:rsidR="0055666D" w:rsidRPr="00081D06" w:rsidRDefault="0055666D" w:rsidP="00DD1995">
      <w:pPr>
        <w:rPr>
          <w:sz w:val="24"/>
          <w:szCs w:val="24"/>
        </w:rPr>
      </w:pPr>
      <w:r w:rsidRPr="00081D06">
        <w:rPr>
          <w:sz w:val="24"/>
          <w:szCs w:val="24"/>
        </w:rPr>
        <w:t xml:space="preserve">La reunión de la Comisión de Estudio 13 comenzará a las 09.00 horas, y la inscripción de los participantes comenzará a las 08.30 horas en la entrada del </w:t>
      </w:r>
      <w:hyperlink r:id="rId11" w:history="1">
        <w:r w:rsidRPr="00081D06">
          <w:rPr>
            <w:rStyle w:val="Hyperlink"/>
            <w:sz w:val="24"/>
            <w:szCs w:val="24"/>
          </w:rPr>
          <w:t>edificio de Montbrillant</w:t>
        </w:r>
      </w:hyperlink>
      <w:r w:rsidRPr="00081D06">
        <w:rPr>
          <w:sz w:val="24"/>
          <w:szCs w:val="24"/>
        </w:rPr>
        <w:t>. La atribución de salas de reunión se facilitará en las pantallas situadas en las puertas de entrada de la Sede de la</w:t>
      </w:r>
      <w:r w:rsidR="007B2300" w:rsidRPr="00081D06">
        <w:rPr>
          <w:sz w:val="24"/>
          <w:szCs w:val="24"/>
        </w:rPr>
        <w:t> </w:t>
      </w:r>
      <w:r w:rsidRPr="00081D06">
        <w:rPr>
          <w:sz w:val="24"/>
          <w:szCs w:val="24"/>
        </w:rPr>
        <w:t xml:space="preserve">UIT, y en línea </w:t>
      </w:r>
      <w:hyperlink r:id="rId12" w:history="1">
        <w:r w:rsidRPr="00081D06">
          <w:rPr>
            <w:rStyle w:val="Hyperlink"/>
            <w:sz w:val="24"/>
            <w:szCs w:val="24"/>
          </w:rPr>
          <w:t>aquí</w:t>
        </w:r>
      </w:hyperlink>
      <w:r w:rsidRPr="00081D06">
        <w:rPr>
          <w:sz w:val="24"/>
          <w:szCs w:val="24"/>
        </w:rPr>
        <w:t>. No se prestarán servicios de interpretación para esta reunión. Lamentamos informar que no se ofrecerán becas para esta reunión de un día de duración.</w:t>
      </w:r>
    </w:p>
    <w:p w14:paraId="0A78D2BD" w14:textId="72ABD23B" w:rsidR="0055666D" w:rsidRPr="00081D06" w:rsidRDefault="0055666D" w:rsidP="00DD1995">
      <w:pPr>
        <w:rPr>
          <w:sz w:val="24"/>
          <w:szCs w:val="24"/>
        </w:rPr>
      </w:pPr>
      <w:r w:rsidRPr="00081D06">
        <w:rPr>
          <w:sz w:val="24"/>
          <w:szCs w:val="24"/>
        </w:rPr>
        <w:t>Los principales objetivos de la reunión de la Comisión de Estudio 13 son estudiar la posibilidad de iniciar el proceso de aprobación para los siguientes proyectos de Recomendación, Suplementos e informes técnicos UIT-T, según corresponda, en función de los resultados de las reuniones de los Grupos de Relator celebradas durante las dos semanas anteriores (2-13 de marzo de 2020).</w:t>
      </w:r>
    </w:p>
    <w:p w14:paraId="58396590" w14:textId="77777777" w:rsidR="0055666D" w:rsidRPr="00081D06" w:rsidRDefault="0055666D" w:rsidP="00DD1995">
      <w:pPr>
        <w:keepNext/>
        <w:keepLines/>
        <w:spacing w:after="120"/>
        <w:jc w:val="both"/>
        <w:rPr>
          <w:sz w:val="24"/>
          <w:szCs w:val="24"/>
        </w:rPr>
      </w:pPr>
      <w:r w:rsidRPr="00081D06">
        <w:rPr>
          <w:sz w:val="24"/>
          <w:szCs w:val="24"/>
        </w:rPr>
        <w:t>La lista de Recomendaciones, Suplementos e informes técnicos sujetos a la adopción de medidas figura en el Anexo B, así como a continuación:</w:t>
      </w:r>
    </w:p>
    <w:p w14:paraId="2CFA3B67" w14:textId="77777777" w:rsidR="0055666D" w:rsidRPr="00081D06" w:rsidRDefault="0055666D" w:rsidP="00DD1995">
      <w:pPr>
        <w:pStyle w:val="headingb"/>
        <w:rPr>
          <w:sz w:val="24"/>
          <w:szCs w:val="24"/>
        </w:rPr>
      </w:pPr>
      <w:r w:rsidRPr="00081D06">
        <w:rPr>
          <w:sz w:val="24"/>
          <w:szCs w:val="24"/>
        </w:rPr>
        <w:t>GT 1/13:</w:t>
      </w:r>
    </w:p>
    <w:p w14:paraId="16C59C16" w14:textId="59635A01" w:rsidR="0055666D" w:rsidRPr="00081D06" w:rsidRDefault="0055666D" w:rsidP="00DD1995">
      <w:pPr>
        <w:pStyle w:val="enumlev1"/>
        <w:ind w:left="792" w:hanging="792"/>
        <w:rPr>
          <w:sz w:val="24"/>
          <w:szCs w:val="24"/>
        </w:rPr>
      </w:pPr>
      <w:r w:rsidRPr="00081D06">
        <w:rPr>
          <w:rFonts w:cstheme="minorHAnsi"/>
          <w:sz w:val="24"/>
          <w:szCs w:val="24"/>
        </w:rPr>
        <w:t>•</w:t>
      </w:r>
      <w:r w:rsidRPr="00081D06">
        <w:rPr>
          <w:rFonts w:cstheme="minorHAnsi"/>
          <w:sz w:val="24"/>
          <w:szCs w:val="24"/>
        </w:rPr>
        <w:tab/>
      </w:r>
      <w:r w:rsidRPr="00081D06">
        <w:rPr>
          <w:sz w:val="24"/>
          <w:szCs w:val="24"/>
        </w:rPr>
        <w:t>Y.IMT-2020.qos-ml-arc</w:t>
      </w:r>
      <w:r w:rsidR="00081D06" w:rsidRPr="00081D06">
        <w:rPr>
          <w:sz w:val="24"/>
          <w:szCs w:val="24"/>
        </w:rPr>
        <w:t>,</w:t>
      </w:r>
      <w:r w:rsidRPr="00081D06">
        <w:rPr>
          <w:sz w:val="24"/>
          <w:szCs w:val="24"/>
        </w:rPr>
        <w:t xml:space="preserve"> "Arquitectura de seguridad de la calidad de servicio basada en el aprendizaje automático para las redes IMT</w:t>
      </w:r>
      <w:r w:rsidR="00DD1995" w:rsidRPr="00081D06">
        <w:rPr>
          <w:sz w:val="24"/>
          <w:szCs w:val="24"/>
        </w:rPr>
        <w:noBreakHyphen/>
      </w:r>
      <w:r w:rsidRPr="00081D06">
        <w:rPr>
          <w:sz w:val="24"/>
          <w:szCs w:val="24"/>
        </w:rPr>
        <w:t>2020", C6/13</w:t>
      </w:r>
    </w:p>
    <w:p w14:paraId="3601BE47" w14:textId="683F650B" w:rsidR="0055666D" w:rsidRPr="00081D06" w:rsidRDefault="0055666D" w:rsidP="00DD1995">
      <w:pPr>
        <w:pStyle w:val="enumlev1"/>
        <w:ind w:left="792" w:hanging="792"/>
        <w:rPr>
          <w:rFonts w:cstheme="minorHAnsi"/>
          <w:sz w:val="24"/>
          <w:szCs w:val="24"/>
        </w:rPr>
      </w:pPr>
      <w:r w:rsidRPr="00081D06">
        <w:rPr>
          <w:rFonts w:cstheme="minorHAnsi"/>
          <w:sz w:val="24"/>
          <w:szCs w:val="24"/>
        </w:rPr>
        <w:t>•</w:t>
      </w:r>
      <w:r w:rsidRPr="00081D06">
        <w:rPr>
          <w:rFonts w:cstheme="minorHAnsi"/>
          <w:sz w:val="24"/>
          <w:szCs w:val="24"/>
        </w:rPr>
        <w:tab/>
        <w:t>Y.IMT2020-</w:t>
      </w:r>
      <w:r w:rsidRPr="00081D06">
        <w:rPr>
          <w:sz w:val="24"/>
          <w:szCs w:val="24"/>
        </w:rPr>
        <w:t>ESDP</w:t>
      </w:r>
      <w:r w:rsidRPr="00081D06">
        <w:rPr>
          <w:rFonts w:cstheme="minorHAnsi"/>
          <w:sz w:val="24"/>
          <w:szCs w:val="24"/>
        </w:rPr>
        <w:t xml:space="preserve">, 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Plano de datos mejorado de las SDN para las IMT</w:t>
      </w:r>
      <w:r w:rsidR="00DD1995" w:rsidRPr="00081D06">
        <w:rPr>
          <w:rFonts w:cstheme="minorHAnsi"/>
          <w:sz w:val="24"/>
          <w:szCs w:val="24"/>
        </w:rPr>
        <w:noBreakHyphen/>
      </w:r>
      <w:r w:rsidRPr="00081D06">
        <w:rPr>
          <w:rFonts w:cstheme="minorHAnsi"/>
          <w:sz w:val="24"/>
          <w:szCs w:val="24"/>
        </w:rPr>
        <w:t>2020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, C20/13</w:t>
      </w:r>
    </w:p>
    <w:p w14:paraId="7BED6BCD" w14:textId="13F34661" w:rsidR="0055666D" w:rsidRPr="00081D06" w:rsidRDefault="0055666D" w:rsidP="00DD1995">
      <w:pPr>
        <w:pStyle w:val="enumlev1"/>
        <w:ind w:left="792" w:hanging="792"/>
        <w:rPr>
          <w:sz w:val="24"/>
          <w:szCs w:val="24"/>
        </w:rPr>
      </w:pPr>
      <w:r w:rsidRPr="00081D06">
        <w:rPr>
          <w:rFonts w:cstheme="minorHAnsi"/>
          <w:sz w:val="24"/>
          <w:szCs w:val="24"/>
        </w:rPr>
        <w:t>•</w:t>
      </w:r>
      <w:r w:rsidRPr="00081D06">
        <w:rPr>
          <w:rFonts w:cstheme="minorHAnsi"/>
          <w:sz w:val="24"/>
          <w:szCs w:val="24"/>
        </w:rPr>
        <w:tab/>
        <w:t xml:space="preserve">Y.NetSoft-SSMO, 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Gestión adaptable del servicio y marco de orquestación en las IMT</w:t>
      </w:r>
      <w:r w:rsidR="00DD1995" w:rsidRPr="00081D06">
        <w:rPr>
          <w:rFonts w:cstheme="minorHAnsi"/>
          <w:sz w:val="24"/>
          <w:szCs w:val="24"/>
        </w:rPr>
        <w:noBreakHyphen/>
      </w:r>
      <w:r w:rsidRPr="00081D06">
        <w:rPr>
          <w:rFonts w:cstheme="minorHAnsi"/>
          <w:sz w:val="24"/>
          <w:szCs w:val="24"/>
        </w:rPr>
        <w:t>2020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 xml:space="preserve">, </w:t>
      </w:r>
      <w:r w:rsidRPr="00081D06">
        <w:rPr>
          <w:sz w:val="24"/>
          <w:szCs w:val="24"/>
        </w:rPr>
        <w:t>C21/13</w:t>
      </w:r>
    </w:p>
    <w:p w14:paraId="5E4D98A6" w14:textId="0EF8BBC2" w:rsidR="0055666D" w:rsidRPr="00081D06" w:rsidRDefault="0055666D" w:rsidP="00DD1995">
      <w:pPr>
        <w:pStyle w:val="enumlev1"/>
        <w:ind w:left="792" w:hanging="792"/>
        <w:rPr>
          <w:rFonts w:cstheme="minorHAnsi"/>
          <w:sz w:val="24"/>
          <w:szCs w:val="24"/>
        </w:rPr>
      </w:pPr>
      <w:r w:rsidRPr="00081D06">
        <w:rPr>
          <w:rFonts w:cstheme="minorHAnsi"/>
          <w:sz w:val="24"/>
          <w:szCs w:val="24"/>
        </w:rPr>
        <w:t>•</w:t>
      </w:r>
      <w:r w:rsidRPr="00081D06">
        <w:rPr>
          <w:rFonts w:cstheme="minorHAnsi"/>
          <w:sz w:val="24"/>
          <w:szCs w:val="24"/>
        </w:rPr>
        <w:tab/>
        <w:t xml:space="preserve">Y.ICN-RF, 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 xml:space="preserve">Requisitos y capacidades del encaminamiento </w:t>
      </w:r>
      <w:r w:rsidR="00081D06" w:rsidRPr="00081D06">
        <w:rPr>
          <w:rFonts w:cstheme="minorHAnsi"/>
          <w:sz w:val="24"/>
          <w:szCs w:val="24"/>
        </w:rPr>
        <w:t>y</w:t>
      </w:r>
      <w:r w:rsidRPr="00081D06">
        <w:rPr>
          <w:rFonts w:cstheme="minorHAnsi"/>
          <w:sz w:val="24"/>
          <w:szCs w:val="24"/>
        </w:rPr>
        <w:t xml:space="preserve"> reenvío de la ICN basado en la separación del plano de control y del plano de usuario en las IMT</w:t>
      </w:r>
      <w:r w:rsidR="00DD1995" w:rsidRPr="00081D06">
        <w:rPr>
          <w:rFonts w:cstheme="minorHAnsi"/>
          <w:sz w:val="24"/>
          <w:szCs w:val="24"/>
        </w:rPr>
        <w:noBreakHyphen/>
      </w:r>
      <w:r w:rsidRPr="00081D06">
        <w:rPr>
          <w:rFonts w:cstheme="minorHAnsi"/>
          <w:sz w:val="24"/>
          <w:szCs w:val="24"/>
        </w:rPr>
        <w:t>2020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, C22/13</w:t>
      </w:r>
    </w:p>
    <w:p w14:paraId="61E5F7D6" w14:textId="1EB67F24" w:rsidR="0055666D" w:rsidRPr="00081D06" w:rsidRDefault="0055666D" w:rsidP="00DD1995">
      <w:pPr>
        <w:pStyle w:val="enumlev1"/>
        <w:ind w:left="792" w:hanging="792"/>
        <w:rPr>
          <w:rFonts w:cstheme="minorHAnsi"/>
          <w:sz w:val="24"/>
          <w:szCs w:val="24"/>
        </w:rPr>
      </w:pPr>
      <w:r w:rsidRPr="00081D06">
        <w:rPr>
          <w:rFonts w:cstheme="minorHAnsi"/>
          <w:sz w:val="24"/>
          <w:szCs w:val="24"/>
        </w:rPr>
        <w:lastRenderedPageBreak/>
        <w:t>•</w:t>
      </w:r>
      <w:r w:rsidRPr="00081D06">
        <w:rPr>
          <w:rFonts w:cstheme="minorHAnsi"/>
          <w:sz w:val="24"/>
          <w:szCs w:val="24"/>
        </w:rPr>
        <w:tab/>
        <w:t xml:space="preserve">Y.FMC-SS, 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Planificación del servicio para dar soporte a la FMC en las redes IMT-2020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, C23/13</w:t>
      </w:r>
    </w:p>
    <w:p w14:paraId="4E61BD49" w14:textId="39D02E14" w:rsidR="0055666D" w:rsidRPr="00081D06" w:rsidRDefault="0055666D" w:rsidP="00DD1995">
      <w:pPr>
        <w:pStyle w:val="enumlev1"/>
        <w:ind w:left="792" w:hanging="792"/>
        <w:rPr>
          <w:rFonts w:cstheme="minorHAnsi"/>
          <w:sz w:val="24"/>
          <w:szCs w:val="24"/>
        </w:rPr>
      </w:pPr>
      <w:r w:rsidRPr="00081D06">
        <w:rPr>
          <w:rFonts w:cstheme="minorHAnsi"/>
          <w:sz w:val="24"/>
          <w:szCs w:val="24"/>
        </w:rPr>
        <w:t>•</w:t>
      </w:r>
      <w:r w:rsidRPr="00081D06">
        <w:rPr>
          <w:rFonts w:cstheme="minorHAnsi"/>
          <w:sz w:val="24"/>
          <w:szCs w:val="24"/>
        </w:rPr>
        <w:tab/>
        <w:t xml:space="preserve">Y.NE-MPT, 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Transmisión por trayectos múltiples basada en el equipo de red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, C23/13</w:t>
      </w:r>
    </w:p>
    <w:p w14:paraId="16A76C9E" w14:textId="316D3C40" w:rsidR="0055666D" w:rsidRPr="00081D06" w:rsidRDefault="0055666D" w:rsidP="00DD1995">
      <w:pPr>
        <w:pStyle w:val="enumlev1"/>
        <w:ind w:left="792" w:hanging="792"/>
        <w:rPr>
          <w:rFonts w:cstheme="minorHAnsi"/>
          <w:sz w:val="24"/>
          <w:szCs w:val="24"/>
        </w:rPr>
      </w:pPr>
      <w:r w:rsidRPr="00081D06">
        <w:rPr>
          <w:rFonts w:cstheme="minorHAnsi"/>
          <w:sz w:val="24"/>
          <w:szCs w:val="24"/>
        </w:rPr>
        <w:t>•</w:t>
      </w:r>
      <w:r w:rsidRPr="00081D06">
        <w:rPr>
          <w:rFonts w:cstheme="minorHAnsi"/>
          <w:sz w:val="24"/>
          <w:szCs w:val="24"/>
        </w:rPr>
        <w:tab/>
        <w:t xml:space="preserve">Y.FMC-SM, 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Gestión de sesión para la convergencia fijo-móvil en las redes IMT-2020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, C23/13</w:t>
      </w:r>
    </w:p>
    <w:p w14:paraId="2FFEADBC" w14:textId="7747C582" w:rsidR="0055666D" w:rsidRPr="00081D06" w:rsidRDefault="0055666D" w:rsidP="00DD1995">
      <w:pPr>
        <w:pStyle w:val="enumlev1"/>
        <w:ind w:left="792" w:hanging="792"/>
        <w:rPr>
          <w:rFonts w:cstheme="minorHAnsi"/>
          <w:sz w:val="24"/>
          <w:szCs w:val="24"/>
        </w:rPr>
      </w:pPr>
      <w:r w:rsidRPr="00081D06">
        <w:rPr>
          <w:rFonts w:cstheme="minorHAnsi"/>
          <w:sz w:val="24"/>
          <w:szCs w:val="24"/>
        </w:rPr>
        <w:t>•</w:t>
      </w:r>
      <w:r w:rsidRPr="00081D06">
        <w:rPr>
          <w:rFonts w:cstheme="minorHAnsi"/>
          <w:sz w:val="24"/>
          <w:szCs w:val="24"/>
        </w:rPr>
        <w:tab/>
        <w:t>SupY.IMT2020std-rm</w:t>
      </w:r>
      <w:r w:rsidR="00081D06" w:rsidRPr="00081D06">
        <w:rPr>
          <w:rFonts w:cstheme="minorHAnsi"/>
          <w:sz w:val="24"/>
          <w:szCs w:val="24"/>
        </w:rPr>
        <w:t>,</w:t>
      </w:r>
      <w:r w:rsidRPr="00081D06">
        <w:rPr>
          <w:rFonts w:cstheme="minorHAnsi"/>
          <w:sz w:val="24"/>
          <w:szCs w:val="24"/>
        </w:rPr>
        <w:t xml:space="preserve"> 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Hoja de ruta de la normalización de las IMT-2020</w:t>
      </w:r>
      <w:r w:rsidR="00DD1995" w:rsidRPr="00081D06">
        <w:rPr>
          <w:rFonts w:cstheme="minorHAnsi"/>
          <w:sz w:val="24"/>
          <w:szCs w:val="24"/>
        </w:rPr>
        <w:t>"</w:t>
      </w:r>
      <w:r w:rsidRPr="00081D06">
        <w:rPr>
          <w:rFonts w:cstheme="minorHAnsi"/>
          <w:sz w:val="24"/>
          <w:szCs w:val="24"/>
        </w:rPr>
        <w:t>, C21/13</w:t>
      </w:r>
    </w:p>
    <w:p w14:paraId="585BD1F3" w14:textId="77777777" w:rsidR="0055666D" w:rsidRPr="00081D06" w:rsidRDefault="0055666D" w:rsidP="00DD1995">
      <w:pPr>
        <w:pStyle w:val="enumlev1"/>
        <w:ind w:left="792" w:hanging="792"/>
        <w:rPr>
          <w:rFonts w:cstheme="minorHAnsi"/>
          <w:b/>
          <w:bCs/>
          <w:sz w:val="24"/>
          <w:szCs w:val="24"/>
        </w:rPr>
      </w:pPr>
      <w:r w:rsidRPr="00081D06">
        <w:rPr>
          <w:b/>
          <w:bCs/>
          <w:sz w:val="24"/>
          <w:szCs w:val="24"/>
        </w:rPr>
        <w:t>GT 2/13:</w:t>
      </w:r>
    </w:p>
    <w:p w14:paraId="55922A26" w14:textId="77777777" w:rsidR="0055666D" w:rsidRPr="00081D06" w:rsidRDefault="0055666D" w:rsidP="00DD1995">
      <w:pPr>
        <w:pStyle w:val="enumlev1"/>
        <w:ind w:left="792" w:hanging="792"/>
        <w:rPr>
          <w:sz w:val="24"/>
          <w:szCs w:val="24"/>
        </w:rPr>
      </w:pPr>
      <w:r w:rsidRPr="00081D06">
        <w:rPr>
          <w:sz w:val="24"/>
          <w:szCs w:val="24"/>
        </w:rPr>
        <w:t>•</w:t>
      </w:r>
      <w:r w:rsidRPr="00081D06">
        <w:rPr>
          <w:sz w:val="24"/>
          <w:szCs w:val="24"/>
        </w:rPr>
        <w:tab/>
        <w:t>Y.bDPI-Mec, "Mecanismo de inspección detallada de paquetes en contexto de red de macrodatos", C7/13</w:t>
      </w:r>
    </w:p>
    <w:p w14:paraId="6367C999" w14:textId="77777777" w:rsidR="0055666D" w:rsidRPr="00081D06" w:rsidRDefault="0055666D" w:rsidP="00DD1995">
      <w:pPr>
        <w:pStyle w:val="enumlev1"/>
        <w:ind w:left="792" w:hanging="792"/>
        <w:rPr>
          <w:sz w:val="24"/>
          <w:szCs w:val="24"/>
        </w:rPr>
      </w:pPr>
      <w:r w:rsidRPr="00081D06">
        <w:rPr>
          <w:sz w:val="24"/>
          <w:szCs w:val="24"/>
        </w:rPr>
        <w:t>•</w:t>
      </w:r>
      <w:r w:rsidRPr="00081D06">
        <w:rPr>
          <w:sz w:val="24"/>
          <w:szCs w:val="24"/>
        </w:rPr>
        <w:tab/>
        <w:t>Y.bDDN-req, "Requisitos de la constitución de redes basadas en macrodatos", C7/13</w:t>
      </w:r>
    </w:p>
    <w:p w14:paraId="1FADCB99" w14:textId="78593C65" w:rsidR="0055666D" w:rsidRPr="00081D06" w:rsidRDefault="0055666D" w:rsidP="00DD1995">
      <w:pPr>
        <w:rPr>
          <w:rFonts w:ascii="Calibri" w:hAnsi="Calibri"/>
          <w:sz w:val="24"/>
          <w:szCs w:val="24"/>
        </w:rPr>
      </w:pPr>
      <w:r w:rsidRPr="00081D06">
        <w:rPr>
          <w:b/>
          <w:bCs/>
          <w:sz w:val="24"/>
          <w:szCs w:val="24"/>
        </w:rPr>
        <w:t>GT 3/13</w:t>
      </w:r>
      <w:r w:rsidRPr="00081D06">
        <w:rPr>
          <w:sz w:val="24"/>
          <w:szCs w:val="24"/>
        </w:rPr>
        <w:t>:</w:t>
      </w:r>
    </w:p>
    <w:p w14:paraId="69687E54" w14:textId="2C9D7906" w:rsidR="0055666D" w:rsidRPr="00081D06" w:rsidRDefault="00DD1995" w:rsidP="00DD1995">
      <w:pPr>
        <w:pStyle w:val="enumlev1"/>
        <w:rPr>
          <w:rFonts w:cstheme="minorHAnsi"/>
          <w:sz w:val="24"/>
          <w:szCs w:val="24"/>
        </w:rPr>
      </w:pPr>
      <w:r w:rsidRPr="00081D06">
        <w:rPr>
          <w:sz w:val="24"/>
          <w:szCs w:val="24"/>
        </w:rPr>
        <w:t>•</w:t>
      </w:r>
      <w:r w:rsidRPr="00081D06">
        <w:rPr>
          <w:sz w:val="24"/>
          <w:szCs w:val="24"/>
        </w:rPr>
        <w:tab/>
      </w:r>
      <w:r w:rsidR="0055666D" w:rsidRPr="00081D06">
        <w:rPr>
          <w:rFonts w:cstheme="minorHAnsi"/>
          <w:sz w:val="24"/>
          <w:szCs w:val="24"/>
        </w:rPr>
        <w:t xml:space="preserve">Y.NGN-PLA-reqts, </w:t>
      </w:r>
      <w:r w:rsidRPr="00081D06">
        <w:rPr>
          <w:rFonts w:cstheme="minorHAnsi"/>
          <w:sz w:val="24"/>
          <w:szCs w:val="24"/>
        </w:rPr>
        <w:t>"</w:t>
      </w:r>
      <w:r w:rsidR="0055666D" w:rsidRPr="00081D06">
        <w:rPr>
          <w:rFonts w:cstheme="minorHAnsi"/>
          <w:sz w:val="24"/>
          <w:szCs w:val="24"/>
        </w:rPr>
        <w:t>Escenarios y requisitos de capacidad del análisis de registro programable en las redes de la próxima generación</w:t>
      </w:r>
      <w:r w:rsidRPr="00081D06">
        <w:rPr>
          <w:rFonts w:cstheme="minorHAnsi"/>
          <w:sz w:val="24"/>
          <w:szCs w:val="24"/>
        </w:rPr>
        <w:t>"</w:t>
      </w:r>
      <w:r w:rsidR="0055666D" w:rsidRPr="00081D06">
        <w:rPr>
          <w:rFonts w:cstheme="minorHAnsi"/>
          <w:sz w:val="24"/>
          <w:szCs w:val="24"/>
        </w:rPr>
        <w:t>, C2/13</w:t>
      </w:r>
    </w:p>
    <w:p w14:paraId="68C33CDF" w14:textId="177109BC" w:rsidR="0055666D" w:rsidRPr="00081D06" w:rsidRDefault="00DD1995" w:rsidP="00DD1995">
      <w:pPr>
        <w:pStyle w:val="enumlev1"/>
      </w:pPr>
      <w:r w:rsidRPr="00081D06">
        <w:rPr>
          <w:sz w:val="24"/>
          <w:szCs w:val="24"/>
        </w:rPr>
        <w:t>•</w:t>
      </w:r>
      <w:r w:rsidRPr="00081D06">
        <w:rPr>
          <w:sz w:val="24"/>
          <w:szCs w:val="24"/>
        </w:rPr>
        <w:tab/>
      </w:r>
      <w:r w:rsidR="0055666D" w:rsidRPr="00081D06">
        <w:rPr>
          <w:rFonts w:cstheme="minorHAnsi"/>
          <w:sz w:val="24"/>
          <w:szCs w:val="24"/>
        </w:rPr>
        <w:t>Y.Supplement network 2030 service</w:t>
      </w:r>
      <w:r w:rsidR="00081D06" w:rsidRPr="00081D06">
        <w:rPr>
          <w:rFonts w:cstheme="minorHAnsi"/>
          <w:sz w:val="24"/>
          <w:szCs w:val="24"/>
        </w:rPr>
        <w:t>,</w:t>
      </w:r>
      <w:r w:rsidR="0055666D" w:rsidRPr="00081D06">
        <w:rPr>
          <w:rFonts w:cstheme="minorHAnsi"/>
          <w:sz w:val="24"/>
          <w:szCs w:val="24"/>
        </w:rPr>
        <w:t xml:space="preserve"> </w:t>
      </w:r>
      <w:r w:rsidRPr="00081D06">
        <w:rPr>
          <w:rFonts w:cstheme="minorHAnsi"/>
          <w:sz w:val="24"/>
          <w:szCs w:val="24"/>
        </w:rPr>
        <w:t>"</w:t>
      </w:r>
      <w:r w:rsidR="0055666D" w:rsidRPr="00081D06">
        <w:rPr>
          <w:rFonts w:cstheme="minorHAnsi"/>
          <w:sz w:val="24"/>
          <w:szCs w:val="24"/>
        </w:rPr>
        <w:t>Servicios de la Red 2030: Capacidades, rendimiento y concepción de nuevos servicios de comunicaciones para las aplicaciones de la Red 2030</w:t>
      </w:r>
      <w:r w:rsidRPr="00081D06">
        <w:rPr>
          <w:rFonts w:cstheme="minorHAnsi"/>
          <w:sz w:val="24"/>
          <w:szCs w:val="24"/>
        </w:rPr>
        <w:t>"</w:t>
      </w:r>
      <w:r w:rsidR="0055666D" w:rsidRPr="00081D06">
        <w:rPr>
          <w:rFonts w:cstheme="minorHAnsi"/>
          <w:sz w:val="24"/>
          <w:szCs w:val="24"/>
        </w:rPr>
        <w:t>, C2/13</w:t>
      </w:r>
    </w:p>
    <w:p w14:paraId="2503277B" w14:textId="3FE274DE" w:rsidR="0055666D" w:rsidRPr="00081D06" w:rsidRDefault="00DD1995" w:rsidP="00DD1995">
      <w:pPr>
        <w:pStyle w:val="enumlev1"/>
        <w:rPr>
          <w:rFonts w:cstheme="minorHAnsi"/>
          <w:sz w:val="24"/>
          <w:szCs w:val="24"/>
        </w:rPr>
      </w:pPr>
      <w:r w:rsidRPr="00081D06">
        <w:rPr>
          <w:sz w:val="24"/>
          <w:szCs w:val="24"/>
        </w:rPr>
        <w:t>•</w:t>
      </w:r>
      <w:r w:rsidRPr="00081D06">
        <w:rPr>
          <w:sz w:val="24"/>
          <w:szCs w:val="24"/>
        </w:rPr>
        <w:tab/>
      </w:r>
      <w:r w:rsidR="0055666D" w:rsidRPr="00081D06">
        <w:rPr>
          <w:rFonts w:cstheme="minorHAnsi"/>
          <w:sz w:val="24"/>
          <w:szCs w:val="24"/>
        </w:rPr>
        <w:t xml:space="preserve">Informe técnico </w:t>
      </w:r>
      <w:r w:rsidRPr="00081D06">
        <w:rPr>
          <w:rFonts w:cstheme="minorHAnsi"/>
          <w:sz w:val="24"/>
          <w:szCs w:val="24"/>
        </w:rPr>
        <w:t>"</w:t>
      </w:r>
      <w:r w:rsidR="0055666D" w:rsidRPr="00081D06">
        <w:rPr>
          <w:rFonts w:cstheme="minorHAnsi"/>
          <w:sz w:val="24"/>
          <w:szCs w:val="24"/>
        </w:rPr>
        <w:t>Red 2030</w:t>
      </w:r>
      <w:r w:rsidRPr="00081D06">
        <w:rPr>
          <w:rFonts w:cstheme="minorHAnsi"/>
          <w:sz w:val="24"/>
          <w:szCs w:val="24"/>
        </w:rPr>
        <w:t>"</w:t>
      </w:r>
      <w:r w:rsidR="0055666D" w:rsidRPr="00081D06">
        <w:rPr>
          <w:rFonts w:cstheme="minorHAnsi"/>
          <w:sz w:val="24"/>
          <w:szCs w:val="24"/>
        </w:rPr>
        <w:t>, C2/13</w:t>
      </w:r>
    </w:p>
    <w:p w14:paraId="050E65D1" w14:textId="6DAA3A18" w:rsidR="0055666D" w:rsidRPr="00081D06" w:rsidRDefault="0055666D" w:rsidP="00DD1995">
      <w:pPr>
        <w:tabs>
          <w:tab w:val="left" w:pos="7088"/>
        </w:tabs>
        <w:rPr>
          <w:sz w:val="24"/>
          <w:szCs w:val="24"/>
        </w:rPr>
      </w:pPr>
      <w:r w:rsidRPr="00081D06">
        <w:rPr>
          <w:sz w:val="24"/>
          <w:szCs w:val="24"/>
        </w:rPr>
        <w:t>Además, la reunión tratará de los preparativos con miras a la AMNT-20.</w:t>
      </w:r>
    </w:p>
    <w:p w14:paraId="65637C5A" w14:textId="6F2487AC" w:rsidR="00DD1995" w:rsidRPr="00081D06" w:rsidRDefault="0055666D" w:rsidP="00DD1995">
      <w:pPr>
        <w:keepNext/>
        <w:keepLines/>
        <w:spacing w:after="120"/>
        <w:rPr>
          <w:sz w:val="24"/>
          <w:szCs w:val="24"/>
        </w:rPr>
      </w:pPr>
      <w:r w:rsidRPr="00081D06">
        <w:rPr>
          <w:sz w:val="24"/>
          <w:szCs w:val="24"/>
        </w:rPr>
        <w:t xml:space="preserve">Sírvase tomar nota de que la reunión del 5 de marzo de 2020 de la Actividad de Coordinación Conjunta sobre las IMT-2020 (JCA-IMT2020) se celebrará en el mismo lugar que las reuniones precedentes de los Grupos de Relator; puede consultarse toda la información en la dirección: </w:t>
      </w:r>
      <w:hyperlink r:id="rId13" w:history="1">
        <w:r w:rsidRPr="00081D06">
          <w:rPr>
            <w:rStyle w:val="Hyperlink"/>
            <w:sz w:val="24"/>
            <w:szCs w:val="24"/>
          </w:rPr>
          <w:t>https://www.itu.int/en/ITU-T/jca/imt2020/Pages/default.aspx</w:t>
        </w:r>
      </w:hyperlink>
      <w:r w:rsidR="00DD1995" w:rsidRPr="00081D06">
        <w:rPr>
          <w:sz w:val="24"/>
          <w:szCs w:val="24"/>
        </w:rPr>
        <w:t>.</w:t>
      </w:r>
      <w:r w:rsidR="00DD1995" w:rsidRPr="00081D06">
        <w:rPr>
          <w:sz w:val="24"/>
          <w:szCs w:val="24"/>
        </w:rPr>
        <w:br/>
      </w:r>
    </w:p>
    <w:p w14:paraId="741B7D17" w14:textId="77777777" w:rsidR="0055666D" w:rsidRPr="00081D06" w:rsidRDefault="0055666D" w:rsidP="00DD1995">
      <w:pPr>
        <w:keepNext/>
        <w:keepLines/>
        <w:spacing w:after="120"/>
        <w:rPr>
          <w:b/>
          <w:bCs/>
          <w:sz w:val="24"/>
          <w:szCs w:val="24"/>
        </w:rPr>
      </w:pPr>
      <w:r w:rsidRPr="00081D06">
        <w:rPr>
          <w:b/>
          <w:bCs/>
          <w:sz w:val="24"/>
          <w:szCs w:val="24"/>
        </w:rPr>
        <w:t>PLAZOS CLAVE (antes de la reunión)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55666D" w:rsidRPr="00081D06" w14:paraId="72905C0C" w14:textId="77777777" w:rsidTr="00081D06">
        <w:tc>
          <w:tcPr>
            <w:tcW w:w="2418" w:type="dxa"/>
            <w:vAlign w:val="center"/>
          </w:tcPr>
          <w:p w14:paraId="5D9AD81C" w14:textId="77777777" w:rsidR="0055666D" w:rsidRPr="00081D06" w:rsidRDefault="0055666D" w:rsidP="00081D06">
            <w:pPr>
              <w:pStyle w:val="TableText"/>
              <w:rPr>
                <w:b/>
                <w:bCs/>
              </w:rPr>
            </w:pPr>
            <w:r w:rsidRPr="00081D06">
              <w:t>13 de enero de 2020</w:t>
            </w:r>
          </w:p>
        </w:tc>
        <w:tc>
          <w:tcPr>
            <w:tcW w:w="7216" w:type="dxa"/>
          </w:tcPr>
          <w:p w14:paraId="186194A6" w14:textId="77777777" w:rsidR="0055666D" w:rsidRPr="00081D06" w:rsidRDefault="0055666D" w:rsidP="00081D06">
            <w:pPr>
              <w:pStyle w:val="TableText"/>
              <w:ind w:left="284" w:hanging="284"/>
              <w:rPr>
                <w:b/>
                <w:bCs/>
                <w:szCs w:val="22"/>
              </w:rPr>
            </w:pPr>
            <w:r w:rsidRPr="00081D06">
              <w:rPr>
                <w:szCs w:val="22"/>
              </w:rPr>
              <w:t>–</w:t>
            </w:r>
            <w:r w:rsidRPr="00081D06">
              <w:rPr>
                <w:szCs w:val="22"/>
              </w:rPr>
              <w:tab/>
            </w:r>
            <w:hyperlink r:id="rId14" w:history="1">
              <w:r w:rsidRPr="00081D06">
                <w:rPr>
                  <w:rStyle w:val="Hyperlink"/>
                  <w:szCs w:val="22"/>
                </w:rPr>
                <w:t>Presentación de las contribuciones de los Miembros del UIT-T</w:t>
              </w:r>
            </w:hyperlink>
            <w:r w:rsidRPr="00081D06">
              <w:rPr>
                <w:szCs w:val="22"/>
              </w:rPr>
              <w:t xml:space="preserve"> para las que se requiera traducción</w:t>
            </w:r>
          </w:p>
        </w:tc>
      </w:tr>
      <w:tr w:rsidR="0055666D" w:rsidRPr="00081D06" w14:paraId="4D6BEDEF" w14:textId="77777777" w:rsidTr="00081D06">
        <w:tc>
          <w:tcPr>
            <w:tcW w:w="2418" w:type="dxa"/>
            <w:vAlign w:val="center"/>
          </w:tcPr>
          <w:p w14:paraId="27283DF5" w14:textId="77777777" w:rsidR="0055666D" w:rsidRPr="00081D06" w:rsidRDefault="0055666D" w:rsidP="00081D06">
            <w:pPr>
              <w:pStyle w:val="TableText"/>
            </w:pPr>
            <w:r w:rsidRPr="00081D06">
              <w:t>13 de febrero de 2020</w:t>
            </w:r>
          </w:p>
        </w:tc>
        <w:tc>
          <w:tcPr>
            <w:tcW w:w="7216" w:type="dxa"/>
          </w:tcPr>
          <w:p w14:paraId="4DDDB4BF" w14:textId="77777777" w:rsidR="0055666D" w:rsidRPr="00081D06" w:rsidRDefault="0055666D" w:rsidP="00081D06">
            <w:pPr>
              <w:pStyle w:val="TableText"/>
              <w:ind w:left="284" w:hanging="284"/>
              <w:rPr>
                <w:szCs w:val="22"/>
              </w:rPr>
            </w:pPr>
            <w:r w:rsidRPr="00081D06">
              <w:rPr>
                <w:szCs w:val="22"/>
              </w:rPr>
              <w:t>–</w:t>
            </w:r>
            <w:r w:rsidRPr="00081D06">
              <w:rPr>
                <w:szCs w:val="22"/>
              </w:rPr>
              <w:tab/>
              <w:t xml:space="preserve">Preinscripción (en línea a través del </w:t>
            </w:r>
            <w:hyperlink r:id="rId15" w:history="1">
              <w:r w:rsidRPr="00081D06">
                <w:rPr>
                  <w:rStyle w:val="Hyperlink"/>
                  <w:szCs w:val="22"/>
                </w:rPr>
                <w:t>formulario de inscripción en línea</w:t>
              </w:r>
            </w:hyperlink>
            <w:r w:rsidRPr="00081D06">
              <w:rPr>
                <w:szCs w:val="22"/>
              </w:rPr>
              <w:t xml:space="preserve"> en la </w:t>
            </w:r>
            <w:hyperlink r:id="rId16" w:history="1">
              <w:r w:rsidRPr="00081D06">
                <w:rPr>
                  <w:rStyle w:val="Hyperlink"/>
                  <w:szCs w:val="22"/>
                </w:rPr>
                <w:t>página principal de la Comisión de Estudio</w:t>
              </w:r>
            </w:hyperlink>
            <w:r w:rsidRPr="00081D06">
              <w:rPr>
                <w:szCs w:val="22"/>
              </w:rPr>
              <w:t>)</w:t>
            </w:r>
          </w:p>
        </w:tc>
      </w:tr>
      <w:tr w:rsidR="0055666D" w:rsidRPr="00081D06" w14:paraId="0C65BAF4" w14:textId="77777777" w:rsidTr="00081D06">
        <w:tc>
          <w:tcPr>
            <w:tcW w:w="2418" w:type="dxa"/>
            <w:vAlign w:val="center"/>
          </w:tcPr>
          <w:p w14:paraId="4093CEE7" w14:textId="77777777" w:rsidR="0055666D" w:rsidRPr="00081D06" w:rsidRDefault="0055666D" w:rsidP="00081D06">
            <w:pPr>
              <w:pStyle w:val="TableText"/>
              <w:rPr>
                <w:bCs/>
              </w:rPr>
            </w:pPr>
            <w:r w:rsidRPr="00081D06">
              <w:t>13 de febrero de 2020</w:t>
            </w:r>
          </w:p>
        </w:tc>
        <w:tc>
          <w:tcPr>
            <w:tcW w:w="7216" w:type="dxa"/>
          </w:tcPr>
          <w:p w14:paraId="01754F09" w14:textId="77777777" w:rsidR="0055666D" w:rsidRPr="00081D06" w:rsidRDefault="0055666D" w:rsidP="00081D06">
            <w:pPr>
              <w:pStyle w:val="TableText"/>
              <w:ind w:left="284" w:hanging="284"/>
              <w:rPr>
                <w:szCs w:val="22"/>
              </w:rPr>
            </w:pPr>
            <w:r w:rsidRPr="00081D06">
              <w:rPr>
                <w:szCs w:val="22"/>
              </w:rPr>
              <w:t>–</w:t>
            </w:r>
            <w:r w:rsidRPr="00081D06">
              <w:rPr>
                <w:szCs w:val="22"/>
              </w:rPr>
              <w:tab/>
              <w:t xml:space="preserve">Presentación de solicitudes de cartas para la obtención de visados (mediante el </w:t>
            </w:r>
            <w:hyperlink r:id="rId17" w:history="1">
              <w:r w:rsidRPr="00081D06">
                <w:rPr>
                  <w:rStyle w:val="Hyperlink"/>
                  <w:szCs w:val="22"/>
                </w:rPr>
                <w:t>formulario de inscripción en línea</w:t>
              </w:r>
            </w:hyperlink>
            <w:r w:rsidRPr="00081D06">
              <w:rPr>
                <w:szCs w:val="22"/>
              </w:rPr>
              <w:t>; véanse los detalles en el </w:t>
            </w:r>
            <w:r w:rsidRPr="00081D06">
              <w:rPr>
                <w:b/>
                <w:szCs w:val="22"/>
              </w:rPr>
              <w:t>Anexo A</w:t>
            </w:r>
            <w:r w:rsidRPr="00081D06">
              <w:rPr>
                <w:szCs w:val="22"/>
              </w:rPr>
              <w:t>)</w:t>
            </w:r>
          </w:p>
        </w:tc>
      </w:tr>
      <w:tr w:rsidR="0055666D" w:rsidRPr="00081D06" w14:paraId="3F09618A" w14:textId="77777777" w:rsidTr="00081D06">
        <w:tc>
          <w:tcPr>
            <w:tcW w:w="2418" w:type="dxa"/>
            <w:vAlign w:val="center"/>
          </w:tcPr>
          <w:p w14:paraId="35C1DC56" w14:textId="77777777" w:rsidR="0055666D" w:rsidRPr="00081D06" w:rsidRDefault="0055666D" w:rsidP="00081D06">
            <w:pPr>
              <w:pStyle w:val="TableText"/>
            </w:pPr>
            <w:r w:rsidRPr="00081D06">
              <w:t>29 de febrero de 2020</w:t>
            </w:r>
          </w:p>
        </w:tc>
        <w:tc>
          <w:tcPr>
            <w:tcW w:w="7216" w:type="dxa"/>
          </w:tcPr>
          <w:p w14:paraId="692EAF56" w14:textId="77777777" w:rsidR="0055666D" w:rsidRPr="00081D06" w:rsidRDefault="0055666D" w:rsidP="00081D06">
            <w:pPr>
              <w:pStyle w:val="TableText"/>
              <w:ind w:left="284" w:hanging="284"/>
              <w:rPr>
                <w:szCs w:val="22"/>
              </w:rPr>
            </w:pPr>
            <w:r w:rsidRPr="00081D06">
              <w:rPr>
                <w:szCs w:val="22"/>
              </w:rPr>
              <w:tab/>
            </w:r>
            <w:hyperlink r:id="rId18" w:history="1">
              <w:r w:rsidRPr="00081D06">
                <w:rPr>
                  <w:rStyle w:val="Hyperlink"/>
                  <w:szCs w:val="22"/>
                </w:rPr>
                <w:t>Presentación de las contribuciones de los Miembros del UIT-T</w:t>
              </w:r>
            </w:hyperlink>
            <w:r w:rsidRPr="00081D06">
              <w:rPr>
                <w:szCs w:val="22"/>
              </w:rPr>
              <w:t xml:space="preserve"> (a través de la publicación directa de documentos)</w:t>
            </w:r>
          </w:p>
        </w:tc>
      </w:tr>
    </w:tbl>
    <w:p w14:paraId="65EFC92A" w14:textId="77777777" w:rsidR="0055666D" w:rsidRPr="00081D06" w:rsidRDefault="0055666D" w:rsidP="00DD1995">
      <w:pPr>
        <w:rPr>
          <w:sz w:val="24"/>
          <w:szCs w:val="24"/>
        </w:rPr>
      </w:pPr>
    </w:p>
    <w:p w14:paraId="3B054EE3" w14:textId="668F2E5D" w:rsidR="0055666D" w:rsidRPr="00081D06" w:rsidRDefault="0055666D" w:rsidP="00DD1995">
      <w:pPr>
        <w:rPr>
          <w:sz w:val="24"/>
          <w:szCs w:val="24"/>
        </w:rPr>
      </w:pPr>
      <w:r w:rsidRPr="00081D06">
        <w:rPr>
          <w:sz w:val="24"/>
          <w:szCs w:val="24"/>
        </w:rPr>
        <w:t xml:space="preserve">En el </w:t>
      </w:r>
      <w:r w:rsidRPr="00081D06">
        <w:rPr>
          <w:b/>
          <w:bCs/>
          <w:sz w:val="24"/>
          <w:szCs w:val="24"/>
        </w:rPr>
        <w:t>Anexo A</w:t>
      </w:r>
      <w:r w:rsidRPr="00081D06">
        <w:rPr>
          <w:sz w:val="24"/>
          <w:szCs w:val="24"/>
        </w:rPr>
        <w:t xml:space="preserve"> encontrará información práctica sobre la reunión. El proyecto de </w:t>
      </w:r>
      <w:r w:rsidRPr="00081D06">
        <w:rPr>
          <w:b/>
          <w:bCs/>
          <w:sz w:val="24"/>
          <w:szCs w:val="24"/>
        </w:rPr>
        <w:t xml:space="preserve">orden del día </w:t>
      </w:r>
      <w:r w:rsidRPr="00081D06">
        <w:rPr>
          <w:sz w:val="24"/>
          <w:szCs w:val="24"/>
        </w:rPr>
        <w:t>de la reunión, elaborados por el Presidente de la Comisión de Estudio 13</w:t>
      </w:r>
      <w:r w:rsidR="00081D06" w:rsidRPr="00081D06">
        <w:rPr>
          <w:sz w:val="24"/>
          <w:szCs w:val="24"/>
        </w:rPr>
        <w:t>,</w:t>
      </w:r>
      <w:r w:rsidRPr="00081D06">
        <w:rPr>
          <w:sz w:val="24"/>
          <w:szCs w:val="24"/>
        </w:rPr>
        <w:t xml:space="preserve"> se recoge en el </w:t>
      </w:r>
      <w:r w:rsidRPr="00081D06">
        <w:rPr>
          <w:b/>
          <w:bCs/>
          <w:sz w:val="24"/>
          <w:szCs w:val="24"/>
        </w:rPr>
        <w:t>Anexo B</w:t>
      </w:r>
      <w:r w:rsidRPr="00081D06">
        <w:rPr>
          <w:sz w:val="24"/>
          <w:szCs w:val="24"/>
        </w:rPr>
        <w:t>.</w:t>
      </w:r>
    </w:p>
    <w:p w14:paraId="2973B2BB" w14:textId="77777777" w:rsidR="00DD1995" w:rsidRPr="00081D06" w:rsidRDefault="00DD1995" w:rsidP="00DD1995">
      <w:pPr>
        <w:rPr>
          <w:bCs/>
          <w:sz w:val="24"/>
          <w:szCs w:val="24"/>
        </w:rPr>
      </w:pPr>
    </w:p>
    <w:p w14:paraId="60E55BB7" w14:textId="77777777" w:rsidR="004E2A80" w:rsidRDefault="004E2A8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29C1BCA0" w14:textId="77777777" w:rsidR="004E2A80" w:rsidRDefault="004E2A80" w:rsidP="00DD1995">
      <w:pPr>
        <w:rPr>
          <w:bCs/>
          <w:sz w:val="24"/>
          <w:szCs w:val="24"/>
        </w:rPr>
      </w:pPr>
    </w:p>
    <w:p w14:paraId="55B03341" w14:textId="7F64AC33" w:rsidR="0055666D" w:rsidRPr="00081D06" w:rsidRDefault="0055666D" w:rsidP="008415BE">
      <w:pPr>
        <w:tabs>
          <w:tab w:val="clear" w:pos="794"/>
          <w:tab w:val="left" w:pos="0"/>
        </w:tabs>
        <w:rPr>
          <w:bCs/>
          <w:sz w:val="24"/>
          <w:szCs w:val="24"/>
        </w:rPr>
      </w:pPr>
      <w:r w:rsidRPr="00081D06">
        <w:rPr>
          <w:bCs/>
          <w:sz w:val="24"/>
          <w:szCs w:val="24"/>
        </w:rPr>
        <w:t>Le deseo una reunión agradable y productiva.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990"/>
      </w:tblGrid>
      <w:tr w:rsidR="0055666D" w:rsidRPr="00081D06" w14:paraId="725C3AF1" w14:textId="77777777" w:rsidTr="008415BE">
        <w:trPr>
          <w:cantSplit/>
          <w:trHeight w:val="1134"/>
        </w:trPr>
        <w:tc>
          <w:tcPr>
            <w:tcW w:w="4649" w:type="dxa"/>
          </w:tcPr>
          <w:p w14:paraId="16B5AB3E" w14:textId="77777777" w:rsidR="004E2A80" w:rsidRDefault="004E2A80" w:rsidP="008415BE">
            <w:pPr>
              <w:tabs>
                <w:tab w:val="clear" w:pos="794"/>
                <w:tab w:val="left" w:pos="0"/>
              </w:tabs>
              <w:rPr>
                <w:bCs/>
                <w:sz w:val="24"/>
                <w:szCs w:val="24"/>
              </w:rPr>
            </w:pPr>
          </w:p>
          <w:p w14:paraId="382369A6" w14:textId="4476B404" w:rsidR="0055666D" w:rsidRDefault="008415BE" w:rsidP="008415BE">
            <w:pPr>
              <w:tabs>
                <w:tab w:val="clear" w:pos="794"/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45DC178" wp14:editId="29F157F3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250825</wp:posOffset>
                  </wp:positionV>
                  <wp:extent cx="876300" cy="394669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SP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94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5666D" w:rsidRPr="00081D06">
              <w:rPr>
                <w:bCs/>
                <w:sz w:val="24"/>
                <w:szCs w:val="24"/>
              </w:rPr>
              <w:t>Atentamente,</w:t>
            </w:r>
          </w:p>
          <w:p w14:paraId="38A7E74C" w14:textId="19F0C307" w:rsidR="008415BE" w:rsidRDefault="008415BE" w:rsidP="008415BE">
            <w:pPr>
              <w:tabs>
                <w:tab w:val="clear" w:pos="794"/>
                <w:tab w:val="left" w:pos="0"/>
              </w:tabs>
              <w:rPr>
                <w:bCs/>
                <w:sz w:val="24"/>
                <w:szCs w:val="24"/>
              </w:rPr>
            </w:pPr>
          </w:p>
          <w:p w14:paraId="1E2E9D37" w14:textId="5EE9B77F" w:rsidR="0055666D" w:rsidRPr="00AA7C2B" w:rsidRDefault="0055666D" w:rsidP="008415BE">
            <w:pPr>
              <w:tabs>
                <w:tab w:val="clear" w:pos="794"/>
                <w:tab w:val="left" w:pos="0"/>
              </w:tabs>
              <w:rPr>
                <w:bCs/>
                <w:sz w:val="24"/>
                <w:szCs w:val="24"/>
              </w:rPr>
            </w:pPr>
            <w:r w:rsidRPr="00081D06">
              <w:rPr>
                <w:sz w:val="24"/>
                <w:szCs w:val="24"/>
              </w:rPr>
              <w:t>Ch</w:t>
            </w:r>
            <w:bookmarkStart w:id="1" w:name="_GoBack"/>
            <w:bookmarkEnd w:id="1"/>
            <w:r w:rsidRPr="00081D06">
              <w:rPr>
                <w:sz w:val="24"/>
                <w:szCs w:val="24"/>
              </w:rPr>
              <w:t>aesub Lee</w:t>
            </w:r>
            <w:r w:rsidRPr="00081D06">
              <w:rPr>
                <w:sz w:val="24"/>
                <w:szCs w:val="24"/>
              </w:rPr>
              <w:br/>
              <w:t>Director de la Oficina de Normalización</w:t>
            </w:r>
            <w:r w:rsidRPr="00081D06">
              <w:rPr>
                <w:sz w:val="24"/>
                <w:szCs w:val="24"/>
              </w:rPr>
              <w:br/>
              <w:t>de las Telecomunicaciones</w:t>
            </w:r>
          </w:p>
        </w:tc>
        <w:tc>
          <w:tcPr>
            <w:tcW w:w="4990" w:type="dxa"/>
          </w:tcPr>
          <w:tbl>
            <w:tblPr>
              <w:tblStyle w:val="TableGrid1"/>
              <w:tblpPr w:leftFromText="141" w:rightFromText="141" w:vertAnchor="page" w:horzAnchor="margin" w:tblpY="1"/>
              <w:tblOverlap w:val="never"/>
              <w:tblW w:w="4764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64"/>
            </w:tblGrid>
            <w:tr w:rsidR="0055666D" w:rsidRPr="00081D06" w14:paraId="4DEB01B3" w14:textId="77777777" w:rsidTr="00081D06">
              <w:trPr>
                <w:cantSplit/>
                <w:trHeight w:val="2512"/>
              </w:trPr>
              <w:tc>
                <w:tcPr>
                  <w:tcW w:w="4764" w:type="dxa"/>
                  <w:textDirection w:val="btLr"/>
                  <w:vAlign w:val="center"/>
                </w:tcPr>
                <w:p w14:paraId="7D520086" w14:textId="77777777" w:rsidR="0055666D" w:rsidRPr="00081D06" w:rsidRDefault="0055666D" w:rsidP="008415BE">
                  <w:pPr>
                    <w:keepNext/>
                    <w:keepLines/>
                    <w:tabs>
                      <w:tab w:val="clear" w:pos="794"/>
                      <w:tab w:val="left" w:pos="0"/>
                    </w:tabs>
                    <w:spacing w:before="0"/>
                    <w:ind w:right="113"/>
                    <w:jc w:val="center"/>
                    <w:rPr>
                      <w:sz w:val="24"/>
                      <w:szCs w:val="24"/>
                    </w:rPr>
                  </w:pPr>
                  <w:r w:rsidRPr="00081D06">
                    <w:rPr>
                      <w:rFonts w:ascii="Calibri" w:eastAsia="SimSun" w:hAnsi="Calibri" w:cs="Arial"/>
                      <w:noProof/>
                      <w:sz w:val="24"/>
                      <w:szCs w:val="24"/>
                      <w:lang w:val="en-GB" w:eastAsia="en-GB"/>
                    </w:rPr>
                    <w:drawing>
                      <wp:inline distT="0" distB="0" distL="0" distR="0" wp14:anchorId="555116EA" wp14:editId="22E8E973">
                        <wp:extent cx="1113576" cy="1113576"/>
                        <wp:effectExtent l="0" t="0" r="0" b="0"/>
                        <wp:docPr id="54" name="Picture 54" descr="This QR code redirects to the latest meeeting information at:&#10;http://handle.itu.int/11.1002/groups/sg13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M:\TSBDOC\2017-2020\Working_methods\Handle_IDs\Handle-IDs_per_group\SG13\Unitag_QRCode_148708932550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9698" r="969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13576" cy="1113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81D06">
                    <w:rPr>
                      <w:rFonts w:ascii="Calibri" w:eastAsia="SimSun" w:hAnsi="Calibri" w:cs="Arial"/>
                      <w:sz w:val="24"/>
                      <w:szCs w:val="24"/>
                      <w:lang w:eastAsia="zh-CN"/>
                    </w:rPr>
                    <w:t xml:space="preserve"> ITU-T SG13</w:t>
                  </w:r>
                </w:p>
              </w:tc>
            </w:tr>
            <w:tr w:rsidR="0055666D" w:rsidRPr="00081D06" w14:paraId="4A09C82E" w14:textId="77777777" w:rsidTr="00081D06">
              <w:trPr>
                <w:cantSplit/>
                <w:trHeight w:val="291"/>
              </w:trPr>
              <w:tc>
                <w:tcPr>
                  <w:tcW w:w="4764" w:type="dxa"/>
                  <w:vAlign w:val="center"/>
                </w:tcPr>
                <w:p w14:paraId="4BAD14F5" w14:textId="77777777" w:rsidR="0055666D" w:rsidRPr="00081D06" w:rsidRDefault="0055666D" w:rsidP="008415BE">
                  <w:pPr>
                    <w:tabs>
                      <w:tab w:val="clear" w:pos="794"/>
                      <w:tab w:val="left" w:pos="0"/>
                    </w:tabs>
                    <w:spacing w:before="0"/>
                    <w:jc w:val="center"/>
                    <w:rPr>
                      <w:rFonts w:ascii="Calibri" w:eastAsia="SimSun" w:hAnsi="Calibri" w:cs="Arial"/>
                      <w:noProof/>
                      <w:sz w:val="24"/>
                      <w:szCs w:val="24"/>
                      <w:lang w:eastAsia="zh-CN"/>
                    </w:rPr>
                  </w:pPr>
                  <w:r w:rsidRPr="00081D06">
                    <w:rPr>
                      <w:bCs/>
                      <w:sz w:val="24"/>
                      <w:szCs w:val="24"/>
                    </w:rPr>
                    <w:t>Última información sobre la reunión</w:t>
                  </w:r>
                </w:p>
              </w:tc>
            </w:tr>
          </w:tbl>
          <w:p w14:paraId="745169FE" w14:textId="77777777" w:rsidR="0055666D" w:rsidRPr="00081D06" w:rsidRDefault="0055666D" w:rsidP="008415BE">
            <w:pPr>
              <w:tabs>
                <w:tab w:val="clear" w:pos="794"/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574E318D" w14:textId="77777777" w:rsidR="0055666D" w:rsidRPr="00081D06" w:rsidRDefault="0055666D" w:rsidP="00DD1995">
      <w:pPr>
        <w:rPr>
          <w:b/>
          <w:bCs/>
          <w:sz w:val="24"/>
          <w:szCs w:val="24"/>
        </w:rPr>
      </w:pPr>
    </w:p>
    <w:p w14:paraId="6DCFCDC1" w14:textId="77777777" w:rsidR="0055666D" w:rsidRPr="00081D06" w:rsidRDefault="0055666D" w:rsidP="00DD1995">
      <w:pPr>
        <w:rPr>
          <w:bCs/>
          <w:sz w:val="24"/>
          <w:szCs w:val="24"/>
        </w:rPr>
      </w:pPr>
      <w:r w:rsidRPr="00081D06">
        <w:rPr>
          <w:b/>
          <w:bCs/>
          <w:sz w:val="24"/>
          <w:szCs w:val="24"/>
        </w:rPr>
        <w:t>Anexos</w:t>
      </w:r>
      <w:r w:rsidRPr="00081D06">
        <w:rPr>
          <w:sz w:val="24"/>
          <w:szCs w:val="24"/>
        </w:rPr>
        <w:t>: 2</w:t>
      </w:r>
      <w:r w:rsidRPr="00081D06">
        <w:rPr>
          <w:bCs/>
          <w:sz w:val="24"/>
          <w:szCs w:val="24"/>
        </w:rPr>
        <w:br w:type="page"/>
      </w:r>
    </w:p>
    <w:p w14:paraId="581555A8" w14:textId="77777777" w:rsidR="0055666D" w:rsidRPr="00081D06" w:rsidRDefault="0055666D" w:rsidP="00DD1995">
      <w:pPr>
        <w:pStyle w:val="AnnexNotitle"/>
        <w:spacing w:after="80"/>
        <w:rPr>
          <w:bCs/>
          <w:szCs w:val="28"/>
        </w:rPr>
      </w:pPr>
      <w:r w:rsidRPr="00081D06">
        <w:rPr>
          <w:bCs/>
          <w:szCs w:val="28"/>
        </w:rPr>
        <w:lastRenderedPageBreak/>
        <w:t xml:space="preserve">ANEXO </w:t>
      </w:r>
      <w:r w:rsidRPr="00081D06">
        <w:rPr>
          <w:bCs/>
          <w:caps/>
          <w:szCs w:val="28"/>
        </w:rPr>
        <w:t>A</w:t>
      </w:r>
      <w:r w:rsidRPr="00081D06">
        <w:rPr>
          <w:bCs/>
          <w:caps/>
          <w:szCs w:val="28"/>
        </w:rPr>
        <w:br/>
      </w:r>
      <w:r w:rsidRPr="00081D06">
        <w:rPr>
          <w:bCs/>
          <w:szCs w:val="28"/>
        </w:rPr>
        <w:t>Información práctica sobre la reunión</w:t>
      </w:r>
    </w:p>
    <w:p w14:paraId="4583E147" w14:textId="77777777" w:rsidR="0055666D" w:rsidRPr="00081D06" w:rsidRDefault="0055666D" w:rsidP="007B2300">
      <w:pPr>
        <w:pStyle w:val="AnnexTitle"/>
        <w:rPr>
          <w:b w:val="0"/>
          <w:bCs/>
        </w:rPr>
      </w:pPr>
      <w:r w:rsidRPr="00081D06">
        <w:rPr>
          <w:bCs/>
          <w:sz w:val="24"/>
          <w:szCs w:val="24"/>
        </w:rPr>
        <w:t>MÉTODOS</w:t>
      </w:r>
      <w:r w:rsidRPr="00081D06">
        <w:rPr>
          <w:bCs/>
        </w:rPr>
        <w:t xml:space="preserve"> DE TRABAJO E INSTALACIONES</w:t>
      </w:r>
    </w:p>
    <w:p w14:paraId="6F663310" w14:textId="77777777" w:rsidR="0055666D" w:rsidRPr="00081D06" w:rsidRDefault="0055666D" w:rsidP="00DD1995">
      <w:pPr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ACCESO A LOS DOCUMENTOS</w:t>
      </w:r>
      <w:r w:rsidRPr="00081D06">
        <w:rPr>
          <w:sz w:val="24"/>
          <w:szCs w:val="24"/>
        </w:rPr>
        <w:t xml:space="preserve">: La reunión se celebrará sin hacer uso del papel. Las contribuciones deben presentarse utilizando la </w:t>
      </w:r>
      <w:hyperlink r:id="rId21" w:history="1">
        <w:r w:rsidRPr="00081D06">
          <w:rPr>
            <w:rStyle w:val="Hyperlink"/>
            <w:sz w:val="24"/>
            <w:szCs w:val="24"/>
          </w:rPr>
          <w:t>Publicación Directa de Documentos</w:t>
        </w:r>
      </w:hyperlink>
      <w:r w:rsidRPr="00081D06">
        <w:rPr>
          <w:sz w:val="24"/>
          <w:szCs w:val="24"/>
        </w:rPr>
        <w:t xml:space="preserve">; los proyectos de DT deben remitirse por correo-e a la secretaría de la Comisión de Estudio utilizando la </w:t>
      </w:r>
      <w:hyperlink r:id="rId22" w:history="1">
        <w:r w:rsidRPr="00081D06">
          <w:rPr>
            <w:rStyle w:val="Hyperlink"/>
            <w:sz w:val="24"/>
            <w:szCs w:val="24"/>
          </w:rPr>
          <w:t>plantilla correspondiente</w:t>
        </w:r>
      </w:hyperlink>
      <w:r w:rsidRPr="00081D06">
        <w:rPr>
          <w:sz w:val="24"/>
          <w:szCs w:val="24"/>
        </w:rPr>
        <w:t xml:space="preserve">. El acceso a los documentos de la reunión se facilita a partir de la página principal de la Comisión de Estudio, y está restringido a los Miembros del UIT-T que disponen de una </w:t>
      </w:r>
      <w:hyperlink r:id="rId23" w:history="1">
        <w:r w:rsidRPr="00081D06">
          <w:rPr>
            <w:rStyle w:val="Hyperlink"/>
            <w:sz w:val="24"/>
            <w:szCs w:val="24"/>
          </w:rPr>
          <w:t>cuenta de usuario de la UIT</w:t>
        </w:r>
      </w:hyperlink>
      <w:r w:rsidRPr="00081D06">
        <w:rPr>
          <w:sz w:val="24"/>
          <w:szCs w:val="24"/>
        </w:rPr>
        <w:t xml:space="preserve"> con acceso TIES.</w:t>
      </w:r>
    </w:p>
    <w:p w14:paraId="3EC1D796" w14:textId="77777777" w:rsidR="0055666D" w:rsidRPr="00081D06" w:rsidRDefault="0055666D" w:rsidP="00DD1995">
      <w:pPr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LAN INALÁMBRICA</w:t>
      </w:r>
      <w:r w:rsidRPr="00081D06">
        <w:rPr>
          <w:sz w:val="24"/>
          <w:szCs w:val="24"/>
        </w:rPr>
        <w:t>: Los delegados disponen de instalaciones de red de área local inalámbrica en todas las salas de conferencias de la UIT (SSID: "ITUwifi", contraseña: itu@GVA1211). En la dirección web del UIT-T (</w:t>
      </w:r>
      <w:hyperlink r:id="rId24" w:history="1">
        <w:r w:rsidRPr="00081D06">
          <w:rPr>
            <w:rStyle w:val="Hyperlink"/>
            <w:sz w:val="24"/>
            <w:szCs w:val="24"/>
          </w:rPr>
          <w:t>http://www.itu.int/ITU-T/edh/faqs-support.html</w:t>
        </w:r>
      </w:hyperlink>
      <w:r w:rsidRPr="00081D06">
        <w:rPr>
          <w:sz w:val="24"/>
          <w:szCs w:val="24"/>
        </w:rPr>
        <w:t xml:space="preserve">) e </w:t>
      </w:r>
      <w:r w:rsidRPr="00081D06">
        <w:rPr>
          <w:i/>
          <w:iCs/>
          <w:sz w:val="24"/>
          <w:szCs w:val="24"/>
        </w:rPr>
        <w:t>in situ</w:t>
      </w:r>
      <w:r w:rsidRPr="00081D06">
        <w:rPr>
          <w:sz w:val="24"/>
          <w:szCs w:val="24"/>
        </w:rPr>
        <w:t xml:space="preserve"> se puede encontrar información más detallada al respecto. </w:t>
      </w:r>
    </w:p>
    <w:p w14:paraId="2D786930" w14:textId="77777777" w:rsidR="0055666D" w:rsidRPr="00081D06" w:rsidRDefault="0055666D" w:rsidP="00DD1995">
      <w:pPr>
        <w:keepNext/>
        <w:keepLines/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TAQUILLAS ELECTRÓNICAS</w:t>
      </w:r>
      <w:r w:rsidRPr="00081D06">
        <w:rPr>
          <w:sz w:val="24"/>
          <w:szCs w:val="24"/>
        </w:rPr>
        <w:t xml:space="preserve">: Durante toda la reunión dispondrá de taquillas electrónicas que podrán utilizarse con la tarjeta de identificación RFID del UIT-T. Las taquillas electrónicas están situadas justo detrás del mostrador de inscripción en la planta baja del </w:t>
      </w:r>
      <w:hyperlink r:id="rId25" w:history="1">
        <w:r w:rsidRPr="00081D06">
          <w:rPr>
            <w:rStyle w:val="Hyperlink"/>
            <w:sz w:val="24"/>
            <w:szCs w:val="24"/>
          </w:rPr>
          <w:t>edificio Montbrillant</w:t>
        </w:r>
      </w:hyperlink>
      <w:r w:rsidRPr="00081D06">
        <w:rPr>
          <w:sz w:val="24"/>
          <w:szCs w:val="24"/>
        </w:rPr>
        <w:t>.</w:t>
      </w:r>
    </w:p>
    <w:p w14:paraId="7F682C27" w14:textId="77777777" w:rsidR="0055666D" w:rsidRPr="00081D06" w:rsidRDefault="0055666D" w:rsidP="00DD1995">
      <w:pPr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IMPRESORAS</w:t>
      </w:r>
      <w:r w:rsidRPr="00081D06">
        <w:rPr>
          <w:sz w:val="24"/>
          <w:szCs w:val="24"/>
        </w:rPr>
        <w:t xml:space="preserve">: En las salas para los delegados y en las proximidades de las </w:t>
      </w:r>
      <w:hyperlink r:id="rId26" w:history="1">
        <w:r w:rsidRPr="00081D06">
          <w:rPr>
            <w:rStyle w:val="Hyperlink"/>
            <w:sz w:val="24"/>
            <w:szCs w:val="24"/>
          </w:rPr>
          <w:t>principales salas de reunión</w:t>
        </w:r>
      </w:hyperlink>
      <w:r w:rsidRPr="00081D06">
        <w:rPr>
          <w:sz w:val="24"/>
          <w:szCs w:val="24"/>
        </w:rPr>
        <w:t xml:space="preserve"> se han puesto a disposición impresoras. Para no tener que instalar controladores en la computadora de los delegados, pueden imprimirse directamente los documentos enviándolos por correo electrónico a la impresora deseada. Vea los detalles en </w:t>
      </w:r>
      <w:hyperlink r:id="rId27" w:history="1">
        <w:r w:rsidRPr="00081D06">
          <w:rPr>
            <w:rStyle w:val="Hyperlink"/>
            <w:sz w:val="24"/>
            <w:szCs w:val="24"/>
          </w:rPr>
          <w:t>http://itu.int/ITU-T/go/e-print</w:t>
        </w:r>
      </w:hyperlink>
      <w:r w:rsidRPr="00081D06">
        <w:rPr>
          <w:sz w:val="24"/>
          <w:szCs w:val="24"/>
        </w:rPr>
        <w:t>.</w:t>
      </w:r>
    </w:p>
    <w:p w14:paraId="5A72CC94" w14:textId="77777777" w:rsidR="0055666D" w:rsidRPr="00081D06" w:rsidRDefault="0055666D" w:rsidP="00DD1995">
      <w:pPr>
        <w:rPr>
          <w:sz w:val="24"/>
          <w:szCs w:val="24"/>
        </w:rPr>
      </w:pPr>
      <w:r w:rsidRPr="00081D06">
        <w:rPr>
          <w:sz w:val="24"/>
          <w:szCs w:val="24"/>
        </w:rPr>
        <w:t xml:space="preserve">El </w:t>
      </w:r>
      <w:r w:rsidRPr="00081D06">
        <w:rPr>
          <w:b/>
          <w:bCs/>
          <w:sz w:val="24"/>
          <w:szCs w:val="24"/>
        </w:rPr>
        <w:t xml:space="preserve">PRÉSTAMO DE COMPUTADORAS PORTÁTILES </w:t>
      </w:r>
      <w:r w:rsidRPr="00081D06">
        <w:rPr>
          <w:sz w:val="24"/>
          <w:szCs w:val="24"/>
        </w:rPr>
        <w:t>a los delegados está disponible a través del Servicio de Asistencia de la UIT (</w:t>
      </w:r>
      <w:hyperlink r:id="rId28" w:history="1">
        <w:r w:rsidRPr="00081D06">
          <w:rPr>
            <w:rStyle w:val="Hyperlink"/>
            <w:sz w:val="24"/>
            <w:szCs w:val="24"/>
          </w:rPr>
          <w:t>servicedesk@itu.int</w:t>
        </w:r>
      </w:hyperlink>
      <w:r w:rsidRPr="00081D06">
        <w:rPr>
          <w:sz w:val="24"/>
          <w:szCs w:val="24"/>
        </w:rPr>
        <w:t>), atendiéndose las solicitudes por orden de llegada.</w:t>
      </w:r>
    </w:p>
    <w:p w14:paraId="011F1FB6" w14:textId="7B4D8C56" w:rsidR="0055666D" w:rsidRPr="00081D06" w:rsidRDefault="0055666D" w:rsidP="00D7136E">
      <w:pPr>
        <w:pStyle w:val="AnnexTitle"/>
        <w:rPr>
          <w:b w:val="0"/>
          <w:bCs/>
          <w:sz w:val="24"/>
          <w:szCs w:val="22"/>
        </w:rPr>
      </w:pPr>
      <w:r w:rsidRPr="00081D06">
        <w:rPr>
          <w:bCs/>
          <w:sz w:val="24"/>
          <w:szCs w:val="24"/>
        </w:rPr>
        <w:t>PREINSCRIPCIÓN Y APOYO PARA LA OBTENCIÓN DEL VISADO</w:t>
      </w:r>
    </w:p>
    <w:p w14:paraId="221049B5" w14:textId="77777777" w:rsidR="0055666D" w:rsidRPr="00081D06" w:rsidRDefault="0055666D" w:rsidP="00DD1995">
      <w:pPr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PREINSCRIPCIÓN</w:t>
      </w:r>
      <w:r w:rsidRPr="00081D06">
        <w:rPr>
          <w:sz w:val="24"/>
          <w:szCs w:val="24"/>
        </w:rPr>
        <w:t xml:space="preserve">: La preinscripción es obligatoria y ha de hacerse en línea a través de la página principal de la Comisión de Estudio </w:t>
      </w:r>
      <w:r w:rsidRPr="00081D06">
        <w:rPr>
          <w:b/>
          <w:sz w:val="24"/>
          <w:szCs w:val="24"/>
        </w:rPr>
        <w:t>a más tardar un mes antes de la reunión</w:t>
      </w:r>
      <w:r w:rsidRPr="00081D06">
        <w:rPr>
          <w:bCs/>
          <w:sz w:val="24"/>
          <w:szCs w:val="24"/>
        </w:rPr>
        <w:t xml:space="preserve">. Según lo indicado en la </w:t>
      </w:r>
      <w:hyperlink r:id="rId29" w:history="1">
        <w:r w:rsidRPr="00081D06">
          <w:rPr>
            <w:rStyle w:val="Hyperlink"/>
            <w:bCs/>
            <w:sz w:val="24"/>
            <w:szCs w:val="24"/>
          </w:rPr>
          <w:t>Circular TSB 68</w:t>
        </w:r>
      </w:hyperlink>
      <w:r w:rsidRPr="00081D06">
        <w:rPr>
          <w:bCs/>
          <w:sz w:val="24"/>
          <w:szCs w:val="24"/>
        </w:rPr>
        <w:t xml:space="preserve">, el sistema de inscripción requiere la aprobación del Coordinador para las solicitudes de inscripción; en la </w:t>
      </w:r>
      <w:hyperlink r:id="rId30" w:history="1">
        <w:r w:rsidRPr="00081D06">
          <w:rPr>
            <w:rStyle w:val="Hyperlink"/>
            <w:bCs/>
            <w:sz w:val="24"/>
            <w:szCs w:val="24"/>
          </w:rPr>
          <w:t>Circular TSB 118</w:t>
        </w:r>
      </w:hyperlink>
      <w:r w:rsidRPr="00081D06">
        <w:rPr>
          <w:bCs/>
          <w:sz w:val="24"/>
          <w:szCs w:val="24"/>
        </w:rPr>
        <w:t xml:space="preserve"> se detalla cómo configurar la aprobación automática de esas solicitudes. Algunas de las opciones en el formulario de registro se aplican únicamente a los Estados Miembros, por ejemplo la de función. </w:t>
      </w:r>
      <w:r w:rsidRPr="00081D06">
        <w:rPr>
          <w:sz w:val="24"/>
          <w:szCs w:val="24"/>
        </w:rPr>
        <w:t>Se invita a los miembros a incluir mujeres en sus delegaciones siempre que sea posible.</w:t>
      </w:r>
    </w:p>
    <w:p w14:paraId="65E86E42" w14:textId="77777777" w:rsidR="0055666D" w:rsidRPr="00081D06" w:rsidRDefault="0055666D" w:rsidP="00DD1995">
      <w:pPr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AYUDA PARA LA OBTENCIÓN DE VISADOS</w:t>
      </w:r>
      <w:r w:rsidRPr="00081D06">
        <w:rPr>
          <w:sz w:val="24"/>
          <w:szCs w:val="24"/>
        </w:rPr>
        <w:t>: En su caso, los visados deben solicitarse antes de la fecha de llegada a Suiza en la embajada o el consulado que representa a Suiza en su país o, en su defecto, en la más próxima a su país de partida. Habida cuenta de que los plazos aplicables pueden variar, se recomienda consultar directamente a la representación adecuada y presentar la solicitud con antelación.</w:t>
      </w:r>
    </w:p>
    <w:p w14:paraId="20DAC696" w14:textId="77777777" w:rsidR="0055666D" w:rsidRPr="00081D06" w:rsidRDefault="0055666D" w:rsidP="00DD1995">
      <w:pPr>
        <w:rPr>
          <w:sz w:val="24"/>
          <w:szCs w:val="24"/>
        </w:rPr>
      </w:pPr>
      <w:r w:rsidRPr="00081D06">
        <w:rPr>
          <w:sz w:val="24"/>
          <w:szCs w:val="24"/>
        </w:rPr>
        <w:t xml:space="preserve">Si tropieza con problemas, la Unión puede, previa solicitud oficial de la administración o la entidad que usted representa, intervenir ante las autoridades suizas competentes para facilitar la expedición de ese visado. Las solicitudes deben formularse marcando la casilla correspondiente en el formulario de inscripción, </w:t>
      </w:r>
      <w:r w:rsidRPr="00081D06">
        <w:rPr>
          <w:b/>
          <w:bCs/>
          <w:sz w:val="24"/>
          <w:szCs w:val="24"/>
        </w:rPr>
        <w:t>a más tardar un mes antes de la reunión</w:t>
      </w:r>
      <w:r w:rsidRPr="00081D06">
        <w:rPr>
          <w:sz w:val="24"/>
          <w:szCs w:val="24"/>
        </w:rPr>
        <w:t>. Las consultas deben remitirse a la Sección de Viajes de la UIT (</w:t>
      </w:r>
      <w:hyperlink r:id="rId31" w:history="1">
        <w:r w:rsidRPr="00081D06">
          <w:rPr>
            <w:rStyle w:val="Hyperlink"/>
            <w:sz w:val="24"/>
            <w:szCs w:val="24"/>
          </w:rPr>
          <w:t>travel@itu.int</w:t>
        </w:r>
      </w:hyperlink>
      <w:r w:rsidRPr="00081D06">
        <w:rPr>
          <w:sz w:val="24"/>
          <w:szCs w:val="24"/>
        </w:rPr>
        <w:t>) con la indicación "</w:t>
      </w:r>
      <w:r w:rsidRPr="00081D06">
        <w:rPr>
          <w:b/>
          <w:bCs/>
          <w:sz w:val="24"/>
          <w:szCs w:val="24"/>
        </w:rPr>
        <w:t>apoyo para la obtención de visado</w:t>
      </w:r>
      <w:r w:rsidRPr="00081D06">
        <w:rPr>
          <w:sz w:val="24"/>
          <w:szCs w:val="24"/>
        </w:rPr>
        <w:t>".</w:t>
      </w:r>
    </w:p>
    <w:p w14:paraId="04013A2B" w14:textId="77777777" w:rsidR="0055666D" w:rsidRPr="00081D06" w:rsidRDefault="0055666D" w:rsidP="00DD1995">
      <w:pPr>
        <w:pStyle w:val="AnnexTitle"/>
        <w:rPr>
          <w:bCs/>
          <w:sz w:val="24"/>
          <w:szCs w:val="24"/>
        </w:rPr>
      </w:pPr>
      <w:r w:rsidRPr="00081D06">
        <w:rPr>
          <w:bCs/>
          <w:sz w:val="24"/>
          <w:szCs w:val="24"/>
        </w:rPr>
        <w:lastRenderedPageBreak/>
        <w:t>VISITAS A GINEBRA: HOTELES, TRANSPORTE PÚBLICO Y VISADOS</w:t>
      </w:r>
    </w:p>
    <w:p w14:paraId="3E2136A6" w14:textId="77777777" w:rsidR="0055666D" w:rsidRPr="00081D06" w:rsidRDefault="0055666D" w:rsidP="00DD1995">
      <w:pPr>
        <w:pStyle w:val="Normalaftertitle"/>
        <w:keepNext/>
        <w:keepLines/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VISITAS A GINEBRA</w:t>
      </w:r>
      <w:r w:rsidRPr="00081D06">
        <w:rPr>
          <w:sz w:val="24"/>
          <w:szCs w:val="24"/>
        </w:rPr>
        <w:t xml:space="preserve">: Los delegados que asistan a reuniones de la UIT en Ginebra pueden encontrar información práctica en: </w:t>
      </w:r>
      <w:hyperlink r:id="rId32" w:history="1">
        <w:r w:rsidRPr="00081D06">
          <w:rPr>
            <w:rStyle w:val="Hyperlink"/>
            <w:sz w:val="24"/>
            <w:szCs w:val="24"/>
          </w:rPr>
          <w:t>http://itu.int/en/delegates-corner/</w:t>
        </w:r>
      </w:hyperlink>
      <w:r w:rsidRPr="00081D06">
        <w:rPr>
          <w:sz w:val="24"/>
          <w:szCs w:val="24"/>
        </w:rPr>
        <w:t>.</w:t>
      </w:r>
    </w:p>
    <w:p w14:paraId="1B3A4C88" w14:textId="77777777" w:rsidR="0055666D" w:rsidRPr="00DA274F" w:rsidRDefault="0055666D" w:rsidP="00DD1995">
      <w:pPr>
        <w:keepNext/>
        <w:keepLines/>
        <w:rPr>
          <w:sz w:val="24"/>
          <w:szCs w:val="24"/>
        </w:rPr>
      </w:pPr>
      <w:r w:rsidRPr="00081D06">
        <w:rPr>
          <w:b/>
          <w:bCs/>
          <w:sz w:val="24"/>
          <w:szCs w:val="24"/>
        </w:rPr>
        <w:t>DESCUENTOS PARA HOTELES</w:t>
      </w:r>
      <w:r w:rsidRPr="00081D06">
        <w:rPr>
          <w:sz w:val="24"/>
          <w:szCs w:val="24"/>
        </w:rPr>
        <w:t xml:space="preserve">: Varios hoteles de Ginebra ofrecen precios especiales para los delegados que asisten a reuniones de la UIT, y regalan un abono gratuito para los transportes públicos de la ciudad. Puede consultar una lista de esos hoteles e información sobre cómo solicitar los descuentos en la dirección: </w:t>
      </w:r>
      <w:hyperlink r:id="rId33" w:history="1">
        <w:r w:rsidRPr="00081D06">
          <w:rPr>
            <w:rStyle w:val="Hyperlink"/>
            <w:sz w:val="24"/>
            <w:szCs w:val="24"/>
          </w:rPr>
          <w:t>http://www.itu.int/travel/</w:t>
        </w:r>
      </w:hyperlink>
      <w:r w:rsidRPr="00081D06">
        <w:rPr>
          <w:sz w:val="24"/>
          <w:szCs w:val="24"/>
        </w:rPr>
        <w:t>.</w:t>
      </w:r>
    </w:p>
    <w:p w14:paraId="2696C929" w14:textId="77777777" w:rsidR="0055666D" w:rsidRPr="008E30F3" w:rsidRDefault="0055666D" w:rsidP="00DD1995">
      <w:pPr>
        <w:rPr>
          <w:szCs w:val="24"/>
        </w:rPr>
      </w:pPr>
    </w:p>
    <w:p w14:paraId="01AFF5E0" w14:textId="77777777" w:rsidR="0055666D" w:rsidRPr="008E30F3" w:rsidRDefault="0055666D" w:rsidP="00DD1995">
      <w:r w:rsidRPr="008E30F3">
        <w:br w:type="page"/>
      </w:r>
    </w:p>
    <w:p w14:paraId="56784CE5" w14:textId="77777777" w:rsidR="0055666D" w:rsidRPr="0055666D" w:rsidRDefault="0055666D" w:rsidP="00DD1995">
      <w:pPr>
        <w:spacing w:before="240"/>
        <w:ind w:right="-187"/>
        <w:jc w:val="center"/>
        <w:rPr>
          <w:rFonts w:cstheme="majorBidi"/>
          <w:b/>
          <w:bCs/>
          <w:sz w:val="28"/>
          <w:szCs w:val="28"/>
          <w:lang w:val="en-US"/>
        </w:rPr>
      </w:pPr>
      <w:r w:rsidRPr="0055666D">
        <w:rPr>
          <w:rFonts w:cstheme="majorBidi"/>
          <w:b/>
          <w:bCs/>
          <w:sz w:val="28"/>
          <w:szCs w:val="28"/>
          <w:lang w:val="en-US"/>
        </w:rPr>
        <w:lastRenderedPageBreak/>
        <w:t>ANNEX B</w:t>
      </w:r>
    </w:p>
    <w:p w14:paraId="602AC1B6" w14:textId="77777777" w:rsidR="0055666D" w:rsidRPr="0055666D" w:rsidRDefault="0055666D" w:rsidP="00DD1995">
      <w:pPr>
        <w:spacing w:before="0"/>
        <w:jc w:val="center"/>
        <w:rPr>
          <w:sz w:val="24"/>
          <w:lang w:val="en-US"/>
        </w:rPr>
      </w:pPr>
      <w:r w:rsidRPr="0055666D">
        <w:rPr>
          <w:sz w:val="24"/>
          <w:lang w:val="en-US"/>
        </w:rPr>
        <w:t xml:space="preserve"> (to TSB Collective letter 10/13)</w:t>
      </w:r>
    </w:p>
    <w:p w14:paraId="63564FC3" w14:textId="77777777" w:rsidR="0055666D" w:rsidRPr="0055666D" w:rsidRDefault="0055666D" w:rsidP="00DD1995">
      <w:pPr>
        <w:ind w:right="91"/>
        <w:jc w:val="center"/>
        <w:rPr>
          <w:b/>
          <w:sz w:val="24"/>
          <w:lang w:val="en-US"/>
        </w:rPr>
      </w:pPr>
      <w:r w:rsidRPr="0055666D">
        <w:rPr>
          <w:b/>
          <w:sz w:val="24"/>
          <w:lang w:val="en-US"/>
        </w:rPr>
        <w:t>Meeting of Study Group 13</w:t>
      </w:r>
      <w:r w:rsidRPr="0055666D">
        <w:rPr>
          <w:b/>
          <w:sz w:val="24"/>
          <w:lang w:val="en-US"/>
        </w:rPr>
        <w:br/>
        <w:t>Geneva, 13 March 2020</w:t>
      </w:r>
    </w:p>
    <w:p w14:paraId="013ED438" w14:textId="77777777" w:rsidR="0055666D" w:rsidRPr="008E30F3" w:rsidRDefault="0055666D" w:rsidP="00DD1995">
      <w:pPr>
        <w:ind w:right="91"/>
        <w:jc w:val="center"/>
        <w:rPr>
          <w:sz w:val="24"/>
        </w:rPr>
      </w:pPr>
      <w:r w:rsidRPr="008E30F3">
        <w:rPr>
          <w:b/>
          <w:sz w:val="24"/>
        </w:rPr>
        <w:t xml:space="preserve">Draft Agenda </w:t>
      </w:r>
    </w:p>
    <w:p w14:paraId="1C3D7749" w14:textId="77777777" w:rsidR="0055666D" w:rsidRPr="008E30F3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spacing w:before="240"/>
        <w:ind w:left="794" w:hanging="794"/>
        <w:textAlignment w:val="auto"/>
        <w:rPr>
          <w:rFonts w:cstheme="minorHAnsi"/>
        </w:rPr>
      </w:pPr>
      <w:r w:rsidRPr="008E30F3">
        <w:rPr>
          <w:rFonts w:cstheme="minorHAnsi"/>
        </w:rPr>
        <w:t>Opening remarks and welcome</w:t>
      </w:r>
    </w:p>
    <w:p w14:paraId="7D15DACC" w14:textId="77777777" w:rsidR="0055666D" w:rsidRPr="008E30F3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</w:rPr>
      </w:pPr>
      <w:r w:rsidRPr="008E30F3">
        <w:rPr>
          <w:rFonts w:cstheme="minorHAnsi"/>
        </w:rPr>
        <w:t xml:space="preserve">Approval of the agenda </w:t>
      </w:r>
    </w:p>
    <w:p w14:paraId="4A77B58D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>Summary of activities since the October 2019 Study Group 13 meeting</w:t>
      </w:r>
    </w:p>
    <w:p w14:paraId="6D7CBC5C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>3.1</w:t>
      </w:r>
      <w:r w:rsidRPr="0055666D">
        <w:rPr>
          <w:rFonts w:cstheme="minorHAnsi"/>
          <w:lang w:val="en-US"/>
        </w:rPr>
        <w:tab/>
        <w:t>TSAG (24 - 28 February 2020, Geneva)</w:t>
      </w:r>
    </w:p>
    <w:p w14:paraId="655302F7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 xml:space="preserve">3.2 </w:t>
      </w:r>
      <w:r w:rsidRPr="0055666D">
        <w:rPr>
          <w:rFonts w:cstheme="minorHAnsi"/>
          <w:lang w:val="en-US"/>
        </w:rPr>
        <w:tab/>
        <w:t>FG NET2030 activities (13 – 15 January 2020, Lisbon, Portugal)</w:t>
      </w:r>
    </w:p>
    <w:p w14:paraId="3CA5AD26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>3.3</w:t>
      </w:r>
      <w:r w:rsidRPr="0055666D">
        <w:rPr>
          <w:rFonts w:cstheme="minorHAnsi"/>
          <w:lang w:val="en-US"/>
        </w:rPr>
        <w:tab/>
        <w:t>FG ML5G activities (6 - 8 November 2019, Berlin, Germany)</w:t>
      </w:r>
    </w:p>
    <w:p w14:paraId="3AF06877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>3.4</w:t>
      </w:r>
      <w:r w:rsidRPr="0055666D">
        <w:rPr>
          <w:rFonts w:cstheme="minorHAnsi"/>
          <w:lang w:val="en-US"/>
        </w:rPr>
        <w:tab/>
        <w:t>SG13RG-AFR (5 – 6 February 2020)</w:t>
      </w:r>
    </w:p>
    <w:p w14:paraId="33E47905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>3.5</w:t>
      </w:r>
      <w:r w:rsidRPr="0055666D">
        <w:rPr>
          <w:rFonts w:cstheme="minorHAnsi"/>
          <w:lang w:val="en-US"/>
        </w:rPr>
        <w:tab/>
        <w:t>NSP Ad-hoc e-meeting(s)</w:t>
      </w:r>
    </w:p>
    <w:p w14:paraId="5F037BD9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>3.6</w:t>
      </w:r>
      <w:r w:rsidRPr="0055666D">
        <w:rPr>
          <w:rFonts w:cstheme="minorHAnsi"/>
          <w:lang w:val="en-US"/>
        </w:rPr>
        <w:tab/>
        <w:t>Co-located rapporteur groups activities (2 - 13 March 2020, Geneva)</w:t>
      </w:r>
    </w:p>
    <w:p w14:paraId="23B3152A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>3.7</w:t>
      </w:r>
      <w:r w:rsidRPr="0055666D">
        <w:rPr>
          <w:rFonts w:cstheme="minorHAnsi"/>
          <w:lang w:val="en-US"/>
        </w:rPr>
        <w:tab/>
        <w:t>Individual Rapporteur Group activities</w:t>
      </w:r>
    </w:p>
    <w:p w14:paraId="283FC43A" w14:textId="77777777" w:rsidR="0055666D" w:rsidRPr="0055666D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ab/>
        <w:t>3.8</w:t>
      </w:r>
      <w:r w:rsidRPr="0055666D">
        <w:rPr>
          <w:rFonts w:cstheme="minorHAnsi"/>
          <w:lang w:val="en-US"/>
        </w:rPr>
        <w:tab/>
        <w:t>Correspondence Group activities, if any</w:t>
      </w:r>
    </w:p>
    <w:p w14:paraId="3157A1FD" w14:textId="77777777" w:rsidR="0055666D" w:rsidRPr="008E30F3" w:rsidRDefault="0055666D" w:rsidP="00DD1995">
      <w:pPr>
        <w:tabs>
          <w:tab w:val="clear" w:pos="1191"/>
          <w:tab w:val="clear" w:pos="1588"/>
          <w:tab w:val="left" w:pos="1418"/>
        </w:tabs>
        <w:spacing w:before="80"/>
        <w:ind w:left="1418" w:hanging="1418"/>
        <w:rPr>
          <w:rFonts w:cstheme="minorHAnsi"/>
        </w:rPr>
      </w:pPr>
      <w:r w:rsidRPr="0055666D">
        <w:rPr>
          <w:rFonts w:cstheme="minorHAnsi"/>
          <w:lang w:val="en-US"/>
        </w:rPr>
        <w:tab/>
      </w:r>
      <w:r w:rsidRPr="008E30F3">
        <w:rPr>
          <w:rFonts w:cstheme="minorHAnsi"/>
        </w:rPr>
        <w:t>3.9</w:t>
      </w:r>
      <w:r w:rsidRPr="008E30F3">
        <w:rPr>
          <w:rFonts w:cstheme="minorHAnsi"/>
        </w:rPr>
        <w:tab/>
        <w:t>Others as identified</w:t>
      </w:r>
    </w:p>
    <w:p w14:paraId="09EE343D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>Result of Recommendations consented for approval at the last SG13 meeting and consider any necessary follow up on those</w:t>
      </w:r>
    </w:p>
    <w:p w14:paraId="1256CD06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>Review the status of draft Recommendations:</w:t>
      </w:r>
    </w:p>
    <w:p w14:paraId="27040FE3" w14:textId="77777777" w:rsidR="0055666D" w:rsidRPr="0055666D" w:rsidRDefault="0055666D" w:rsidP="00DD1995">
      <w:pPr>
        <w:numPr>
          <w:ilvl w:val="0"/>
          <w:numId w:val="10"/>
        </w:numPr>
        <w:tabs>
          <w:tab w:val="clear" w:pos="794"/>
          <w:tab w:val="clear" w:pos="927"/>
          <w:tab w:val="left" w:pos="993"/>
        </w:tabs>
        <w:overflowPunct/>
        <w:autoSpaceDE/>
        <w:autoSpaceDN/>
        <w:adjustRightInd/>
        <w:spacing w:before="100"/>
        <w:ind w:hanging="218"/>
        <w:textAlignment w:val="auto"/>
        <w:rPr>
          <w:rFonts w:cstheme="minorHAnsi"/>
          <w:bCs/>
          <w:lang w:val="en-US"/>
        </w:rPr>
      </w:pPr>
      <w:r w:rsidRPr="0055666D">
        <w:rPr>
          <w:rFonts w:cstheme="minorHAnsi"/>
          <w:lang w:val="en-US"/>
        </w:rPr>
        <w:t xml:space="preserve"> Y.NGN-PLA-reqts</w:t>
      </w:r>
      <w:r w:rsidRPr="0055666D">
        <w:rPr>
          <w:rFonts w:cstheme="minorHAnsi"/>
          <w:bCs/>
          <w:lang w:val="en-US"/>
        </w:rPr>
        <w:t xml:space="preserve">, </w:t>
      </w:r>
      <w:r w:rsidRPr="0055666D">
        <w:rPr>
          <w:rFonts w:cstheme="minorHAnsi"/>
          <w:bCs/>
          <w:i/>
          <w:lang w:val="en-US"/>
        </w:rPr>
        <w:t>Scenarios and Capability Requirements of Programmable Log Analysis in Next</w:t>
      </w:r>
      <w:r w:rsidRPr="0055666D">
        <w:rPr>
          <w:rFonts w:cstheme="minorHAnsi"/>
          <w:bCs/>
          <w:i/>
          <w:lang w:val="en-US"/>
        </w:rPr>
        <w:br/>
        <w:t xml:space="preserve"> Generation Networks</w:t>
      </w:r>
      <w:r w:rsidRPr="0055666D">
        <w:rPr>
          <w:rFonts w:cstheme="minorHAnsi"/>
          <w:bCs/>
          <w:lang w:val="en-US"/>
        </w:rPr>
        <w:t xml:space="preserve">, Q2/13 </w:t>
      </w:r>
    </w:p>
    <w:p w14:paraId="61E22D7D" w14:textId="77777777" w:rsidR="0055666D" w:rsidRPr="0055666D" w:rsidRDefault="0055666D" w:rsidP="00DD1995">
      <w:pPr>
        <w:numPr>
          <w:ilvl w:val="0"/>
          <w:numId w:val="10"/>
        </w:numPr>
        <w:tabs>
          <w:tab w:val="clear" w:pos="794"/>
          <w:tab w:val="clear" w:pos="927"/>
          <w:tab w:val="left" w:pos="993"/>
        </w:tabs>
        <w:overflowPunct/>
        <w:autoSpaceDE/>
        <w:autoSpaceDN/>
        <w:adjustRightInd/>
        <w:spacing w:before="100"/>
        <w:ind w:hanging="218"/>
        <w:textAlignment w:val="auto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 Y.IMT-2020.qos-ml-arc, </w:t>
      </w:r>
      <w:r w:rsidRPr="0055666D">
        <w:rPr>
          <w:rFonts w:cstheme="minorHAnsi"/>
          <w:bCs/>
          <w:i/>
          <w:lang w:val="en-US"/>
        </w:rPr>
        <w:t>Architecture of machine learning based QoS assurance for IMT-2020 network</w:t>
      </w:r>
      <w:r w:rsidRPr="0055666D">
        <w:rPr>
          <w:rFonts w:cstheme="minorHAnsi"/>
          <w:bCs/>
          <w:lang w:val="en-US"/>
        </w:rPr>
        <w:t>, Q6/13</w:t>
      </w:r>
    </w:p>
    <w:p w14:paraId="3CF7ECD3" w14:textId="77777777" w:rsidR="0055666D" w:rsidRPr="0055666D" w:rsidRDefault="0055666D" w:rsidP="00DD1995">
      <w:pPr>
        <w:pStyle w:val="Tabletext0"/>
        <w:numPr>
          <w:ilvl w:val="0"/>
          <w:numId w:val="10"/>
        </w:numPr>
        <w:tabs>
          <w:tab w:val="clear" w:pos="851"/>
          <w:tab w:val="clear" w:pos="927"/>
          <w:tab w:val="num" w:pos="993"/>
        </w:tabs>
        <w:ind w:left="993" w:hanging="284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Y.bDPI-Mec, </w:t>
      </w:r>
      <w:r w:rsidRPr="0055666D">
        <w:rPr>
          <w:rFonts w:cstheme="minorHAnsi"/>
          <w:bCs/>
          <w:i/>
          <w:lang w:val="en-US"/>
        </w:rPr>
        <w:t>Mechanism of deep packet inspection applied in network big data context</w:t>
      </w:r>
      <w:r w:rsidRPr="0055666D">
        <w:rPr>
          <w:rFonts w:cstheme="minorHAnsi"/>
          <w:bCs/>
          <w:lang w:val="en-US"/>
        </w:rPr>
        <w:t>, Q7/13</w:t>
      </w:r>
    </w:p>
    <w:p w14:paraId="0E454162" w14:textId="77777777" w:rsidR="0055666D" w:rsidRPr="0055666D" w:rsidRDefault="0055666D" w:rsidP="00DD1995">
      <w:pPr>
        <w:numPr>
          <w:ilvl w:val="0"/>
          <w:numId w:val="10"/>
        </w:numPr>
        <w:tabs>
          <w:tab w:val="left" w:pos="1134"/>
          <w:tab w:val="left" w:pos="2268"/>
        </w:tabs>
        <w:spacing w:before="100"/>
        <w:ind w:hanging="218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 Y.bDDN-req, </w:t>
      </w:r>
      <w:r w:rsidRPr="0055666D">
        <w:rPr>
          <w:rFonts w:cstheme="minorHAnsi"/>
          <w:bCs/>
          <w:i/>
          <w:lang w:val="en-US"/>
        </w:rPr>
        <w:t>Requirement of big data-driven networking</w:t>
      </w:r>
      <w:r w:rsidRPr="0055666D">
        <w:rPr>
          <w:rFonts w:cstheme="minorHAnsi"/>
          <w:bCs/>
          <w:lang w:val="en-US"/>
        </w:rPr>
        <w:t>, Q7/13</w:t>
      </w:r>
    </w:p>
    <w:p w14:paraId="11EA0134" w14:textId="77777777" w:rsidR="0055666D" w:rsidRPr="0055666D" w:rsidRDefault="0055666D" w:rsidP="00DD1995">
      <w:pPr>
        <w:numPr>
          <w:ilvl w:val="0"/>
          <w:numId w:val="10"/>
        </w:numPr>
        <w:tabs>
          <w:tab w:val="left" w:pos="1134"/>
          <w:tab w:val="left" w:pos="2268"/>
        </w:tabs>
        <w:spacing w:before="100"/>
        <w:ind w:hanging="218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 Y.IMT2020-ESDP, </w:t>
      </w:r>
      <w:r w:rsidRPr="0055666D">
        <w:rPr>
          <w:rFonts w:cstheme="minorHAnsi"/>
          <w:bCs/>
          <w:i/>
          <w:lang w:val="en-US"/>
        </w:rPr>
        <w:t>Enhanced SDN Data Plane for IMT-2020</w:t>
      </w:r>
      <w:r w:rsidRPr="0055666D">
        <w:rPr>
          <w:rFonts w:cstheme="minorHAnsi"/>
          <w:bCs/>
          <w:lang w:val="en-US"/>
        </w:rPr>
        <w:t>, Q20/13</w:t>
      </w:r>
    </w:p>
    <w:p w14:paraId="593CEEFF" w14:textId="77777777" w:rsidR="0055666D" w:rsidRPr="0055666D" w:rsidRDefault="0055666D" w:rsidP="00DD1995">
      <w:pPr>
        <w:pStyle w:val="Tabletext0"/>
        <w:numPr>
          <w:ilvl w:val="0"/>
          <w:numId w:val="10"/>
        </w:numPr>
        <w:tabs>
          <w:tab w:val="clear" w:pos="851"/>
          <w:tab w:val="clear" w:pos="927"/>
          <w:tab w:val="num" w:pos="993"/>
        </w:tabs>
        <w:ind w:left="993" w:hanging="284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Y.NetSoft-SSMO, </w:t>
      </w:r>
      <w:r w:rsidRPr="0055666D">
        <w:rPr>
          <w:rFonts w:cstheme="minorHAnsi"/>
          <w:bCs/>
          <w:i/>
          <w:lang w:val="en-US"/>
        </w:rPr>
        <w:t>Scalable service management and orchestration framework in IMT-2020</w:t>
      </w:r>
      <w:r w:rsidRPr="0055666D">
        <w:rPr>
          <w:rFonts w:cstheme="minorHAnsi"/>
          <w:bCs/>
          <w:lang w:val="en-US"/>
        </w:rPr>
        <w:t>, Q21/13</w:t>
      </w:r>
    </w:p>
    <w:p w14:paraId="11A994F1" w14:textId="77777777" w:rsidR="0055666D" w:rsidRPr="0055666D" w:rsidRDefault="0055666D" w:rsidP="00DD1995">
      <w:pPr>
        <w:pStyle w:val="Tabletext0"/>
        <w:numPr>
          <w:ilvl w:val="0"/>
          <w:numId w:val="10"/>
        </w:numPr>
        <w:tabs>
          <w:tab w:val="clear" w:pos="851"/>
          <w:tab w:val="clear" w:pos="927"/>
          <w:tab w:val="num" w:pos="993"/>
        </w:tabs>
        <w:ind w:left="993" w:hanging="284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Y.ICN-RF, </w:t>
      </w:r>
      <w:r w:rsidRPr="0055666D">
        <w:rPr>
          <w:rFonts w:cstheme="minorHAnsi"/>
          <w:bCs/>
          <w:i/>
          <w:lang w:val="en-US"/>
        </w:rPr>
        <w:t>Requirements and Capabilities of ICN Routing and Forwarding based on Control and User Plane Separation in IMT-2020</w:t>
      </w:r>
      <w:r w:rsidRPr="0055666D">
        <w:rPr>
          <w:rFonts w:cstheme="minorHAnsi"/>
          <w:bCs/>
          <w:lang w:val="en-US"/>
        </w:rPr>
        <w:t xml:space="preserve">, Q22/13 </w:t>
      </w:r>
    </w:p>
    <w:p w14:paraId="31C38F09" w14:textId="77777777" w:rsidR="0055666D" w:rsidRPr="0055666D" w:rsidRDefault="0055666D" w:rsidP="00DD1995">
      <w:pPr>
        <w:pStyle w:val="Tabletext0"/>
        <w:numPr>
          <w:ilvl w:val="0"/>
          <w:numId w:val="10"/>
        </w:numPr>
        <w:tabs>
          <w:tab w:val="clear" w:pos="851"/>
          <w:tab w:val="clear" w:pos="927"/>
          <w:tab w:val="num" w:pos="993"/>
        </w:tabs>
        <w:ind w:left="993" w:hanging="284"/>
        <w:rPr>
          <w:rFonts w:cstheme="minorHAnsi"/>
          <w:bCs/>
          <w:lang w:val="en-US"/>
        </w:rPr>
      </w:pPr>
      <w:r w:rsidRPr="0055666D">
        <w:rPr>
          <w:rFonts w:cstheme="minorHAnsi"/>
          <w:lang w:val="en-US"/>
        </w:rPr>
        <w:t>Y.FMC-SS</w:t>
      </w:r>
      <w:r w:rsidRPr="0055666D">
        <w:rPr>
          <w:rFonts w:cstheme="minorHAnsi"/>
          <w:bCs/>
          <w:lang w:val="en-US"/>
        </w:rPr>
        <w:t xml:space="preserve">, </w:t>
      </w:r>
      <w:r w:rsidRPr="0055666D">
        <w:rPr>
          <w:rFonts w:cstheme="minorHAnsi"/>
          <w:bCs/>
          <w:i/>
          <w:lang w:val="en-US"/>
        </w:rPr>
        <w:t>Service scheduling for supporting FMC in IMT-2020 network</w:t>
      </w:r>
      <w:r w:rsidRPr="0055666D">
        <w:rPr>
          <w:rFonts w:cstheme="minorHAnsi"/>
          <w:bCs/>
          <w:lang w:val="en-US"/>
        </w:rPr>
        <w:t xml:space="preserve">, Q23/13 </w:t>
      </w:r>
    </w:p>
    <w:p w14:paraId="36530990" w14:textId="77777777" w:rsidR="0055666D" w:rsidRPr="0055666D" w:rsidRDefault="0055666D" w:rsidP="00DD1995">
      <w:pPr>
        <w:pStyle w:val="Tabletext0"/>
        <w:numPr>
          <w:ilvl w:val="0"/>
          <w:numId w:val="10"/>
        </w:numPr>
        <w:tabs>
          <w:tab w:val="clear" w:pos="851"/>
          <w:tab w:val="clear" w:pos="927"/>
          <w:tab w:val="left" w:pos="993"/>
        </w:tabs>
        <w:ind w:left="993" w:hanging="284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Y.NE-MPT, </w:t>
      </w:r>
      <w:r w:rsidRPr="0055666D">
        <w:rPr>
          <w:rFonts w:cstheme="minorHAnsi"/>
          <w:bCs/>
          <w:i/>
          <w:lang w:val="en-US"/>
        </w:rPr>
        <w:t>Network Equipment based Multipath Transmission</w:t>
      </w:r>
      <w:r w:rsidRPr="0055666D">
        <w:rPr>
          <w:rFonts w:cstheme="minorHAnsi"/>
          <w:bCs/>
          <w:lang w:val="en-US"/>
        </w:rPr>
        <w:t xml:space="preserve">, Q23/13 </w:t>
      </w:r>
    </w:p>
    <w:p w14:paraId="2AA2A31E" w14:textId="77777777" w:rsidR="0055666D" w:rsidRPr="0055666D" w:rsidRDefault="0055666D" w:rsidP="00DD1995">
      <w:pPr>
        <w:numPr>
          <w:ilvl w:val="0"/>
          <w:numId w:val="10"/>
        </w:numPr>
        <w:tabs>
          <w:tab w:val="clear" w:pos="794"/>
          <w:tab w:val="clear" w:pos="927"/>
          <w:tab w:val="left" w:pos="993"/>
        </w:tabs>
        <w:overflowPunct/>
        <w:autoSpaceDE/>
        <w:autoSpaceDN/>
        <w:adjustRightInd/>
        <w:spacing w:before="100"/>
        <w:ind w:hanging="218"/>
        <w:textAlignment w:val="auto"/>
        <w:rPr>
          <w:rFonts w:cstheme="minorHAnsi"/>
          <w:bCs/>
          <w:lang w:val="en-US"/>
        </w:rPr>
      </w:pPr>
      <w:r w:rsidRPr="0055666D">
        <w:rPr>
          <w:rFonts w:cstheme="minorHAnsi"/>
          <w:bCs/>
          <w:lang w:val="en-US"/>
        </w:rPr>
        <w:t xml:space="preserve"> </w:t>
      </w:r>
      <w:r w:rsidRPr="0055666D">
        <w:rPr>
          <w:rFonts w:cstheme="minorHAnsi"/>
          <w:lang w:val="en-US"/>
        </w:rPr>
        <w:t>Y.FMC-SM</w:t>
      </w:r>
      <w:r w:rsidRPr="0055666D">
        <w:rPr>
          <w:rFonts w:cstheme="minorHAnsi"/>
          <w:bCs/>
          <w:lang w:val="en-US"/>
        </w:rPr>
        <w:t xml:space="preserve">, </w:t>
      </w:r>
      <w:r w:rsidRPr="0055666D">
        <w:rPr>
          <w:rFonts w:cstheme="minorHAnsi"/>
          <w:bCs/>
          <w:i/>
          <w:lang w:val="en-US"/>
        </w:rPr>
        <w:t>Session management for fixed mobile convergence in IMT-2020 networks</w:t>
      </w:r>
      <w:r w:rsidRPr="0055666D">
        <w:rPr>
          <w:rFonts w:cstheme="minorHAnsi"/>
          <w:bCs/>
          <w:lang w:val="en-US"/>
        </w:rPr>
        <w:t xml:space="preserve">, Q23/13 </w:t>
      </w:r>
    </w:p>
    <w:p w14:paraId="3C588C84" w14:textId="77777777" w:rsidR="0055666D" w:rsidRPr="0055666D" w:rsidRDefault="0055666D" w:rsidP="00DD1995">
      <w:pPr>
        <w:overflowPunct/>
        <w:autoSpaceDE/>
        <w:autoSpaceDN/>
        <w:adjustRightInd/>
        <w:textAlignment w:val="auto"/>
        <w:rPr>
          <w:rFonts w:cstheme="minorHAnsi"/>
          <w:lang w:val="en-US"/>
        </w:rPr>
      </w:pPr>
      <w:r w:rsidRPr="0055666D">
        <w:rPr>
          <w:rFonts w:cstheme="minorHAnsi"/>
          <w:bCs/>
          <w:lang w:val="en-US"/>
        </w:rPr>
        <w:t xml:space="preserve">and any related liaison statements or contributions received. </w:t>
      </w:r>
      <w:r w:rsidRPr="0055666D">
        <w:rPr>
          <w:rFonts w:cstheme="minorHAnsi"/>
          <w:lang w:val="en-US"/>
        </w:rPr>
        <w:t xml:space="preserve">Proceed with the consent of above-mentioned Recommendations </w:t>
      </w:r>
      <w:r w:rsidRPr="0055666D">
        <w:rPr>
          <w:rFonts w:cstheme="minorHAnsi"/>
          <w:bCs/>
          <w:lang w:val="en-US"/>
        </w:rPr>
        <w:t>(per Recommendation A.8) as well as any other draft Recommendations that would be deemed mature</w:t>
      </w:r>
      <w:r w:rsidRPr="0055666D">
        <w:rPr>
          <w:rFonts w:cstheme="minorHAnsi"/>
          <w:lang w:val="en-US"/>
        </w:rPr>
        <w:t xml:space="preserve"> as a result of progress made at the preceding co-located rapporteur groups activities (2 - 13 March 2020).</w:t>
      </w:r>
    </w:p>
    <w:p w14:paraId="2C137CE5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55666D">
        <w:rPr>
          <w:rFonts w:cstheme="minorHAnsi"/>
          <w:bCs/>
          <w:lang w:val="en-US"/>
        </w:rPr>
        <w:t>Review the status of Supplement and technical report</w:t>
      </w:r>
      <w:r w:rsidRPr="0055666D">
        <w:rPr>
          <w:rFonts w:cstheme="minorHAnsi"/>
          <w:szCs w:val="22"/>
          <w:lang w:val="en-US"/>
        </w:rPr>
        <w:t xml:space="preserve"> </w:t>
      </w:r>
    </w:p>
    <w:p w14:paraId="02AB27F9" w14:textId="77777777" w:rsidR="0055666D" w:rsidRPr="0055666D" w:rsidRDefault="0055666D" w:rsidP="00DD1995">
      <w:pPr>
        <w:pStyle w:val="PlainText"/>
        <w:numPr>
          <w:ilvl w:val="0"/>
          <w:numId w:val="11"/>
        </w:numPr>
        <w:tabs>
          <w:tab w:val="clear" w:pos="1363"/>
          <w:tab w:val="num" w:pos="993"/>
        </w:tabs>
        <w:ind w:hanging="654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5666D">
        <w:rPr>
          <w:rFonts w:asciiTheme="minorHAnsi" w:eastAsia="Times New Roman" w:hAnsiTheme="minorHAnsi" w:cstheme="minorHAnsi"/>
          <w:bCs/>
          <w:sz w:val="22"/>
          <w:szCs w:val="22"/>
        </w:rPr>
        <w:t xml:space="preserve">SupY.IMT2020std-rm </w:t>
      </w:r>
      <w:r w:rsidRPr="0055666D">
        <w:rPr>
          <w:rFonts w:asciiTheme="minorHAnsi" w:eastAsia="Times New Roman" w:hAnsiTheme="minorHAnsi" w:cstheme="minorHAnsi"/>
          <w:bCs/>
          <w:i/>
          <w:sz w:val="22"/>
          <w:szCs w:val="22"/>
        </w:rPr>
        <w:t>"IMT-2020 standardization roadmap"</w:t>
      </w:r>
      <w:r w:rsidRPr="0055666D">
        <w:rPr>
          <w:rFonts w:asciiTheme="minorHAnsi" w:eastAsia="Times New Roman" w:hAnsiTheme="minorHAnsi" w:cstheme="minorHAnsi"/>
          <w:bCs/>
          <w:sz w:val="22"/>
          <w:szCs w:val="22"/>
        </w:rPr>
        <w:t>, Q21/13</w:t>
      </w:r>
    </w:p>
    <w:p w14:paraId="7B293992" w14:textId="19B59DA4" w:rsidR="0055666D" w:rsidRPr="008E30F3" w:rsidRDefault="0055666D" w:rsidP="00DD1995">
      <w:pPr>
        <w:pStyle w:val="PlainText"/>
        <w:numPr>
          <w:ilvl w:val="0"/>
          <w:numId w:val="11"/>
        </w:numPr>
        <w:tabs>
          <w:tab w:val="clear" w:pos="1363"/>
          <w:tab w:val="num" w:pos="993"/>
        </w:tabs>
        <w:ind w:hanging="654"/>
        <w:rPr>
          <w:rFonts w:asciiTheme="minorHAnsi" w:eastAsia="Times New Roman" w:hAnsiTheme="minorHAnsi" w:cstheme="minorHAnsi"/>
          <w:bCs/>
          <w:sz w:val="22"/>
          <w:szCs w:val="22"/>
          <w:lang w:val="es-ES_tradnl"/>
        </w:rPr>
      </w:pPr>
      <w:r w:rsidRPr="008E30F3">
        <w:rPr>
          <w:rFonts w:asciiTheme="minorHAnsi" w:eastAsia="Times New Roman" w:hAnsiTheme="minorHAnsi" w:cstheme="minorHAnsi"/>
          <w:bCs/>
          <w:sz w:val="22"/>
          <w:szCs w:val="22"/>
          <w:lang w:val="es-ES_tradnl"/>
        </w:rPr>
        <w:t xml:space="preserve">Technical report </w:t>
      </w:r>
      <w:r w:rsidR="00DD1995">
        <w:rPr>
          <w:rFonts w:asciiTheme="minorHAnsi" w:eastAsia="Times New Roman" w:hAnsiTheme="minorHAnsi" w:cstheme="minorHAnsi"/>
          <w:bCs/>
          <w:sz w:val="22"/>
          <w:szCs w:val="22"/>
          <w:lang w:val="es-ES_tradnl"/>
        </w:rPr>
        <w:t>"</w:t>
      </w:r>
      <w:r w:rsidRPr="008E30F3">
        <w:rPr>
          <w:rFonts w:asciiTheme="minorHAnsi" w:eastAsia="Times New Roman" w:hAnsiTheme="minorHAnsi" w:cstheme="minorHAnsi"/>
          <w:bCs/>
          <w:sz w:val="22"/>
          <w:szCs w:val="22"/>
          <w:lang w:val="es-ES_tradnl"/>
        </w:rPr>
        <w:t>Network 2030</w:t>
      </w:r>
      <w:r w:rsidR="00DD1995">
        <w:rPr>
          <w:rFonts w:asciiTheme="minorHAnsi" w:eastAsia="Times New Roman" w:hAnsiTheme="minorHAnsi" w:cstheme="minorHAnsi"/>
          <w:bCs/>
          <w:sz w:val="22"/>
          <w:szCs w:val="22"/>
          <w:lang w:val="es-ES_tradnl"/>
        </w:rPr>
        <w:t>"</w:t>
      </w:r>
      <w:r w:rsidRPr="008E30F3">
        <w:rPr>
          <w:rFonts w:asciiTheme="minorHAnsi" w:eastAsia="Times New Roman" w:hAnsiTheme="minorHAnsi" w:cstheme="minorHAnsi"/>
          <w:bCs/>
          <w:sz w:val="22"/>
          <w:szCs w:val="22"/>
          <w:lang w:val="es-ES_tradnl"/>
        </w:rPr>
        <w:t>, Q2/13</w:t>
      </w:r>
    </w:p>
    <w:p w14:paraId="77928622" w14:textId="77777777" w:rsidR="0055666D" w:rsidRPr="008E30F3" w:rsidRDefault="0055666D" w:rsidP="00DD1995">
      <w:pPr>
        <w:overflowPunct/>
        <w:autoSpaceDE/>
        <w:autoSpaceDN/>
        <w:adjustRightInd/>
        <w:textAlignment w:val="auto"/>
        <w:rPr>
          <w:rFonts w:cstheme="minorHAnsi"/>
        </w:rPr>
      </w:pPr>
      <w:r w:rsidRPr="008E30F3">
        <w:rPr>
          <w:rFonts w:cstheme="minorHAnsi"/>
        </w:rPr>
        <w:t>and</w:t>
      </w:r>
      <w:r w:rsidRPr="008E30F3">
        <w:rPr>
          <w:rFonts w:cstheme="minorHAnsi"/>
          <w:szCs w:val="22"/>
        </w:rPr>
        <w:t xml:space="preserve"> proceed</w:t>
      </w:r>
      <w:r w:rsidRPr="008E30F3">
        <w:rPr>
          <w:rFonts w:cstheme="minorHAnsi"/>
        </w:rPr>
        <w:t xml:space="preserve"> with their approval</w:t>
      </w:r>
    </w:p>
    <w:p w14:paraId="4B30AD14" w14:textId="6EBDBCD1" w:rsidR="0055666D" w:rsidRPr="008E30F3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szCs w:val="22"/>
        </w:rPr>
      </w:pPr>
      <w:r w:rsidRPr="008E30F3">
        <w:rPr>
          <w:rFonts w:cstheme="minorHAnsi"/>
          <w:bCs/>
          <w:szCs w:val="22"/>
        </w:rPr>
        <w:lastRenderedPageBreak/>
        <w:t>Review the status of Supplement</w:t>
      </w:r>
    </w:p>
    <w:p w14:paraId="256CB34E" w14:textId="68B60E78" w:rsidR="0055666D" w:rsidRPr="0055666D" w:rsidRDefault="0055666D" w:rsidP="00DD1995">
      <w:pPr>
        <w:pStyle w:val="PlainText"/>
        <w:numPr>
          <w:ilvl w:val="0"/>
          <w:numId w:val="11"/>
        </w:numPr>
        <w:tabs>
          <w:tab w:val="clear" w:pos="1363"/>
          <w:tab w:val="num" w:pos="993"/>
        </w:tabs>
        <w:ind w:left="993" w:hanging="284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5666D">
        <w:rPr>
          <w:rFonts w:asciiTheme="minorHAnsi" w:eastAsia="Times New Roman" w:hAnsiTheme="minorHAnsi" w:cstheme="minorHAnsi"/>
          <w:bCs/>
          <w:sz w:val="22"/>
          <w:szCs w:val="22"/>
        </w:rPr>
        <w:t xml:space="preserve">Y.Supplement network 2030 service </w:t>
      </w:r>
      <w:r w:rsidR="00DD1995">
        <w:rPr>
          <w:rFonts w:asciiTheme="minorHAnsi" w:eastAsia="Times New Roman" w:hAnsiTheme="minorHAnsi" w:cstheme="minorHAnsi"/>
          <w:bCs/>
          <w:sz w:val="22"/>
          <w:szCs w:val="22"/>
        </w:rPr>
        <w:t>"</w:t>
      </w:r>
      <w:r w:rsidRPr="0055666D">
        <w:rPr>
          <w:rFonts w:asciiTheme="minorHAnsi" w:eastAsia="Times New Roman" w:hAnsiTheme="minorHAnsi" w:cstheme="minorHAnsi"/>
          <w:bCs/>
          <w:i/>
          <w:sz w:val="22"/>
          <w:szCs w:val="22"/>
        </w:rPr>
        <w:t>Network 2030 Services: Capabilities, performance and design of new communications services for the Network 2030 applications</w:t>
      </w:r>
      <w:r w:rsidR="00DD1995">
        <w:rPr>
          <w:rFonts w:asciiTheme="minorHAnsi" w:eastAsia="Times New Roman" w:hAnsiTheme="minorHAnsi" w:cstheme="minorHAnsi"/>
          <w:bCs/>
          <w:sz w:val="22"/>
          <w:szCs w:val="22"/>
        </w:rPr>
        <w:t>"</w:t>
      </w:r>
      <w:r w:rsidRPr="0055666D">
        <w:rPr>
          <w:rFonts w:asciiTheme="minorHAnsi" w:eastAsia="Times New Roman" w:hAnsiTheme="minorHAnsi" w:cstheme="minorHAnsi"/>
          <w:bCs/>
          <w:sz w:val="22"/>
          <w:szCs w:val="22"/>
        </w:rPr>
        <w:t>, Q2/13</w:t>
      </w:r>
    </w:p>
    <w:p w14:paraId="56278569" w14:textId="77777777" w:rsidR="0055666D" w:rsidRPr="0055666D" w:rsidRDefault="0055666D" w:rsidP="00DD1995">
      <w:pPr>
        <w:pStyle w:val="PlainTex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55666D">
        <w:rPr>
          <w:rFonts w:asciiTheme="minorHAnsi" w:hAnsiTheme="minorHAnsi" w:cstheme="minorHAnsi"/>
          <w:sz w:val="22"/>
          <w:szCs w:val="22"/>
        </w:rPr>
        <w:t>and take corresponding follow up steps</w:t>
      </w:r>
    </w:p>
    <w:p w14:paraId="4535F153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szCs w:val="22"/>
          <w:lang w:val="en-US"/>
        </w:rPr>
      </w:pPr>
      <w:r w:rsidRPr="0055666D">
        <w:rPr>
          <w:rFonts w:cstheme="minorHAnsi"/>
          <w:szCs w:val="22"/>
          <w:lang w:val="en-US"/>
        </w:rPr>
        <w:t>Preparations to the next study period</w:t>
      </w:r>
    </w:p>
    <w:p w14:paraId="4177D15F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szCs w:val="22"/>
          <w:lang w:val="en-US"/>
        </w:rPr>
      </w:pPr>
      <w:r w:rsidRPr="0055666D">
        <w:rPr>
          <w:rFonts w:cstheme="minorHAnsi"/>
          <w:szCs w:val="22"/>
          <w:lang w:val="en-US"/>
        </w:rPr>
        <w:t>Updating of the Study Group 13 work programme and agreement on new work items</w:t>
      </w:r>
    </w:p>
    <w:p w14:paraId="2CA809A5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55666D">
        <w:rPr>
          <w:rFonts w:cstheme="minorHAnsi"/>
          <w:szCs w:val="22"/>
          <w:lang w:val="en-US"/>
        </w:rPr>
        <w:t>Liaison and interaction with other groups</w:t>
      </w:r>
      <w:r w:rsidRPr="0055666D">
        <w:rPr>
          <w:rFonts w:cstheme="minorHAnsi"/>
          <w:lang w:val="en-US"/>
        </w:rPr>
        <w:t xml:space="preserve"> </w:t>
      </w:r>
    </w:p>
    <w:p w14:paraId="4586DA81" w14:textId="77777777" w:rsidR="0055666D" w:rsidRPr="0055666D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  <w:lang w:val="en-US"/>
        </w:rPr>
      </w:pPr>
      <w:r w:rsidRPr="0055666D">
        <w:rPr>
          <w:rFonts w:cstheme="minorHAnsi"/>
          <w:lang w:val="en-US"/>
        </w:rPr>
        <w:t>Agreement on future activities (including workshops)</w:t>
      </w:r>
    </w:p>
    <w:p w14:paraId="61795F5A" w14:textId="77777777" w:rsidR="0055666D" w:rsidRPr="008E30F3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</w:rPr>
      </w:pPr>
      <w:r w:rsidRPr="008E30F3">
        <w:rPr>
          <w:rFonts w:cstheme="minorHAnsi"/>
        </w:rPr>
        <w:t>Miscellaneous</w:t>
      </w:r>
    </w:p>
    <w:p w14:paraId="084BED65" w14:textId="77B773B2" w:rsidR="0055666D" w:rsidRPr="008E30F3" w:rsidRDefault="0055666D" w:rsidP="00DD1995">
      <w:pPr>
        <w:numPr>
          <w:ilvl w:val="0"/>
          <w:numId w:val="9"/>
        </w:numPr>
        <w:tabs>
          <w:tab w:val="clear" w:pos="1363"/>
          <w:tab w:val="num" w:pos="1155"/>
        </w:tabs>
        <w:overflowPunct/>
        <w:autoSpaceDE/>
        <w:autoSpaceDN/>
        <w:adjustRightInd/>
        <w:ind w:left="794" w:hanging="794"/>
        <w:textAlignment w:val="auto"/>
        <w:rPr>
          <w:rFonts w:cstheme="minorHAnsi"/>
        </w:rPr>
      </w:pPr>
      <w:r w:rsidRPr="008E30F3">
        <w:rPr>
          <w:rFonts w:cstheme="minorHAnsi"/>
        </w:rPr>
        <w:t>Adjournment</w:t>
      </w:r>
    </w:p>
    <w:p w14:paraId="46BA2E43" w14:textId="77777777" w:rsidR="00D7136E" w:rsidRDefault="00D7136E" w:rsidP="0032202E">
      <w:pPr>
        <w:pStyle w:val="Reasons"/>
      </w:pPr>
    </w:p>
    <w:p w14:paraId="6F8D942F" w14:textId="77777777" w:rsidR="00D7136E" w:rsidRDefault="00D7136E">
      <w:pPr>
        <w:jc w:val="center"/>
      </w:pPr>
      <w:r>
        <w:t>______________</w:t>
      </w:r>
    </w:p>
    <w:sectPr w:rsidR="00D7136E" w:rsidSect="002545AA">
      <w:headerReference w:type="even" r:id="rId34"/>
      <w:headerReference w:type="default" r:id="rId35"/>
      <w:footerReference w:type="first" r:id="rId36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914A" w14:textId="77777777" w:rsidR="00141CB4" w:rsidRDefault="00141CB4">
      <w:r>
        <w:separator/>
      </w:r>
    </w:p>
  </w:endnote>
  <w:endnote w:type="continuationSeparator" w:id="0">
    <w:p w14:paraId="4158B0E8" w14:textId="77777777" w:rsidR="00141CB4" w:rsidRDefault="0014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647E2" w14:textId="77777777" w:rsidR="005E67CA" w:rsidRPr="0055719E" w:rsidRDefault="005E67CA" w:rsidP="005E67C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DDEE3" w14:textId="77777777" w:rsidR="00141CB4" w:rsidRDefault="00141CB4">
      <w:r>
        <w:t>____________________</w:t>
      </w:r>
    </w:p>
  </w:footnote>
  <w:footnote w:type="continuationSeparator" w:id="0">
    <w:p w14:paraId="49692A50" w14:textId="77777777" w:rsidR="00141CB4" w:rsidRDefault="00141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229E0CE1" w14:textId="5015D793" w:rsidR="00141CB4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8415BE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55666D">
          <w:rPr>
            <w:bCs/>
            <w:sz w:val="18"/>
            <w:szCs w:val="18"/>
          </w:rPr>
          <w:t>10</w:t>
        </w:r>
        <w:r w:rsidRPr="001A50AB">
          <w:rPr>
            <w:bCs/>
            <w:sz w:val="18"/>
            <w:szCs w:val="18"/>
          </w:rPr>
          <w:t>/</w:t>
        </w:r>
        <w:r w:rsidR="0055666D">
          <w:rPr>
            <w:bCs/>
            <w:sz w:val="18"/>
            <w:szCs w:val="18"/>
          </w:rPr>
          <w:t>13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32C6EF20" w14:textId="0D704F0E" w:rsidR="00BC1FB8" w:rsidRPr="00BC1FB8" w:rsidRDefault="00BC1FB8" w:rsidP="00BC1FB8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8415BE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DA274F">
          <w:rPr>
            <w:bCs/>
            <w:sz w:val="18"/>
            <w:szCs w:val="18"/>
          </w:rPr>
          <w:t>10</w:t>
        </w:r>
        <w:r w:rsidRPr="001A50AB">
          <w:rPr>
            <w:bCs/>
            <w:sz w:val="18"/>
            <w:szCs w:val="18"/>
          </w:rPr>
          <w:t>/</w:t>
        </w:r>
        <w:r w:rsidR="00DA274F">
          <w:rPr>
            <w:bCs/>
            <w:sz w:val="18"/>
            <w:szCs w:val="18"/>
          </w:rPr>
          <w:t>13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130B"/>
    <w:multiLevelType w:val="hybridMultilevel"/>
    <w:tmpl w:val="547ED76E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04ABF"/>
    <w:multiLevelType w:val="hybridMultilevel"/>
    <w:tmpl w:val="A87AD638"/>
    <w:lvl w:ilvl="0" w:tplc="08090003">
      <w:start w:val="1"/>
      <w:numFmt w:val="bullet"/>
      <w:lvlText w:val="o"/>
      <w:lvlJc w:val="left"/>
      <w:pPr>
        <w:tabs>
          <w:tab w:val="num" w:pos="1363"/>
        </w:tabs>
        <w:ind w:left="1363" w:hanging="795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1131CC7"/>
    <w:multiLevelType w:val="hybridMultilevel"/>
    <w:tmpl w:val="49026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363"/>
        </w:tabs>
        <w:ind w:left="1363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81D06"/>
    <w:rsid w:val="000C375D"/>
    <w:rsid w:val="000C382F"/>
    <w:rsid w:val="000F67AE"/>
    <w:rsid w:val="00114963"/>
    <w:rsid w:val="001173CC"/>
    <w:rsid w:val="00126D02"/>
    <w:rsid w:val="001344C2"/>
    <w:rsid w:val="00136FC2"/>
    <w:rsid w:val="00141CB4"/>
    <w:rsid w:val="001671B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5367"/>
    <w:rsid w:val="0033768F"/>
    <w:rsid w:val="00364480"/>
    <w:rsid w:val="00370C2D"/>
    <w:rsid w:val="003B60AA"/>
    <w:rsid w:val="003C00D3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E26E4"/>
    <w:rsid w:val="004E2A80"/>
    <w:rsid w:val="004F0A81"/>
    <w:rsid w:val="004F5584"/>
    <w:rsid w:val="00505119"/>
    <w:rsid w:val="005267F7"/>
    <w:rsid w:val="00535F99"/>
    <w:rsid w:val="00545669"/>
    <w:rsid w:val="00555E45"/>
    <w:rsid w:val="0055666D"/>
    <w:rsid w:val="00560EDA"/>
    <w:rsid w:val="00567B54"/>
    <w:rsid w:val="0057186B"/>
    <w:rsid w:val="005827E3"/>
    <w:rsid w:val="00586B1D"/>
    <w:rsid w:val="005B4854"/>
    <w:rsid w:val="005B6711"/>
    <w:rsid w:val="005E67CA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E437F"/>
    <w:rsid w:val="006F6581"/>
    <w:rsid w:val="007054B2"/>
    <w:rsid w:val="007128A1"/>
    <w:rsid w:val="00715D93"/>
    <w:rsid w:val="00720BA2"/>
    <w:rsid w:val="00781E2A"/>
    <w:rsid w:val="007A6373"/>
    <w:rsid w:val="007B2300"/>
    <w:rsid w:val="007B34FB"/>
    <w:rsid w:val="008134A7"/>
    <w:rsid w:val="00823E22"/>
    <w:rsid w:val="008258C2"/>
    <w:rsid w:val="00833CCA"/>
    <w:rsid w:val="008415BE"/>
    <w:rsid w:val="00846D89"/>
    <w:rsid w:val="008505BD"/>
    <w:rsid w:val="00850C78"/>
    <w:rsid w:val="00855B98"/>
    <w:rsid w:val="00856DF1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A7C2B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95F0A"/>
    <w:rsid w:val="00B96180"/>
    <w:rsid w:val="00BC172A"/>
    <w:rsid w:val="00BC1FB8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A61F8"/>
    <w:rsid w:val="00CB3300"/>
    <w:rsid w:val="00CC1DE4"/>
    <w:rsid w:val="00CD4AE3"/>
    <w:rsid w:val="00D027A3"/>
    <w:rsid w:val="00D119EC"/>
    <w:rsid w:val="00D7136E"/>
    <w:rsid w:val="00DA16FC"/>
    <w:rsid w:val="00DA274F"/>
    <w:rsid w:val="00DA7E46"/>
    <w:rsid w:val="00DD1995"/>
    <w:rsid w:val="00DD6519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3B07"/>
    <w:rsid w:val="00EB4E19"/>
    <w:rsid w:val="00EF4FA4"/>
    <w:rsid w:val="00F1341B"/>
    <w:rsid w:val="00F40F4E"/>
    <w:rsid w:val="00F453C5"/>
    <w:rsid w:val="00F55157"/>
    <w:rsid w:val="00F6461F"/>
    <w:rsid w:val="00F76E33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380E337B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qFormat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5666D"/>
    <w:rPr>
      <w:rFonts w:asciiTheme="minorHAnsi" w:hAnsiTheme="minorHAnsi"/>
      <w:sz w:val="22"/>
      <w:lang w:val="es-ES_tradnl" w:eastAsia="en-US"/>
    </w:rPr>
  </w:style>
  <w:style w:type="table" w:customStyle="1" w:styleId="TableGrid1">
    <w:name w:val="Table Grid1"/>
    <w:basedOn w:val="TableNormal"/>
    <w:next w:val="TableGrid"/>
    <w:rsid w:val="0055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566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55666D"/>
    <w:rPr>
      <w:rFonts w:ascii="Times New Roman" w:eastAsiaTheme="minorEastAsia" w:hAnsi="Times New Roman"/>
      <w:sz w:val="21"/>
      <w:szCs w:val="21"/>
    </w:rPr>
  </w:style>
  <w:style w:type="character" w:customStyle="1" w:styleId="TabletextChar">
    <w:name w:val="Table_text Char"/>
    <w:link w:val="Tabletext0"/>
    <w:locked/>
    <w:rsid w:val="0055666D"/>
    <w:rPr>
      <w:rFonts w:asciiTheme="minorHAnsi" w:hAnsiTheme="minorHAns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jca/imt2020/Pages/default.aspx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www.itu.int/en/about/Documents/itu-plan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handle.itu.int/11.1002/apps/meeting-rooms" TargetMode="External"/><Relationship Id="rId17" Type="http://schemas.openxmlformats.org/officeDocument/2006/relationships/hyperlink" Target="https://www.itu.int/net4/CRM/xreg/web/registration.aspx?Event=C-00007076" TargetMode="External"/><Relationship Id="rId25" Type="http://schemas.openxmlformats.org/officeDocument/2006/relationships/hyperlink" Target="https://www.itu.int/en/about/Documents/itu-plan.pdf" TargetMode="External"/><Relationship Id="rId33" Type="http://schemas.openxmlformats.org/officeDocument/2006/relationships/hyperlink" Target="http://www.itu.int/travel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studygroups/2017-2020/17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T17-TSB-CIR-0118/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about/Documents/itu-plan.pdf" TargetMode="External"/><Relationship Id="rId24" Type="http://schemas.openxmlformats.org/officeDocument/2006/relationships/hyperlink" Target="http://www.itu.int/ITU-T/edh/faqs-support.html" TargetMode="External"/><Relationship Id="rId32" Type="http://schemas.openxmlformats.org/officeDocument/2006/relationships/hyperlink" Target="http://itu.int/en/delegates-corner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net4/CRM/xreg/web/registration.aspx?Event=C-00007076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mailto:servicedesk@itu.int" TargetMode="External"/><Relationship Id="rId36" Type="http://schemas.openxmlformats.org/officeDocument/2006/relationships/footer" Target="footer1.xml"/><Relationship Id="rId10" Type="http://schemas.openxmlformats.org/officeDocument/2006/relationships/hyperlink" Target="http://itu.int/go/tsg13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://itu.int/ITU-T/go/e-print" TargetMode="External"/><Relationship Id="rId30" Type="http://schemas.openxmlformats.org/officeDocument/2006/relationships/hyperlink" Target="https://www.itu.int/md/T17-TSB-CIR-0118/es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8559-87C0-453F-BBAB-753D1BC5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66</TotalTime>
  <Pages>7</Pages>
  <Words>1797</Words>
  <Characters>11275</Characters>
  <Application>Microsoft Office Word</Application>
  <DocSecurity>0</DocSecurity>
  <Lines>256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12919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Braud, Olivia</cp:lastModifiedBy>
  <cp:revision>15</cp:revision>
  <cp:lastPrinted>2019-11-13T08:03:00Z</cp:lastPrinted>
  <dcterms:created xsi:type="dcterms:W3CDTF">2019-11-12T09:11:00Z</dcterms:created>
  <dcterms:modified xsi:type="dcterms:W3CDTF">2019-11-26T16:56:00Z</dcterms:modified>
</cp:coreProperties>
</file>