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B97F6F" w14:paraId="3A243B0F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687DCAF8" w14:textId="77777777" w:rsidR="003E5F3C" w:rsidRPr="00B97F6F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7F6F">
              <w:rPr>
                <w:noProof/>
                <w:lang w:val="en-US"/>
              </w:rPr>
              <w:drawing>
                <wp:inline distT="0" distB="0" distL="0" distR="0" wp14:anchorId="7B85688A" wp14:editId="4808822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CE07B4A" w14:textId="77777777" w:rsidR="003E5F3C" w:rsidRPr="00B97F6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97F6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AE68EA4" w14:textId="77777777" w:rsidR="003E5F3C" w:rsidRPr="00B97F6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7F6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97F6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9FAEB5D" w14:textId="77777777" w:rsidR="003E5F3C" w:rsidRPr="00B97F6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97F6F" w14:paraId="66C0CE18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AFA73FC" w14:textId="77777777" w:rsidR="00F71ACC" w:rsidRPr="00B97F6F" w:rsidRDefault="00F71ACC" w:rsidP="002F6304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1540539B" w14:textId="77777777" w:rsidR="00F71ACC" w:rsidRPr="00B97F6F" w:rsidRDefault="00F71ACC" w:rsidP="002F6304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FD4189B" w14:textId="2AA16117" w:rsidR="00F71ACC" w:rsidRPr="00B97F6F" w:rsidRDefault="00F71ACC" w:rsidP="002F63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</w:rPr>
              <w:t>Genève, le</w:t>
            </w:r>
            <w:r w:rsidR="002F6304" w:rsidRPr="00B97F6F">
              <w:rPr>
                <w:rFonts w:asciiTheme="minorHAnsi" w:hAnsiTheme="minorHAnsi"/>
              </w:rPr>
              <w:t xml:space="preserve"> 1er juin 2021</w:t>
            </w:r>
          </w:p>
        </w:tc>
      </w:tr>
      <w:tr w:rsidR="00F71ACC" w:rsidRPr="00B97F6F" w14:paraId="46308F11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0DAF5C1E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1B6DA5DF" w14:textId="0B19FC29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  <w:b/>
              </w:rPr>
              <w:t xml:space="preserve">Lettre collective TSB </w:t>
            </w:r>
            <w:r w:rsidR="002F6304" w:rsidRPr="00B97F6F">
              <w:rPr>
                <w:rFonts w:asciiTheme="minorHAnsi" w:hAnsiTheme="minorHAnsi"/>
                <w:b/>
              </w:rPr>
              <w:t>5/SG12RG-AFR</w:t>
            </w:r>
          </w:p>
          <w:p w14:paraId="58810D9D" w14:textId="38FB7941" w:rsidR="00F71ACC" w:rsidRPr="00B97F6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  <w:b/>
              </w:rPr>
              <w:t xml:space="preserve">CE </w:t>
            </w:r>
            <w:r w:rsidR="002F6304" w:rsidRPr="00B97F6F">
              <w:rPr>
                <w:rFonts w:asciiTheme="minorHAnsi" w:hAnsiTheme="minorHAnsi"/>
                <w:b/>
              </w:rPr>
              <w:t>12/MA</w:t>
            </w:r>
          </w:p>
        </w:tc>
        <w:tc>
          <w:tcPr>
            <w:tcW w:w="4896" w:type="dxa"/>
            <w:gridSpan w:val="2"/>
            <w:vMerge w:val="restart"/>
          </w:tcPr>
          <w:p w14:paraId="323C7C3D" w14:textId="39A086F7" w:rsidR="002F6304" w:rsidRPr="00B97F6F" w:rsidRDefault="00F71ACC" w:rsidP="002F63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</w:r>
            <w:r w:rsidR="002F6304" w:rsidRPr="00B97F6F">
              <w:rPr>
                <w:rFonts w:asciiTheme="minorHAnsi" w:hAnsiTheme="minorHAnsi"/>
              </w:rPr>
              <w:t xml:space="preserve">Aux </w:t>
            </w:r>
            <w:r w:rsidR="005B2419">
              <w:rPr>
                <w:rFonts w:asciiTheme="minorHAnsi" w:hAnsiTheme="minorHAnsi"/>
              </w:rPr>
              <w:t>A</w:t>
            </w:r>
            <w:r w:rsidR="002F6304" w:rsidRPr="00B97F6F">
              <w:rPr>
                <w:rFonts w:asciiTheme="minorHAnsi" w:hAnsiTheme="minorHAnsi"/>
              </w:rPr>
              <w:t>dministrations qui participent aux travaux du Groupe SG12RG-</w:t>
            </w:r>
            <w:proofErr w:type="gramStart"/>
            <w:r w:rsidR="002F6304"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5576F4B8" w14:textId="63DC4586" w:rsidR="002F6304" w:rsidRPr="00B97F6F" w:rsidRDefault="002F6304" w:rsidP="002F63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Aux Membres du Secteur UIT-T qui participent aux travaux du Groupe SG12RG-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4F971866" w14:textId="5B850088" w:rsidR="002F6304" w:rsidRPr="00B97F6F" w:rsidRDefault="002F6304" w:rsidP="002F63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Aux Associés de l'UIT-T participant aux travaux de la Commission d'études 12 qui participent aux travaux du Groupe SG12RG-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728FEDEC" w14:textId="710A150C" w:rsidR="002F6304" w:rsidRPr="00B97F6F" w:rsidRDefault="002F6304" w:rsidP="002F63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Aux établissements universitaires participant aux travaux de l'UIT qui participent aux travaux du Groupe SG12RG-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0F583687" w14:textId="7E922681" w:rsidR="00F71ACC" w:rsidRPr="00B97F6F" w:rsidRDefault="002F6304" w:rsidP="002F6304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 Bureau régional de l'UIT d'Addis-Abeba (Éthiopie)</w:t>
            </w:r>
          </w:p>
        </w:tc>
      </w:tr>
      <w:tr w:rsidR="00F71ACC" w:rsidRPr="00B97F6F" w14:paraId="22FD24D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4FED5797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5F462295" w14:textId="18F96BD5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97F6F">
              <w:rPr>
                <w:rFonts w:asciiTheme="minorHAnsi" w:hAnsiTheme="minorHAnsi"/>
                <w:szCs w:val="22"/>
              </w:rPr>
              <w:t xml:space="preserve">+41 22 730 </w:t>
            </w:r>
            <w:r w:rsidR="002F6304" w:rsidRPr="00B97F6F">
              <w:rPr>
                <w:rFonts w:asciiTheme="minorHAnsi" w:hAnsiTheme="minorHAnsi"/>
                <w:szCs w:val="22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14:paraId="20A98918" w14:textId="77777777" w:rsidR="00F71ACC" w:rsidRPr="00B97F6F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7F6F" w14:paraId="3AB6E132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47A9AF3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4E97567C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DDB6B4" w14:textId="77777777" w:rsidR="00F71ACC" w:rsidRPr="00B97F6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7F6F" w14:paraId="6D29F40C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4EA11C9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72B8FE98" w14:textId="015DD0B1" w:rsidR="00F71ACC" w:rsidRPr="00B97F6F" w:rsidRDefault="00D520B1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F6304" w:rsidRPr="00B97F6F">
                <w:rPr>
                  <w:rStyle w:val="Hyperlink"/>
                </w:rPr>
                <w:t>tsbsg12rgafr@itu.int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E0BFE5C" w14:textId="77777777" w:rsidR="00F71ACC" w:rsidRPr="00B97F6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7F6F" w14:paraId="454E8C2F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D846E63" w14:textId="77777777" w:rsidR="00F71ACC" w:rsidRPr="00B97F6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C8BB9E2" w14:textId="7EDD3A22" w:rsidR="00F71ACC" w:rsidRPr="00B97F6F" w:rsidRDefault="00D520B1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2F6304" w:rsidRPr="00B97F6F">
                <w:rPr>
                  <w:rStyle w:val="Hyperlink"/>
                  <w:rFonts w:asciiTheme="minorHAnsi" w:hAnsiTheme="minorHAnsi"/>
                </w:rPr>
                <w:t>https://itu.int/go/sg12rgafr</w:t>
              </w:r>
            </w:hyperlink>
          </w:p>
        </w:tc>
        <w:tc>
          <w:tcPr>
            <w:tcW w:w="4896" w:type="dxa"/>
            <w:gridSpan w:val="2"/>
            <w:vMerge/>
          </w:tcPr>
          <w:p w14:paraId="7766FEEC" w14:textId="77777777" w:rsidR="00F71ACC" w:rsidRPr="00B97F6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97F6F" w14:paraId="46A772F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164C901" w14:textId="77777777" w:rsidR="00AC5975" w:rsidRPr="00B97F6F" w:rsidRDefault="00AC5975" w:rsidP="002F6304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B97F6F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951" w:type="dxa"/>
            <w:gridSpan w:val="4"/>
          </w:tcPr>
          <w:p w14:paraId="428014B6" w14:textId="4B3EBD6A" w:rsidR="00AC5975" w:rsidRPr="00B97F6F" w:rsidRDefault="002F6304" w:rsidP="002F6304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  <w:b/>
                <w:bCs/>
              </w:rPr>
              <w:t>Réunion virtuelle du Groupe régional de la Commission d'études 12 de l'UIT-T pour l'Afrique (SG12RG</w:t>
            </w:r>
            <w:r w:rsidRPr="00B97F6F">
              <w:rPr>
                <w:rFonts w:asciiTheme="minorHAnsi" w:hAnsiTheme="minorHAnsi"/>
                <w:b/>
                <w:bCs/>
              </w:rPr>
              <w:noBreakHyphen/>
              <w:t>AFR)</w:t>
            </w:r>
            <w:r w:rsidRPr="00B97F6F">
              <w:rPr>
                <w:rFonts w:asciiTheme="minorHAnsi" w:hAnsiTheme="minorHAnsi"/>
                <w:b/>
                <w:bCs/>
              </w:rPr>
              <w:br/>
              <w:t>7 septembre 2021</w:t>
            </w:r>
          </w:p>
        </w:tc>
      </w:tr>
    </w:tbl>
    <w:p w14:paraId="5D86542B" w14:textId="77777777" w:rsidR="002F6304" w:rsidRPr="00B97F6F" w:rsidRDefault="002F6304" w:rsidP="002F6304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B97F6F">
        <w:rPr>
          <w:rFonts w:asciiTheme="minorHAnsi" w:hAnsiTheme="minorHAnsi"/>
          <w:sz w:val="22"/>
          <w:szCs w:val="18"/>
        </w:rPr>
        <w:t>Madame, Monsieur,</w:t>
      </w:r>
    </w:p>
    <w:p w14:paraId="0557DED3" w14:textId="62D3EDBB" w:rsidR="002F6304" w:rsidRPr="00B97F6F" w:rsidRDefault="002F6304" w:rsidP="002F6304">
      <w:pPr>
        <w:rPr>
          <w:rFonts w:asciiTheme="minorHAnsi" w:hAnsiTheme="minorHAnsi"/>
        </w:rPr>
      </w:pPr>
      <w:r w:rsidRPr="00B97F6F">
        <w:rPr>
          <w:rFonts w:asciiTheme="minorHAnsi" w:hAnsiTheme="minorHAnsi"/>
        </w:rPr>
        <w:t xml:space="preserve">Nous avons l'honneur de vous inviter à participer à la prochaine réunion du </w:t>
      </w:r>
      <w:r w:rsidRPr="00B97F6F">
        <w:rPr>
          <w:rFonts w:asciiTheme="minorHAnsi" w:hAnsiTheme="minorHAnsi"/>
          <w:b/>
          <w:bCs/>
        </w:rPr>
        <w:t>Groupe régional de la Commission d'études 12 de l'UIT-T pour l'Afrique (SG12RG-AFR)</w:t>
      </w:r>
      <w:r w:rsidRPr="00B97F6F">
        <w:rPr>
          <w:rFonts w:asciiTheme="minorHAnsi" w:hAnsiTheme="minorHAnsi"/>
        </w:rPr>
        <w:t>, qui se tiendra de manière entièrement virtuelle le</w:t>
      </w:r>
      <w:r w:rsidR="005B2419">
        <w:rPr>
          <w:rFonts w:asciiTheme="minorHAnsi" w:hAnsiTheme="minorHAnsi"/>
        </w:rPr>
        <w:t> </w:t>
      </w:r>
      <w:r w:rsidRPr="00B97F6F">
        <w:rPr>
          <w:rFonts w:asciiTheme="minorHAnsi" w:hAnsiTheme="minorHAnsi"/>
          <w:b/>
          <w:bCs/>
        </w:rPr>
        <w:t>7</w:t>
      </w:r>
      <w:r w:rsidR="0046513E" w:rsidRPr="00B97F6F">
        <w:rPr>
          <w:rFonts w:asciiTheme="minorHAnsi" w:hAnsiTheme="minorHAnsi"/>
          <w:b/>
          <w:bCs/>
        </w:rPr>
        <w:t> </w:t>
      </w:r>
      <w:r w:rsidRPr="00B97F6F">
        <w:rPr>
          <w:rFonts w:asciiTheme="minorHAnsi" w:hAnsiTheme="minorHAnsi"/>
          <w:b/>
          <w:bCs/>
        </w:rPr>
        <w:t>septembre 2021, de 11 heures à 14 heures, heure de Genève</w:t>
      </w:r>
      <w:r w:rsidRPr="00B97F6F">
        <w:rPr>
          <w:rFonts w:asciiTheme="minorHAnsi" w:hAnsiTheme="minorHAnsi"/>
        </w:rPr>
        <w:t>.</w:t>
      </w:r>
    </w:p>
    <w:p w14:paraId="170BF908" w14:textId="6F4437EE" w:rsidR="002F6304" w:rsidRPr="00B97F6F" w:rsidRDefault="002F6304" w:rsidP="002F6304">
      <w:pPr>
        <w:rPr>
          <w:rFonts w:asciiTheme="minorHAnsi" w:hAnsiTheme="minorHAnsi"/>
          <w:b/>
          <w:bCs/>
        </w:rPr>
      </w:pPr>
      <w:r w:rsidRPr="00B97F6F">
        <w:rPr>
          <w:rFonts w:asciiTheme="minorHAnsi" w:hAnsiTheme="minorHAnsi"/>
        </w:rPr>
        <w:t xml:space="preserve">La réunion s'ouvrira à </w:t>
      </w:r>
      <w:r w:rsidRPr="00B97F6F">
        <w:rPr>
          <w:rFonts w:asciiTheme="minorHAnsi" w:hAnsiTheme="minorHAnsi"/>
          <w:b/>
          <w:bCs/>
        </w:rPr>
        <w:t>11 heures</w:t>
      </w:r>
      <w:r w:rsidRPr="00B97F6F">
        <w:rPr>
          <w:rFonts w:asciiTheme="minorHAnsi" w:hAnsiTheme="minorHAnsi"/>
        </w:rPr>
        <w:t xml:space="preserve">, sur la </w:t>
      </w:r>
      <w:hyperlink r:id="rId11" w:history="1">
        <w:r w:rsidRPr="00B97F6F">
          <w:rPr>
            <w:rStyle w:val="Hyperlink"/>
            <w:rFonts w:asciiTheme="minorHAnsi" w:hAnsiTheme="minorHAnsi"/>
          </w:rPr>
          <w:t>plate</w:t>
        </w:r>
        <w:r w:rsidR="0046513E" w:rsidRPr="00B97F6F">
          <w:rPr>
            <w:rStyle w:val="Hyperlink"/>
            <w:rFonts w:asciiTheme="minorHAnsi" w:hAnsiTheme="minorHAnsi"/>
          </w:rPr>
          <w:t>-</w:t>
        </w:r>
        <w:r w:rsidRPr="00B97F6F">
          <w:rPr>
            <w:rStyle w:val="Hyperlink"/>
            <w:rFonts w:asciiTheme="minorHAnsi" w:hAnsiTheme="minorHAnsi"/>
          </w:rPr>
          <w:t xml:space="preserve">forme </w:t>
        </w:r>
        <w:proofErr w:type="spellStart"/>
        <w:r w:rsidRPr="00B97F6F">
          <w:rPr>
            <w:rStyle w:val="Hyperlink"/>
            <w:rFonts w:asciiTheme="minorHAnsi" w:hAnsiTheme="minorHAnsi"/>
          </w:rPr>
          <w:t>MyMeetings</w:t>
        </w:r>
        <w:proofErr w:type="spellEnd"/>
      </w:hyperlink>
      <w:r w:rsidRPr="00B97F6F">
        <w:rPr>
          <w:rFonts w:asciiTheme="minorHAnsi" w:hAnsiTheme="minorHAnsi"/>
        </w:rPr>
        <w:t>. Les langues de travail de la réunion seront l'anglais et le français.</w:t>
      </w:r>
    </w:p>
    <w:p w14:paraId="415D5A1C" w14:textId="77777777" w:rsidR="002F6304" w:rsidRPr="00B97F6F" w:rsidRDefault="002F6304" w:rsidP="002F6304">
      <w:pPr>
        <w:rPr>
          <w:rFonts w:asciiTheme="minorHAnsi" w:hAnsiTheme="minorHAnsi"/>
        </w:rPr>
      </w:pPr>
      <w:bookmarkStart w:id="0" w:name="lt_pId040"/>
      <w:r w:rsidRPr="00B97F6F">
        <w:rPr>
          <w:rFonts w:asciiTheme="minorHAnsi" w:hAnsiTheme="minorHAnsi"/>
        </w:rPr>
        <w:t>La participation aux réunions du Groupe SG12RG-AFR est régie par les dispositions de la Résolution 1 (Hammamet, 2016) de l'AMNT.</w:t>
      </w:r>
      <w:bookmarkEnd w:id="0"/>
      <w:r w:rsidRPr="00B97F6F">
        <w:rPr>
          <w:rFonts w:asciiTheme="minorHAnsi" w:hAnsiTheme="minorHAnsi"/>
        </w:rPr>
        <w:t xml:space="preserve"> Veuillez noter que la participation suivie des délégués serait utile aux travaux du groupe.</w:t>
      </w:r>
    </w:p>
    <w:p w14:paraId="3556B279" w14:textId="36D8F934" w:rsidR="002F6304" w:rsidRPr="00B97F6F" w:rsidRDefault="002F6304" w:rsidP="002F6304">
      <w:pPr>
        <w:spacing w:after="120"/>
        <w:rPr>
          <w:rFonts w:asciiTheme="minorHAnsi" w:hAnsiTheme="minorHAnsi" w:cstheme="majorBidi"/>
          <w:szCs w:val="22"/>
        </w:rPr>
      </w:pPr>
      <w:r w:rsidRPr="00B97F6F">
        <w:rPr>
          <w:rFonts w:asciiTheme="minorHAnsi" w:hAnsiTheme="minorHAnsi" w:cstheme="majorBidi"/>
          <w:szCs w:val="22"/>
        </w:rPr>
        <w:t xml:space="preserve">Les participants sont invités à soumettre des contributions à la réunion, compte tenu de la liste de tâches du Groupe SG12RG-AFR (voir le Document </w:t>
      </w:r>
      <w:hyperlink r:id="rId12" w:history="1">
        <w:r w:rsidRPr="00B97F6F">
          <w:rPr>
            <w:rStyle w:val="Hyperlink"/>
            <w:rFonts w:asciiTheme="minorHAnsi" w:hAnsiTheme="minorHAnsi" w:cstheme="majorBidi"/>
            <w:szCs w:val="22"/>
          </w:rPr>
          <w:t>SG12-TD1511</w:t>
        </w:r>
      </w:hyperlink>
      <w:r w:rsidRPr="00B97F6F">
        <w:rPr>
          <w:rFonts w:asciiTheme="minorHAnsi" w:hAnsiTheme="minorHAnsi" w:cstheme="majorBidi"/>
          <w:szCs w:val="22"/>
        </w:rPr>
        <w:t>)</w:t>
      </w:r>
      <w:r w:rsidR="00FB4E1F" w:rsidRPr="00B97F6F">
        <w:rPr>
          <w:rFonts w:asciiTheme="minorHAnsi" w:hAnsiTheme="minorHAnsi" w:cstheme="majorBidi"/>
          <w:szCs w:val="22"/>
        </w:rPr>
        <w:t>.</w:t>
      </w:r>
    </w:p>
    <w:p w14:paraId="5A099EAD" w14:textId="19C768E1" w:rsidR="002F6304" w:rsidRPr="00B97F6F" w:rsidRDefault="002F6304" w:rsidP="002F6304">
      <w:pPr>
        <w:spacing w:after="120"/>
        <w:rPr>
          <w:rFonts w:asciiTheme="minorHAnsi" w:hAnsiTheme="minorHAnsi" w:cstheme="majorBidi"/>
          <w:szCs w:val="22"/>
        </w:rPr>
      </w:pPr>
      <w:r w:rsidRPr="00B97F6F">
        <w:rPr>
          <w:rFonts w:asciiTheme="minorHAnsi" w:hAnsiTheme="minorHAnsi" w:cstheme="majorBidi"/>
          <w:szCs w:val="22"/>
        </w:rPr>
        <w:t>Vous trouverez des informations pratiques dans l'</w:t>
      </w:r>
      <w:r w:rsidRPr="00B97F6F">
        <w:rPr>
          <w:rFonts w:asciiTheme="minorHAnsi" w:hAnsiTheme="minorHAnsi" w:cstheme="majorBidi"/>
          <w:b/>
          <w:bCs/>
          <w:szCs w:val="22"/>
        </w:rPr>
        <w:t>Annexe A</w:t>
      </w:r>
      <w:r w:rsidRPr="00B97F6F">
        <w:rPr>
          <w:rFonts w:asciiTheme="minorHAnsi" w:hAnsiTheme="minorHAnsi" w:cstheme="majorBidi"/>
          <w:szCs w:val="22"/>
        </w:rPr>
        <w:t xml:space="preserve"> et un projet d'ordre du jour de la réunion dans l'</w:t>
      </w:r>
      <w:r w:rsidRPr="00B97F6F">
        <w:rPr>
          <w:rFonts w:asciiTheme="minorHAnsi" w:hAnsiTheme="minorHAnsi" w:cstheme="majorBidi"/>
          <w:b/>
          <w:szCs w:val="22"/>
        </w:rPr>
        <w:t>Annexe B</w:t>
      </w:r>
      <w:r w:rsidRPr="00B97F6F">
        <w:rPr>
          <w:rFonts w:asciiTheme="minorHAnsi" w:hAnsiTheme="minorHAnsi" w:cstheme="majorBidi"/>
          <w:szCs w:val="22"/>
        </w:rPr>
        <w:t xml:space="preserve">, et vous pouvez consulter la page web du Groupe régional à l'adresse </w:t>
      </w:r>
      <w:hyperlink r:id="rId13" w:history="1">
        <w:r w:rsidRPr="00B97F6F">
          <w:rPr>
            <w:rStyle w:val="Hyperlink"/>
            <w:rFonts w:asciiTheme="minorHAnsi" w:hAnsiTheme="minorHAnsi" w:cstheme="majorBidi"/>
            <w:szCs w:val="22"/>
          </w:rPr>
          <w:t>https://itu.int/en/ITU-T/studygroups/2017-2020/12/sg12rgafr/</w:t>
        </w:r>
      </w:hyperlink>
      <w:r w:rsidRPr="00B97F6F">
        <w:rPr>
          <w:rFonts w:asciiTheme="minorHAnsi" w:hAnsiTheme="minorHAnsi" w:cstheme="majorBidi"/>
          <w:szCs w:val="22"/>
        </w:rPr>
        <w:t xml:space="preserve"> pour obtenir de plus amples informations.</w:t>
      </w:r>
    </w:p>
    <w:p w14:paraId="3E194111" w14:textId="025BF7F2" w:rsidR="002F6304" w:rsidRPr="00B97F6F" w:rsidRDefault="002F6304" w:rsidP="002F6304">
      <w:pPr>
        <w:spacing w:after="120"/>
        <w:rPr>
          <w:rFonts w:asciiTheme="minorHAnsi" w:hAnsiTheme="minorHAnsi" w:cstheme="majorBidi"/>
          <w:szCs w:val="22"/>
        </w:rPr>
      </w:pPr>
      <w:r w:rsidRPr="00B97F6F">
        <w:rPr>
          <w:rFonts w:asciiTheme="minorHAnsi" w:hAnsiTheme="minorHAnsi" w:cstheme="majorBidi"/>
          <w:szCs w:val="22"/>
        </w:rPr>
        <w:t>Veuillez noter qu'outre la réunion du Groupe SG12RG-AFR, l'UIT organisera l'atelier suivant (en anglais seulement</w:t>
      </w:r>
      <w:proofErr w:type="gramStart"/>
      <w:r w:rsidRPr="00B97F6F">
        <w:rPr>
          <w:rFonts w:asciiTheme="minorHAnsi" w:hAnsiTheme="minorHAnsi" w:cstheme="majorBidi"/>
          <w:szCs w:val="22"/>
        </w:rPr>
        <w:t>):</w:t>
      </w:r>
      <w:proofErr w:type="gramEnd"/>
    </w:p>
    <w:p w14:paraId="69E20A6E" w14:textId="77777777" w:rsidR="002F6304" w:rsidRPr="00B97F6F" w:rsidRDefault="002F6304" w:rsidP="002F6304">
      <w:pPr>
        <w:pStyle w:val="enumlev1"/>
      </w:pPr>
      <w:bookmarkStart w:id="1" w:name="lt_pId037"/>
      <w:r w:rsidRPr="00B97F6F">
        <w:t>–</w:t>
      </w:r>
      <w:r w:rsidRPr="00B97F6F">
        <w:tab/>
      </w:r>
      <w:r w:rsidRPr="00B97F6F">
        <w:rPr>
          <w:b/>
          <w:bCs/>
        </w:rPr>
        <w:t xml:space="preserve">8-9 septembre </w:t>
      </w:r>
      <w:proofErr w:type="gramStart"/>
      <w:r w:rsidRPr="00B97F6F">
        <w:rPr>
          <w:b/>
          <w:bCs/>
        </w:rPr>
        <w:t>2021:</w:t>
      </w:r>
      <w:proofErr w:type="gramEnd"/>
      <w:r w:rsidRPr="00B97F6F">
        <w:rPr>
          <w:b/>
          <w:bCs/>
        </w:rPr>
        <w:t xml:space="preserve"> Atelier de l'UIT sur le thème "Qualité de fonctionnement, qualité de service et qualité d'expérience"</w:t>
      </w:r>
      <w:r w:rsidRPr="00B97F6F">
        <w:t xml:space="preserve">. Des informations détaillées seront disponibles à </w:t>
      </w:r>
      <w:proofErr w:type="gramStart"/>
      <w:r w:rsidRPr="00B97F6F">
        <w:t>l'adresse:</w:t>
      </w:r>
      <w:proofErr w:type="gramEnd"/>
      <w:r w:rsidRPr="00B97F6F">
        <w:t xml:space="preserve"> </w:t>
      </w:r>
      <w:hyperlink r:id="rId14" w:history="1">
        <w:r w:rsidRPr="00B97F6F">
          <w:rPr>
            <w:rStyle w:val="Hyperlink"/>
          </w:rPr>
          <w:t>https://itu.int/en/ITU-T/Workshops-and-Seminars/qos/</w:t>
        </w:r>
      </w:hyperlink>
      <w:r w:rsidRPr="00B97F6F">
        <w:t>. La participation à l'atelier est gratuite et ouverte à tous les participants qui partagent le même intérêt pour les questions relatives à la qualité de service et à la qualité d'expérience.</w:t>
      </w:r>
    </w:p>
    <w:bookmarkEnd w:id="1"/>
    <w:p w14:paraId="1FB71553" w14:textId="77777777" w:rsidR="002F6304" w:rsidRPr="00B97F6F" w:rsidRDefault="002F6304" w:rsidP="00FB4E1F">
      <w:pPr>
        <w:pStyle w:val="headingb"/>
        <w:spacing w:after="120"/>
      </w:pPr>
      <w:r w:rsidRPr="00B97F6F">
        <w:t xml:space="preserve">Principales </w:t>
      </w:r>
      <w:proofErr w:type="gramStart"/>
      <w:r w:rsidRPr="00B97F6F"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2F6304" w:rsidRPr="00B97F6F" w14:paraId="53C2AA7E" w14:textId="77777777" w:rsidTr="004C5453">
        <w:tc>
          <w:tcPr>
            <w:tcW w:w="1696" w:type="dxa"/>
            <w:shd w:val="clear" w:color="auto" w:fill="auto"/>
            <w:vAlign w:val="center"/>
          </w:tcPr>
          <w:p w14:paraId="4DB9D231" w14:textId="77777777" w:rsidR="002F6304" w:rsidRPr="00B97F6F" w:rsidRDefault="002F6304" w:rsidP="004C5453">
            <w:pPr>
              <w:pStyle w:val="TableText"/>
              <w:keepNext/>
              <w:keepLines/>
            </w:pPr>
            <w:r w:rsidRPr="00B97F6F">
              <w:t>7 août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CC16EC0" w14:textId="77777777" w:rsidR="002F6304" w:rsidRPr="00B97F6F" w:rsidRDefault="002F6304" w:rsidP="004C5453">
            <w:pPr>
              <w:pStyle w:val="TableText"/>
              <w:keepNext/>
              <w:keepLines/>
              <w:ind w:left="284" w:hanging="284"/>
            </w:pPr>
            <w:r w:rsidRPr="00B97F6F">
              <w:t>−</w:t>
            </w:r>
            <w:r w:rsidRPr="00B97F6F">
              <w:tab/>
              <w:t xml:space="preserve">Inscription (en ligne depuis la </w:t>
            </w:r>
            <w:hyperlink r:id="rId15" w:history="1">
              <w:r w:rsidRPr="00B97F6F">
                <w:rPr>
                  <w:rStyle w:val="Hyperlink"/>
                </w:rPr>
                <w:t>page d'accueil du groupe régional</w:t>
              </w:r>
            </w:hyperlink>
            <w:r w:rsidRPr="00B97F6F">
              <w:t>)</w:t>
            </w:r>
          </w:p>
        </w:tc>
      </w:tr>
      <w:tr w:rsidR="002F6304" w:rsidRPr="00B97F6F" w14:paraId="52055C0D" w14:textId="77777777" w:rsidTr="004C5453">
        <w:tc>
          <w:tcPr>
            <w:tcW w:w="1696" w:type="dxa"/>
            <w:shd w:val="clear" w:color="auto" w:fill="auto"/>
            <w:vAlign w:val="center"/>
          </w:tcPr>
          <w:p w14:paraId="6E138F98" w14:textId="77777777" w:rsidR="002F6304" w:rsidRPr="00B97F6F" w:rsidRDefault="002F6304" w:rsidP="004C5453">
            <w:pPr>
              <w:pStyle w:val="TableText"/>
            </w:pPr>
            <w:r w:rsidRPr="00B97F6F">
              <w:t>25 août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F78A2AA" w14:textId="77777777" w:rsidR="002F6304" w:rsidRPr="00B97F6F" w:rsidRDefault="002F6304" w:rsidP="004C5453">
            <w:pPr>
              <w:pStyle w:val="TableText"/>
              <w:ind w:left="284" w:hanging="284"/>
            </w:pPr>
            <w:bookmarkStart w:id="2" w:name="lt_pId052"/>
            <w:r w:rsidRPr="00B97F6F">
              <w:t>–</w:t>
            </w:r>
            <w:r w:rsidRPr="00B97F6F">
              <w:tab/>
              <w:t xml:space="preserve">Soumission des contributions des Membres de l'UIT-T (par courrier électronique à </w:t>
            </w:r>
            <w:hyperlink r:id="rId16" w:history="1">
              <w:r w:rsidRPr="00B97F6F">
                <w:rPr>
                  <w:rStyle w:val="Hyperlink"/>
                </w:rPr>
                <w:t>tsbsg12rgafr@itu.int</w:t>
              </w:r>
            </w:hyperlink>
            <w:r w:rsidRPr="00B97F6F">
              <w:t>)</w:t>
            </w:r>
            <w:bookmarkEnd w:id="2"/>
          </w:p>
        </w:tc>
      </w:tr>
    </w:tbl>
    <w:p w14:paraId="32A94826" w14:textId="3FB0E635" w:rsidR="002F6304" w:rsidRPr="00B97F6F" w:rsidRDefault="002F6304" w:rsidP="00FB4E1F">
      <w:pPr>
        <w:tabs>
          <w:tab w:val="left" w:pos="5835"/>
        </w:tabs>
        <w:spacing w:before="240"/>
        <w:rPr>
          <w:rFonts w:asciiTheme="minorHAnsi" w:hAnsiTheme="minorHAnsi"/>
        </w:rPr>
      </w:pPr>
      <w:r w:rsidRPr="00B97F6F">
        <w:rPr>
          <w:rFonts w:asciiTheme="minorHAnsi" w:hAnsiTheme="minorHAnsi"/>
        </w:rPr>
        <w:lastRenderedPageBreak/>
        <w:t>Je vous souhaite une réunion constructive et agréable.</w:t>
      </w:r>
    </w:p>
    <w:p w14:paraId="2341A316" w14:textId="77777777" w:rsidR="002F6304" w:rsidRPr="00B97F6F" w:rsidRDefault="002F6304" w:rsidP="002F6304">
      <w:pPr>
        <w:spacing w:after="120"/>
        <w:rPr>
          <w:rFonts w:asciiTheme="minorHAnsi" w:hAnsiTheme="minorHAnsi"/>
        </w:rPr>
      </w:pPr>
      <w:r w:rsidRPr="00B97F6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2F6304" w:rsidRPr="00B97F6F" w14:paraId="5E856EDB" w14:textId="77777777" w:rsidTr="004C5453">
        <w:trPr>
          <w:cantSplit/>
          <w:trHeight w:val="1984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281A4F32" w14:textId="77777777" w:rsidR="002F6304" w:rsidRPr="00B97F6F" w:rsidRDefault="002F6304" w:rsidP="004C5453">
            <w:pPr>
              <w:spacing w:before="360" w:after="480"/>
              <w:ind w:left="-113"/>
              <w:rPr>
                <w:rFonts w:asciiTheme="minorHAnsi" w:hAnsiTheme="minorHAnsi"/>
                <w:i/>
                <w:iCs/>
              </w:rPr>
            </w:pPr>
            <w:r w:rsidRPr="00B97F6F">
              <w:rPr>
                <w:rFonts w:asciiTheme="minorHAnsi" w:hAnsiTheme="minorHAnsi"/>
                <w:i/>
                <w:iCs/>
              </w:rPr>
              <w:t>(</w:t>
            </w:r>
            <w:proofErr w:type="gramStart"/>
            <w:r w:rsidRPr="00B97F6F">
              <w:rPr>
                <w:rFonts w:asciiTheme="minorHAnsi" w:hAnsiTheme="minorHAnsi"/>
                <w:i/>
                <w:iCs/>
              </w:rPr>
              <w:t>signé</w:t>
            </w:r>
            <w:proofErr w:type="gramEnd"/>
            <w:r w:rsidRPr="00B97F6F">
              <w:rPr>
                <w:rFonts w:asciiTheme="minorHAnsi" w:hAnsiTheme="minorHAnsi"/>
                <w:i/>
                <w:iCs/>
              </w:rPr>
              <w:t>)</w:t>
            </w:r>
          </w:p>
          <w:p w14:paraId="145D0097" w14:textId="77777777" w:rsidR="002F6304" w:rsidRPr="00B97F6F" w:rsidRDefault="002F6304" w:rsidP="004C5453">
            <w:pPr>
              <w:spacing w:before="480"/>
              <w:ind w:left="-113"/>
              <w:rPr>
                <w:rFonts w:asciiTheme="minorHAnsi" w:hAnsiTheme="minorHAnsi"/>
              </w:rPr>
            </w:pPr>
            <w:proofErr w:type="spellStart"/>
            <w:r w:rsidRPr="00B97F6F">
              <w:rPr>
                <w:rFonts w:asciiTheme="minorHAnsi" w:hAnsiTheme="minorHAnsi"/>
              </w:rPr>
              <w:t>Chaesub</w:t>
            </w:r>
            <w:proofErr w:type="spellEnd"/>
            <w:r w:rsidRPr="00B97F6F">
              <w:rPr>
                <w:rFonts w:asciiTheme="minorHAnsi" w:hAnsiTheme="minorHAnsi"/>
              </w:rPr>
              <w:t xml:space="preserve"> Lee</w:t>
            </w:r>
            <w:r w:rsidRPr="00B97F6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B97F6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EC6903" w14:textId="77777777" w:rsidR="002F6304" w:rsidRPr="00B97F6F" w:rsidRDefault="002F6304" w:rsidP="004C54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ind w:left="113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B97F6F">
              <w:rPr>
                <w:rFonts w:asciiTheme="minorHAnsi" w:hAnsiTheme="minorHAnsi"/>
                <w:noProof/>
                <w:sz w:val="20"/>
                <w:szCs w:val="18"/>
                <w:lang w:val="en-US"/>
              </w:rPr>
              <w:drawing>
                <wp:inline distT="0" distB="0" distL="0" distR="0" wp14:anchorId="5447B484" wp14:editId="5DE5208A">
                  <wp:extent cx="1049655" cy="1049655"/>
                  <wp:effectExtent l="0" t="0" r="0" b="0"/>
                  <wp:docPr id="27" name="Picture 27" descr="This QR code redirects to the latest meeeting information at:&#10;http://handle.itu.int/11.1002/groups/sg12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:\TSBDOC\2017-2020\Working_methods\Handle_IDs\Handle-IDs_per_group\SG12RG-AFR\Unitag_QRCode_14870888554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9" r="6769"/>
                          <a:stretch/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F6F">
              <w:rPr>
                <w:rFonts w:asciiTheme="minorHAnsi" w:hAnsiTheme="minorHAnsi"/>
                <w:sz w:val="16"/>
                <w:szCs w:val="16"/>
              </w:rPr>
              <w:t>SG12RG-AFR de l'UIT-T</w:t>
            </w:r>
          </w:p>
        </w:tc>
      </w:tr>
      <w:tr w:rsidR="002F6304" w:rsidRPr="00B97F6F" w14:paraId="77BB8CEF" w14:textId="77777777" w:rsidTr="004C5453">
        <w:trPr>
          <w:cantSplit/>
          <w:trHeight w:val="35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FFAAE6F" w14:textId="77777777" w:rsidR="002F6304" w:rsidRPr="00B97F6F" w:rsidRDefault="002F6304" w:rsidP="004C5453">
            <w:pPr>
              <w:spacing w:before="840"/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C13A" w14:textId="77777777" w:rsidR="002F6304" w:rsidRPr="00B97F6F" w:rsidRDefault="002F6304" w:rsidP="004C545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7F6F">
              <w:rPr>
                <w:rFonts w:asciiTheme="minorHAnsi" w:hAnsiTheme="minorHAnsi"/>
                <w:sz w:val="18"/>
                <w:szCs w:val="18"/>
              </w:rPr>
              <w:t>Informations les plus récentes concernant la réunion</w:t>
            </w:r>
          </w:p>
        </w:tc>
      </w:tr>
    </w:tbl>
    <w:p w14:paraId="711A95DF" w14:textId="77777777" w:rsidR="002F6304" w:rsidRPr="00B97F6F" w:rsidRDefault="002F6304" w:rsidP="002F6304">
      <w:pPr>
        <w:spacing w:before="840"/>
        <w:rPr>
          <w:rFonts w:asciiTheme="minorHAnsi" w:hAnsiTheme="minorHAnsi"/>
        </w:rPr>
      </w:pPr>
      <w:proofErr w:type="gramStart"/>
      <w:r w:rsidRPr="00B97F6F">
        <w:rPr>
          <w:rFonts w:asciiTheme="minorHAnsi" w:hAnsiTheme="minorHAnsi"/>
          <w:b/>
          <w:bCs/>
        </w:rPr>
        <w:t>Annexes</w:t>
      </w:r>
      <w:r w:rsidRPr="00B97F6F">
        <w:rPr>
          <w:rFonts w:asciiTheme="minorHAnsi" w:hAnsiTheme="minorHAnsi"/>
          <w:bCs/>
        </w:rPr>
        <w:t>:</w:t>
      </w:r>
      <w:proofErr w:type="gramEnd"/>
      <w:r w:rsidRPr="00B97F6F">
        <w:rPr>
          <w:rFonts w:asciiTheme="minorHAnsi" w:hAnsiTheme="minorHAnsi"/>
          <w:bCs/>
        </w:rPr>
        <w:t xml:space="preserve"> 2</w:t>
      </w:r>
    </w:p>
    <w:p w14:paraId="23F47F54" w14:textId="77777777" w:rsidR="002F6304" w:rsidRPr="00B97F6F" w:rsidRDefault="002F6304" w:rsidP="002F6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B97F6F">
        <w:rPr>
          <w:rFonts w:asciiTheme="minorHAnsi" w:hAnsiTheme="minorHAnsi"/>
          <w:b/>
          <w:bCs/>
          <w:caps/>
        </w:rPr>
        <w:br w:type="page"/>
      </w:r>
    </w:p>
    <w:p w14:paraId="75C581F8" w14:textId="77777777" w:rsidR="002F6304" w:rsidRPr="00B97F6F" w:rsidRDefault="002F6304" w:rsidP="002F6304">
      <w:pPr>
        <w:pStyle w:val="Annextitle0"/>
        <w:rPr>
          <w:lang w:val="fr-FR"/>
        </w:rPr>
      </w:pPr>
      <w:r w:rsidRPr="00B97F6F">
        <w:rPr>
          <w:lang w:val="fr-FR"/>
        </w:rPr>
        <w:lastRenderedPageBreak/>
        <w:t>A</w:t>
      </w:r>
      <w:r w:rsidRPr="00B97F6F">
        <w:rPr>
          <w:caps/>
          <w:lang w:val="fr-FR"/>
        </w:rPr>
        <w:t>nnexe</w:t>
      </w:r>
      <w:r w:rsidRPr="00B97F6F">
        <w:rPr>
          <w:lang w:val="fr-FR"/>
        </w:rPr>
        <w:t xml:space="preserve"> A</w:t>
      </w:r>
      <w:r w:rsidRPr="00B97F6F">
        <w:rPr>
          <w:caps/>
          <w:lang w:val="fr-FR"/>
        </w:rPr>
        <w:br/>
      </w:r>
      <w:r w:rsidRPr="00B97F6F">
        <w:rPr>
          <w:lang w:val="fr-FR"/>
        </w:rPr>
        <w:t>Informations pratiques concernant la réunion</w:t>
      </w:r>
    </w:p>
    <w:p w14:paraId="3517F9BC" w14:textId="77777777" w:rsidR="002F6304" w:rsidRPr="00B97F6F" w:rsidRDefault="002F6304" w:rsidP="002F6304">
      <w:pPr>
        <w:spacing w:before="240"/>
        <w:jc w:val="center"/>
        <w:rPr>
          <w:b/>
          <w:bCs/>
          <w:sz w:val="28"/>
          <w:szCs w:val="22"/>
        </w:rPr>
      </w:pPr>
      <w:r w:rsidRPr="00B97F6F">
        <w:rPr>
          <w:b/>
          <w:bCs/>
        </w:rPr>
        <w:t>MÉTHODES DE TRAVAIL ET INSTALLATIONS</w:t>
      </w:r>
    </w:p>
    <w:p w14:paraId="73D477D6" w14:textId="20D28B8F" w:rsidR="002F6304" w:rsidRPr="00B97F6F" w:rsidRDefault="002F6304" w:rsidP="002F6304">
      <w:pPr>
        <w:spacing w:before="360"/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>SOUMISSION DES DOCUMENTS ET ACCÈS</w:t>
      </w:r>
      <w:r w:rsidRPr="00B97F6F">
        <w:rPr>
          <w:rFonts w:eastAsia="SimSun"/>
          <w:lang w:eastAsia="zh-CN"/>
        </w:rPr>
        <w:t>: Les contributions des Membres et les documents temporaires (TD) doivent être soumis par courrier électronique au secrétariat de la commission d'études (</w:t>
      </w:r>
      <w:hyperlink r:id="rId18" w:history="1">
        <w:r w:rsidRPr="00B97F6F">
          <w:rPr>
            <w:rStyle w:val="Hyperlink"/>
            <w:rFonts w:asciiTheme="minorHAnsi" w:hAnsiTheme="minorHAnsi"/>
            <w:szCs w:val="22"/>
          </w:rPr>
          <w:t>tsbsg12rgafr@itu.int</w:t>
        </w:r>
      </w:hyperlink>
      <w:r w:rsidRPr="00B97F6F">
        <w:rPr>
          <w:rFonts w:eastAsia="SimSun"/>
          <w:lang w:eastAsia="zh-CN"/>
        </w:rPr>
        <w:t xml:space="preserve">) en utilisant le </w:t>
      </w:r>
      <w:hyperlink r:id="rId19" w:history="1">
        <w:r w:rsidRPr="00B97F6F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B97F6F">
        <w:rPr>
          <w:rFonts w:eastAsia="SimSun"/>
          <w:lang w:eastAsia="zh-CN"/>
        </w:rPr>
        <w:t>. Les documents de réunion sont accessibles depuis la page d'accueil de la commission d'études, et l'accès est réservé aux Membres de l'UIT</w:t>
      </w:r>
      <w:r w:rsidRPr="00B97F6F">
        <w:rPr>
          <w:rFonts w:eastAsia="SimSun"/>
          <w:lang w:eastAsia="zh-CN"/>
        </w:rPr>
        <w:noBreakHyphen/>
        <w:t xml:space="preserve">T disposant d'un </w:t>
      </w:r>
      <w:hyperlink r:id="rId20" w:history="1">
        <w:r w:rsidRPr="00B97F6F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B97F6F">
        <w:rPr>
          <w:rFonts w:eastAsia="SimSun"/>
          <w:lang w:eastAsia="zh-CN"/>
        </w:rPr>
        <w:t xml:space="preserve"> avec accès TIES.</w:t>
      </w:r>
    </w:p>
    <w:p w14:paraId="39064514" w14:textId="77777777" w:rsidR="002F6304" w:rsidRPr="00B97F6F" w:rsidRDefault="002F6304" w:rsidP="002F6304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>LANGUES DE TRAVAIL</w:t>
      </w:r>
      <w:r w:rsidRPr="00B97F6F">
        <w:rPr>
          <w:rFonts w:eastAsia="SimSun"/>
          <w:lang w:eastAsia="zh-CN"/>
        </w:rPr>
        <w:t>: En accord avec l'équipe de direction du Groupe SG12RG-AFR, les langues de travail de la réunion seront l'anglais et le français.</w:t>
      </w:r>
    </w:p>
    <w:p w14:paraId="4094DF51" w14:textId="77777777" w:rsidR="002F6304" w:rsidRPr="00B97F6F" w:rsidRDefault="002F6304" w:rsidP="002F6304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>PARTICIPATION INTERACTIVE À DISTANCE</w:t>
      </w:r>
      <w:r w:rsidRPr="00B97F6F">
        <w:rPr>
          <w:rFonts w:eastAsia="SimSun"/>
          <w:lang w:eastAsia="zh-CN"/>
        </w:rPr>
        <w:t xml:space="preserve">: L'outil </w:t>
      </w:r>
      <w:hyperlink r:id="rId21" w:tgtFrame="_blank" w:history="1">
        <w:r w:rsidRPr="00B97F6F">
          <w:rPr>
            <w:rStyle w:val="Hyperlink"/>
            <w:rFonts w:eastAsia="SimSun"/>
            <w:lang w:eastAsia="zh-CN"/>
          </w:rPr>
          <w:t>MyMeetings</w:t>
        </w:r>
      </w:hyperlink>
      <w:r w:rsidRPr="00B97F6F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peut interrompre ce participant et renoncer à lui donner la parole tant que rien n'indique que le problème est résolu. L'outil de discussion à disposition fait partie intégrante de la réunion; son utilisation est encouragée pour faciliter la gestion efficace du temps au cours des séances.</w:t>
      </w:r>
    </w:p>
    <w:p w14:paraId="2A47F21B" w14:textId="77777777" w:rsidR="002F6304" w:rsidRPr="00B97F6F" w:rsidRDefault="002F6304" w:rsidP="002F6304">
      <w:pPr>
        <w:spacing w:before="240"/>
        <w:jc w:val="center"/>
        <w:rPr>
          <w:rFonts w:eastAsia="SimSun"/>
          <w:b/>
          <w:lang w:eastAsia="zh-CN"/>
        </w:rPr>
      </w:pPr>
      <w:r w:rsidRPr="00B97F6F">
        <w:rPr>
          <w:rFonts w:eastAsia="SimSun"/>
          <w:b/>
          <w:lang w:eastAsia="zh-CN"/>
        </w:rPr>
        <w:t>INSCRIPTION, NOUVEAUX DÉLÉGUÉS, BOURSES ET DEMANDE DE VISA</w:t>
      </w:r>
    </w:p>
    <w:p w14:paraId="251FBAD2" w14:textId="03EA6D9F" w:rsidR="002F6304" w:rsidRPr="00B97F6F" w:rsidRDefault="002F6304" w:rsidP="002F6304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>INSCRIPTION</w:t>
      </w:r>
      <w:r w:rsidRPr="00B97F6F">
        <w:rPr>
          <w:rFonts w:eastAsia="SimSun"/>
          <w:lang w:eastAsia="zh-CN"/>
        </w:rPr>
        <w:t>:</w:t>
      </w:r>
      <w:r w:rsidRPr="00B97F6F">
        <w:rPr>
          <w:rFonts w:eastAsia="SimSun"/>
          <w:b/>
          <w:bCs/>
          <w:lang w:eastAsia="zh-CN"/>
        </w:rPr>
        <w:t xml:space="preserve"> </w:t>
      </w:r>
      <w:r w:rsidRPr="00B97F6F">
        <w:rPr>
          <w:rFonts w:eastAsia="SimSun"/>
          <w:lang w:eastAsia="zh-CN"/>
        </w:rPr>
        <w:t xml:space="preserve">L'inscription est obligatoire et doit se faire en ligne depuis la page d'accueil du groupe régional </w:t>
      </w:r>
      <w:r w:rsidRPr="00B97F6F">
        <w:rPr>
          <w:rFonts w:eastAsia="SimSun"/>
          <w:b/>
          <w:bCs/>
          <w:lang w:eastAsia="zh-CN"/>
        </w:rPr>
        <w:t>au moins un mois avant le début de la réunion</w:t>
      </w:r>
      <w:r w:rsidRPr="00B97F6F">
        <w:rPr>
          <w:rFonts w:eastAsia="SimSun"/>
          <w:lang w:eastAsia="zh-CN"/>
        </w:rPr>
        <w:t xml:space="preserve">. Comme indiqué dans la </w:t>
      </w:r>
      <w:hyperlink r:id="rId22" w:history="1">
        <w:r w:rsidRPr="00B97F6F">
          <w:rPr>
            <w:rStyle w:val="Hyperlink"/>
            <w:rFonts w:eastAsia="SimSun"/>
            <w:lang w:eastAsia="zh-CN"/>
          </w:rPr>
          <w:t>Circulaire TSB 68</w:t>
        </w:r>
      </w:hyperlink>
      <w:r w:rsidRPr="00B97F6F">
        <w:rPr>
          <w:rFonts w:eastAsia="SimSun"/>
          <w:lang w:eastAsia="zh-CN"/>
        </w:rPr>
        <w:t xml:space="preserve">, dans le cadre du système d'inscription de l'UIT-T, le coordonnateur responsable doit approuver les demandes d'inscription; la </w:t>
      </w:r>
      <w:hyperlink r:id="rId23" w:history="1">
        <w:r w:rsidRPr="00B97F6F">
          <w:rPr>
            <w:rStyle w:val="Hyperlink"/>
            <w:rFonts w:eastAsia="SimSun"/>
            <w:lang w:eastAsia="zh-CN"/>
          </w:rPr>
          <w:t>Circulaire</w:t>
        </w:r>
        <w:r w:rsidR="00FB4E1F" w:rsidRPr="00B97F6F">
          <w:rPr>
            <w:rStyle w:val="Hyperlink"/>
            <w:rFonts w:eastAsia="SimSun"/>
            <w:lang w:eastAsia="zh-CN"/>
          </w:rPr>
          <w:t> </w:t>
        </w:r>
        <w:r w:rsidRPr="00B97F6F">
          <w:rPr>
            <w:rStyle w:val="Hyperlink"/>
            <w:rFonts w:eastAsia="SimSun"/>
            <w:lang w:eastAsia="zh-CN"/>
          </w:rPr>
          <w:t>TSB</w:t>
        </w:r>
        <w:r w:rsidR="00FB4E1F" w:rsidRPr="00B97F6F">
          <w:rPr>
            <w:rStyle w:val="Hyperlink"/>
            <w:rFonts w:eastAsia="SimSun"/>
            <w:lang w:eastAsia="zh-CN"/>
          </w:rPr>
          <w:t> </w:t>
        </w:r>
        <w:r w:rsidRPr="00B97F6F">
          <w:rPr>
            <w:rStyle w:val="Hyperlink"/>
            <w:rFonts w:eastAsia="SimSun"/>
            <w:lang w:eastAsia="zh-CN"/>
          </w:rPr>
          <w:t>118</w:t>
        </w:r>
      </w:hyperlink>
      <w:r w:rsidRPr="00B97F6F">
        <w:rPr>
          <w:rFonts w:eastAsia="SimSun"/>
          <w:lang w:eastAsia="zh-CN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4D4EC8EE" w14:textId="7232C6ED" w:rsidR="002F6304" w:rsidRPr="00B97F6F" w:rsidRDefault="002F6304" w:rsidP="002F6304">
      <w:pPr>
        <w:rPr>
          <w:rFonts w:eastAsia="SimSun"/>
          <w:lang w:eastAsia="zh-CN"/>
        </w:rPr>
      </w:pPr>
      <w:r w:rsidRPr="00B97F6F">
        <w:rPr>
          <w:rFonts w:eastAsia="SimSun"/>
          <w:lang w:eastAsia="zh-CN"/>
        </w:rPr>
        <w:t xml:space="preserve">L'inscription est obligatoire et doit se faire au moyen du formulaire d'inscription en ligne disponible sur la </w:t>
      </w:r>
      <w:hyperlink r:id="rId24" w:history="1">
        <w:r w:rsidRPr="00B97F6F">
          <w:rPr>
            <w:rStyle w:val="Hyperlink"/>
            <w:rFonts w:eastAsia="SimSun"/>
            <w:lang w:eastAsia="zh-CN"/>
          </w:rPr>
          <w:t>page d'accueil de la commission d'études</w:t>
        </w:r>
      </w:hyperlink>
      <w:r w:rsidRPr="00B97F6F">
        <w:rPr>
          <w:rFonts w:eastAsia="SimSun"/>
          <w:lang w:eastAsia="zh-CN"/>
        </w:rPr>
        <w:t>. Les délégués qui ne se seront pas inscrits ne pourront pas accéder à l'</w:t>
      </w:r>
      <w:hyperlink r:id="rId25" w:history="1">
        <w:r w:rsidRPr="00B97F6F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Pr="00B97F6F">
        <w:rPr>
          <w:rFonts w:eastAsia="SimSun"/>
          <w:lang w:eastAsia="zh-CN"/>
        </w:rPr>
        <w:t>.</w:t>
      </w:r>
    </w:p>
    <w:p w14:paraId="627F269B" w14:textId="77777777" w:rsidR="002F6304" w:rsidRPr="00B97F6F" w:rsidRDefault="002F6304" w:rsidP="002F6304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>NOUVEAUX DÉLÉGUÉS, BOURSES ET DEMANDE DE VISA</w:t>
      </w:r>
      <w:r w:rsidRPr="00B97F6F">
        <w:rPr>
          <w:rFonts w:eastAsia="SimSun"/>
          <w:lang w:eastAsia="zh-CN"/>
        </w:rPr>
        <w:t>: Étant donné que les réunions virtuelles n'exigent aucun déplacement, aucune bourse ne sera accordée et les demandes de visa n'ont pas lieu d'être. Des séances de présentation seront tenues à l'intention des nouveaux délégués, si cela est jugé opportun par le président du groupe régional.</w:t>
      </w:r>
    </w:p>
    <w:p w14:paraId="42F8E179" w14:textId="77777777" w:rsidR="002F6304" w:rsidRPr="00B97F6F" w:rsidRDefault="002F6304" w:rsidP="002F6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B97F6F">
        <w:rPr>
          <w:rFonts w:asciiTheme="minorHAnsi" w:hAnsiTheme="minorHAnsi"/>
          <w:b/>
          <w:bCs/>
        </w:rPr>
        <w:br w:type="page"/>
      </w:r>
    </w:p>
    <w:p w14:paraId="47693680" w14:textId="006F8CBC" w:rsidR="00FB4E1F" w:rsidRPr="00B97F6F" w:rsidRDefault="002F6304" w:rsidP="00185AC3">
      <w:pPr>
        <w:pStyle w:val="Annextitle0"/>
        <w:tabs>
          <w:tab w:val="left" w:pos="4332"/>
          <w:tab w:val="center" w:pos="5102"/>
        </w:tabs>
        <w:rPr>
          <w:lang w:val="fr-FR"/>
        </w:rPr>
      </w:pPr>
      <w:r w:rsidRPr="00B97F6F">
        <w:rPr>
          <w:lang w:val="fr-FR"/>
        </w:rPr>
        <w:lastRenderedPageBreak/>
        <w:t>Annexe B</w:t>
      </w:r>
      <w:r w:rsidRPr="00B97F6F">
        <w:rPr>
          <w:lang w:val="fr-FR"/>
        </w:rPr>
        <w:br/>
        <w:t>Projet d'ordre du jour</w:t>
      </w:r>
    </w:p>
    <w:p w14:paraId="421471B2" w14:textId="77777777" w:rsidR="002F6304" w:rsidRPr="00B97F6F" w:rsidRDefault="002F6304" w:rsidP="00185AC3">
      <w:pPr>
        <w:pStyle w:val="enumlev1"/>
        <w:spacing w:before="840"/>
      </w:pPr>
      <w:r w:rsidRPr="00B97F6F">
        <w:t>1</w:t>
      </w:r>
      <w:r w:rsidRPr="00B97F6F">
        <w:tab/>
        <w:t>Ouverture de la réunion</w:t>
      </w:r>
    </w:p>
    <w:p w14:paraId="255A8485" w14:textId="77777777" w:rsidR="002F6304" w:rsidRPr="00B97F6F" w:rsidRDefault="002F6304" w:rsidP="002F6304">
      <w:pPr>
        <w:pStyle w:val="enumlev1"/>
      </w:pPr>
      <w:r w:rsidRPr="00B97F6F">
        <w:t>2</w:t>
      </w:r>
      <w:r w:rsidRPr="00B97F6F">
        <w:tab/>
        <w:t>Adoption de l'ordre du jour</w:t>
      </w:r>
    </w:p>
    <w:p w14:paraId="1C9AA767" w14:textId="77777777" w:rsidR="002F6304" w:rsidRPr="00B97F6F" w:rsidRDefault="002F6304" w:rsidP="002F6304">
      <w:pPr>
        <w:pStyle w:val="enumlev1"/>
      </w:pPr>
      <w:r w:rsidRPr="00B97F6F">
        <w:t>3</w:t>
      </w:r>
      <w:r w:rsidRPr="00B97F6F">
        <w:tab/>
      </w:r>
      <w:bookmarkStart w:id="3" w:name="lt_pId105"/>
      <w:r w:rsidRPr="00B97F6F">
        <w:t>Examen des résultats des réunions précédentes de la CE 12 de rattachement et du groupe régional</w:t>
      </w:r>
      <w:bookmarkEnd w:id="3"/>
      <w:r w:rsidRPr="00B97F6F">
        <w:t>/point de la situation concernant la liste de tâches du Groupe SG12RG-AFR</w:t>
      </w:r>
    </w:p>
    <w:p w14:paraId="7414E006" w14:textId="77777777" w:rsidR="002F6304" w:rsidRPr="00B97F6F" w:rsidRDefault="002F6304" w:rsidP="002F6304">
      <w:pPr>
        <w:pStyle w:val="enumlev1"/>
      </w:pPr>
      <w:r w:rsidRPr="00B97F6F">
        <w:t>4</w:t>
      </w:r>
      <w:r w:rsidRPr="00B97F6F">
        <w:tab/>
        <w:t>Discussions techniques</w:t>
      </w:r>
    </w:p>
    <w:p w14:paraId="5FE33C91" w14:textId="77777777" w:rsidR="002F6304" w:rsidRPr="00B97F6F" w:rsidRDefault="002F6304" w:rsidP="002F6304">
      <w:pPr>
        <w:pStyle w:val="enumlev1"/>
      </w:pPr>
      <w:r w:rsidRPr="00B97F6F">
        <w:t>5</w:t>
      </w:r>
      <w:r w:rsidRPr="00B97F6F">
        <w:tab/>
      </w:r>
      <w:bookmarkStart w:id="4" w:name="lt_pId111"/>
      <w:r w:rsidRPr="00B97F6F">
        <w:t xml:space="preserve">Mise à jour de la liste de tâches du Groupe SG12RG-AFR/contributions du Groupe SG12RG-AFR et des Membres à la Commission d'études 12 de l'UIT-T en </w:t>
      </w:r>
      <w:bookmarkEnd w:id="4"/>
      <w:r w:rsidRPr="00B97F6F">
        <w:t>octobre 2021</w:t>
      </w:r>
    </w:p>
    <w:p w14:paraId="2B976037" w14:textId="77777777" w:rsidR="002F6304" w:rsidRPr="00B97F6F" w:rsidRDefault="002F6304" w:rsidP="002F6304">
      <w:pPr>
        <w:pStyle w:val="enumlev1"/>
      </w:pPr>
      <w:r w:rsidRPr="00B97F6F">
        <w:t>6</w:t>
      </w:r>
      <w:r w:rsidRPr="00B97F6F">
        <w:tab/>
      </w:r>
      <w:bookmarkStart w:id="5" w:name="lt_pId113"/>
      <w:r w:rsidRPr="00B97F6F">
        <w:t xml:space="preserve">Lieu et date de la prochaine réunion du Groupe SG12RG-AFR </w:t>
      </w:r>
      <w:bookmarkEnd w:id="5"/>
    </w:p>
    <w:p w14:paraId="6952FA24" w14:textId="77777777" w:rsidR="002F6304" w:rsidRPr="00B97F6F" w:rsidRDefault="002F6304" w:rsidP="002F6304">
      <w:pPr>
        <w:pStyle w:val="enumlev1"/>
      </w:pPr>
      <w:r w:rsidRPr="00B97F6F">
        <w:t>7</w:t>
      </w:r>
      <w:r w:rsidRPr="00B97F6F">
        <w:tab/>
        <w:t>Divers</w:t>
      </w:r>
    </w:p>
    <w:p w14:paraId="2F5320F4" w14:textId="02F008EB" w:rsidR="002F6304" w:rsidRDefault="002F6304" w:rsidP="002F6304">
      <w:pPr>
        <w:pStyle w:val="enumlev1"/>
      </w:pPr>
      <w:r w:rsidRPr="00B97F6F">
        <w:t>8</w:t>
      </w:r>
      <w:r w:rsidRPr="00B97F6F">
        <w:tab/>
        <w:t>Clôture de la réunion</w:t>
      </w:r>
    </w:p>
    <w:p w14:paraId="4D92DED6" w14:textId="77777777" w:rsidR="005B2419" w:rsidRPr="00B97F6F" w:rsidRDefault="005B2419" w:rsidP="002F6304">
      <w:pPr>
        <w:pStyle w:val="enumlev1"/>
      </w:pPr>
    </w:p>
    <w:p w14:paraId="44892BAC" w14:textId="18B561E9" w:rsidR="002F6304" w:rsidRPr="00B97F6F" w:rsidRDefault="002F6304" w:rsidP="00B97F6F">
      <w:pPr>
        <w:spacing w:before="360"/>
        <w:jc w:val="center"/>
      </w:pPr>
      <w:r w:rsidRPr="00B97F6F">
        <w:t>______________</w:t>
      </w:r>
    </w:p>
    <w:sectPr w:rsidR="002F6304" w:rsidRPr="00B97F6F" w:rsidSect="00B97F6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D35" w14:textId="77777777" w:rsidR="002F6304" w:rsidRDefault="002F6304">
      <w:r>
        <w:separator/>
      </w:r>
    </w:p>
  </w:endnote>
  <w:endnote w:type="continuationSeparator" w:id="0">
    <w:p w14:paraId="1EEAC657" w14:textId="77777777" w:rsidR="002F6304" w:rsidRDefault="002F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50" w14:textId="77777777" w:rsidR="00D520B1" w:rsidRDefault="00D52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1502" w14:textId="51164CF0" w:rsidR="00B97F6F" w:rsidRPr="00B97F6F" w:rsidRDefault="00B97F6F" w:rsidP="00B97F6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467" w14:textId="14AB9BEA" w:rsidR="00B97F6F" w:rsidRDefault="00B97F6F" w:rsidP="00B97F6F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BE8F" w14:textId="77777777" w:rsidR="002F6304" w:rsidRDefault="002F6304">
      <w:r>
        <w:t>____________________</w:t>
      </w:r>
    </w:p>
  </w:footnote>
  <w:footnote w:type="continuationSeparator" w:id="0">
    <w:p w14:paraId="630CA535" w14:textId="77777777" w:rsidR="002F6304" w:rsidRDefault="002F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0971" w14:textId="77777777" w:rsidR="00D520B1" w:rsidRDefault="00D52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77727" w14:textId="3DA79B76" w:rsidR="00B97F6F" w:rsidRPr="00185AC3" w:rsidRDefault="00B97F6F" w:rsidP="00B97F6F">
        <w:pPr>
          <w:pStyle w:val="Header"/>
          <w:rPr>
            <w:rFonts w:asciiTheme="minorHAnsi" w:hAnsiTheme="minorHAnsi"/>
            <w:sz w:val="18"/>
            <w:szCs w:val="18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- </w:t>
        </w:r>
        <w:r w:rsidRPr="00185AC3">
          <w:rPr>
            <w:rFonts w:asciiTheme="minorHAnsi" w:hAnsiTheme="minorHAnsi"/>
            <w:sz w:val="18"/>
            <w:szCs w:val="18"/>
          </w:rPr>
          <w:fldChar w:fldCharType="begin"/>
        </w:r>
        <w:r w:rsidRPr="00185AC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85AC3">
          <w:rPr>
            <w:rFonts w:asciiTheme="minorHAnsi" w:hAnsiTheme="minorHAnsi"/>
            <w:sz w:val="18"/>
            <w:szCs w:val="18"/>
          </w:rPr>
          <w:fldChar w:fldCharType="separate"/>
        </w:r>
        <w:r w:rsidR="00E13E99">
          <w:rPr>
            <w:rFonts w:asciiTheme="minorHAnsi" w:hAnsiTheme="minorHAnsi"/>
            <w:noProof/>
            <w:sz w:val="18"/>
            <w:szCs w:val="18"/>
          </w:rPr>
          <w:t>4</w:t>
        </w:r>
        <w:r w:rsidRPr="00185AC3">
          <w:rPr>
            <w:rFonts w:asciiTheme="minorHAnsi" w:hAnsiTheme="minorHAnsi"/>
            <w:sz w:val="18"/>
            <w:szCs w:val="18"/>
          </w:rPr>
          <w:fldChar w:fldCharType="end"/>
        </w:r>
        <w:r w:rsidRPr="00185AC3">
          <w:rPr>
            <w:rFonts w:asciiTheme="minorHAnsi" w:hAnsiTheme="minorHAnsi"/>
            <w:sz w:val="18"/>
            <w:szCs w:val="18"/>
          </w:rPr>
          <w:t xml:space="preserve"> -</w:t>
        </w:r>
      </w:p>
      <w:p w14:paraId="31DD038D" w14:textId="7890CC99" w:rsidR="00B97F6F" w:rsidRPr="00185AC3" w:rsidRDefault="00B97F6F">
        <w:pPr>
          <w:pStyle w:val="Header"/>
          <w:rPr>
            <w:noProof/>
            <w:sz w:val="18"/>
            <w:szCs w:val="18"/>
            <w:lang w:val="en-GB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Lettre collective </w:t>
        </w:r>
        <w:r w:rsidRPr="00185AC3">
          <w:rPr>
            <w:rFonts w:asciiTheme="minorHAnsi" w:hAnsiTheme="minorHAnsi"/>
            <w:sz w:val="18"/>
            <w:szCs w:val="18"/>
            <w:lang w:val="en-GB"/>
          </w:rPr>
          <w:t>5/SG12RG-AFR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F40" w14:textId="77777777" w:rsidR="00D520B1" w:rsidRDefault="00D52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0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85AC3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6304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513E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2419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7F6F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20B1"/>
    <w:rsid w:val="00D62807"/>
    <w:rsid w:val="00D67923"/>
    <w:rsid w:val="00DA2736"/>
    <w:rsid w:val="00DC2963"/>
    <w:rsid w:val="00DC3E6E"/>
    <w:rsid w:val="00DD5C00"/>
    <w:rsid w:val="00DD74DC"/>
    <w:rsid w:val="00DE022E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E99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5558F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4E1F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398568"/>
  <w15:docId w15:val="{ADDD4E6F-296F-490E-8F99-E0193C2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0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D520B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20B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20B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20B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20B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20B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20B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20B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20B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D520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20B1"/>
  </w:style>
  <w:style w:type="paragraph" w:styleId="TOC8">
    <w:name w:val="toc 8"/>
    <w:basedOn w:val="TOC3"/>
    <w:semiHidden/>
    <w:rsid w:val="00D520B1"/>
  </w:style>
  <w:style w:type="paragraph" w:styleId="TOC7">
    <w:name w:val="toc 7"/>
    <w:basedOn w:val="TOC3"/>
    <w:semiHidden/>
    <w:rsid w:val="00D520B1"/>
  </w:style>
  <w:style w:type="paragraph" w:styleId="TOC6">
    <w:name w:val="toc 6"/>
    <w:basedOn w:val="TOC3"/>
    <w:semiHidden/>
    <w:rsid w:val="00D520B1"/>
  </w:style>
  <w:style w:type="paragraph" w:styleId="TOC5">
    <w:name w:val="toc 5"/>
    <w:basedOn w:val="TOC3"/>
    <w:semiHidden/>
    <w:rsid w:val="00D520B1"/>
  </w:style>
  <w:style w:type="paragraph" w:styleId="TOC4">
    <w:name w:val="toc 4"/>
    <w:basedOn w:val="TOC3"/>
    <w:semiHidden/>
    <w:rsid w:val="00D520B1"/>
  </w:style>
  <w:style w:type="paragraph" w:styleId="TOC3">
    <w:name w:val="toc 3"/>
    <w:basedOn w:val="TOC2"/>
    <w:semiHidden/>
    <w:rsid w:val="00D520B1"/>
    <w:pPr>
      <w:spacing w:before="80"/>
    </w:pPr>
  </w:style>
  <w:style w:type="paragraph" w:styleId="TOC2">
    <w:name w:val="toc 2"/>
    <w:basedOn w:val="TOC1"/>
    <w:semiHidden/>
    <w:rsid w:val="00D520B1"/>
    <w:pPr>
      <w:spacing w:before="120"/>
    </w:pPr>
  </w:style>
  <w:style w:type="paragraph" w:styleId="TOC1">
    <w:name w:val="toc 1"/>
    <w:basedOn w:val="Normal"/>
    <w:semiHidden/>
    <w:rsid w:val="00D520B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20B1"/>
    <w:pPr>
      <w:ind w:left="1698"/>
    </w:pPr>
  </w:style>
  <w:style w:type="paragraph" w:styleId="Index6">
    <w:name w:val="index 6"/>
    <w:basedOn w:val="Normal"/>
    <w:next w:val="Normal"/>
    <w:semiHidden/>
    <w:rsid w:val="00D520B1"/>
    <w:pPr>
      <w:ind w:left="1415"/>
    </w:pPr>
  </w:style>
  <w:style w:type="paragraph" w:styleId="Index5">
    <w:name w:val="index 5"/>
    <w:basedOn w:val="Normal"/>
    <w:next w:val="Normal"/>
    <w:semiHidden/>
    <w:rsid w:val="00D520B1"/>
    <w:pPr>
      <w:ind w:left="1132"/>
    </w:pPr>
  </w:style>
  <w:style w:type="paragraph" w:styleId="Index4">
    <w:name w:val="index 4"/>
    <w:basedOn w:val="Normal"/>
    <w:next w:val="Normal"/>
    <w:semiHidden/>
    <w:rsid w:val="00D520B1"/>
    <w:pPr>
      <w:ind w:left="849"/>
    </w:pPr>
  </w:style>
  <w:style w:type="paragraph" w:styleId="Index3">
    <w:name w:val="index 3"/>
    <w:basedOn w:val="Normal"/>
    <w:next w:val="Normal"/>
    <w:semiHidden/>
    <w:rsid w:val="00D520B1"/>
    <w:pPr>
      <w:ind w:left="566"/>
    </w:pPr>
  </w:style>
  <w:style w:type="paragraph" w:styleId="Index2">
    <w:name w:val="index 2"/>
    <w:basedOn w:val="Normal"/>
    <w:next w:val="Normal"/>
    <w:semiHidden/>
    <w:rsid w:val="00D520B1"/>
    <w:pPr>
      <w:ind w:left="283"/>
    </w:pPr>
  </w:style>
  <w:style w:type="paragraph" w:styleId="Index1">
    <w:name w:val="index 1"/>
    <w:basedOn w:val="Normal"/>
    <w:next w:val="Normal"/>
    <w:semiHidden/>
    <w:rsid w:val="00D520B1"/>
  </w:style>
  <w:style w:type="character" w:styleId="LineNumber">
    <w:name w:val="line number"/>
    <w:basedOn w:val="DefaultParagraphFont"/>
    <w:rsid w:val="00D520B1"/>
  </w:style>
  <w:style w:type="paragraph" w:styleId="IndexHeading">
    <w:name w:val="index heading"/>
    <w:basedOn w:val="Normal"/>
    <w:next w:val="Index1"/>
    <w:semiHidden/>
    <w:rsid w:val="00D520B1"/>
  </w:style>
  <w:style w:type="paragraph" w:styleId="Footer">
    <w:name w:val="footer"/>
    <w:basedOn w:val="Normal"/>
    <w:link w:val="FooterChar"/>
    <w:rsid w:val="00D520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520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D520B1"/>
    <w:rPr>
      <w:position w:val="6"/>
      <w:sz w:val="16"/>
    </w:rPr>
  </w:style>
  <w:style w:type="paragraph" w:styleId="FootnoteText">
    <w:name w:val="footnote text"/>
    <w:basedOn w:val="Normal"/>
    <w:semiHidden/>
    <w:rsid w:val="00D520B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20B1"/>
    <w:pPr>
      <w:ind w:left="794"/>
    </w:pPr>
  </w:style>
  <w:style w:type="paragraph" w:customStyle="1" w:styleId="TableLegend">
    <w:name w:val="Table_Legend"/>
    <w:basedOn w:val="TableText"/>
    <w:rsid w:val="00D520B1"/>
    <w:pPr>
      <w:spacing w:before="120"/>
    </w:pPr>
  </w:style>
  <w:style w:type="paragraph" w:customStyle="1" w:styleId="TableText">
    <w:name w:val="Table_Text"/>
    <w:basedOn w:val="Normal"/>
    <w:rsid w:val="00D520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D520B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20B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20B1"/>
    <w:pPr>
      <w:spacing w:before="80"/>
      <w:ind w:left="794" w:hanging="794"/>
    </w:pPr>
  </w:style>
  <w:style w:type="paragraph" w:customStyle="1" w:styleId="enumlev2">
    <w:name w:val="enumlev2"/>
    <w:basedOn w:val="enumlev1"/>
    <w:rsid w:val="00D520B1"/>
    <w:pPr>
      <w:ind w:left="1191" w:hanging="397"/>
    </w:pPr>
  </w:style>
  <w:style w:type="paragraph" w:customStyle="1" w:styleId="enumlev3">
    <w:name w:val="enumlev3"/>
    <w:basedOn w:val="enumlev2"/>
    <w:rsid w:val="00D520B1"/>
    <w:pPr>
      <w:ind w:left="1588"/>
    </w:pPr>
  </w:style>
  <w:style w:type="paragraph" w:customStyle="1" w:styleId="TableHead">
    <w:name w:val="Table_Head"/>
    <w:basedOn w:val="TableText"/>
    <w:rsid w:val="00D520B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20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20B1"/>
    <w:pPr>
      <w:spacing w:before="480"/>
    </w:pPr>
  </w:style>
  <w:style w:type="paragraph" w:customStyle="1" w:styleId="FigureTitle">
    <w:name w:val="Figure_Title"/>
    <w:basedOn w:val="TableTitle"/>
    <w:next w:val="Normal"/>
    <w:rsid w:val="00D520B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20B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20B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520B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20B1"/>
  </w:style>
  <w:style w:type="paragraph" w:customStyle="1" w:styleId="AppendixRef">
    <w:name w:val="Appendix_Ref"/>
    <w:basedOn w:val="AnnexRef"/>
    <w:next w:val="AppendixTitle"/>
    <w:rsid w:val="00D520B1"/>
  </w:style>
  <w:style w:type="paragraph" w:customStyle="1" w:styleId="AppendixTitle">
    <w:name w:val="Appendix_Title"/>
    <w:basedOn w:val="AnnexTitle"/>
    <w:next w:val="Normal"/>
    <w:rsid w:val="00D520B1"/>
  </w:style>
  <w:style w:type="paragraph" w:customStyle="1" w:styleId="RefTitle">
    <w:name w:val="Ref_Title"/>
    <w:basedOn w:val="Normal"/>
    <w:next w:val="RefText"/>
    <w:rsid w:val="00D520B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20B1"/>
    <w:pPr>
      <w:ind w:left="794" w:hanging="794"/>
    </w:pPr>
  </w:style>
  <w:style w:type="paragraph" w:customStyle="1" w:styleId="Equation">
    <w:name w:val="Equation"/>
    <w:basedOn w:val="Normal"/>
    <w:rsid w:val="00D520B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20B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20B1"/>
    <w:pPr>
      <w:spacing w:before="320"/>
    </w:pPr>
  </w:style>
  <w:style w:type="paragraph" w:customStyle="1" w:styleId="call">
    <w:name w:val="call"/>
    <w:basedOn w:val="Normal"/>
    <w:next w:val="Normal"/>
    <w:rsid w:val="00D520B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20B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20B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20B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20B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20B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20B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20B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520B1"/>
  </w:style>
  <w:style w:type="paragraph" w:customStyle="1" w:styleId="ITUbureau">
    <w:name w:val="ITU_bureau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520B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520B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520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520B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20B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rsid w:val="00D520B1"/>
    <w:rPr>
      <w:color w:val="0000FF"/>
      <w:u w:val="single"/>
    </w:rPr>
  </w:style>
  <w:style w:type="paragraph" w:customStyle="1" w:styleId="Qlist">
    <w:name w:val="Qlist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20B1"/>
    <w:pPr>
      <w:tabs>
        <w:tab w:val="left" w:pos="397"/>
      </w:tabs>
    </w:pPr>
  </w:style>
  <w:style w:type="paragraph" w:customStyle="1" w:styleId="FirstFooter">
    <w:name w:val="FirstFooter"/>
    <w:basedOn w:val="Footer"/>
    <w:rsid w:val="00D520B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520B1"/>
  </w:style>
  <w:style w:type="paragraph" w:styleId="BodyText0">
    <w:name w:val="Body Text"/>
    <w:basedOn w:val="Normal"/>
    <w:rsid w:val="00D520B1"/>
    <w:pPr>
      <w:spacing w:after="120"/>
    </w:pPr>
  </w:style>
  <w:style w:type="character" w:styleId="PageNumber">
    <w:name w:val="page number"/>
    <w:basedOn w:val="DefaultParagraphFont"/>
    <w:rsid w:val="00D520B1"/>
  </w:style>
  <w:style w:type="paragraph" w:customStyle="1" w:styleId="AnnexNo">
    <w:name w:val="Annex_No"/>
    <w:basedOn w:val="Normal"/>
    <w:next w:val="Normal"/>
    <w:rsid w:val="00D520B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520B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D520B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520B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D52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20B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D520B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D520B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D520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520B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D520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D5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D520B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fr/ITU-T/studygroups/2017-2020/12/sg12rgafr/Pages/default.aspx" TargetMode="External"/><Relationship Id="rId18" Type="http://schemas.openxmlformats.org/officeDocument/2006/relationships/hyperlink" Target="mailto:tsbsg12rgafr@itu.i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2-210504-TD-GEN-1511/en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emote.itu.in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sg12rgafr@itu.int" TargetMode="External"/><Relationship Id="rId20" Type="http://schemas.openxmlformats.org/officeDocument/2006/relationships/hyperlink" Target="https://www.itu.int/en/ties-services/Pages/default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fso.itu.int/adfs/oauth2/authorize/?response_type=code&amp;client_id=58114f14-1b02-4e4b-ade5-8957aed29747&amp;state=UnNteFFyVWhEc2JzY1VTZWloMjVPLmdlWW5-MV9MZ1FtWEFJQW5ZU3gwMkRz&amp;redirect_uri=https%3A%2F%2Fwww.itu.int%2Fmyworkspace%2F&amp;scope=openid%20profile%20email%20allatclaims&amp;code_challenge=Jd7-DyoD1o9eybp-ht5v28HA7gg1Jbnc8JHXM_Pesxk&amp;code_challenge_method=S256&amp;nonce=UnNteFFyVWhEc2JzY1VTZWloMjVPLmdlWW5-MV9MZ1FtWEFJQW5ZU3gwMkRz" TargetMode="External"/><Relationship Id="rId24" Type="http://schemas.openxmlformats.org/officeDocument/2006/relationships/hyperlink" Target="https://www.itu.int/fr/ITU-T/studygroups/2017-2020/12/sg12rgafr/Pages/default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12/sg12rgafr/Pages/default.aspx" TargetMode="External"/><Relationship Id="rId23" Type="http://schemas.openxmlformats.org/officeDocument/2006/relationships/hyperlink" Target="https://www.itu.int/md/T17-TSB-CIR-0118/f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tu.int/go/sg12rgafr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s://itu.int/en/ITU-T/Workshops-and-Seminars/qos/" TargetMode="External"/><Relationship Id="rId22" Type="http://schemas.openxmlformats.org/officeDocument/2006/relationships/hyperlink" Target="https://www.itu.int/md/T17-TSB-CIR-0068/f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A868-0D66-48AD-A2AD-671FA253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26</TotalTime>
  <Pages>4</Pages>
  <Words>993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8136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Labare, Emmanuelle</cp:lastModifiedBy>
  <cp:revision>7</cp:revision>
  <cp:lastPrinted>2012-02-20T11:06:00Z</cp:lastPrinted>
  <dcterms:created xsi:type="dcterms:W3CDTF">2021-06-04T10:01:00Z</dcterms:created>
  <dcterms:modified xsi:type="dcterms:W3CDTF">2021-06-11T10:51:00Z</dcterms:modified>
</cp:coreProperties>
</file>