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F02FD8" w:rsidTr="00CB634F">
        <w:trPr>
          <w:cantSplit/>
        </w:trPr>
        <w:tc>
          <w:tcPr>
            <w:tcW w:w="1418" w:type="dxa"/>
            <w:vAlign w:val="center"/>
          </w:tcPr>
          <w:p w:rsidR="003E5F3C" w:rsidRPr="00F02FD8" w:rsidRDefault="003E5F3C" w:rsidP="00BE7F6B">
            <w:pPr>
              <w:tabs>
                <w:tab w:val="right" w:pos="8732"/>
              </w:tabs>
              <w:spacing w:before="0"/>
              <w:rPr>
                <w:rFonts w:asciiTheme="minorHAnsi" w:hAnsiTheme="minorHAnsi"/>
                <w:b/>
                <w:bCs/>
                <w:iCs/>
                <w:color w:val="FFFFFF"/>
                <w:sz w:val="30"/>
                <w:szCs w:val="30"/>
              </w:rPr>
            </w:pPr>
            <w:bookmarkStart w:id="0" w:name="ditulogo"/>
            <w:bookmarkStart w:id="1" w:name="_GoBack"/>
            <w:bookmarkEnd w:id="0"/>
            <w:bookmarkEnd w:id="1"/>
            <w:r w:rsidRPr="00F02FD8">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02FD8" w:rsidRDefault="003E5F3C" w:rsidP="00BE7F6B">
            <w:pPr>
              <w:spacing w:before="0"/>
              <w:rPr>
                <w:rFonts w:asciiTheme="minorHAnsi" w:hAnsiTheme="minorHAnsi" w:cs="Times New Roman Bold"/>
                <w:b/>
                <w:bCs/>
                <w:iCs/>
                <w:smallCaps/>
                <w:sz w:val="34"/>
                <w:szCs w:val="34"/>
              </w:rPr>
            </w:pPr>
            <w:r w:rsidRPr="00F02FD8">
              <w:rPr>
                <w:rFonts w:asciiTheme="minorHAnsi" w:hAnsiTheme="minorHAnsi" w:cs="Times New Roman Bold"/>
                <w:b/>
                <w:bCs/>
                <w:iCs/>
                <w:smallCaps/>
                <w:sz w:val="34"/>
                <w:szCs w:val="34"/>
              </w:rPr>
              <w:t>Union internationale des télécommunications</w:t>
            </w:r>
          </w:p>
          <w:p w:rsidR="003E5F3C" w:rsidRPr="00F02FD8" w:rsidRDefault="003E5F3C" w:rsidP="00BE7F6B">
            <w:pPr>
              <w:tabs>
                <w:tab w:val="right" w:pos="8732"/>
              </w:tabs>
              <w:spacing w:before="0"/>
              <w:rPr>
                <w:rFonts w:asciiTheme="minorHAnsi" w:hAnsiTheme="minorHAnsi"/>
                <w:b/>
                <w:bCs/>
                <w:iCs/>
                <w:color w:val="FFFFFF"/>
                <w:sz w:val="30"/>
                <w:szCs w:val="30"/>
              </w:rPr>
            </w:pPr>
            <w:r w:rsidRPr="00F02FD8">
              <w:rPr>
                <w:rFonts w:asciiTheme="minorHAnsi" w:hAnsiTheme="minorHAnsi" w:cs="Times New Roman Bold"/>
                <w:b/>
                <w:bCs/>
                <w:iCs/>
                <w:smallCaps/>
                <w:sz w:val="28"/>
                <w:szCs w:val="28"/>
              </w:rPr>
              <w:t>B</w:t>
            </w:r>
            <w:r w:rsidRPr="00F02FD8">
              <w:rPr>
                <w:rFonts w:asciiTheme="minorHAnsi" w:hAnsiTheme="minorHAnsi"/>
                <w:b/>
                <w:bCs/>
                <w:iCs/>
                <w:smallCaps/>
                <w:sz w:val="28"/>
                <w:szCs w:val="28"/>
              </w:rPr>
              <w:t>ureau de la Normalisation des Télécommunications</w:t>
            </w:r>
          </w:p>
        </w:tc>
        <w:tc>
          <w:tcPr>
            <w:tcW w:w="1984" w:type="dxa"/>
            <w:vAlign w:val="center"/>
          </w:tcPr>
          <w:p w:rsidR="003E5F3C" w:rsidRPr="00F02FD8" w:rsidRDefault="003E5F3C" w:rsidP="00BE7F6B">
            <w:pPr>
              <w:spacing w:before="0"/>
              <w:jc w:val="right"/>
              <w:rPr>
                <w:rFonts w:asciiTheme="minorHAnsi" w:hAnsiTheme="minorHAnsi"/>
                <w:color w:val="FFFFFF"/>
                <w:sz w:val="26"/>
                <w:szCs w:val="26"/>
              </w:rPr>
            </w:pPr>
          </w:p>
        </w:tc>
      </w:tr>
    </w:tbl>
    <w:p w:rsidR="003E5F3C" w:rsidRPr="00F02FD8" w:rsidRDefault="003E5F3C" w:rsidP="00BE7F6B">
      <w:pPr>
        <w:tabs>
          <w:tab w:val="clear" w:pos="794"/>
          <w:tab w:val="clear" w:pos="1191"/>
          <w:tab w:val="clear" w:pos="1588"/>
          <w:tab w:val="clear" w:pos="1985"/>
          <w:tab w:val="left" w:pos="4962"/>
        </w:tabs>
        <w:spacing w:before="0"/>
        <w:rPr>
          <w:rFonts w:asciiTheme="minorHAnsi" w:hAnsiTheme="minorHAnsi"/>
        </w:rPr>
      </w:pPr>
    </w:p>
    <w:p w:rsidR="00AC5975" w:rsidRPr="00F02FD8" w:rsidRDefault="00AC5975" w:rsidP="00BE7F6B">
      <w:pPr>
        <w:tabs>
          <w:tab w:val="clear" w:pos="794"/>
          <w:tab w:val="clear" w:pos="1191"/>
          <w:tab w:val="clear" w:pos="1588"/>
          <w:tab w:val="clear" w:pos="1985"/>
          <w:tab w:val="left" w:pos="4962"/>
        </w:tabs>
        <w:rPr>
          <w:rFonts w:asciiTheme="minorHAnsi" w:hAnsiTheme="minorHAnsi"/>
        </w:rPr>
      </w:pPr>
      <w:r w:rsidRPr="00F02FD8">
        <w:rPr>
          <w:rFonts w:asciiTheme="minorHAnsi" w:hAnsiTheme="minorHAnsi"/>
        </w:rPr>
        <w:tab/>
        <w:t>Genève, le</w:t>
      </w:r>
      <w:r w:rsidR="00E06BB6" w:rsidRPr="00F02FD8">
        <w:rPr>
          <w:rFonts w:asciiTheme="minorHAnsi" w:hAnsiTheme="minorHAnsi"/>
        </w:rPr>
        <w:t xml:space="preserve"> 28 février 2017</w:t>
      </w:r>
    </w:p>
    <w:p w:rsidR="00AC5975" w:rsidRPr="00F02FD8" w:rsidRDefault="00AC5975" w:rsidP="00BE7F6B">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716B5F" w:rsidRPr="00F02FD8" w:rsidTr="00E77BEC">
        <w:trPr>
          <w:cantSplit/>
          <w:trHeight w:val="340"/>
        </w:trPr>
        <w:tc>
          <w:tcPr>
            <w:tcW w:w="822" w:type="dxa"/>
          </w:tcPr>
          <w:p w:rsidR="00716B5F" w:rsidRPr="00A16C9F" w:rsidRDefault="00716B5F" w:rsidP="00BE7F6B">
            <w:pPr>
              <w:tabs>
                <w:tab w:val="left" w:pos="4111"/>
              </w:tabs>
              <w:spacing w:before="10"/>
              <w:ind w:left="57"/>
              <w:rPr>
                <w:rFonts w:asciiTheme="minorHAnsi" w:hAnsiTheme="minorHAnsi"/>
                <w:szCs w:val="24"/>
              </w:rPr>
            </w:pPr>
            <w:r w:rsidRPr="00A16C9F">
              <w:rPr>
                <w:rFonts w:asciiTheme="minorHAnsi" w:hAnsiTheme="minorHAnsi"/>
                <w:szCs w:val="24"/>
              </w:rPr>
              <w:t>Réf.:</w:t>
            </w:r>
          </w:p>
        </w:tc>
        <w:tc>
          <w:tcPr>
            <w:tcW w:w="4055" w:type="dxa"/>
          </w:tcPr>
          <w:p w:rsidR="00716B5F" w:rsidRPr="00A16C9F" w:rsidRDefault="00716B5F" w:rsidP="00BE7F6B">
            <w:pPr>
              <w:tabs>
                <w:tab w:val="left" w:pos="4111"/>
              </w:tabs>
              <w:spacing w:before="0"/>
              <w:ind w:left="57"/>
              <w:rPr>
                <w:rFonts w:asciiTheme="minorHAnsi" w:hAnsiTheme="minorHAnsi"/>
                <w:b/>
                <w:szCs w:val="24"/>
              </w:rPr>
            </w:pPr>
            <w:r w:rsidRPr="00A16C9F">
              <w:rPr>
                <w:rFonts w:asciiTheme="minorHAnsi" w:hAnsiTheme="minorHAnsi"/>
                <w:b/>
                <w:szCs w:val="24"/>
              </w:rPr>
              <w:t>Addendum 1 aux</w:t>
            </w:r>
          </w:p>
          <w:p w:rsidR="00716B5F" w:rsidRPr="00A16C9F" w:rsidRDefault="00716B5F" w:rsidP="00BE7F6B">
            <w:pPr>
              <w:tabs>
                <w:tab w:val="left" w:pos="4111"/>
              </w:tabs>
              <w:spacing w:before="0"/>
              <w:ind w:left="57"/>
              <w:rPr>
                <w:rFonts w:asciiTheme="minorHAnsi" w:hAnsiTheme="minorHAnsi"/>
                <w:b/>
                <w:szCs w:val="24"/>
              </w:rPr>
            </w:pPr>
            <w:r w:rsidRPr="00A16C9F">
              <w:rPr>
                <w:rFonts w:asciiTheme="minorHAnsi" w:hAnsiTheme="minorHAnsi"/>
                <w:b/>
                <w:szCs w:val="24"/>
              </w:rPr>
              <w:t>Lettre collective TSB 1/SG11RG-AFR</w:t>
            </w:r>
          </w:p>
          <w:p w:rsidR="00716B5F" w:rsidRPr="00A16C9F" w:rsidRDefault="00716B5F" w:rsidP="00CB4B39">
            <w:pPr>
              <w:tabs>
                <w:tab w:val="left" w:pos="4111"/>
              </w:tabs>
              <w:spacing w:before="40" w:after="40"/>
              <w:ind w:left="57"/>
              <w:rPr>
                <w:rFonts w:asciiTheme="minorHAnsi" w:hAnsiTheme="minorHAnsi"/>
                <w:b/>
                <w:szCs w:val="24"/>
              </w:rPr>
            </w:pPr>
            <w:r w:rsidRPr="00A16C9F">
              <w:rPr>
                <w:rFonts w:asciiTheme="minorHAnsi" w:hAnsiTheme="minorHAnsi"/>
                <w:b/>
                <w:szCs w:val="24"/>
              </w:rPr>
              <w:t>Lettre collective TSB 1/SG13RG-AFR</w:t>
            </w:r>
          </w:p>
        </w:tc>
        <w:tc>
          <w:tcPr>
            <w:tcW w:w="4762" w:type="dxa"/>
            <w:gridSpan w:val="2"/>
            <w:vMerge w:val="restart"/>
          </w:tcPr>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 xml:space="preserve">Aux administrations des Etats Membres de l'Union; </w:t>
            </w:r>
          </w:p>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 xml:space="preserve">aux Membres du Secteur UIT-T; </w:t>
            </w:r>
          </w:p>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aux Associés de l'UIT-T participant aux travaux des Commissions d'études 11 et 13;</w:t>
            </w:r>
          </w:p>
          <w:p w:rsidR="00716B5F" w:rsidRDefault="00716B5F"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aux établissements universitaires participant au</w:t>
            </w:r>
            <w:r w:rsidR="005B330C">
              <w:rPr>
                <w:rFonts w:asciiTheme="minorHAnsi" w:hAnsiTheme="minorHAnsi"/>
                <w:szCs w:val="24"/>
              </w:rPr>
              <w:t>x travaux de l'UIT</w:t>
            </w:r>
            <w:r w:rsidRPr="00A16C9F">
              <w:rPr>
                <w:rFonts w:asciiTheme="minorHAnsi" w:hAnsiTheme="minorHAnsi"/>
                <w:szCs w:val="24"/>
              </w:rPr>
              <w:t>;</w:t>
            </w:r>
          </w:p>
          <w:p w:rsid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à l'Union africaine des télécommunications;</w:t>
            </w:r>
          </w:p>
          <w:p w:rsid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 Bureau régional de l'UIT pour l'Afrique;</w:t>
            </w:r>
          </w:p>
          <w:p w:rsid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au Bureau régional de l'UIT pour les Etats arabes;</w:t>
            </w:r>
          </w:p>
          <w:p w:rsidR="00716B5F" w:rsidRPr="008315FC" w:rsidRDefault="008315FC" w:rsidP="00BE7F6B">
            <w:pPr>
              <w:spacing w:before="0"/>
              <w:ind w:left="226" w:hanging="169"/>
              <w:rPr>
                <w:rFonts w:asciiTheme="minorHAnsi" w:hAnsiTheme="minorHAnsi"/>
                <w:szCs w:val="24"/>
              </w:rPr>
            </w:pPr>
            <w:r w:rsidRPr="00A16C9F">
              <w:rPr>
                <w:rFonts w:asciiTheme="minorHAnsi" w:hAnsiTheme="minorHAnsi"/>
                <w:szCs w:val="24"/>
              </w:rPr>
              <w:t>–</w:t>
            </w:r>
            <w:r w:rsidRPr="00A16C9F">
              <w:rPr>
                <w:rFonts w:asciiTheme="minorHAnsi" w:hAnsiTheme="minorHAnsi"/>
                <w:szCs w:val="24"/>
              </w:rPr>
              <w:tab/>
              <w:t>à la Ligue des Etats arabes</w:t>
            </w:r>
          </w:p>
        </w:tc>
      </w:tr>
      <w:tr w:rsidR="00716B5F" w:rsidRPr="00F02FD8" w:rsidTr="00E77BEC">
        <w:trPr>
          <w:cantSplit/>
        </w:trPr>
        <w:tc>
          <w:tcPr>
            <w:tcW w:w="822" w:type="dxa"/>
          </w:tcPr>
          <w:p w:rsidR="00716B5F" w:rsidRPr="00A16C9F" w:rsidRDefault="00716B5F" w:rsidP="00BE7F6B">
            <w:pPr>
              <w:tabs>
                <w:tab w:val="left" w:pos="4111"/>
              </w:tabs>
              <w:spacing w:before="10"/>
              <w:ind w:left="57"/>
              <w:rPr>
                <w:rFonts w:asciiTheme="minorHAnsi" w:hAnsiTheme="minorHAnsi"/>
                <w:szCs w:val="24"/>
              </w:rPr>
            </w:pPr>
            <w:r w:rsidRPr="00A16C9F">
              <w:rPr>
                <w:rFonts w:asciiTheme="minorHAnsi" w:hAnsiTheme="minorHAnsi"/>
                <w:szCs w:val="24"/>
              </w:rPr>
              <w:t>Tél.:</w:t>
            </w:r>
          </w:p>
        </w:tc>
        <w:tc>
          <w:tcPr>
            <w:tcW w:w="4055" w:type="dxa"/>
          </w:tcPr>
          <w:p w:rsidR="00716B5F" w:rsidRPr="00A16C9F" w:rsidRDefault="00716B5F" w:rsidP="00BE7F6B">
            <w:pPr>
              <w:tabs>
                <w:tab w:val="left" w:pos="4111"/>
              </w:tabs>
              <w:spacing w:before="0"/>
              <w:ind w:left="57"/>
              <w:rPr>
                <w:rFonts w:asciiTheme="minorHAnsi" w:hAnsiTheme="minorHAnsi"/>
                <w:szCs w:val="24"/>
              </w:rPr>
            </w:pPr>
            <w:r w:rsidRPr="00A16C9F">
              <w:rPr>
                <w:rFonts w:asciiTheme="minorHAnsi" w:hAnsiTheme="minorHAnsi"/>
                <w:szCs w:val="24"/>
              </w:rPr>
              <w:t>+41 22 730 5126/5780</w:t>
            </w:r>
          </w:p>
        </w:tc>
        <w:tc>
          <w:tcPr>
            <w:tcW w:w="4762" w:type="dxa"/>
            <w:gridSpan w:val="2"/>
            <w:vMerge/>
          </w:tcPr>
          <w:p w:rsidR="00716B5F" w:rsidRPr="00A16C9F" w:rsidRDefault="00716B5F" w:rsidP="00BE7F6B">
            <w:pPr>
              <w:spacing w:before="0"/>
              <w:ind w:left="226" w:hanging="169"/>
              <w:rPr>
                <w:rFonts w:asciiTheme="minorHAnsi" w:hAnsiTheme="minorHAnsi"/>
                <w:szCs w:val="24"/>
              </w:rPr>
            </w:pPr>
          </w:p>
        </w:tc>
      </w:tr>
      <w:tr w:rsidR="00716B5F" w:rsidRPr="00F02FD8" w:rsidTr="00E77BEC">
        <w:trPr>
          <w:cantSplit/>
        </w:trPr>
        <w:tc>
          <w:tcPr>
            <w:tcW w:w="822" w:type="dxa"/>
          </w:tcPr>
          <w:p w:rsidR="00716B5F" w:rsidRPr="00A16C9F" w:rsidRDefault="00716B5F" w:rsidP="00BE7F6B">
            <w:pPr>
              <w:tabs>
                <w:tab w:val="left" w:pos="4111"/>
              </w:tabs>
              <w:spacing w:before="0"/>
              <w:ind w:left="57"/>
              <w:rPr>
                <w:rFonts w:asciiTheme="minorHAnsi" w:hAnsiTheme="minorHAnsi"/>
                <w:szCs w:val="24"/>
              </w:rPr>
            </w:pPr>
            <w:r w:rsidRPr="00A16C9F">
              <w:rPr>
                <w:rFonts w:asciiTheme="minorHAnsi" w:hAnsiTheme="minorHAnsi"/>
                <w:szCs w:val="24"/>
              </w:rPr>
              <w:t>Fax:</w:t>
            </w:r>
            <w:r w:rsidRPr="00A16C9F">
              <w:rPr>
                <w:rFonts w:asciiTheme="minorHAnsi" w:hAnsiTheme="minorHAnsi"/>
                <w:szCs w:val="24"/>
              </w:rPr>
              <w:br/>
              <w:t>E-mail:</w:t>
            </w:r>
          </w:p>
        </w:tc>
        <w:tc>
          <w:tcPr>
            <w:tcW w:w="4055" w:type="dxa"/>
          </w:tcPr>
          <w:p w:rsidR="00716B5F" w:rsidRPr="00A16C9F" w:rsidRDefault="00716B5F" w:rsidP="00BE7F6B">
            <w:pPr>
              <w:tabs>
                <w:tab w:val="left" w:pos="4111"/>
              </w:tabs>
              <w:spacing w:before="0"/>
              <w:ind w:left="57"/>
              <w:rPr>
                <w:rFonts w:asciiTheme="minorHAnsi" w:hAnsiTheme="minorHAnsi"/>
                <w:szCs w:val="24"/>
              </w:rPr>
            </w:pPr>
            <w:r w:rsidRPr="00A16C9F">
              <w:rPr>
                <w:rFonts w:asciiTheme="minorHAnsi" w:hAnsiTheme="minorHAnsi"/>
                <w:szCs w:val="24"/>
              </w:rPr>
              <w:t>+41 22 730 5853</w:t>
            </w:r>
            <w:r w:rsidRPr="00A16C9F">
              <w:rPr>
                <w:rFonts w:asciiTheme="minorHAnsi" w:hAnsiTheme="minorHAnsi"/>
                <w:szCs w:val="24"/>
              </w:rPr>
              <w:br/>
            </w:r>
            <w:hyperlink r:id="rId9" w:history="1">
              <w:r w:rsidRPr="00A16C9F">
                <w:rPr>
                  <w:rStyle w:val="Hyperlink"/>
                  <w:rFonts w:asciiTheme="minorHAnsi" w:hAnsiTheme="minorHAnsi"/>
                  <w:szCs w:val="24"/>
                </w:rPr>
                <w:t>tsbsg11@itu.int</w:t>
              </w:r>
            </w:hyperlink>
            <w:r w:rsidRPr="00A16C9F">
              <w:rPr>
                <w:szCs w:val="24"/>
              </w:rPr>
              <w:t xml:space="preserve">; </w:t>
            </w:r>
            <w:hyperlink r:id="rId10" w:history="1">
              <w:r w:rsidRPr="00A16C9F">
                <w:rPr>
                  <w:rStyle w:val="Hyperlink"/>
                  <w:rFonts w:asciiTheme="minorHAnsi" w:hAnsiTheme="minorHAnsi"/>
                  <w:szCs w:val="24"/>
                </w:rPr>
                <w:t>tsbsg13@itu.int</w:t>
              </w:r>
            </w:hyperlink>
          </w:p>
        </w:tc>
        <w:tc>
          <w:tcPr>
            <w:tcW w:w="4762" w:type="dxa"/>
            <w:gridSpan w:val="2"/>
            <w:vMerge/>
          </w:tcPr>
          <w:p w:rsidR="00716B5F" w:rsidRPr="00A16C9F" w:rsidRDefault="00716B5F" w:rsidP="00BE7F6B">
            <w:pPr>
              <w:tabs>
                <w:tab w:val="clear" w:pos="794"/>
                <w:tab w:val="clear" w:pos="1191"/>
                <w:tab w:val="clear" w:pos="1588"/>
                <w:tab w:val="clear" w:pos="1985"/>
              </w:tabs>
              <w:spacing w:before="0"/>
              <w:ind w:left="226" w:hanging="169"/>
              <w:rPr>
                <w:rFonts w:asciiTheme="minorHAnsi" w:hAnsiTheme="minorHAnsi"/>
                <w:szCs w:val="24"/>
              </w:rPr>
            </w:pPr>
          </w:p>
        </w:tc>
      </w:tr>
      <w:tr w:rsidR="00AC5975" w:rsidRPr="00F02FD8" w:rsidTr="00A40FAD">
        <w:trPr>
          <w:gridAfter w:val="1"/>
          <w:wAfter w:w="8" w:type="dxa"/>
          <w:cantSplit/>
        </w:trPr>
        <w:tc>
          <w:tcPr>
            <w:tcW w:w="822" w:type="dxa"/>
          </w:tcPr>
          <w:p w:rsidR="00AC5975" w:rsidRPr="00A16C9F" w:rsidRDefault="00AC5975" w:rsidP="00BE7F6B">
            <w:pPr>
              <w:tabs>
                <w:tab w:val="left" w:pos="4111"/>
              </w:tabs>
              <w:ind w:left="57"/>
              <w:rPr>
                <w:rFonts w:asciiTheme="minorHAnsi" w:hAnsiTheme="minorHAnsi"/>
                <w:szCs w:val="24"/>
              </w:rPr>
            </w:pPr>
            <w:r w:rsidRPr="00A16C9F">
              <w:rPr>
                <w:rFonts w:asciiTheme="minorHAnsi" w:hAnsiTheme="minorHAnsi"/>
                <w:szCs w:val="24"/>
              </w:rPr>
              <w:t>Objet:</w:t>
            </w:r>
          </w:p>
        </w:tc>
        <w:tc>
          <w:tcPr>
            <w:tcW w:w="8809" w:type="dxa"/>
            <w:gridSpan w:val="2"/>
          </w:tcPr>
          <w:p w:rsidR="00AC5975" w:rsidRPr="00A16C9F" w:rsidRDefault="00AC5975" w:rsidP="00BE7F6B">
            <w:pPr>
              <w:tabs>
                <w:tab w:val="left" w:pos="4111"/>
              </w:tabs>
              <w:spacing w:after="120"/>
              <w:ind w:left="57"/>
              <w:rPr>
                <w:rFonts w:asciiTheme="minorHAnsi" w:hAnsiTheme="minorHAnsi"/>
                <w:szCs w:val="24"/>
              </w:rPr>
            </w:pPr>
            <w:r w:rsidRPr="00A16C9F">
              <w:rPr>
                <w:rFonts w:asciiTheme="minorHAnsi" w:hAnsiTheme="minorHAnsi"/>
                <w:b/>
                <w:bCs/>
                <w:szCs w:val="24"/>
              </w:rPr>
              <w:t>Réunio</w:t>
            </w:r>
            <w:r w:rsidR="00716B5F" w:rsidRPr="00A16C9F">
              <w:rPr>
                <w:rFonts w:asciiTheme="minorHAnsi" w:hAnsiTheme="minorHAnsi"/>
                <w:b/>
                <w:bCs/>
                <w:szCs w:val="24"/>
              </w:rPr>
              <w:t>ns du Groupe régional pour l'Afrique de la Commission d'études 11 de l'UIT</w:t>
            </w:r>
            <w:r w:rsidR="00716B5F" w:rsidRPr="00A16C9F">
              <w:rPr>
                <w:rFonts w:asciiTheme="minorHAnsi" w:hAnsiTheme="minorHAnsi"/>
                <w:b/>
                <w:bCs/>
                <w:szCs w:val="24"/>
              </w:rPr>
              <w:noBreakHyphen/>
              <w:t>T (SG11RG-AFR) et du Groupe régional pour l'Afrique de la Commission d'études 13 de l'UIT</w:t>
            </w:r>
            <w:r w:rsidR="00716B5F" w:rsidRPr="00A16C9F">
              <w:rPr>
                <w:rFonts w:asciiTheme="minorHAnsi" w:hAnsiTheme="minorHAnsi"/>
                <w:b/>
                <w:bCs/>
                <w:szCs w:val="24"/>
              </w:rPr>
              <w:noBreakHyphen/>
              <w:t>T (SG13RG-AFR) et formation pratique sur la réduction de l'écart en matière de normalisation; Le Caire (Egypte)</w:t>
            </w:r>
            <w:r w:rsidRPr="00A16C9F">
              <w:rPr>
                <w:rFonts w:asciiTheme="minorHAnsi" w:hAnsiTheme="minorHAnsi"/>
                <w:b/>
                <w:bCs/>
                <w:szCs w:val="24"/>
              </w:rPr>
              <w:t>,</w:t>
            </w:r>
            <w:r w:rsidRPr="00A16C9F">
              <w:rPr>
                <w:rFonts w:asciiTheme="minorHAnsi" w:hAnsiTheme="minorHAnsi"/>
                <w:szCs w:val="24"/>
              </w:rPr>
              <w:t xml:space="preserve"> </w:t>
            </w:r>
            <w:r w:rsidR="00716B5F" w:rsidRPr="00A16C9F">
              <w:rPr>
                <w:rFonts w:asciiTheme="minorHAnsi" w:hAnsiTheme="minorHAnsi"/>
                <w:b/>
                <w:bCs/>
                <w:szCs w:val="24"/>
              </w:rPr>
              <w:t>2-6 avril 2017</w:t>
            </w:r>
          </w:p>
        </w:tc>
      </w:tr>
    </w:tbl>
    <w:p w:rsidR="00AC5975" w:rsidRPr="00F02FD8" w:rsidRDefault="00AC5975" w:rsidP="00BE7F6B">
      <w:pPr>
        <w:pStyle w:val="ITUintr"/>
        <w:tabs>
          <w:tab w:val="clear" w:pos="737"/>
          <w:tab w:val="clear" w:pos="1134"/>
          <w:tab w:val="left" w:pos="794"/>
        </w:tabs>
        <w:spacing w:before="360"/>
        <w:ind w:right="91"/>
        <w:rPr>
          <w:rFonts w:asciiTheme="minorHAnsi" w:hAnsiTheme="minorHAnsi"/>
          <w:sz w:val="24"/>
        </w:rPr>
      </w:pPr>
      <w:r w:rsidRPr="00F02FD8">
        <w:rPr>
          <w:rFonts w:asciiTheme="minorHAnsi" w:hAnsiTheme="minorHAnsi"/>
          <w:sz w:val="24"/>
        </w:rPr>
        <w:t>Madame, Monsieur,</w:t>
      </w:r>
    </w:p>
    <w:p w:rsidR="00716B5F" w:rsidRPr="00F02FD8" w:rsidRDefault="00716B5F" w:rsidP="00BE7F6B">
      <w:pPr>
        <w:rPr>
          <w:rFonts w:asciiTheme="minorHAnsi" w:hAnsiTheme="minorHAnsi"/>
        </w:rPr>
      </w:pPr>
      <w:bookmarkStart w:id="2" w:name="suitetext"/>
      <w:bookmarkEnd w:id="2"/>
      <w:r w:rsidRPr="00F02FD8">
        <w:rPr>
          <w:rFonts w:asciiTheme="minorHAnsi" w:hAnsiTheme="minorHAnsi"/>
          <w:bCs/>
        </w:rPr>
        <w:t>1</w:t>
      </w:r>
      <w:r w:rsidRPr="00F02FD8">
        <w:rPr>
          <w:rFonts w:asciiTheme="minorHAnsi" w:hAnsiTheme="minorHAnsi"/>
        </w:rPr>
        <w:tab/>
        <w:t xml:space="preserve">Comme suite à la Lettre collective 1/SG11RG-AFR et à la Lettre </w:t>
      </w:r>
      <w:r w:rsidR="00464610">
        <w:rPr>
          <w:rFonts w:asciiTheme="minorHAnsi" w:hAnsiTheme="minorHAnsi"/>
        </w:rPr>
        <w:t>collective 1/SG13RG-AFR du </w:t>
      </w:r>
      <w:r w:rsidRPr="00F02FD8">
        <w:rPr>
          <w:rFonts w:asciiTheme="minorHAnsi" w:hAnsiTheme="minorHAnsi"/>
        </w:rPr>
        <w:t>3 février 2017, je vous prie de trouver ci-joint des informations complémentaires concernant les réunions du Groupe régional pour l'Afrique de la Commission d'études 11 de l'UIT-T (SG11RG-AFR) et du Groupe régional pour l'Afrique de la Commission d'études 13 de l'UIT-T (SG13RG-AFR) et la formation pratique sur la réduction de l'écart en matière de normalisation, qui se tiendront au Caire (</w:t>
      </w:r>
      <w:r w:rsidR="00E06BB6" w:rsidRPr="00F02FD8">
        <w:rPr>
          <w:rFonts w:asciiTheme="minorHAnsi" w:hAnsiTheme="minorHAnsi"/>
        </w:rPr>
        <w:t>E</w:t>
      </w:r>
      <w:r w:rsidRPr="00F02FD8">
        <w:rPr>
          <w:rFonts w:asciiTheme="minorHAnsi" w:hAnsiTheme="minorHAnsi"/>
        </w:rPr>
        <w:t>gypte) du 2 au 6 avril 2017.</w:t>
      </w:r>
    </w:p>
    <w:p w:rsidR="00716B5F" w:rsidRPr="00F02FD8" w:rsidRDefault="00716B5F" w:rsidP="00BE7F6B">
      <w:pPr>
        <w:rPr>
          <w:rFonts w:asciiTheme="minorHAnsi" w:hAnsiTheme="minorHAnsi"/>
          <w:bCs/>
        </w:rPr>
      </w:pPr>
      <w:r w:rsidRPr="00F02FD8">
        <w:rPr>
          <w:rFonts w:asciiTheme="minorHAnsi" w:hAnsiTheme="minorHAnsi"/>
        </w:rPr>
        <w:t>2</w:t>
      </w:r>
      <w:r w:rsidRPr="00F02FD8">
        <w:rPr>
          <w:rFonts w:asciiTheme="minorHAnsi" w:hAnsiTheme="minorHAnsi"/>
        </w:rPr>
        <w:tab/>
        <w:t>Vous trouverez à l'</w:t>
      </w:r>
      <w:r w:rsidRPr="00F02FD8">
        <w:rPr>
          <w:rFonts w:asciiTheme="minorHAnsi" w:hAnsiTheme="minorHAnsi"/>
          <w:b/>
          <w:bCs/>
        </w:rPr>
        <w:t>Annexe 1</w:t>
      </w:r>
      <w:r w:rsidR="00E06BB6" w:rsidRPr="00F02FD8">
        <w:rPr>
          <w:rFonts w:asciiTheme="minorHAnsi" w:hAnsiTheme="minorHAnsi"/>
        </w:rPr>
        <w:t xml:space="preserve"> d</w:t>
      </w:r>
      <w:r w:rsidRPr="00F02FD8">
        <w:rPr>
          <w:rFonts w:asciiTheme="minorHAnsi" w:hAnsiTheme="minorHAnsi"/>
        </w:rPr>
        <w:t xml:space="preserve">es informations pratiques communiquées par l'organisme hôte. </w:t>
      </w:r>
    </w:p>
    <w:p w:rsidR="00251CB1" w:rsidRDefault="00251CB1" w:rsidP="00BE7F6B">
      <w:pPr>
        <w:rPr>
          <w:rFonts w:asciiTheme="minorHAnsi" w:hAnsiTheme="minorHAnsi"/>
        </w:rPr>
      </w:pPr>
      <w:r w:rsidRPr="00F02FD8">
        <w:rPr>
          <w:rFonts w:asciiTheme="minorHAnsi" w:hAnsiTheme="minorHAnsi"/>
        </w:rPr>
        <w:t>Veuillez agréer, Madame, Monsieur, l'assurance de ma considération distinguée.</w:t>
      </w:r>
    </w:p>
    <w:p w:rsidR="003C7DF3" w:rsidRDefault="003C7DF3" w:rsidP="00BE7F6B">
      <w:pPr>
        <w:rPr>
          <w:rFonts w:asciiTheme="minorHAnsi" w:hAnsiTheme="minorHAnsi"/>
        </w:rPr>
      </w:pPr>
    </w:p>
    <w:p w:rsidR="003C7DF3" w:rsidRPr="00F02FD8" w:rsidRDefault="003C7DF3" w:rsidP="00BE7F6B">
      <w:pPr>
        <w:rPr>
          <w:rFonts w:asciiTheme="minorHAnsi" w:hAnsiTheme="minorHAnsi"/>
        </w:rPr>
      </w:pPr>
    </w:p>
    <w:p w:rsidR="005D665F" w:rsidRPr="00F02FD8" w:rsidRDefault="007743EE" w:rsidP="003C7DF3">
      <w:pPr>
        <w:spacing w:before="0"/>
        <w:rPr>
          <w:rFonts w:asciiTheme="minorHAnsi" w:hAnsiTheme="minorHAnsi"/>
        </w:rPr>
      </w:pPr>
      <w:r w:rsidRPr="00F02FD8">
        <w:rPr>
          <w:rFonts w:asciiTheme="minorHAnsi" w:hAnsiTheme="minorHAnsi"/>
        </w:rPr>
        <w:t>Chaesub Lee</w:t>
      </w:r>
      <w:r w:rsidR="00251CB1" w:rsidRPr="00F02FD8">
        <w:rPr>
          <w:rFonts w:asciiTheme="minorHAnsi" w:hAnsiTheme="minorHAnsi"/>
        </w:rPr>
        <w:br/>
        <w:t>Directeur du Bureau de la</w:t>
      </w:r>
      <w:r w:rsidR="00251CB1" w:rsidRPr="00F02FD8">
        <w:rPr>
          <w:rFonts w:asciiTheme="minorHAnsi" w:hAnsiTheme="minorHAnsi"/>
        </w:rPr>
        <w:br/>
        <w:t>normalisation des télécommunications</w:t>
      </w:r>
    </w:p>
    <w:p w:rsidR="00251CB1" w:rsidRPr="00F02FD8" w:rsidRDefault="00251CB1" w:rsidP="00BE7F6B">
      <w:pPr>
        <w:spacing w:before="840"/>
        <w:rPr>
          <w:rFonts w:asciiTheme="minorHAnsi" w:hAnsiTheme="minorHAnsi"/>
          <w:bCs/>
        </w:rPr>
      </w:pPr>
      <w:r w:rsidRPr="00F02FD8">
        <w:rPr>
          <w:rFonts w:asciiTheme="minorHAnsi" w:hAnsiTheme="minorHAnsi"/>
          <w:b/>
          <w:bCs/>
        </w:rPr>
        <w:t>Annexe</w:t>
      </w:r>
      <w:r w:rsidRPr="00F02FD8">
        <w:rPr>
          <w:rFonts w:asciiTheme="minorHAnsi" w:hAnsiTheme="minorHAnsi"/>
          <w:bCs/>
        </w:rPr>
        <w:t xml:space="preserve">: </w:t>
      </w:r>
      <w:r w:rsidR="00716B5F" w:rsidRPr="00F02FD8">
        <w:rPr>
          <w:rFonts w:asciiTheme="minorHAnsi" w:hAnsiTheme="minorHAnsi"/>
          <w:bCs/>
        </w:rPr>
        <w:t>1</w:t>
      </w:r>
    </w:p>
    <w:p w:rsidR="00716B5F" w:rsidRPr="00F02FD8" w:rsidRDefault="00716B5F" w:rsidP="00BE7F6B">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F02FD8">
        <w:rPr>
          <w:rFonts w:asciiTheme="minorHAnsi" w:hAnsiTheme="minorHAnsi"/>
        </w:rPr>
        <w:br w:type="page"/>
      </w:r>
    </w:p>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560"/>
        <w:gridCol w:w="6520"/>
        <w:gridCol w:w="1843"/>
      </w:tblGrid>
      <w:tr w:rsidR="00716B5F" w:rsidRPr="00F02FD8" w:rsidTr="00E54EE4">
        <w:trPr>
          <w:cantSplit/>
          <w:trHeight w:val="15"/>
        </w:trPr>
        <w:tc>
          <w:tcPr>
            <w:tcW w:w="1560" w:type="dxa"/>
            <w:vAlign w:val="center"/>
          </w:tcPr>
          <w:p w:rsidR="00716B5F" w:rsidRPr="00F02FD8" w:rsidRDefault="00716B5F" w:rsidP="00BE7F6B">
            <w:pPr>
              <w:spacing w:before="0"/>
              <w:jc w:val="center"/>
              <w:rPr>
                <w:rFonts w:ascii="Verdana" w:hAnsi="Verdana"/>
                <w:color w:val="FFFFFF"/>
                <w:sz w:val="26"/>
                <w:szCs w:val="26"/>
              </w:rPr>
            </w:pPr>
            <w:r w:rsidRPr="00F02FD8">
              <w:rPr>
                <w:rFonts w:asciiTheme="minorHAnsi" w:hAnsiTheme="minorHAnsi"/>
                <w:noProof/>
                <w:lang w:val="en-GB" w:eastAsia="zh-CN"/>
              </w:rPr>
              <w:lastRenderedPageBreak/>
              <w:drawing>
                <wp:inline distT="0" distB="0" distL="0" distR="0" wp14:anchorId="3587BAD5" wp14:editId="33173C18">
                  <wp:extent cx="612775" cy="682585"/>
                  <wp:effectExtent l="0" t="0" r="0" b="3810"/>
                  <wp:docPr id="6" name="Picture 6"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951" cy="700604"/>
                          </a:xfrm>
                          <a:prstGeom prst="rect">
                            <a:avLst/>
                          </a:prstGeom>
                          <a:noFill/>
                          <a:ln>
                            <a:noFill/>
                          </a:ln>
                        </pic:spPr>
                      </pic:pic>
                    </a:graphicData>
                  </a:graphic>
                </wp:inline>
              </w:drawing>
            </w:r>
          </w:p>
        </w:tc>
        <w:tc>
          <w:tcPr>
            <w:tcW w:w="6520" w:type="dxa"/>
            <w:vAlign w:val="center"/>
          </w:tcPr>
          <w:p w:rsidR="00716B5F" w:rsidRPr="00F02FD8" w:rsidRDefault="00716B5F" w:rsidP="00BE7F6B">
            <w:pPr>
              <w:spacing w:before="720"/>
              <w:ind w:right="-142"/>
              <w:jc w:val="center"/>
              <w:rPr>
                <w:rFonts w:asciiTheme="minorHAnsi" w:hAnsiTheme="minorHAnsi"/>
                <w:b/>
                <w:bCs/>
                <w:szCs w:val="24"/>
                <w:lang w:bidi="ar-EG"/>
              </w:rPr>
            </w:pPr>
            <w:r w:rsidRPr="00F02FD8">
              <w:rPr>
                <w:rFonts w:asciiTheme="minorHAnsi" w:hAnsiTheme="minorHAnsi"/>
                <w:b/>
                <w:bCs/>
                <w:szCs w:val="24"/>
                <w:lang w:bidi="ar-EG"/>
              </w:rPr>
              <w:t>ANNEXE 1</w:t>
            </w:r>
          </w:p>
          <w:p w:rsidR="00716B5F" w:rsidRPr="00F02FD8" w:rsidRDefault="00716B5F" w:rsidP="00BE7F6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rPr>
            </w:pPr>
            <w:r w:rsidRPr="00F02FD8">
              <w:rPr>
                <w:rFonts w:asciiTheme="minorHAnsi" w:hAnsiTheme="minorHAnsi"/>
              </w:rPr>
              <w:t xml:space="preserve">(de l'Addendum 1 aux </w:t>
            </w:r>
          </w:p>
          <w:p w:rsidR="00716B5F" w:rsidRPr="00F02FD8" w:rsidRDefault="00716B5F" w:rsidP="00BE7F6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inorHAnsi" w:hAnsiTheme="minorHAnsi"/>
              </w:rPr>
            </w:pPr>
            <w:r w:rsidRPr="00F02FD8">
              <w:rPr>
                <w:rFonts w:asciiTheme="minorHAnsi" w:hAnsiTheme="minorHAnsi"/>
              </w:rPr>
              <w:t>Lettre collective TSB 1/SG11RG-AFR</w:t>
            </w:r>
          </w:p>
          <w:p w:rsidR="00716B5F" w:rsidRPr="00F02FD8" w:rsidRDefault="00716B5F" w:rsidP="00BE7F6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jc w:val="center"/>
              <w:rPr>
                <w:rFonts w:asciiTheme="minorHAnsi" w:hAnsiTheme="minorHAnsi"/>
                <w:b/>
                <w:bCs/>
                <w:szCs w:val="24"/>
                <w:lang w:bidi="ar-EG"/>
              </w:rPr>
            </w:pPr>
            <w:r w:rsidRPr="00F02FD8">
              <w:rPr>
                <w:rFonts w:asciiTheme="minorHAnsi" w:hAnsiTheme="minorHAnsi"/>
              </w:rPr>
              <w:t>Lettre collective TSB 1/SG13RG-AFR)</w:t>
            </w:r>
          </w:p>
          <w:p w:rsidR="00716B5F" w:rsidRPr="00F02FD8" w:rsidRDefault="00716B5F" w:rsidP="00BE7F6B">
            <w:pPr>
              <w:spacing w:before="600"/>
              <w:ind w:right="-142"/>
              <w:jc w:val="center"/>
              <w:rPr>
                <w:rFonts w:asciiTheme="minorHAnsi" w:hAnsiTheme="minorHAnsi"/>
                <w:color w:val="C00000"/>
                <w:sz w:val="28"/>
                <w:szCs w:val="28"/>
                <w:lang w:bidi="ar-EG"/>
              </w:rPr>
            </w:pPr>
            <w:r w:rsidRPr="00F02FD8">
              <w:rPr>
                <w:rFonts w:asciiTheme="minorHAnsi" w:hAnsiTheme="minorHAnsi"/>
                <w:sz w:val="28"/>
                <w:szCs w:val="28"/>
                <w:lang w:bidi="ar-EG"/>
              </w:rPr>
              <w:t xml:space="preserve">Réunions des Groupes régionaux pour l'Afrique </w:t>
            </w:r>
            <w:r w:rsidR="00464610">
              <w:rPr>
                <w:rFonts w:asciiTheme="minorHAnsi" w:hAnsiTheme="minorHAnsi"/>
                <w:sz w:val="28"/>
                <w:szCs w:val="28"/>
                <w:lang w:bidi="ar-EG"/>
              </w:rPr>
              <w:br/>
            </w:r>
            <w:r w:rsidRPr="00F02FD8">
              <w:rPr>
                <w:rFonts w:asciiTheme="minorHAnsi" w:hAnsiTheme="minorHAnsi"/>
                <w:sz w:val="28"/>
                <w:szCs w:val="28"/>
                <w:lang w:bidi="ar-EG"/>
              </w:rPr>
              <w:t xml:space="preserve">de </w:t>
            </w:r>
            <w:r w:rsidR="00E92A10" w:rsidRPr="00F02FD8">
              <w:rPr>
                <w:rFonts w:asciiTheme="minorHAnsi" w:hAnsiTheme="minorHAnsi"/>
                <w:sz w:val="28"/>
                <w:szCs w:val="28"/>
                <w:lang w:bidi="ar-EG"/>
              </w:rPr>
              <w:t>la CE 11 et de a CE 13 de l'UIT-</w:t>
            </w:r>
            <w:r w:rsidRPr="00F02FD8">
              <w:rPr>
                <w:rFonts w:asciiTheme="minorHAnsi" w:hAnsiTheme="minorHAnsi"/>
                <w:sz w:val="28"/>
                <w:szCs w:val="28"/>
                <w:lang w:bidi="ar-EG"/>
              </w:rPr>
              <w:t xml:space="preserve">T et ateliers </w:t>
            </w:r>
          </w:p>
          <w:p w:rsidR="00716B5F" w:rsidRPr="00F02FD8" w:rsidRDefault="00716B5F" w:rsidP="00BE7F6B">
            <w:pPr>
              <w:ind w:right="-142"/>
              <w:jc w:val="center"/>
              <w:rPr>
                <w:rFonts w:ascii="Verdana" w:hAnsi="Verdana"/>
                <w:color w:val="FFFFFF"/>
                <w:sz w:val="26"/>
                <w:szCs w:val="26"/>
              </w:rPr>
            </w:pPr>
            <w:r w:rsidRPr="00F02FD8">
              <w:rPr>
                <w:rFonts w:asciiTheme="minorHAnsi" w:hAnsiTheme="minorHAnsi"/>
                <w:sz w:val="28"/>
                <w:szCs w:val="28"/>
                <w:lang w:bidi="ar-EG"/>
              </w:rPr>
              <w:t>Information</w:t>
            </w:r>
            <w:r w:rsidRPr="00F02FD8">
              <w:rPr>
                <w:rFonts w:asciiTheme="minorHAnsi" w:hAnsiTheme="minorHAnsi"/>
                <w:noProof/>
                <w:sz w:val="28"/>
                <w:szCs w:val="28"/>
                <w:lang w:val="en-GB" w:eastAsia="zh-CN"/>
              </w:rPr>
              <w:drawing>
                <wp:anchor distT="0" distB="0" distL="114300" distR="114300" simplePos="0" relativeHeight="251662336" behindDoc="0" locked="0" layoutInCell="1" allowOverlap="1" wp14:anchorId="1D693FD6" wp14:editId="69C2A36C">
                  <wp:simplePos x="0" y="0"/>
                  <wp:positionH relativeFrom="column">
                    <wp:posOffset>3976370</wp:posOffset>
                  </wp:positionH>
                  <wp:positionV relativeFrom="paragraph">
                    <wp:posOffset>9810115</wp:posOffset>
                  </wp:positionV>
                  <wp:extent cx="2166620" cy="1543050"/>
                  <wp:effectExtent l="0" t="0" r="5080" b="0"/>
                  <wp:wrapNone/>
                  <wp:docPr id="12"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20" cy="1543050"/>
                          </a:xfrm>
                          <a:prstGeom prst="rect">
                            <a:avLst/>
                          </a:prstGeom>
                          <a:noFill/>
                        </pic:spPr>
                      </pic:pic>
                    </a:graphicData>
                  </a:graphic>
                </wp:anchor>
              </w:drawing>
            </w:r>
            <w:r w:rsidRPr="00F02FD8">
              <w:rPr>
                <w:rFonts w:asciiTheme="minorHAnsi" w:hAnsiTheme="minorHAnsi"/>
                <w:sz w:val="28"/>
                <w:szCs w:val="28"/>
                <w:lang w:bidi="ar-EG"/>
              </w:rPr>
              <w:t>s pratiques pour les participants</w:t>
            </w:r>
          </w:p>
        </w:tc>
        <w:tc>
          <w:tcPr>
            <w:tcW w:w="1843" w:type="dxa"/>
            <w:vAlign w:val="center"/>
          </w:tcPr>
          <w:p w:rsidR="00716B5F" w:rsidRPr="00F02FD8" w:rsidRDefault="00716B5F" w:rsidP="00BE7F6B">
            <w:pPr>
              <w:spacing w:before="0"/>
              <w:jc w:val="center"/>
              <w:rPr>
                <w:rFonts w:ascii="Verdana" w:hAnsi="Verdana"/>
                <w:color w:val="FFFFFF"/>
                <w:sz w:val="26"/>
                <w:szCs w:val="26"/>
              </w:rPr>
            </w:pPr>
            <w:r w:rsidRPr="00F02FD8">
              <w:rPr>
                <w:rFonts w:asciiTheme="minorHAnsi" w:hAnsiTheme="minorHAnsi"/>
                <w:noProof/>
                <w:lang w:val="en-GB" w:eastAsia="zh-CN"/>
              </w:rPr>
              <w:drawing>
                <wp:inline distT="0" distB="0" distL="0" distR="0" wp14:anchorId="6B04464A" wp14:editId="1E097FD8">
                  <wp:extent cx="1039963" cy="511791"/>
                  <wp:effectExtent l="0" t="0" r="8255" b="0"/>
                  <wp:docPr id="5" name="Picture 5" descr="C:\Users\demoulin\AppData\Local\Microsoft\Windows\Temporary Internet Files\Content.Word\NTRA Logo 2016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moulin\AppData\Local\Microsoft\Windows\Temporary Internet Files\Content.Word\NTRA Logo 2016 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5954" cy="514740"/>
                          </a:xfrm>
                          <a:prstGeom prst="rect">
                            <a:avLst/>
                          </a:prstGeom>
                          <a:noFill/>
                          <a:ln>
                            <a:noFill/>
                          </a:ln>
                        </pic:spPr>
                      </pic:pic>
                    </a:graphicData>
                  </a:graphic>
                </wp:inline>
              </w:drawing>
            </w:r>
          </w:p>
        </w:tc>
      </w:tr>
    </w:tbl>
    <w:p w:rsidR="00716B5F" w:rsidRPr="00F02FD8" w:rsidRDefault="00716B5F" w:rsidP="00BE7F6B">
      <w:pPr>
        <w:pStyle w:val="headingb"/>
        <w:spacing w:before="360"/>
        <w:rPr>
          <w:rFonts w:asciiTheme="minorHAnsi" w:hAnsiTheme="minorHAnsi"/>
          <w:lang w:bidi="ar-EG"/>
        </w:rPr>
      </w:pPr>
      <w:r w:rsidRPr="00F02FD8">
        <w:rPr>
          <w:rFonts w:asciiTheme="minorHAnsi" w:hAnsiTheme="minorHAnsi"/>
          <w:lang w:bidi="ar-EG"/>
        </w:rPr>
        <w:t>Lieu de la réunion</w:t>
      </w:r>
    </w:p>
    <w:p w:rsidR="00716B5F" w:rsidRPr="00F02FD8" w:rsidRDefault="00716B5F" w:rsidP="00BE7F6B">
      <w:pPr>
        <w:keepNext/>
        <w:keepLines/>
        <w:shd w:val="clear" w:color="auto" w:fill="FFFFFF"/>
        <w:ind w:left="1134" w:hanging="1134"/>
        <w:outlineLvl w:val="0"/>
        <w:rPr>
          <w:rFonts w:asciiTheme="minorHAnsi" w:hAnsiTheme="minorHAnsi"/>
          <w:bCs/>
          <w:color w:val="000000"/>
          <w:szCs w:val="24"/>
          <w:lang w:bidi="ar-EG"/>
        </w:rPr>
      </w:pPr>
      <w:r w:rsidRPr="00F02FD8">
        <w:rPr>
          <w:rFonts w:asciiTheme="minorHAnsi" w:hAnsiTheme="minorHAnsi"/>
          <w:bCs/>
          <w:color w:val="000000"/>
          <w:szCs w:val="24"/>
          <w:lang w:bidi="ar-EG"/>
        </w:rPr>
        <w:t>Novotel Cairo Airport</w:t>
      </w:r>
    </w:p>
    <w:p w:rsidR="00716B5F" w:rsidRPr="00F02FD8" w:rsidRDefault="00716B5F" w:rsidP="00BE7F6B">
      <w:pPr>
        <w:rPr>
          <w:rFonts w:asciiTheme="minorHAnsi" w:hAnsiTheme="minorHAnsi"/>
          <w:b/>
          <w:bCs/>
          <w:sz w:val="28"/>
          <w:szCs w:val="28"/>
          <w:lang w:bidi="ar-EG"/>
        </w:rPr>
      </w:pPr>
      <w:r w:rsidRPr="00F02FD8">
        <w:rPr>
          <w:rFonts w:asciiTheme="minorHAnsi" w:hAnsiTheme="minorHAnsi"/>
          <w:b/>
          <w:bCs/>
          <w:noProof/>
          <w:sz w:val="28"/>
          <w:szCs w:val="28"/>
          <w:lang w:val="en-GB" w:eastAsia="zh-CN"/>
        </w:rPr>
        <w:drawing>
          <wp:inline distT="0" distB="0" distL="0" distR="0" wp14:anchorId="50FD898A" wp14:editId="299263C0">
            <wp:extent cx="4131194" cy="2054431"/>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4131194" cy="2054431"/>
                    </a:xfrm>
                    <a:prstGeom prst="rect">
                      <a:avLst/>
                    </a:prstGeom>
                  </pic:spPr>
                </pic:pic>
              </a:graphicData>
            </a:graphic>
          </wp:inline>
        </w:drawing>
      </w:r>
    </w:p>
    <w:p w:rsidR="00716B5F" w:rsidRPr="00F02FD8" w:rsidRDefault="00716B5F" w:rsidP="00BE7F6B">
      <w:pPr>
        <w:keepNext/>
        <w:keepLines/>
        <w:shd w:val="clear" w:color="auto" w:fill="FFFFFF"/>
        <w:spacing w:before="0"/>
        <w:ind w:left="1134" w:hanging="1134"/>
        <w:outlineLvl w:val="0"/>
        <w:rPr>
          <w:rFonts w:asciiTheme="minorHAnsi" w:hAnsiTheme="minorHAnsi"/>
          <w:b/>
          <w:bCs/>
          <w:color w:val="000000"/>
          <w:szCs w:val="24"/>
          <w:lang w:bidi="ar-EG"/>
        </w:rPr>
      </w:pPr>
      <w:r w:rsidRPr="00F02FD8">
        <w:rPr>
          <w:rFonts w:asciiTheme="minorHAnsi" w:hAnsiTheme="minorHAnsi"/>
          <w:bCs/>
          <w:noProof/>
          <w:color w:val="000000"/>
          <w:sz w:val="18"/>
          <w:szCs w:val="18"/>
          <w:lang w:val="en-GB" w:eastAsia="zh-CN"/>
        </w:rPr>
        <w:drawing>
          <wp:anchor distT="0" distB="0" distL="114300" distR="114300" simplePos="0" relativeHeight="251659264" behindDoc="0" locked="0" layoutInCell="1" allowOverlap="1" wp14:anchorId="700996D0" wp14:editId="3AEB9024">
            <wp:simplePos x="0" y="0"/>
            <wp:positionH relativeFrom="column">
              <wp:posOffset>4128770</wp:posOffset>
            </wp:positionH>
            <wp:positionV relativeFrom="paragraph">
              <wp:posOffset>9585960</wp:posOffset>
            </wp:positionV>
            <wp:extent cx="2166620" cy="1543050"/>
            <wp:effectExtent l="0" t="0" r="5080" b="0"/>
            <wp:wrapNone/>
            <wp:docPr id="13" name="Picture 1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20" cy="1543050"/>
                    </a:xfrm>
                    <a:prstGeom prst="rect">
                      <a:avLst/>
                    </a:prstGeom>
                    <a:noFill/>
                  </pic:spPr>
                </pic:pic>
              </a:graphicData>
            </a:graphic>
          </wp:anchor>
        </w:drawing>
      </w:r>
    </w:p>
    <w:p w:rsidR="00716B5F" w:rsidRPr="00F02FD8" w:rsidRDefault="00716B5F" w:rsidP="00BE7F6B">
      <w:pPr>
        <w:tabs>
          <w:tab w:val="clear" w:pos="794"/>
          <w:tab w:val="clear" w:pos="1191"/>
          <w:tab w:val="clear" w:pos="1588"/>
          <w:tab w:val="clear" w:pos="1985"/>
        </w:tabs>
        <w:overflowPunct/>
        <w:autoSpaceDE/>
        <w:autoSpaceDN/>
        <w:adjustRightInd/>
        <w:spacing w:before="0"/>
        <w:ind w:right="100"/>
        <w:textAlignment w:val="auto"/>
        <w:rPr>
          <w:rFonts w:asciiTheme="minorHAnsi" w:hAnsiTheme="minorHAnsi"/>
          <w:color w:val="000000"/>
          <w:szCs w:val="24"/>
          <w:lang w:bidi="ar-EG"/>
        </w:rPr>
      </w:pPr>
      <w:r w:rsidRPr="00F02FD8">
        <w:rPr>
          <w:rFonts w:asciiTheme="minorHAnsi" w:hAnsiTheme="minorHAnsi"/>
          <w:color w:val="000000"/>
          <w:szCs w:val="24"/>
          <w:lang w:bidi="ar-EG"/>
        </w:rPr>
        <w:t xml:space="preserve">Adresse: Cairo Airport Road, Heliopolis, 11776 Le Caire, </w:t>
      </w:r>
      <w:r w:rsidR="00E06BB6" w:rsidRPr="00F02FD8">
        <w:rPr>
          <w:rFonts w:asciiTheme="minorHAnsi" w:hAnsiTheme="minorHAnsi"/>
          <w:color w:val="000000"/>
          <w:szCs w:val="24"/>
          <w:lang w:bidi="ar-EG"/>
        </w:rPr>
        <w:t>E</w:t>
      </w:r>
      <w:r w:rsidRPr="00F02FD8">
        <w:rPr>
          <w:rFonts w:asciiTheme="minorHAnsi" w:hAnsiTheme="minorHAnsi"/>
          <w:color w:val="000000"/>
          <w:szCs w:val="24"/>
          <w:lang w:bidi="ar-EG"/>
        </w:rPr>
        <w:t>gypte</w:t>
      </w:r>
      <w:r w:rsidRPr="00F02FD8" w:rsidDel="00A764E0">
        <w:rPr>
          <w:rFonts w:asciiTheme="minorHAnsi" w:hAnsiTheme="minorHAnsi"/>
          <w:color w:val="000000"/>
          <w:szCs w:val="24"/>
          <w:lang w:bidi="ar-EG"/>
        </w:rPr>
        <w:t xml:space="preserve"> </w:t>
      </w:r>
    </w:p>
    <w:p w:rsidR="00716B5F" w:rsidRPr="00F02FD8" w:rsidRDefault="00D305EB" w:rsidP="00BE7F6B">
      <w:pPr>
        <w:spacing w:before="0"/>
        <w:rPr>
          <w:rFonts w:asciiTheme="minorHAnsi" w:hAnsiTheme="minorHAnsi"/>
          <w:color w:val="000000"/>
          <w:szCs w:val="24"/>
          <w:lang w:bidi="ar-EG"/>
        </w:rPr>
      </w:pPr>
      <w:r>
        <w:rPr>
          <w:rFonts w:asciiTheme="minorHAnsi" w:hAnsiTheme="minorHAnsi"/>
          <w:color w:val="000000"/>
          <w:szCs w:val="24"/>
          <w:lang w:bidi="ar-EG"/>
        </w:rPr>
        <w:t>Tél.:</w:t>
      </w:r>
      <w:r w:rsidR="00716B5F" w:rsidRPr="00F02FD8">
        <w:rPr>
          <w:rFonts w:asciiTheme="minorHAnsi" w:hAnsiTheme="minorHAnsi"/>
          <w:color w:val="000000"/>
          <w:szCs w:val="24"/>
          <w:lang w:bidi="ar-EG"/>
        </w:rPr>
        <w:t> +202 22918520</w:t>
      </w:r>
    </w:p>
    <w:p w:rsidR="00716B5F" w:rsidRPr="00F02FD8" w:rsidRDefault="00716B5F" w:rsidP="00BE7F6B">
      <w:pPr>
        <w:spacing w:before="0"/>
        <w:rPr>
          <w:rFonts w:asciiTheme="minorHAnsi" w:hAnsiTheme="minorHAnsi"/>
          <w:color w:val="000000"/>
          <w:szCs w:val="24"/>
          <w:lang w:bidi="ar-EG"/>
        </w:rPr>
      </w:pPr>
      <w:r w:rsidRPr="00F02FD8">
        <w:rPr>
          <w:rFonts w:asciiTheme="minorHAnsi" w:hAnsiTheme="minorHAnsi"/>
          <w:color w:val="000000"/>
          <w:szCs w:val="24"/>
          <w:lang w:bidi="ar-EG"/>
        </w:rPr>
        <w:t>E-mail: </w:t>
      </w:r>
      <w:hyperlink r:id="rId14" w:history="1">
        <w:r w:rsidRPr="00F02FD8">
          <w:rPr>
            <w:rFonts w:asciiTheme="minorHAnsi" w:hAnsiTheme="minorHAnsi"/>
            <w:color w:val="0000FF"/>
            <w:szCs w:val="24"/>
            <w:u w:val="single"/>
            <w:lang w:bidi="ar-EG"/>
          </w:rPr>
          <w:t>H0502-SL2@accor.com</w:t>
        </w:r>
      </w:hyperlink>
    </w:p>
    <w:p w:rsidR="00716B5F" w:rsidRPr="00F02FD8" w:rsidRDefault="00716B5F" w:rsidP="00BE7F6B">
      <w:pPr>
        <w:tabs>
          <w:tab w:val="clear" w:pos="794"/>
          <w:tab w:val="clear" w:pos="1191"/>
          <w:tab w:val="clear" w:pos="1588"/>
          <w:tab w:val="clear" w:pos="1985"/>
        </w:tabs>
        <w:overflowPunct/>
        <w:autoSpaceDE/>
        <w:autoSpaceDN/>
        <w:adjustRightInd/>
        <w:ind w:right="100"/>
        <w:textAlignment w:val="auto"/>
        <w:rPr>
          <w:rFonts w:asciiTheme="minorHAnsi" w:hAnsiTheme="minorHAnsi"/>
          <w:color w:val="000000"/>
          <w:szCs w:val="24"/>
          <w:lang w:bidi="ar-EG"/>
        </w:rPr>
      </w:pPr>
      <w:r w:rsidRPr="00F02FD8">
        <w:rPr>
          <w:rFonts w:asciiTheme="minorHAnsi" w:hAnsiTheme="minorHAnsi"/>
          <w:color w:val="000000"/>
          <w:szCs w:val="24"/>
          <w:lang w:bidi="ar-EG"/>
        </w:rPr>
        <w:t>Cet hôtel moderne et haut de gamme se trouve à proximité de l'aéroport international du Caire.</w:t>
      </w:r>
    </w:p>
    <w:p w:rsidR="00716B5F" w:rsidRPr="00F02FD8" w:rsidRDefault="00716B5F" w:rsidP="00BE7F6B">
      <w:pPr>
        <w:pStyle w:val="headingb"/>
        <w:rPr>
          <w:rFonts w:asciiTheme="minorHAnsi" w:eastAsiaTheme="minorHAnsi" w:hAnsiTheme="minorHAnsi" w:cstheme="minorBidi"/>
          <w:sz w:val="32"/>
          <w:szCs w:val="32"/>
          <w:lang w:bidi="ar-EG"/>
        </w:rPr>
      </w:pPr>
      <w:r w:rsidRPr="00F02FD8">
        <w:rPr>
          <w:rFonts w:asciiTheme="minorHAnsi" w:hAnsiTheme="minorHAnsi"/>
          <w:lang w:bidi="ar-EG"/>
        </w:rPr>
        <w:t>Visas et formalités d'entrée</w:t>
      </w:r>
    </w:p>
    <w:p w:rsidR="00716B5F" w:rsidRPr="00F02FD8" w:rsidRDefault="00716B5F" w:rsidP="00BE7F6B">
      <w:pPr>
        <w:rPr>
          <w:rFonts w:asciiTheme="minorHAnsi" w:hAnsiTheme="minorHAnsi"/>
          <w:lang w:bidi="ar-EG"/>
        </w:rPr>
      </w:pPr>
      <w:r w:rsidRPr="00F02FD8">
        <w:rPr>
          <w:rFonts w:asciiTheme="minorHAnsi" w:hAnsiTheme="minorHAnsi"/>
          <w:lang w:bidi="ar-EG"/>
        </w:rPr>
        <w:t xml:space="preserve">Un passeport en cours de validité et un visa sont nécessaires pour entrer en </w:t>
      </w:r>
      <w:r w:rsidR="00E06BB6" w:rsidRPr="00F02FD8">
        <w:rPr>
          <w:rFonts w:asciiTheme="minorHAnsi" w:hAnsiTheme="minorHAnsi"/>
          <w:lang w:bidi="ar-EG"/>
        </w:rPr>
        <w:t>E</w:t>
      </w:r>
      <w:r w:rsidRPr="00F02FD8">
        <w:rPr>
          <w:rFonts w:asciiTheme="minorHAnsi" w:hAnsiTheme="minorHAnsi"/>
          <w:lang w:bidi="ar-EG"/>
        </w:rPr>
        <w:t>gypte. Tous les participants sont priés d'envoyer une copie de leur passeport accompagnée du message de confirmation d'inscription de l'UIT à l'ambassade ou au consulat de l'</w:t>
      </w:r>
      <w:r w:rsidR="00E06BB6" w:rsidRPr="00F02FD8">
        <w:rPr>
          <w:rFonts w:asciiTheme="minorHAnsi" w:hAnsiTheme="minorHAnsi"/>
          <w:lang w:bidi="ar-EG"/>
        </w:rPr>
        <w:t>E</w:t>
      </w:r>
      <w:r w:rsidRPr="00F02FD8">
        <w:rPr>
          <w:rFonts w:asciiTheme="minorHAnsi" w:hAnsiTheme="minorHAnsi"/>
          <w:lang w:bidi="ar-EG"/>
        </w:rPr>
        <w:t>gypte dans leur pays d'origine ou de résidence afin d'obtenir un visa.</w:t>
      </w:r>
    </w:p>
    <w:p w:rsidR="00716B5F" w:rsidRPr="00F02FD8" w:rsidRDefault="00716B5F" w:rsidP="00BE7F6B">
      <w:pPr>
        <w:rPr>
          <w:rFonts w:asciiTheme="minorHAnsi" w:hAnsiTheme="minorHAnsi"/>
        </w:rPr>
      </w:pPr>
      <w:r w:rsidRPr="00F02FD8">
        <w:rPr>
          <w:rFonts w:asciiTheme="minorHAnsi" w:hAnsiTheme="minorHAnsi"/>
        </w:rPr>
        <w:t>Les participants qui sont ressortissants de pays dans lesquels l'</w:t>
      </w:r>
      <w:r w:rsidR="00E06BB6" w:rsidRPr="00F02FD8">
        <w:rPr>
          <w:rFonts w:asciiTheme="minorHAnsi" w:hAnsiTheme="minorHAnsi"/>
        </w:rPr>
        <w:t>E</w:t>
      </w:r>
      <w:r w:rsidRPr="00F02FD8">
        <w:rPr>
          <w:rFonts w:asciiTheme="minorHAnsi" w:hAnsiTheme="minorHAnsi"/>
        </w:rPr>
        <w:t>gypte n'a pas de représentation doivent contacter M. Basel El-Tabei par courrier électronique (</w:t>
      </w:r>
      <w:hyperlink r:id="rId15" w:history="1">
        <w:r w:rsidRPr="00F02FD8">
          <w:rPr>
            <w:rStyle w:val="Hyperlink"/>
            <w:rFonts w:asciiTheme="minorHAnsi" w:hAnsiTheme="minorHAnsi"/>
          </w:rPr>
          <w:t>Beltabie@tra.gov.eg</w:t>
        </w:r>
      </w:hyperlink>
      <w:r w:rsidRPr="00F02FD8">
        <w:rPr>
          <w:rFonts w:asciiTheme="minorHAnsi" w:hAnsiTheme="minorHAnsi"/>
        </w:rPr>
        <w:t xml:space="preserve">) ou par téléphone fixe (+20235344261) pour connaître les dispositions spéciales qui ont été prises par le pays hôte pour faciliter la délivrance de visas ou de permis d'entrée, selon </w:t>
      </w:r>
      <w:r w:rsidR="00E06BB6" w:rsidRPr="00F02FD8">
        <w:rPr>
          <w:rFonts w:asciiTheme="minorHAnsi" w:hAnsiTheme="minorHAnsi"/>
        </w:rPr>
        <w:t>le cas</w:t>
      </w:r>
      <w:r w:rsidRPr="00F02FD8">
        <w:rPr>
          <w:rFonts w:asciiTheme="minorHAnsi" w:hAnsiTheme="minorHAnsi"/>
        </w:rPr>
        <w:t>.</w:t>
      </w:r>
    </w:p>
    <w:p w:rsidR="00716B5F" w:rsidRPr="00F02FD8" w:rsidRDefault="00716B5F" w:rsidP="00BE7F6B">
      <w:pPr>
        <w:rPr>
          <w:rFonts w:asciiTheme="minorHAnsi" w:hAnsiTheme="minorHAnsi"/>
          <w:color w:val="0000FF"/>
          <w:u w:val="single"/>
        </w:rPr>
      </w:pPr>
      <w:r w:rsidRPr="00F02FD8">
        <w:rPr>
          <w:rFonts w:asciiTheme="minorHAnsi" w:hAnsiTheme="minorHAnsi"/>
        </w:rPr>
        <w:t>Pour plus d'informations sur les visas et les permis d'entrée, ve</w:t>
      </w:r>
      <w:r w:rsidR="00464610">
        <w:rPr>
          <w:rFonts w:asciiTheme="minorHAnsi" w:hAnsiTheme="minorHAnsi"/>
        </w:rPr>
        <w:t>uillez consulter le site web du </w:t>
      </w:r>
      <w:r w:rsidRPr="00F02FD8">
        <w:rPr>
          <w:rFonts w:asciiTheme="minorHAnsi" w:hAnsiTheme="minorHAnsi"/>
        </w:rPr>
        <w:t xml:space="preserve">Ministère égyptien des affaires étrangères à l'adresse: </w:t>
      </w:r>
      <w:hyperlink r:id="rId16" w:history="1">
        <w:r w:rsidRPr="00F02FD8">
          <w:rPr>
            <w:rFonts w:asciiTheme="minorHAnsi" w:hAnsiTheme="minorHAnsi"/>
            <w:color w:val="0000FF"/>
            <w:u w:val="single"/>
          </w:rPr>
          <w:t>http://www.mfa.gov.eg/English/Embassies/Pages/Listing.aspx</w:t>
        </w:r>
      </w:hyperlink>
      <w:r w:rsidRPr="00F02FD8">
        <w:rPr>
          <w:rFonts w:asciiTheme="minorHAnsi" w:hAnsiTheme="minorHAnsi"/>
        </w:rPr>
        <w:t>.</w:t>
      </w:r>
    </w:p>
    <w:p w:rsidR="00716B5F" w:rsidRPr="00F02FD8" w:rsidRDefault="00716B5F" w:rsidP="00BE7F6B">
      <w:pPr>
        <w:pStyle w:val="headingb"/>
        <w:rPr>
          <w:rFonts w:asciiTheme="minorHAnsi" w:hAnsiTheme="minorHAnsi" w:cstheme="minorBidi"/>
          <w:sz w:val="32"/>
          <w:szCs w:val="32"/>
          <w:lang w:bidi="ar-EG"/>
        </w:rPr>
      </w:pPr>
      <w:r w:rsidRPr="00F02FD8">
        <w:rPr>
          <w:rFonts w:asciiTheme="minorHAnsi" w:hAnsiTheme="minorHAnsi"/>
          <w:lang w:bidi="ar-EG"/>
        </w:rPr>
        <w:lastRenderedPageBreak/>
        <w:t>Vaccinations</w:t>
      </w:r>
    </w:p>
    <w:p w:rsidR="00716B5F" w:rsidRPr="00F02FD8" w:rsidRDefault="00716B5F" w:rsidP="00BE7F6B">
      <w:pPr>
        <w:keepNext/>
        <w:keepLines/>
        <w:tabs>
          <w:tab w:val="clear" w:pos="794"/>
          <w:tab w:val="clear" w:pos="1191"/>
          <w:tab w:val="clear" w:pos="1588"/>
          <w:tab w:val="clear" w:pos="1985"/>
        </w:tabs>
        <w:overflowPunct/>
        <w:textAlignment w:val="auto"/>
        <w:rPr>
          <w:rFonts w:asciiTheme="minorHAnsi" w:eastAsiaTheme="minorHAnsi" w:hAnsiTheme="minorHAnsi" w:cstheme="minorBidi"/>
          <w:b/>
          <w:bCs/>
          <w:szCs w:val="24"/>
          <w:lang w:bidi="ar-EG"/>
        </w:rPr>
      </w:pPr>
      <w:r w:rsidRPr="00F02FD8">
        <w:rPr>
          <w:rFonts w:asciiTheme="minorHAnsi" w:eastAsiaTheme="minorEastAsia" w:hAnsiTheme="minorHAnsi" w:cstheme="minorBidi"/>
          <w:szCs w:val="24"/>
          <w:lang w:eastAsia="zh-CN"/>
        </w:rPr>
        <w:t xml:space="preserve">Pour toute information concernant les vaccins obligatoires et toute information sanitaire, veuillez consulter le site web de l'Organisation mondiale de la santé (OMS) à l'adresse: </w:t>
      </w:r>
      <w:r w:rsidR="00464610">
        <w:rPr>
          <w:rFonts w:asciiTheme="minorHAnsi" w:eastAsiaTheme="minorEastAsia" w:hAnsiTheme="minorHAnsi" w:cstheme="minorBidi"/>
          <w:szCs w:val="24"/>
          <w:lang w:eastAsia="zh-CN"/>
        </w:rPr>
        <w:br/>
      </w:r>
      <w:hyperlink r:id="rId17" w:history="1">
        <w:r w:rsidRPr="00F02FD8">
          <w:rPr>
            <w:rFonts w:asciiTheme="minorHAnsi" w:eastAsiaTheme="minorEastAsia" w:hAnsiTheme="minorHAnsi" w:cstheme="minorBidi"/>
            <w:color w:val="0000FF"/>
            <w:szCs w:val="24"/>
            <w:u w:val="single"/>
            <w:lang w:eastAsia="zh-CN"/>
          </w:rPr>
          <w:t>http://www.who.int/countries/egy/en/</w:t>
        </w:r>
      </w:hyperlink>
      <w:r w:rsidRPr="00F02FD8">
        <w:rPr>
          <w:rFonts w:asciiTheme="minorHAnsi" w:eastAsiaTheme="minorEastAsia" w:hAnsiTheme="minorHAnsi" w:cstheme="minorBidi"/>
          <w:szCs w:val="24"/>
          <w:lang w:eastAsia="zh-CN"/>
        </w:rPr>
        <w:t>.</w:t>
      </w:r>
    </w:p>
    <w:p w:rsidR="00716B5F" w:rsidRPr="00F02FD8" w:rsidRDefault="00716B5F" w:rsidP="00BE7F6B">
      <w:pPr>
        <w:pStyle w:val="headingb"/>
        <w:rPr>
          <w:rFonts w:asciiTheme="minorHAnsi" w:hAnsiTheme="minorHAnsi" w:cstheme="minorBidi"/>
          <w:sz w:val="32"/>
          <w:szCs w:val="32"/>
          <w:lang w:bidi="ar-EG"/>
        </w:rPr>
      </w:pPr>
      <w:r w:rsidRPr="00F02FD8">
        <w:rPr>
          <w:rFonts w:asciiTheme="minorHAnsi" w:hAnsiTheme="minorHAnsi"/>
          <w:lang w:bidi="ar-EG"/>
        </w:rPr>
        <w:t>Transport</w:t>
      </w:r>
    </w:p>
    <w:p w:rsidR="00716B5F" w:rsidRPr="00E5105F" w:rsidRDefault="00716B5F" w:rsidP="00BE7F6B">
      <w:pPr>
        <w:rPr>
          <w:rFonts w:asciiTheme="minorHAnsi" w:hAnsiTheme="minorHAnsi"/>
        </w:rPr>
      </w:pPr>
      <w:r w:rsidRPr="00E5105F">
        <w:rPr>
          <w:rFonts w:asciiTheme="minorHAnsi" w:hAnsiTheme="minorHAnsi"/>
        </w:rPr>
        <w:t xml:space="preserve">La NTRA </w:t>
      </w:r>
      <w:r w:rsidR="00E06BB6" w:rsidRPr="00E5105F">
        <w:rPr>
          <w:rFonts w:asciiTheme="minorHAnsi" w:hAnsiTheme="minorHAnsi"/>
        </w:rPr>
        <w:t>prendra en charge</w:t>
      </w:r>
      <w:r w:rsidRPr="00E5105F">
        <w:rPr>
          <w:rFonts w:asciiTheme="minorHAnsi" w:hAnsiTheme="minorHAnsi"/>
        </w:rPr>
        <w:t xml:space="preserve"> le transport de tous les participants entre le lieu de la réunion et les hôtels. Il est très important que les participants envoient les coordonnées précises de leur hôtel à Mme Maha Badr par courrier électronique (</w:t>
      </w:r>
      <w:hyperlink r:id="rId18" w:history="1">
        <w:r w:rsidRPr="00E5105F">
          <w:rPr>
            <w:rFonts w:asciiTheme="minorHAnsi" w:hAnsiTheme="minorHAnsi"/>
            <w:color w:val="0000FF"/>
            <w:u w:val="single"/>
          </w:rPr>
          <w:t>mahab@tra.gov.eg</w:t>
        </w:r>
      </w:hyperlink>
      <w:r w:rsidRPr="00E5105F">
        <w:rPr>
          <w:rFonts w:asciiTheme="minorHAnsi" w:hAnsiTheme="minorHAnsi"/>
        </w:rPr>
        <w:t>) ou par téléphone fixe (+20235344108).</w:t>
      </w:r>
    </w:p>
    <w:p w:rsidR="00716B5F" w:rsidRPr="00F02FD8" w:rsidRDefault="00716B5F" w:rsidP="00BE7F6B">
      <w:pPr>
        <w:keepNext/>
        <w:keepLines/>
        <w:rPr>
          <w:rFonts w:asciiTheme="minorHAnsi" w:hAnsiTheme="minorHAnsi"/>
        </w:rPr>
      </w:pPr>
      <w:r w:rsidRPr="00F02FD8">
        <w:rPr>
          <w:rFonts w:asciiTheme="minorHAnsi" w:hAnsiTheme="minorHAnsi"/>
        </w:rPr>
        <w:t xml:space="preserve">L'organisme hôte </w:t>
      </w:r>
      <w:r w:rsidRPr="00F02FD8">
        <w:rPr>
          <w:rFonts w:asciiTheme="minorHAnsi" w:hAnsiTheme="minorHAnsi"/>
          <w:b/>
          <w:bCs/>
        </w:rPr>
        <w:t>n'assure pas</w:t>
      </w:r>
      <w:r w:rsidRPr="00F02FD8">
        <w:rPr>
          <w:rFonts w:asciiTheme="minorHAnsi" w:hAnsiTheme="minorHAnsi"/>
        </w:rPr>
        <w:t xml:space="preserve"> le transfert </w:t>
      </w:r>
      <w:r w:rsidR="00E06BB6" w:rsidRPr="00F02FD8">
        <w:rPr>
          <w:rFonts w:asciiTheme="minorHAnsi" w:hAnsiTheme="minorHAnsi"/>
        </w:rPr>
        <w:t>depuis/vers</w:t>
      </w:r>
      <w:r w:rsidRPr="00F02FD8">
        <w:rPr>
          <w:rFonts w:asciiTheme="minorHAnsi" w:hAnsiTheme="minorHAnsi"/>
        </w:rPr>
        <w:t xml:space="preserve"> l'aéroport. Des services de transport sont proposés à l'aéroport à des tarifs raisonnables.</w:t>
      </w:r>
    </w:p>
    <w:p w:rsidR="00716B5F" w:rsidRPr="00F02FD8" w:rsidRDefault="00716B5F" w:rsidP="00BE7F6B">
      <w:pPr>
        <w:pStyle w:val="headingb"/>
        <w:rPr>
          <w:rFonts w:asciiTheme="minorHAnsi" w:hAnsiTheme="minorHAnsi"/>
          <w:sz w:val="32"/>
          <w:szCs w:val="32"/>
          <w:lang w:bidi="ar-EG"/>
        </w:rPr>
      </w:pPr>
      <w:r w:rsidRPr="00F02FD8">
        <w:rPr>
          <w:rFonts w:asciiTheme="minorHAnsi" w:hAnsiTheme="minorHAnsi"/>
          <w:lang w:bidi="ar-EG"/>
        </w:rPr>
        <w:t>Hébergement</w:t>
      </w:r>
    </w:p>
    <w:p w:rsidR="00716B5F" w:rsidRPr="00F02FD8" w:rsidRDefault="00716B5F" w:rsidP="00BE7F6B">
      <w:pPr>
        <w:tabs>
          <w:tab w:val="clear" w:pos="794"/>
          <w:tab w:val="clear" w:pos="1191"/>
          <w:tab w:val="clear" w:pos="1588"/>
          <w:tab w:val="clear" w:pos="1985"/>
        </w:tabs>
        <w:overflowPunct/>
        <w:jc w:val="both"/>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Des tarifs spéciaux ont été négociés avec l'hôtel Novotel Cairo Airport (lieu de la réunion) pour les participants à la réunion.</w:t>
      </w:r>
    </w:p>
    <w:p w:rsidR="00716B5F" w:rsidRPr="00F02FD8" w:rsidRDefault="00716B5F" w:rsidP="00BE7F6B">
      <w:pPr>
        <w:tabs>
          <w:tab w:val="clear" w:pos="794"/>
          <w:tab w:val="clear" w:pos="1191"/>
          <w:tab w:val="clear" w:pos="1588"/>
          <w:tab w:val="clear" w:pos="1985"/>
        </w:tabs>
        <w:overflowPunct/>
        <w:spacing w:after="120"/>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 xml:space="preserve">Les participants doivent réserver </w:t>
      </w:r>
      <w:r w:rsidR="00E06BB6" w:rsidRPr="00F02FD8">
        <w:rPr>
          <w:rFonts w:asciiTheme="minorHAnsi" w:eastAsiaTheme="minorHAnsi" w:hAnsiTheme="minorHAnsi" w:cstheme="minorBidi"/>
          <w:szCs w:val="24"/>
        </w:rPr>
        <w:t>leur</w:t>
      </w:r>
      <w:r w:rsidRPr="00F02FD8">
        <w:rPr>
          <w:rFonts w:asciiTheme="minorHAnsi" w:eastAsiaTheme="minorHAnsi" w:hAnsiTheme="minorHAnsi" w:cstheme="minorBidi"/>
          <w:szCs w:val="24"/>
        </w:rPr>
        <w:t xml:space="preserve"> hébergement directement auprès de la personne à contacter mentionnée ci-dessous et envoyer une copie de leur réservation à Mme Noha Nashaat, Autorité nationale de régulation des télécommunications (NTRA), par courrier électronique (</w:t>
      </w:r>
      <w:hyperlink r:id="rId19" w:history="1">
        <w:r w:rsidRPr="00F02FD8">
          <w:rPr>
            <w:rStyle w:val="Hyperlink"/>
            <w:rFonts w:asciiTheme="minorHAnsi" w:eastAsiaTheme="minorHAnsi" w:hAnsiTheme="minorHAnsi" w:cstheme="minorBidi"/>
            <w:szCs w:val="24"/>
          </w:rPr>
          <w:t>nohan@tra.gov.eg</w:t>
        </w:r>
      </w:hyperlink>
      <w:r w:rsidRPr="00F02FD8">
        <w:rPr>
          <w:rFonts w:asciiTheme="minorHAnsi" w:eastAsiaTheme="minorHAnsi" w:hAnsiTheme="minorHAnsi" w:cstheme="minorBidi"/>
          <w:szCs w:val="24"/>
        </w:rPr>
        <w:t>).</w:t>
      </w:r>
    </w:p>
    <w:p w:rsidR="00716B5F" w:rsidRPr="00F02FD8" w:rsidRDefault="00716B5F" w:rsidP="00BE7F6B">
      <w:pPr>
        <w:pStyle w:val="headingb"/>
        <w:rPr>
          <w:rFonts w:asciiTheme="minorHAnsi" w:hAnsiTheme="minorHAnsi"/>
          <w:lang w:bidi="ar-EG"/>
        </w:rPr>
      </w:pPr>
      <w:r w:rsidRPr="00F02FD8">
        <w:rPr>
          <w:rFonts w:asciiTheme="minorHAnsi" w:hAnsiTheme="minorHAnsi"/>
          <w:lang w:bidi="ar-EG"/>
        </w:rPr>
        <w:t>Liste d</w:t>
      </w:r>
      <w:r w:rsidR="00E06BB6" w:rsidRPr="00F02FD8">
        <w:rPr>
          <w:rFonts w:asciiTheme="minorHAnsi" w:hAnsiTheme="minorHAnsi"/>
          <w:lang w:bidi="ar-EG"/>
        </w:rPr>
        <w:t xml:space="preserve">es </w:t>
      </w:r>
      <w:r w:rsidRPr="00F02FD8">
        <w:rPr>
          <w:rFonts w:asciiTheme="minorHAnsi" w:hAnsiTheme="minorHAnsi"/>
          <w:lang w:bidi="ar-EG"/>
        </w:rPr>
        <w:t>hôtels</w:t>
      </w:r>
      <w:r w:rsidRPr="00F02FD8">
        <w:rPr>
          <w:rFonts w:asciiTheme="minorHAnsi" w:hAnsiTheme="minorHAnsi"/>
          <w:noProof/>
          <w:lang w:eastAsia="zh-CN"/>
        </w:rPr>
        <w:t xml:space="preserve"> </w:t>
      </w:r>
      <w:r w:rsidRPr="00F02FD8">
        <w:rPr>
          <w:rFonts w:asciiTheme="minorHAnsi" w:hAnsiTheme="minorHAnsi"/>
          <w:noProof/>
          <w:lang w:val="en-GB" w:eastAsia="zh-CN"/>
        </w:rPr>
        <w:drawing>
          <wp:anchor distT="0" distB="0" distL="114300" distR="114300" simplePos="0" relativeHeight="251660288" behindDoc="0" locked="0" layoutInCell="1" allowOverlap="1" wp14:anchorId="7A05822D" wp14:editId="405FF507">
            <wp:simplePos x="0" y="0"/>
            <wp:positionH relativeFrom="column">
              <wp:posOffset>3976370</wp:posOffset>
            </wp:positionH>
            <wp:positionV relativeFrom="paragraph">
              <wp:posOffset>9810115</wp:posOffset>
            </wp:positionV>
            <wp:extent cx="2166620" cy="1543050"/>
            <wp:effectExtent l="0" t="0" r="5080" b="0"/>
            <wp:wrapNone/>
            <wp:docPr id="9" name="Pictur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6620" cy="1543050"/>
                    </a:xfrm>
                    <a:prstGeom prst="rect">
                      <a:avLst/>
                    </a:prstGeom>
                    <a:noFill/>
                  </pic:spPr>
                </pic:pic>
              </a:graphicData>
            </a:graphic>
          </wp:anchor>
        </w:drawing>
      </w:r>
    </w:p>
    <w:p w:rsidR="00716B5F" w:rsidRPr="00F02FD8" w:rsidRDefault="00716B5F" w:rsidP="00BE7F6B">
      <w:pPr>
        <w:spacing w:after="120"/>
        <w:ind w:right="84"/>
        <w:rPr>
          <w:rFonts w:asciiTheme="minorHAnsi" w:hAnsiTheme="minorHAnsi"/>
          <w:lang w:bidi="ar-EG"/>
        </w:rPr>
      </w:pPr>
      <w:r w:rsidRPr="00F02FD8">
        <w:rPr>
          <w:rFonts w:asciiTheme="minorHAnsi" w:hAnsiTheme="minorHAnsi"/>
          <w:lang w:bidi="ar-EG"/>
        </w:rPr>
        <w:t>Les tarifs négociés ci-dessous correspondent à la nuitée et au petit-déjeuner (taxes et frais de service inclus):</w:t>
      </w:r>
    </w:p>
    <w:tbl>
      <w:tblPr>
        <w:tblStyle w:val="TableGrid1"/>
        <w:tblW w:w="10415" w:type="dxa"/>
        <w:tblLayout w:type="fixed"/>
        <w:tblLook w:val="04A0" w:firstRow="1" w:lastRow="0" w:firstColumn="1" w:lastColumn="0" w:noHBand="0" w:noVBand="1"/>
      </w:tblPr>
      <w:tblGrid>
        <w:gridCol w:w="630"/>
        <w:gridCol w:w="1701"/>
        <w:gridCol w:w="1134"/>
        <w:gridCol w:w="1275"/>
        <w:gridCol w:w="1276"/>
        <w:gridCol w:w="4399"/>
      </w:tblGrid>
      <w:tr w:rsidR="00716B5F" w:rsidRPr="00F02FD8" w:rsidTr="00E06BB6">
        <w:tc>
          <w:tcPr>
            <w:tcW w:w="630" w:type="dxa"/>
            <w:vAlign w:val="center"/>
          </w:tcPr>
          <w:p w:rsidR="00716B5F" w:rsidRPr="00F02FD8" w:rsidRDefault="00E06BB6" w:rsidP="00BE7F6B">
            <w:pPr>
              <w:spacing w:after="120"/>
              <w:ind w:right="84"/>
              <w:jc w:val="center"/>
              <w:rPr>
                <w:rFonts w:asciiTheme="minorHAnsi" w:hAnsiTheme="minorHAnsi"/>
                <w:b/>
                <w:bCs/>
                <w:sz w:val="22"/>
              </w:rPr>
            </w:pPr>
            <w:r w:rsidRPr="00F02FD8">
              <w:rPr>
                <w:rFonts w:asciiTheme="minorHAnsi" w:hAnsiTheme="minorHAnsi"/>
                <w:b/>
                <w:bCs/>
                <w:sz w:val="22"/>
              </w:rPr>
              <w:t>N°</w:t>
            </w:r>
          </w:p>
        </w:tc>
        <w:tc>
          <w:tcPr>
            <w:tcW w:w="1701"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Nom de l'hôtel</w:t>
            </w:r>
          </w:p>
        </w:tc>
        <w:tc>
          <w:tcPr>
            <w:tcW w:w="1134"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Nombre d'étoiles</w:t>
            </w:r>
          </w:p>
        </w:tc>
        <w:tc>
          <w:tcPr>
            <w:tcW w:w="1275"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Chambre simple (USD)</w:t>
            </w:r>
          </w:p>
        </w:tc>
        <w:tc>
          <w:tcPr>
            <w:tcW w:w="1276"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Chambre double (USD)</w:t>
            </w:r>
          </w:p>
        </w:tc>
        <w:tc>
          <w:tcPr>
            <w:tcW w:w="4399" w:type="dxa"/>
            <w:vAlign w:val="center"/>
          </w:tcPr>
          <w:p w:rsidR="00716B5F" w:rsidRPr="00F02FD8" w:rsidRDefault="00716B5F" w:rsidP="00BE7F6B">
            <w:pPr>
              <w:spacing w:after="120"/>
              <w:ind w:right="84"/>
              <w:jc w:val="center"/>
              <w:rPr>
                <w:rFonts w:asciiTheme="minorHAnsi" w:hAnsiTheme="minorHAnsi"/>
                <w:b/>
                <w:bCs/>
                <w:sz w:val="22"/>
              </w:rPr>
            </w:pPr>
            <w:r w:rsidRPr="00F02FD8">
              <w:rPr>
                <w:rFonts w:asciiTheme="minorHAnsi" w:hAnsiTheme="minorHAnsi"/>
                <w:b/>
                <w:bCs/>
                <w:sz w:val="22"/>
              </w:rPr>
              <w:t>Personne à contacter</w:t>
            </w:r>
          </w:p>
        </w:tc>
      </w:tr>
      <w:tr w:rsidR="00716B5F" w:rsidRPr="00F02FD8" w:rsidTr="00E06BB6">
        <w:tc>
          <w:tcPr>
            <w:tcW w:w="630" w:type="dxa"/>
            <w:vMerge w:val="restart"/>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1</w:t>
            </w:r>
          </w:p>
        </w:tc>
        <w:tc>
          <w:tcPr>
            <w:tcW w:w="1701" w:type="dxa"/>
            <w:vMerge w:val="restart"/>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Novotel Cairo Airport (lieu de la réunion)</w:t>
            </w:r>
          </w:p>
        </w:tc>
        <w:tc>
          <w:tcPr>
            <w:tcW w:w="1134" w:type="dxa"/>
            <w:vMerge w:val="restart"/>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4</w:t>
            </w: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 xml:space="preserve">Standard </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70</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 xml:space="preserve">Standard </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80</w:t>
            </w:r>
          </w:p>
        </w:tc>
        <w:tc>
          <w:tcPr>
            <w:tcW w:w="4399" w:type="dxa"/>
            <w:vMerge w:val="restart"/>
            <w:vAlign w:val="center"/>
          </w:tcPr>
          <w:p w:rsidR="00716B5F" w:rsidRPr="00F02FD8" w:rsidRDefault="00716B5F" w:rsidP="00BE7F6B">
            <w:pPr>
              <w:rPr>
                <w:rFonts w:asciiTheme="minorHAnsi" w:hAnsiTheme="minorHAnsi"/>
                <w:sz w:val="22"/>
                <w:lang w:bidi="ar-EG"/>
              </w:rPr>
            </w:pPr>
            <w:r w:rsidRPr="00F02FD8">
              <w:rPr>
                <w:rFonts w:asciiTheme="minorHAnsi" w:hAnsiTheme="minorHAnsi"/>
                <w:b/>
                <w:bCs/>
                <w:sz w:val="22"/>
                <w:lang w:bidi="ar-EG"/>
              </w:rPr>
              <w:t>M. Hisham Ramadan</w:t>
            </w:r>
            <w:r w:rsidRPr="00F02FD8">
              <w:rPr>
                <w:rFonts w:asciiTheme="minorHAnsi" w:hAnsiTheme="minorHAnsi"/>
                <w:sz w:val="22"/>
                <w:lang w:bidi="ar-EG"/>
              </w:rPr>
              <w:t>| Directeur des ventes</w:t>
            </w:r>
          </w:p>
          <w:p w:rsidR="00716B5F" w:rsidRPr="00F02FD8" w:rsidRDefault="00716B5F" w:rsidP="00BE7F6B">
            <w:pPr>
              <w:spacing w:before="60"/>
              <w:rPr>
                <w:rFonts w:asciiTheme="minorHAnsi" w:hAnsiTheme="minorHAnsi"/>
                <w:sz w:val="22"/>
                <w:lang w:bidi="ar-EG"/>
              </w:rPr>
            </w:pPr>
            <w:r w:rsidRPr="00F02FD8">
              <w:rPr>
                <w:rFonts w:asciiTheme="minorHAnsi" w:hAnsiTheme="minorHAnsi"/>
                <w:sz w:val="22"/>
                <w:lang w:bidi="ar-EG"/>
              </w:rPr>
              <w:t>NOVOTEL CAIRO AIRPORT</w:t>
            </w:r>
          </w:p>
          <w:p w:rsidR="00716B5F" w:rsidRPr="00F02FD8" w:rsidRDefault="00464610" w:rsidP="00BE7F6B">
            <w:pPr>
              <w:spacing w:before="60"/>
              <w:rPr>
                <w:rFonts w:asciiTheme="minorHAnsi" w:hAnsiTheme="minorHAnsi"/>
                <w:sz w:val="22"/>
                <w:lang w:bidi="ar-EG"/>
              </w:rPr>
            </w:pPr>
            <w:r>
              <w:rPr>
                <w:rFonts w:asciiTheme="minorHAnsi" w:hAnsiTheme="minorHAnsi"/>
                <w:sz w:val="22"/>
                <w:lang w:bidi="ar-EG"/>
              </w:rPr>
              <w:t>Mobile: +2 (010) 66624054</w:t>
            </w:r>
          </w:p>
          <w:p w:rsidR="00716B5F" w:rsidRPr="00F02FD8" w:rsidRDefault="00716B5F" w:rsidP="00BE7F6B">
            <w:pPr>
              <w:spacing w:before="60"/>
              <w:rPr>
                <w:rFonts w:asciiTheme="minorHAnsi" w:hAnsiTheme="minorHAnsi"/>
                <w:sz w:val="22"/>
                <w:lang w:bidi="ar-EG"/>
              </w:rPr>
            </w:pPr>
            <w:r w:rsidRPr="00F02FD8">
              <w:rPr>
                <w:rFonts w:asciiTheme="minorHAnsi" w:hAnsiTheme="minorHAnsi"/>
                <w:sz w:val="22"/>
                <w:lang w:bidi="ar-EG"/>
              </w:rPr>
              <w:t xml:space="preserve">Numéro direct pour les réservations: +2 (02)22 69 67 14   </w:t>
            </w:r>
          </w:p>
          <w:p w:rsidR="00716B5F" w:rsidRPr="00CB4B39" w:rsidRDefault="00716B5F" w:rsidP="00BE7F6B">
            <w:pPr>
              <w:spacing w:before="60"/>
              <w:rPr>
                <w:rFonts w:asciiTheme="minorHAnsi" w:hAnsiTheme="minorHAnsi"/>
                <w:sz w:val="22"/>
                <w:lang w:val="en-US" w:bidi="ar-EG"/>
              </w:rPr>
            </w:pPr>
            <w:r w:rsidRPr="00CB4B39">
              <w:rPr>
                <w:rFonts w:asciiTheme="minorHAnsi" w:hAnsiTheme="minorHAnsi"/>
                <w:sz w:val="22"/>
                <w:lang w:val="en-US" w:bidi="ar-EG"/>
              </w:rPr>
              <w:t>Bus: +2 (011) 47404400</w:t>
            </w:r>
          </w:p>
          <w:p w:rsidR="00716B5F" w:rsidRPr="00CB4B39" w:rsidRDefault="00B660F5" w:rsidP="00BE7F6B">
            <w:pPr>
              <w:spacing w:before="60"/>
              <w:rPr>
                <w:rFonts w:asciiTheme="minorHAnsi" w:hAnsiTheme="minorHAnsi"/>
                <w:color w:val="0000FF"/>
                <w:sz w:val="22"/>
                <w:u w:val="single"/>
                <w:lang w:val="en-US"/>
              </w:rPr>
            </w:pPr>
            <w:hyperlink r:id="rId20" w:history="1">
              <w:r w:rsidR="00716B5F" w:rsidRPr="00CB4B39">
                <w:rPr>
                  <w:rFonts w:asciiTheme="minorHAnsi" w:hAnsiTheme="minorHAnsi"/>
                  <w:color w:val="0000FF"/>
                  <w:sz w:val="22"/>
                  <w:u w:val="single"/>
                  <w:lang w:val="en-US"/>
                </w:rPr>
                <w:t>h0502-sl2@accor.com</w:t>
              </w:r>
            </w:hyperlink>
            <w:r w:rsidR="00716B5F" w:rsidRPr="00CB4B39">
              <w:rPr>
                <w:rFonts w:asciiTheme="minorHAnsi" w:hAnsiTheme="minorHAnsi"/>
                <w:color w:val="0000FF"/>
                <w:sz w:val="22"/>
                <w:u w:val="single"/>
                <w:lang w:val="en-US"/>
              </w:rPr>
              <w:t xml:space="preserve">   </w:t>
            </w:r>
          </w:p>
          <w:p w:rsidR="00716B5F" w:rsidRPr="00CB4B39" w:rsidRDefault="00B660F5" w:rsidP="00BE7F6B">
            <w:pPr>
              <w:spacing w:before="60"/>
              <w:rPr>
                <w:rFonts w:asciiTheme="minorHAnsi" w:hAnsiTheme="minorHAnsi"/>
                <w:color w:val="0000FF"/>
                <w:sz w:val="22"/>
                <w:u w:val="single"/>
                <w:lang w:val="en-US"/>
              </w:rPr>
            </w:pPr>
            <w:hyperlink r:id="rId21" w:history="1">
              <w:r w:rsidR="00716B5F" w:rsidRPr="00CB4B39">
                <w:rPr>
                  <w:rFonts w:asciiTheme="minorHAnsi" w:hAnsiTheme="minorHAnsi"/>
                  <w:color w:val="0000FF"/>
                  <w:sz w:val="22"/>
                  <w:u w:val="single"/>
                  <w:lang w:val="en-US"/>
                </w:rPr>
                <w:t>novotel.com</w:t>
              </w:r>
            </w:hyperlink>
            <w:r w:rsidR="00716B5F" w:rsidRPr="00CB4B39">
              <w:rPr>
                <w:rFonts w:asciiTheme="minorHAnsi" w:hAnsiTheme="minorHAnsi"/>
                <w:color w:val="0000FF"/>
                <w:sz w:val="22"/>
                <w:u w:val="single"/>
                <w:lang w:val="en-US"/>
              </w:rPr>
              <w:t xml:space="preserve">  </w:t>
            </w:r>
          </w:p>
          <w:p w:rsidR="00716B5F" w:rsidRPr="00F02FD8" w:rsidRDefault="00B660F5" w:rsidP="00BE7F6B">
            <w:pPr>
              <w:spacing w:before="60" w:after="60"/>
              <w:rPr>
                <w:rFonts w:asciiTheme="minorHAnsi" w:hAnsiTheme="minorHAnsi"/>
                <w:sz w:val="22"/>
                <w:u w:val="single"/>
                <w:lang w:bidi="ar-EG"/>
              </w:rPr>
            </w:pPr>
            <w:hyperlink r:id="rId22" w:history="1">
              <w:r w:rsidR="00716B5F" w:rsidRPr="00F02FD8">
                <w:rPr>
                  <w:rFonts w:asciiTheme="minorHAnsi" w:hAnsiTheme="minorHAnsi"/>
                  <w:color w:val="0000FF"/>
                  <w:sz w:val="22"/>
                  <w:u w:val="single"/>
                </w:rPr>
                <w:t>accorhotels.com</w:t>
              </w:r>
            </w:hyperlink>
          </w:p>
        </w:tc>
      </w:tr>
      <w:tr w:rsidR="00716B5F" w:rsidRPr="00F02FD8" w:rsidTr="00E06BB6">
        <w:tc>
          <w:tcPr>
            <w:tcW w:w="630" w:type="dxa"/>
            <w:vMerge/>
            <w:vAlign w:val="center"/>
          </w:tcPr>
          <w:p w:rsidR="00716B5F" w:rsidRPr="00F02FD8" w:rsidRDefault="00716B5F" w:rsidP="00BE7F6B">
            <w:pPr>
              <w:spacing w:after="120"/>
              <w:ind w:right="84"/>
              <w:jc w:val="center"/>
              <w:rPr>
                <w:rFonts w:asciiTheme="minorHAnsi" w:hAnsiTheme="minorHAnsi"/>
                <w:sz w:val="22"/>
                <w:lang w:bidi="ar-EG"/>
              </w:rPr>
            </w:pPr>
          </w:p>
        </w:tc>
        <w:tc>
          <w:tcPr>
            <w:tcW w:w="1701" w:type="dxa"/>
            <w:vMerge/>
            <w:vAlign w:val="center"/>
          </w:tcPr>
          <w:p w:rsidR="00716B5F" w:rsidRPr="00F02FD8" w:rsidRDefault="00716B5F" w:rsidP="00BE7F6B">
            <w:pPr>
              <w:spacing w:after="120"/>
              <w:ind w:right="84"/>
              <w:jc w:val="center"/>
              <w:rPr>
                <w:rFonts w:asciiTheme="minorHAnsi" w:hAnsiTheme="minorHAnsi"/>
                <w:sz w:val="22"/>
                <w:lang w:bidi="ar-EG"/>
              </w:rPr>
            </w:pPr>
          </w:p>
        </w:tc>
        <w:tc>
          <w:tcPr>
            <w:tcW w:w="1134" w:type="dxa"/>
            <w:vMerge/>
            <w:vAlign w:val="center"/>
          </w:tcPr>
          <w:p w:rsidR="00716B5F" w:rsidRPr="00F02FD8" w:rsidRDefault="00716B5F" w:rsidP="00BE7F6B">
            <w:pPr>
              <w:spacing w:after="120"/>
              <w:ind w:right="84"/>
              <w:jc w:val="center"/>
              <w:rPr>
                <w:rFonts w:asciiTheme="minorHAnsi" w:hAnsiTheme="minorHAnsi"/>
                <w:sz w:val="22"/>
                <w:lang w:bidi="ar-EG"/>
              </w:rPr>
            </w:pP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Supérieure</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85</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Supérieure</w:t>
            </w:r>
          </w:p>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95</w:t>
            </w:r>
          </w:p>
        </w:tc>
        <w:tc>
          <w:tcPr>
            <w:tcW w:w="4399" w:type="dxa"/>
            <w:vMerge/>
            <w:vAlign w:val="center"/>
          </w:tcPr>
          <w:p w:rsidR="00716B5F" w:rsidRPr="00F02FD8" w:rsidRDefault="00716B5F" w:rsidP="00BE7F6B">
            <w:pPr>
              <w:spacing w:after="120"/>
              <w:rPr>
                <w:rFonts w:asciiTheme="minorHAnsi" w:hAnsiTheme="minorHAnsi"/>
                <w:sz w:val="22"/>
                <w:lang w:bidi="ar-EG"/>
              </w:rPr>
            </w:pPr>
          </w:p>
        </w:tc>
      </w:tr>
      <w:tr w:rsidR="00716B5F" w:rsidRPr="00F02FD8" w:rsidTr="00E06BB6">
        <w:tc>
          <w:tcPr>
            <w:tcW w:w="630"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2</w:t>
            </w:r>
          </w:p>
        </w:tc>
        <w:tc>
          <w:tcPr>
            <w:tcW w:w="1701"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Le Passage Hotel &amp; Casino</w:t>
            </w:r>
          </w:p>
        </w:tc>
        <w:tc>
          <w:tcPr>
            <w:tcW w:w="1134"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5</w:t>
            </w: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47</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60</w:t>
            </w:r>
          </w:p>
        </w:tc>
        <w:tc>
          <w:tcPr>
            <w:tcW w:w="4399" w:type="dxa"/>
            <w:vAlign w:val="center"/>
          </w:tcPr>
          <w:p w:rsidR="00716B5F" w:rsidRPr="00F02FD8" w:rsidRDefault="00716B5F" w:rsidP="00BE7F6B">
            <w:pPr>
              <w:spacing w:after="120"/>
              <w:rPr>
                <w:rFonts w:asciiTheme="minorHAnsi" w:hAnsiTheme="minorHAnsi"/>
                <w:color w:val="0000FF" w:themeColor="hyperlink"/>
                <w:sz w:val="22"/>
                <w:u w:val="single"/>
              </w:rPr>
            </w:pPr>
            <w:r w:rsidRPr="00F02FD8">
              <w:rPr>
                <w:rFonts w:asciiTheme="minorHAnsi" w:hAnsiTheme="minorHAnsi"/>
                <w:sz w:val="22"/>
                <w:lang w:bidi="ar-EG"/>
              </w:rPr>
              <w:t xml:space="preserve">Via </w:t>
            </w:r>
            <w:hyperlink r:id="rId23" w:history="1">
              <w:r w:rsidRPr="00F02FD8">
                <w:rPr>
                  <w:rFonts w:asciiTheme="minorHAnsi" w:hAnsiTheme="minorHAnsi"/>
                  <w:color w:val="0000FF"/>
                  <w:sz w:val="22"/>
                  <w:u w:val="single"/>
                </w:rPr>
                <w:t>www.booking.com</w:t>
              </w:r>
            </w:hyperlink>
            <w:r w:rsidRPr="00F02FD8">
              <w:rPr>
                <w:rFonts w:asciiTheme="minorHAnsi" w:hAnsiTheme="minorHAnsi"/>
                <w:color w:val="0000FF"/>
                <w:sz w:val="22"/>
                <w:u w:val="single"/>
              </w:rPr>
              <w:t xml:space="preserve"> </w:t>
            </w:r>
          </w:p>
        </w:tc>
      </w:tr>
      <w:tr w:rsidR="00716B5F" w:rsidRPr="00F02FD8" w:rsidTr="00E06BB6">
        <w:tc>
          <w:tcPr>
            <w:tcW w:w="630"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3</w:t>
            </w:r>
          </w:p>
        </w:tc>
        <w:tc>
          <w:tcPr>
            <w:tcW w:w="1701"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Le Méridien Cairo Airport</w:t>
            </w:r>
          </w:p>
        </w:tc>
        <w:tc>
          <w:tcPr>
            <w:tcW w:w="1134" w:type="dxa"/>
            <w:vAlign w:val="center"/>
          </w:tcPr>
          <w:p w:rsidR="00716B5F" w:rsidRPr="00F02FD8" w:rsidRDefault="00716B5F" w:rsidP="00BE7F6B">
            <w:pPr>
              <w:spacing w:after="120"/>
              <w:ind w:right="84"/>
              <w:jc w:val="center"/>
              <w:rPr>
                <w:rFonts w:asciiTheme="minorHAnsi" w:hAnsiTheme="minorHAnsi"/>
                <w:sz w:val="22"/>
                <w:lang w:bidi="ar-EG"/>
              </w:rPr>
            </w:pPr>
            <w:r w:rsidRPr="00F02FD8">
              <w:rPr>
                <w:rFonts w:asciiTheme="minorHAnsi" w:hAnsiTheme="minorHAnsi"/>
                <w:sz w:val="22"/>
                <w:lang w:bidi="ar-EG"/>
              </w:rPr>
              <w:t>5</w:t>
            </w:r>
          </w:p>
        </w:tc>
        <w:tc>
          <w:tcPr>
            <w:tcW w:w="1275"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145</w:t>
            </w:r>
          </w:p>
        </w:tc>
        <w:tc>
          <w:tcPr>
            <w:tcW w:w="1276" w:type="dxa"/>
            <w:vAlign w:val="center"/>
          </w:tcPr>
          <w:p w:rsidR="00716B5F" w:rsidRPr="00F02FD8" w:rsidRDefault="00716B5F" w:rsidP="00BE7F6B">
            <w:pPr>
              <w:spacing w:after="120"/>
              <w:jc w:val="center"/>
              <w:rPr>
                <w:rFonts w:asciiTheme="minorHAnsi" w:hAnsiTheme="minorHAnsi"/>
                <w:sz w:val="22"/>
                <w:lang w:bidi="ar-EG"/>
              </w:rPr>
            </w:pPr>
            <w:r w:rsidRPr="00F02FD8">
              <w:rPr>
                <w:rFonts w:asciiTheme="minorHAnsi" w:hAnsiTheme="minorHAnsi"/>
                <w:sz w:val="22"/>
                <w:lang w:bidi="ar-EG"/>
              </w:rPr>
              <w:t>195</w:t>
            </w:r>
          </w:p>
        </w:tc>
        <w:tc>
          <w:tcPr>
            <w:tcW w:w="4399" w:type="dxa"/>
            <w:vAlign w:val="center"/>
          </w:tcPr>
          <w:p w:rsidR="00716B5F" w:rsidRPr="00F02FD8" w:rsidRDefault="00716B5F" w:rsidP="00BE7F6B">
            <w:pPr>
              <w:spacing w:after="120"/>
              <w:rPr>
                <w:rFonts w:asciiTheme="minorHAnsi" w:hAnsiTheme="minorHAnsi"/>
                <w:sz w:val="22"/>
                <w:lang w:bidi="ar-EG"/>
              </w:rPr>
            </w:pPr>
            <w:r w:rsidRPr="00F02FD8">
              <w:rPr>
                <w:rFonts w:asciiTheme="minorHAnsi" w:hAnsiTheme="minorHAnsi"/>
                <w:sz w:val="22"/>
                <w:lang w:bidi="ar-EG"/>
              </w:rPr>
              <w:t xml:space="preserve">Via </w:t>
            </w:r>
            <w:hyperlink r:id="rId24" w:history="1">
              <w:r w:rsidRPr="00F02FD8">
                <w:rPr>
                  <w:rFonts w:asciiTheme="minorHAnsi" w:hAnsiTheme="minorHAnsi"/>
                  <w:color w:val="0000FF"/>
                  <w:sz w:val="22"/>
                  <w:u w:val="single"/>
                </w:rPr>
                <w:t>www.booking.com</w:t>
              </w:r>
            </w:hyperlink>
          </w:p>
        </w:tc>
      </w:tr>
    </w:tbl>
    <w:p w:rsidR="00BE7F6B" w:rsidRDefault="00BE7F6B" w:rsidP="00BE7F6B">
      <w:pPr>
        <w:pStyle w:val="headingb"/>
        <w:rPr>
          <w:rFonts w:asciiTheme="minorHAnsi" w:hAnsiTheme="minorHAnsi"/>
          <w:lang w:bidi="ar-EG"/>
        </w:rPr>
      </w:pPr>
      <w:r>
        <w:rPr>
          <w:rFonts w:asciiTheme="minorHAnsi" w:hAnsiTheme="minorHAnsi"/>
          <w:lang w:bidi="ar-EG"/>
        </w:rPr>
        <w:br w:type="page"/>
      </w:r>
    </w:p>
    <w:p w:rsidR="00716B5F" w:rsidRPr="00F02FD8" w:rsidRDefault="00716B5F" w:rsidP="00BE7F6B">
      <w:pPr>
        <w:pStyle w:val="headingb"/>
        <w:rPr>
          <w:rFonts w:asciiTheme="minorHAnsi" w:hAnsiTheme="minorHAnsi"/>
          <w:sz w:val="32"/>
          <w:szCs w:val="32"/>
          <w:lang w:bidi="ar-EG"/>
        </w:rPr>
      </w:pPr>
      <w:r w:rsidRPr="00F02FD8">
        <w:rPr>
          <w:rFonts w:asciiTheme="minorHAnsi" w:hAnsiTheme="minorHAnsi"/>
          <w:lang w:bidi="ar-EG"/>
        </w:rPr>
        <w:lastRenderedPageBreak/>
        <w:t>Informations utiles</w:t>
      </w:r>
    </w:p>
    <w:p w:rsidR="00716B5F" w:rsidRPr="00F02FD8" w:rsidRDefault="00E92A10" w:rsidP="00BE7F6B">
      <w:pPr>
        <w:pStyle w:val="headingb"/>
        <w:rPr>
          <w:rFonts w:asciiTheme="minorHAnsi" w:hAnsiTheme="minorHAnsi"/>
          <w:sz w:val="28"/>
          <w:szCs w:val="28"/>
        </w:rPr>
      </w:pPr>
      <w:r w:rsidRPr="00F02FD8">
        <w:rPr>
          <w:rFonts w:asciiTheme="minorHAnsi" w:hAnsiTheme="minorHAnsi"/>
        </w:rPr>
        <w:t>A</w:t>
      </w:r>
      <w:r w:rsidR="00716B5F" w:rsidRPr="00F02FD8">
        <w:rPr>
          <w:rFonts w:asciiTheme="minorHAnsi" w:hAnsiTheme="minorHAnsi"/>
        </w:rPr>
        <w:t xml:space="preserve"> propos du Caire</w:t>
      </w:r>
    </w:p>
    <w:p w:rsidR="00716B5F" w:rsidRPr="00F02FD8" w:rsidRDefault="00716B5F" w:rsidP="00BE7F6B">
      <w:pPr>
        <w:jc w:val="both"/>
        <w:rPr>
          <w:rFonts w:asciiTheme="minorHAnsi" w:hAnsiTheme="minorHAnsi"/>
        </w:rPr>
      </w:pPr>
      <w:r w:rsidRPr="00F02FD8">
        <w:rPr>
          <w:rFonts w:asciiTheme="minorHAnsi" w:hAnsiTheme="minorHAnsi"/>
        </w:rPr>
        <w:t>Le Caire, la capitale tentaculaire de l'</w:t>
      </w:r>
      <w:r w:rsidR="00E06BB6" w:rsidRPr="00F02FD8">
        <w:rPr>
          <w:rFonts w:asciiTheme="minorHAnsi" w:hAnsiTheme="minorHAnsi"/>
        </w:rPr>
        <w:t>E</w:t>
      </w:r>
      <w:r w:rsidRPr="00F02FD8">
        <w:rPr>
          <w:rFonts w:asciiTheme="minorHAnsi" w:hAnsiTheme="minorHAnsi"/>
        </w:rPr>
        <w:t>gy</w:t>
      </w:r>
      <w:r w:rsidR="00203608">
        <w:rPr>
          <w:rFonts w:asciiTheme="minorHAnsi" w:hAnsiTheme="minorHAnsi"/>
        </w:rPr>
        <w:t>pte, est situé sur le Nil. Au coe</w:t>
      </w:r>
      <w:r w:rsidRPr="00F02FD8">
        <w:rPr>
          <w:rFonts w:asciiTheme="minorHAnsi" w:hAnsiTheme="minorHAnsi"/>
        </w:rPr>
        <w:t>ur de la ville se trouve</w:t>
      </w:r>
      <w:r w:rsidR="00E06BB6" w:rsidRPr="00F02FD8">
        <w:rPr>
          <w:rFonts w:asciiTheme="minorHAnsi" w:hAnsiTheme="minorHAnsi"/>
        </w:rPr>
        <w:t>nt</w:t>
      </w:r>
      <w:r w:rsidRPr="00F02FD8">
        <w:rPr>
          <w:rFonts w:asciiTheme="minorHAnsi" w:hAnsiTheme="minorHAnsi"/>
        </w:rPr>
        <w:t xml:space="preserve"> la place Tahrir et le vaste Musée égyptien, qui abrite des collections d'antiquités dont les momies royales et des objets dorés du roi Toutânkhamon. </w:t>
      </w:r>
      <w:r w:rsidR="00203608">
        <w:rPr>
          <w:rFonts w:asciiTheme="minorHAnsi" w:hAnsiTheme="minorHAnsi"/>
        </w:rPr>
        <w:t>A</w:t>
      </w:r>
      <w:r w:rsidRPr="00F02FD8">
        <w:rPr>
          <w:rFonts w:asciiTheme="minorHAnsi" w:hAnsiTheme="minorHAnsi"/>
        </w:rPr>
        <w:t xml:space="preserve"> proximité, Gizeh est le site des pyramides emblématiques et du Sphinx, datant du XXVIe siècle avant JC. Dans le quartier verdoyant de Zamalek, sur l'île de Gezira, la Tour du Caire (187</w:t>
      </w:r>
      <w:r w:rsidR="00203608">
        <w:rPr>
          <w:rFonts w:asciiTheme="minorHAnsi" w:hAnsiTheme="minorHAnsi"/>
        </w:rPr>
        <w:t> </w:t>
      </w:r>
      <w:r w:rsidRPr="00F02FD8">
        <w:rPr>
          <w:rFonts w:asciiTheme="minorHAnsi" w:hAnsiTheme="minorHAnsi"/>
        </w:rPr>
        <w:t>m) offre une vue panoramique sur la ville.</w:t>
      </w:r>
    </w:p>
    <w:p w:rsidR="00716B5F" w:rsidRPr="00F02FD8" w:rsidRDefault="00716B5F" w:rsidP="00BE7F6B">
      <w:pPr>
        <w:pStyle w:val="headingb"/>
        <w:rPr>
          <w:rFonts w:asciiTheme="minorHAnsi" w:hAnsiTheme="minorHAnsi"/>
        </w:rPr>
      </w:pPr>
      <w:r w:rsidRPr="00F02FD8">
        <w:rPr>
          <w:rFonts w:asciiTheme="minorHAnsi" w:hAnsiTheme="minorHAnsi"/>
        </w:rPr>
        <w:t>Météo</w:t>
      </w:r>
    </w:p>
    <w:p w:rsidR="00716B5F" w:rsidRPr="00F02FD8" w:rsidRDefault="00716B5F" w:rsidP="00BE7F6B">
      <w:pPr>
        <w:spacing w:after="240"/>
        <w:jc w:val="both"/>
        <w:rPr>
          <w:rFonts w:asciiTheme="minorHAnsi" w:hAnsiTheme="minorHAnsi"/>
          <w:lang w:bidi="ar-EG"/>
        </w:rPr>
      </w:pPr>
      <w:r w:rsidRPr="00F02FD8">
        <w:rPr>
          <w:rFonts w:asciiTheme="minorHAnsi" w:hAnsiTheme="minorHAnsi"/>
          <w:lang w:bidi="ar-EG"/>
        </w:rPr>
        <w:t>En avril, les températures moyennes au Caire se situent entre 13°C et 29°C. Il y a 10 heures d'ensoleillement par jour. Les températures attendues pendant les réunions des Groupes régionaux pour l'Afrique de la CE 11 et de la CE 13 de l'UIT-T sont les suivantes:</w:t>
      </w:r>
    </w:p>
    <w:tbl>
      <w:tblPr>
        <w:tblStyle w:val="LightShading1"/>
        <w:tblW w:w="0" w:type="auto"/>
        <w:jc w:val="center"/>
        <w:tblLook w:val="04A0" w:firstRow="1" w:lastRow="0" w:firstColumn="1" w:lastColumn="0" w:noHBand="0" w:noVBand="1"/>
      </w:tblPr>
      <w:tblGrid>
        <w:gridCol w:w="1491"/>
        <w:gridCol w:w="1491"/>
        <w:gridCol w:w="1491"/>
        <w:gridCol w:w="1491"/>
        <w:gridCol w:w="1491"/>
      </w:tblGrid>
      <w:tr w:rsidR="00716B5F" w:rsidRPr="00F02FD8" w:rsidTr="00E54E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1" w:type="dxa"/>
          </w:tcPr>
          <w:p w:rsidR="00716B5F" w:rsidRPr="00F02FD8" w:rsidRDefault="00716B5F" w:rsidP="00BE7F6B">
            <w:pPr>
              <w:pStyle w:val="TableHead"/>
              <w:rPr>
                <w:rFonts w:asciiTheme="minorHAnsi" w:hAnsiTheme="minorHAnsi"/>
                <w:b/>
                <w:bCs w:val="0"/>
              </w:rPr>
            </w:pPr>
            <w:r w:rsidRPr="00F02FD8">
              <w:rPr>
                <w:rFonts w:asciiTheme="minorHAnsi" w:hAnsiTheme="minorHAnsi"/>
                <w:b/>
                <w:bCs w:val="0"/>
              </w:rPr>
              <w:t>2 avril 2017</w:t>
            </w:r>
          </w:p>
        </w:tc>
        <w:tc>
          <w:tcPr>
            <w:tcW w:w="1491" w:type="dxa"/>
          </w:tcPr>
          <w:p w:rsidR="00716B5F" w:rsidRPr="00F02FD8"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3 avril 2017</w:t>
            </w:r>
          </w:p>
        </w:tc>
        <w:tc>
          <w:tcPr>
            <w:tcW w:w="1491" w:type="dxa"/>
          </w:tcPr>
          <w:p w:rsidR="00716B5F" w:rsidRPr="00F02FD8" w:rsidDel="000B75F4"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4 avril 2017</w:t>
            </w:r>
          </w:p>
        </w:tc>
        <w:tc>
          <w:tcPr>
            <w:tcW w:w="1491" w:type="dxa"/>
          </w:tcPr>
          <w:p w:rsidR="00716B5F" w:rsidRPr="00F02FD8" w:rsidDel="000B75F4"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5 avril 2017</w:t>
            </w:r>
          </w:p>
        </w:tc>
        <w:tc>
          <w:tcPr>
            <w:tcW w:w="1491" w:type="dxa"/>
          </w:tcPr>
          <w:p w:rsidR="00716B5F" w:rsidRPr="00F02FD8" w:rsidDel="000B75F4" w:rsidRDefault="00716B5F" w:rsidP="00BE7F6B">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rPr>
            </w:pPr>
            <w:r w:rsidRPr="00F02FD8">
              <w:rPr>
                <w:rFonts w:asciiTheme="minorHAnsi" w:hAnsiTheme="minorHAnsi"/>
                <w:b/>
                <w:bCs w:val="0"/>
              </w:rPr>
              <w:t>6 avril 2017</w:t>
            </w:r>
          </w:p>
        </w:tc>
      </w:tr>
      <w:tr w:rsidR="00716B5F" w:rsidRPr="00F02FD8" w:rsidTr="00E54E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1" w:type="dxa"/>
            <w:shd w:val="clear" w:color="auto" w:fill="F2F2F2" w:themeFill="background1" w:themeFillShade="F2"/>
          </w:tcPr>
          <w:p w:rsidR="00716B5F" w:rsidRPr="00BE7F6B" w:rsidRDefault="00716B5F" w:rsidP="00BE7F6B">
            <w:pPr>
              <w:pStyle w:val="TableText"/>
              <w:jc w:val="center"/>
              <w:rPr>
                <w:rFonts w:asciiTheme="minorHAnsi" w:hAnsiTheme="minorHAnsi"/>
                <w:b w:val="0"/>
                <w:bCs w:val="0"/>
                <w:lang w:bidi="ar-EG"/>
              </w:rPr>
            </w:pPr>
            <w:r w:rsidRPr="00BE7F6B">
              <w:rPr>
                <w:rFonts w:asciiTheme="minorHAnsi" w:hAnsiTheme="minorHAnsi"/>
                <w:b w:val="0"/>
                <w:bCs w:val="0"/>
                <w:lang w:bidi="ar-EG"/>
              </w:rPr>
              <w:t>Moyenne</w:t>
            </w:r>
          </w:p>
          <w:p w:rsidR="00716B5F" w:rsidRPr="00BE7F6B" w:rsidRDefault="00716B5F" w:rsidP="00BE7F6B">
            <w:pPr>
              <w:pStyle w:val="TableText"/>
              <w:spacing w:before="120"/>
              <w:jc w:val="center"/>
              <w:rPr>
                <w:rFonts w:asciiTheme="minorHAnsi" w:hAnsiTheme="minorHAnsi"/>
                <w:b w:val="0"/>
                <w:bCs w:val="0"/>
                <w:lang w:bidi="ar-EG"/>
              </w:rPr>
            </w:pPr>
            <w:r w:rsidRPr="00BE7F6B">
              <w:rPr>
                <w:rFonts w:asciiTheme="minorHAnsi" w:hAnsiTheme="minorHAnsi"/>
                <w:b w:val="0"/>
                <w:bCs w:val="0"/>
              </w:rPr>
              <w:t xml:space="preserve">Max: 29°C </w:t>
            </w:r>
            <w:r w:rsidRPr="00BE7F6B">
              <w:rPr>
                <w:rFonts w:asciiTheme="minorHAnsi" w:hAnsiTheme="minorHAnsi"/>
                <w:b w:val="0"/>
                <w:bCs w:val="0"/>
              </w:rPr>
              <w:br/>
              <w:t>Min: 11°C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 xml:space="preserve">Max: 25°C </w:t>
            </w:r>
            <w:r w:rsidRPr="00BE7F6B">
              <w:rPr>
                <w:rFonts w:asciiTheme="minorHAnsi" w:hAnsiTheme="minorHAnsi"/>
              </w:rPr>
              <w:br/>
              <w:t>Min: 12°C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E7F6B">
              <w:rPr>
                <w:rFonts w:asciiTheme="minorHAnsi" w:hAnsiTheme="minorHAnsi"/>
              </w:rPr>
              <w:t>Max: 25°C</w:t>
            </w:r>
          </w:p>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Min: 10°C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E7F6B">
              <w:rPr>
                <w:rFonts w:asciiTheme="minorHAnsi" w:hAnsiTheme="minorHAnsi"/>
              </w:rPr>
              <w:t>Max: 24°C</w:t>
            </w:r>
          </w:p>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Min: 13°C</w:t>
            </w:r>
          </w:p>
        </w:tc>
        <w:tc>
          <w:tcPr>
            <w:tcW w:w="1491" w:type="dxa"/>
            <w:shd w:val="clear" w:color="auto" w:fill="F2F2F2" w:themeFill="background1" w:themeFillShade="F2"/>
          </w:tcPr>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lang w:bidi="ar-EG"/>
              </w:rPr>
              <w:t>Moyenne</w:t>
            </w:r>
          </w:p>
          <w:p w:rsidR="00716B5F" w:rsidRPr="00BE7F6B" w:rsidRDefault="00716B5F" w:rsidP="00BE7F6B">
            <w:pPr>
              <w:pStyle w:val="TableText"/>
              <w:spacing w:before="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E7F6B">
              <w:rPr>
                <w:rFonts w:asciiTheme="minorHAnsi" w:hAnsiTheme="minorHAnsi"/>
              </w:rPr>
              <w:t>Max: 28°C</w:t>
            </w:r>
          </w:p>
          <w:p w:rsidR="00716B5F" w:rsidRPr="00BE7F6B" w:rsidRDefault="00716B5F" w:rsidP="00BE7F6B">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bidi="ar-EG"/>
              </w:rPr>
            </w:pPr>
            <w:r w:rsidRPr="00BE7F6B">
              <w:rPr>
                <w:rFonts w:asciiTheme="minorHAnsi" w:hAnsiTheme="minorHAnsi"/>
              </w:rPr>
              <w:t>Min: 13°C</w:t>
            </w:r>
          </w:p>
        </w:tc>
      </w:tr>
    </w:tbl>
    <w:p w:rsidR="00716B5F" w:rsidRPr="00F02FD8" w:rsidRDefault="00716B5F" w:rsidP="00BE7F6B">
      <w:pPr>
        <w:pStyle w:val="headingb"/>
        <w:rPr>
          <w:rFonts w:asciiTheme="minorHAnsi" w:hAnsiTheme="minorHAnsi"/>
        </w:rPr>
      </w:pPr>
      <w:r w:rsidRPr="00F02FD8">
        <w:rPr>
          <w:rFonts w:asciiTheme="minorHAnsi" w:hAnsiTheme="minorHAnsi"/>
        </w:rPr>
        <w:t>Fuseau horaire</w:t>
      </w:r>
    </w:p>
    <w:p w:rsidR="00716B5F" w:rsidRPr="00F02FD8" w:rsidRDefault="00716B5F" w:rsidP="00BE7F6B">
      <w:pPr>
        <w:keepNext/>
        <w:keepLines/>
        <w:spacing w:after="120"/>
        <w:rPr>
          <w:rFonts w:asciiTheme="minorHAnsi" w:hAnsiTheme="minorHAnsi"/>
          <w:lang w:bidi="ar-EG"/>
        </w:rPr>
      </w:pPr>
      <w:r w:rsidRPr="00F02FD8">
        <w:rPr>
          <w:rFonts w:asciiTheme="minorHAnsi" w:hAnsiTheme="minorHAnsi"/>
          <w:lang w:bidi="ar-EG"/>
        </w:rPr>
        <w:t>La République arabe d'</w:t>
      </w:r>
      <w:r w:rsidR="00E06BB6" w:rsidRPr="00F02FD8">
        <w:rPr>
          <w:rFonts w:asciiTheme="minorHAnsi" w:hAnsiTheme="minorHAnsi"/>
          <w:lang w:bidi="ar-EG"/>
        </w:rPr>
        <w:t>E</w:t>
      </w:r>
      <w:r w:rsidRPr="00F02FD8">
        <w:rPr>
          <w:rFonts w:asciiTheme="minorHAnsi" w:hAnsiTheme="minorHAnsi"/>
          <w:lang w:bidi="ar-EG"/>
        </w:rPr>
        <w:t>gypte est située dans le fuseau horaire de l'Europe de l'Est, à GMT (heure</w:t>
      </w:r>
      <w:r w:rsidR="00203608">
        <w:rPr>
          <w:rFonts w:asciiTheme="minorHAnsi" w:hAnsiTheme="minorHAnsi"/>
          <w:lang w:bidi="ar-EG"/>
        </w:rPr>
        <w:t> </w:t>
      </w:r>
      <w:r w:rsidRPr="00F02FD8">
        <w:rPr>
          <w:rFonts w:asciiTheme="minorHAnsi" w:hAnsiTheme="minorHAnsi"/>
          <w:lang w:bidi="ar-EG"/>
        </w:rPr>
        <w:t>moyenne de Greenwich) + 2 heures.</w:t>
      </w:r>
    </w:p>
    <w:p w:rsidR="00716B5F" w:rsidRPr="00F02FD8" w:rsidRDefault="00716B5F" w:rsidP="00BE7F6B">
      <w:pPr>
        <w:pStyle w:val="headingb"/>
        <w:rPr>
          <w:rFonts w:asciiTheme="minorHAnsi" w:hAnsiTheme="minorHAnsi"/>
        </w:rPr>
      </w:pPr>
      <w:r w:rsidRPr="00F02FD8">
        <w:rPr>
          <w:rFonts w:asciiTheme="minorHAnsi" w:hAnsiTheme="minorHAnsi"/>
        </w:rPr>
        <w:t>Monnaie et banques</w:t>
      </w:r>
    </w:p>
    <w:p w:rsidR="00716B5F" w:rsidRPr="00F02FD8" w:rsidRDefault="00716B5F" w:rsidP="00BE7F6B">
      <w:pPr>
        <w:rPr>
          <w:rFonts w:asciiTheme="minorHAnsi" w:hAnsiTheme="minorHAnsi"/>
          <w:lang w:bidi="ar-EG"/>
        </w:rPr>
      </w:pPr>
      <w:r w:rsidRPr="00F02FD8">
        <w:rPr>
          <w:rFonts w:asciiTheme="minorHAnsi" w:hAnsiTheme="minorHAnsi"/>
          <w:lang w:bidi="ar-EG"/>
        </w:rPr>
        <w:t>La monnaie officielle de l'</w:t>
      </w:r>
      <w:r w:rsidR="00E06BB6" w:rsidRPr="00F02FD8">
        <w:rPr>
          <w:rFonts w:asciiTheme="minorHAnsi" w:hAnsiTheme="minorHAnsi"/>
          <w:lang w:bidi="ar-EG"/>
        </w:rPr>
        <w:t>E</w:t>
      </w:r>
      <w:r w:rsidRPr="00F02FD8">
        <w:rPr>
          <w:rFonts w:asciiTheme="minorHAnsi" w:hAnsiTheme="minorHAnsi"/>
          <w:lang w:bidi="ar-EG"/>
        </w:rPr>
        <w:t>gypte est la livre égyptienne (EGP). Les cartes Visa, American Express, Access/MasterCard sont acceptées. Les banques sont ouvertes du</w:t>
      </w:r>
      <w:r w:rsidR="004D1CE9">
        <w:rPr>
          <w:rFonts w:asciiTheme="minorHAnsi" w:hAnsiTheme="minorHAnsi"/>
          <w:lang w:bidi="ar-EG"/>
        </w:rPr>
        <w:t xml:space="preserve"> dimanche au jeudi, de 8 h 30 à </w:t>
      </w:r>
      <w:r w:rsidRPr="00F02FD8">
        <w:rPr>
          <w:rFonts w:asciiTheme="minorHAnsi" w:hAnsiTheme="minorHAnsi"/>
          <w:lang w:bidi="ar-EG"/>
        </w:rPr>
        <w:t xml:space="preserve">14 heures. Les taux de change en </w:t>
      </w:r>
      <w:r w:rsidR="00E06BB6" w:rsidRPr="00F02FD8">
        <w:rPr>
          <w:rFonts w:asciiTheme="minorHAnsi" w:hAnsiTheme="minorHAnsi"/>
          <w:lang w:bidi="ar-EG"/>
        </w:rPr>
        <w:t>E</w:t>
      </w:r>
      <w:r w:rsidRPr="00F02FD8">
        <w:rPr>
          <w:rFonts w:asciiTheme="minorHAnsi" w:hAnsiTheme="minorHAnsi"/>
          <w:lang w:bidi="ar-EG"/>
        </w:rPr>
        <w:t xml:space="preserve">gypte sont disponibles à l'adresse: </w:t>
      </w:r>
      <w:r w:rsidRPr="00F02FD8">
        <w:rPr>
          <w:rFonts w:asciiTheme="minorHAnsi" w:hAnsiTheme="minorHAnsi"/>
          <w:lang w:bidi="ar-EG"/>
        </w:rPr>
        <w:br/>
      </w:r>
      <w:hyperlink r:id="rId25" w:history="1">
        <w:r w:rsidRPr="00F02FD8">
          <w:rPr>
            <w:rFonts w:asciiTheme="minorHAnsi" w:hAnsiTheme="minorHAnsi"/>
            <w:color w:val="0000FF"/>
            <w:u w:val="single"/>
            <w:lang w:bidi="ar-EG"/>
          </w:rPr>
          <w:t>http://www.cbe.org.eg/en/EconomicResearch/Statistics/Pages/ExchangeRatesListing.aspx</w:t>
        </w:r>
      </w:hyperlink>
      <w:r w:rsidRPr="00F02FD8">
        <w:rPr>
          <w:rFonts w:asciiTheme="minorHAnsi" w:hAnsiTheme="minorHAnsi"/>
          <w:lang w:bidi="ar-EG"/>
        </w:rPr>
        <w:t xml:space="preserve"> </w:t>
      </w:r>
    </w:p>
    <w:p w:rsidR="00716B5F" w:rsidRPr="00F02FD8" w:rsidRDefault="00E06BB6" w:rsidP="00BE7F6B">
      <w:pPr>
        <w:pStyle w:val="headingb"/>
        <w:rPr>
          <w:rFonts w:asciiTheme="minorHAnsi" w:hAnsiTheme="minorHAnsi"/>
        </w:rPr>
      </w:pPr>
      <w:r w:rsidRPr="00F02FD8">
        <w:rPr>
          <w:rFonts w:asciiTheme="minorHAnsi" w:hAnsiTheme="minorHAnsi"/>
        </w:rPr>
        <w:t>E</w:t>
      </w:r>
      <w:r w:rsidR="00716B5F" w:rsidRPr="00F02FD8">
        <w:rPr>
          <w:rFonts w:asciiTheme="minorHAnsi" w:hAnsiTheme="minorHAnsi"/>
        </w:rPr>
        <w:t>lectricité</w:t>
      </w:r>
    </w:p>
    <w:p w:rsidR="00716B5F" w:rsidRPr="00F02FD8" w:rsidRDefault="00716B5F" w:rsidP="00BE7F6B">
      <w:pPr>
        <w:spacing w:after="240"/>
        <w:ind w:right="91"/>
        <w:jc w:val="both"/>
        <w:rPr>
          <w:rFonts w:asciiTheme="minorHAnsi" w:hAnsiTheme="minorHAnsi"/>
        </w:rPr>
      </w:pPr>
      <w:r w:rsidRPr="00F02FD8">
        <w:rPr>
          <w:rFonts w:asciiTheme="minorHAnsi" w:hAnsiTheme="minorHAnsi"/>
        </w:rPr>
        <w:t xml:space="preserve">En </w:t>
      </w:r>
      <w:r w:rsidR="00E06BB6" w:rsidRPr="00F02FD8">
        <w:rPr>
          <w:rFonts w:asciiTheme="minorHAnsi" w:hAnsiTheme="minorHAnsi"/>
        </w:rPr>
        <w:t>E</w:t>
      </w:r>
      <w:r w:rsidRPr="00F02FD8">
        <w:rPr>
          <w:rFonts w:asciiTheme="minorHAnsi" w:hAnsiTheme="minorHAnsi"/>
        </w:rPr>
        <w:t>gypte, la tension du secteur est de 220 V, et la fréquence de 50 Hz. La plupart des prises électriques sont telles qu'indiqué ci-dessous.</w:t>
      </w:r>
    </w:p>
    <w:p w:rsidR="00716B5F" w:rsidRPr="00F02FD8" w:rsidRDefault="00716B5F" w:rsidP="00BE7F6B">
      <w:pPr>
        <w:ind w:right="3628"/>
        <w:jc w:val="center"/>
        <w:rPr>
          <w:rFonts w:asciiTheme="minorHAnsi" w:hAnsiTheme="minorHAnsi" w:cs="Calibri"/>
          <w:noProof/>
          <w:color w:val="000000"/>
          <w:szCs w:val="24"/>
        </w:rPr>
      </w:pPr>
      <w:r w:rsidRPr="00F02FD8">
        <w:rPr>
          <w:rFonts w:asciiTheme="minorHAnsi" w:hAnsiTheme="minorHAnsi" w:cs="Calibri"/>
          <w:noProof/>
          <w:color w:val="000000"/>
          <w:szCs w:val="24"/>
          <w:lang w:val="en-GB" w:eastAsia="zh-CN"/>
        </w:rPr>
        <w:drawing>
          <wp:inline distT="0" distB="0" distL="0" distR="0" wp14:anchorId="3C47F0F9" wp14:editId="2EF45BB9">
            <wp:extent cx="1559625" cy="682820"/>
            <wp:effectExtent l="0" t="0" r="254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9625" cy="682820"/>
                    </a:xfrm>
                    <a:prstGeom prst="rect">
                      <a:avLst/>
                    </a:prstGeom>
                    <a:noFill/>
                    <a:ln>
                      <a:noFill/>
                    </a:ln>
                  </pic:spPr>
                </pic:pic>
              </a:graphicData>
            </a:graphic>
          </wp:inline>
        </w:drawing>
      </w:r>
    </w:p>
    <w:p w:rsidR="00716B5F" w:rsidRPr="00F02FD8" w:rsidRDefault="00716B5F" w:rsidP="00BE7F6B">
      <w:pPr>
        <w:pStyle w:val="headingb"/>
        <w:spacing w:before="360" w:after="240"/>
        <w:rPr>
          <w:rFonts w:asciiTheme="minorHAnsi" w:hAnsiTheme="minorHAnsi"/>
        </w:rPr>
      </w:pPr>
      <w:r w:rsidRPr="00F02FD8">
        <w:rPr>
          <w:rFonts w:asciiTheme="minorHAnsi" w:hAnsiTheme="minorHAnsi"/>
        </w:rPr>
        <w:t>Numéros de téléphone importants</w:t>
      </w:r>
    </w:p>
    <w:tbl>
      <w:tblPr>
        <w:tblStyle w:val="TableGrid1"/>
        <w:tblW w:w="0" w:type="auto"/>
        <w:jc w:val="center"/>
        <w:tblLayout w:type="fixed"/>
        <w:tblLook w:val="04A0" w:firstRow="1" w:lastRow="0" w:firstColumn="1" w:lastColumn="0" w:noHBand="0" w:noVBand="1"/>
      </w:tblPr>
      <w:tblGrid>
        <w:gridCol w:w="2838"/>
        <w:gridCol w:w="1278"/>
      </w:tblGrid>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Urgences en général</w:t>
            </w:r>
          </w:p>
        </w:tc>
        <w:tc>
          <w:tcPr>
            <w:tcW w:w="1278" w:type="dxa"/>
          </w:tcPr>
          <w:p w:rsidR="00716B5F" w:rsidRPr="00F02FD8" w:rsidRDefault="00716B5F" w:rsidP="00BE7F6B">
            <w:pPr>
              <w:rPr>
                <w:rFonts w:asciiTheme="minorHAnsi" w:hAnsiTheme="minorHAnsi"/>
                <w:lang w:bidi="ar-EG"/>
              </w:rPr>
            </w:pPr>
            <w:r w:rsidRPr="00F02FD8">
              <w:rPr>
                <w:rFonts w:asciiTheme="minorHAnsi" w:hAnsiTheme="minorHAnsi"/>
                <w:lang w:bidi="ar-EG"/>
              </w:rPr>
              <w:t>112</w:t>
            </w:r>
          </w:p>
        </w:tc>
      </w:tr>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Pompiers</w:t>
            </w:r>
          </w:p>
        </w:tc>
        <w:tc>
          <w:tcPr>
            <w:tcW w:w="1278" w:type="dxa"/>
          </w:tcPr>
          <w:p w:rsidR="00716B5F" w:rsidRPr="00F02FD8" w:rsidRDefault="00716B5F" w:rsidP="00BE7F6B">
            <w:pPr>
              <w:rPr>
                <w:rFonts w:asciiTheme="minorHAnsi" w:hAnsiTheme="minorHAnsi"/>
              </w:rPr>
            </w:pPr>
            <w:r w:rsidRPr="00F02FD8">
              <w:rPr>
                <w:rFonts w:asciiTheme="minorHAnsi" w:hAnsiTheme="minorHAnsi"/>
                <w:lang w:bidi="ar-EG"/>
              </w:rPr>
              <w:t>180</w:t>
            </w:r>
          </w:p>
        </w:tc>
      </w:tr>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Ambulance</w:t>
            </w:r>
          </w:p>
        </w:tc>
        <w:tc>
          <w:tcPr>
            <w:tcW w:w="1278" w:type="dxa"/>
          </w:tcPr>
          <w:p w:rsidR="00716B5F" w:rsidRPr="00F02FD8" w:rsidRDefault="00716B5F" w:rsidP="00BE7F6B">
            <w:pPr>
              <w:rPr>
                <w:rFonts w:asciiTheme="minorHAnsi" w:hAnsiTheme="minorHAnsi"/>
              </w:rPr>
            </w:pPr>
            <w:r w:rsidRPr="00F02FD8">
              <w:rPr>
                <w:rFonts w:asciiTheme="minorHAnsi" w:hAnsiTheme="minorHAnsi"/>
                <w:lang w:bidi="ar-EG"/>
              </w:rPr>
              <w:t>123</w:t>
            </w:r>
          </w:p>
        </w:tc>
      </w:tr>
      <w:tr w:rsidR="00716B5F" w:rsidRPr="00F02FD8" w:rsidTr="00E54EE4">
        <w:trPr>
          <w:jc w:val="center"/>
        </w:trPr>
        <w:tc>
          <w:tcPr>
            <w:tcW w:w="2838" w:type="dxa"/>
          </w:tcPr>
          <w:p w:rsidR="00716B5F" w:rsidRPr="00F02FD8" w:rsidRDefault="00716B5F" w:rsidP="00BE7F6B">
            <w:pPr>
              <w:rPr>
                <w:rFonts w:asciiTheme="minorHAnsi" w:hAnsiTheme="minorHAnsi"/>
              </w:rPr>
            </w:pPr>
            <w:r w:rsidRPr="00F02FD8">
              <w:rPr>
                <w:rFonts w:asciiTheme="minorHAnsi" w:hAnsiTheme="minorHAnsi"/>
                <w:lang w:bidi="ar-EG"/>
              </w:rPr>
              <w:t>Police</w:t>
            </w:r>
          </w:p>
        </w:tc>
        <w:tc>
          <w:tcPr>
            <w:tcW w:w="1278" w:type="dxa"/>
          </w:tcPr>
          <w:p w:rsidR="00716B5F" w:rsidRPr="00F02FD8" w:rsidRDefault="00716B5F" w:rsidP="00BE7F6B">
            <w:pPr>
              <w:rPr>
                <w:rFonts w:asciiTheme="minorHAnsi" w:hAnsiTheme="minorHAnsi"/>
              </w:rPr>
            </w:pPr>
            <w:r w:rsidRPr="00F02FD8">
              <w:rPr>
                <w:rFonts w:asciiTheme="minorHAnsi" w:hAnsiTheme="minorHAnsi"/>
                <w:lang w:bidi="ar-EG"/>
              </w:rPr>
              <w:t>122</w:t>
            </w:r>
          </w:p>
        </w:tc>
      </w:tr>
    </w:tbl>
    <w:p w:rsidR="00BE7F6B" w:rsidRDefault="00BE7F6B" w:rsidP="00BE7F6B">
      <w:pPr>
        <w:pStyle w:val="headingb"/>
        <w:rPr>
          <w:rFonts w:asciiTheme="minorHAnsi" w:hAnsiTheme="minorHAnsi"/>
          <w:lang w:bidi="ar-EG"/>
        </w:rPr>
      </w:pPr>
    </w:p>
    <w:p w:rsidR="00464610" w:rsidRDefault="00464610" w:rsidP="00BE7F6B">
      <w:pPr>
        <w:pStyle w:val="headingb"/>
        <w:rPr>
          <w:rFonts w:asciiTheme="minorHAnsi" w:hAnsiTheme="minorHAnsi"/>
          <w:lang w:bidi="ar-EG"/>
        </w:rPr>
      </w:pPr>
      <w:r>
        <w:rPr>
          <w:rFonts w:asciiTheme="minorHAnsi" w:hAnsiTheme="minorHAnsi"/>
          <w:lang w:bidi="ar-EG"/>
        </w:rPr>
        <w:br w:type="page"/>
      </w:r>
    </w:p>
    <w:p w:rsidR="00716B5F" w:rsidRPr="00F02FD8" w:rsidRDefault="00716B5F" w:rsidP="00BE7F6B">
      <w:pPr>
        <w:pStyle w:val="headingb"/>
        <w:rPr>
          <w:sz w:val="32"/>
          <w:szCs w:val="32"/>
          <w:lang w:bidi="ar-EG"/>
        </w:rPr>
      </w:pPr>
      <w:r w:rsidRPr="00F02FD8">
        <w:rPr>
          <w:rFonts w:asciiTheme="minorHAnsi" w:hAnsiTheme="minorHAnsi"/>
          <w:lang w:bidi="ar-EG"/>
        </w:rPr>
        <w:lastRenderedPageBreak/>
        <w:t>Personne à contacter dans le pays hôte</w:t>
      </w:r>
    </w:p>
    <w:p w:rsidR="00716B5F" w:rsidRPr="00F02FD8" w:rsidRDefault="00716B5F" w:rsidP="00BE7F6B">
      <w:pPr>
        <w:tabs>
          <w:tab w:val="clear" w:pos="794"/>
          <w:tab w:val="clear" w:pos="1191"/>
          <w:tab w:val="clear" w:pos="1588"/>
          <w:tab w:val="clear" w:pos="1985"/>
        </w:tabs>
        <w:overflowPunct/>
        <w:jc w:val="both"/>
        <w:textAlignment w:val="auto"/>
        <w:rPr>
          <w:rFonts w:asciiTheme="minorHAnsi" w:eastAsiaTheme="minorHAnsi" w:hAnsiTheme="minorHAnsi" w:cstheme="minorBidi"/>
          <w:b/>
          <w:bCs/>
          <w:szCs w:val="24"/>
        </w:rPr>
      </w:pPr>
      <w:r w:rsidRPr="00F02FD8">
        <w:rPr>
          <w:rFonts w:asciiTheme="minorHAnsi" w:eastAsiaTheme="minorHAnsi" w:hAnsiTheme="minorHAnsi" w:cstheme="minorBidi"/>
          <w:b/>
          <w:bCs/>
          <w:szCs w:val="24"/>
        </w:rPr>
        <w:t>Mme Shahira Selim</w:t>
      </w:r>
    </w:p>
    <w:p w:rsidR="00716B5F" w:rsidRPr="00F02FD8" w:rsidRDefault="00716B5F" w:rsidP="00BE7F6B">
      <w:pPr>
        <w:tabs>
          <w:tab w:val="clear" w:pos="794"/>
          <w:tab w:val="clear" w:pos="1191"/>
          <w:tab w:val="clear" w:pos="1588"/>
          <w:tab w:val="clear" w:pos="1985"/>
        </w:tabs>
        <w:overflowPunct/>
        <w:jc w:val="both"/>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Directrice principale, Affaires relatives à l'UIT, Département des relations internationales</w:t>
      </w:r>
    </w:p>
    <w:p w:rsidR="00716B5F" w:rsidRPr="00F02FD8" w:rsidRDefault="00716B5F" w:rsidP="00BE7F6B">
      <w:pPr>
        <w:tabs>
          <w:tab w:val="clear" w:pos="794"/>
          <w:tab w:val="clear" w:pos="1191"/>
          <w:tab w:val="clear" w:pos="1588"/>
          <w:tab w:val="clear" w:pos="1985"/>
        </w:tabs>
        <w:overflowPunct/>
        <w:spacing w:before="0"/>
        <w:jc w:val="both"/>
        <w:textAlignment w:val="auto"/>
        <w:rPr>
          <w:rFonts w:asciiTheme="minorHAnsi" w:eastAsiaTheme="minorHAnsi" w:hAnsiTheme="minorHAnsi" w:cstheme="minorBidi"/>
          <w:szCs w:val="24"/>
        </w:rPr>
      </w:pPr>
      <w:r w:rsidRPr="00F02FD8">
        <w:rPr>
          <w:rFonts w:asciiTheme="minorHAnsi" w:eastAsiaTheme="minorHAnsi" w:hAnsiTheme="minorHAnsi" w:cstheme="minorBidi"/>
          <w:szCs w:val="24"/>
        </w:rPr>
        <w:t xml:space="preserve">Autorité nationale de régulation des télécommunications (NTRA), </w:t>
      </w:r>
      <w:r w:rsidR="00E06BB6" w:rsidRPr="00F02FD8">
        <w:rPr>
          <w:rFonts w:asciiTheme="minorHAnsi" w:eastAsiaTheme="minorHAnsi" w:hAnsiTheme="minorHAnsi" w:cstheme="minorBidi"/>
          <w:szCs w:val="24"/>
        </w:rPr>
        <w:t>E</w:t>
      </w:r>
      <w:r w:rsidRPr="00F02FD8">
        <w:rPr>
          <w:rFonts w:asciiTheme="minorHAnsi" w:eastAsiaTheme="minorHAnsi" w:hAnsiTheme="minorHAnsi" w:cstheme="minorBidi"/>
          <w:szCs w:val="24"/>
        </w:rPr>
        <w:t>gypte</w:t>
      </w:r>
    </w:p>
    <w:p w:rsidR="00716B5F" w:rsidRPr="00F02FD8" w:rsidRDefault="00716B5F" w:rsidP="00BE7F6B">
      <w:pPr>
        <w:tabs>
          <w:tab w:val="clear" w:pos="794"/>
          <w:tab w:val="clear" w:pos="1191"/>
          <w:tab w:val="clear" w:pos="1588"/>
          <w:tab w:val="clear" w:pos="1985"/>
        </w:tabs>
        <w:overflowPunct/>
        <w:spacing w:before="0"/>
        <w:jc w:val="both"/>
        <w:textAlignment w:val="auto"/>
      </w:pPr>
      <w:r w:rsidRPr="00F02FD8">
        <w:rPr>
          <w:rFonts w:asciiTheme="minorHAnsi" w:eastAsiaTheme="minorHAnsi" w:hAnsiTheme="minorHAnsi" w:cstheme="minorBidi"/>
          <w:szCs w:val="24"/>
        </w:rPr>
        <w:t>Tél</w:t>
      </w:r>
      <w:r w:rsidR="00E92A10" w:rsidRPr="00F02FD8">
        <w:rPr>
          <w:rFonts w:asciiTheme="minorHAnsi" w:eastAsiaTheme="minorHAnsi" w:hAnsiTheme="minorHAnsi" w:cstheme="minorBidi"/>
          <w:szCs w:val="24"/>
        </w:rPr>
        <w:t>.</w:t>
      </w:r>
      <w:r w:rsidRPr="00F02FD8">
        <w:rPr>
          <w:rFonts w:asciiTheme="minorHAnsi" w:eastAsiaTheme="minorHAnsi" w:hAnsiTheme="minorHAnsi" w:cstheme="minorBidi"/>
          <w:szCs w:val="24"/>
        </w:rPr>
        <w:t>: +20 2 35344259, Fax: +20 2 35344155, E-mail:</w:t>
      </w:r>
      <w:r w:rsidRPr="00F02FD8">
        <w:rPr>
          <w:rFonts w:ascii="Calibri" w:eastAsiaTheme="minorHAnsi" w:hAnsi="Calibri" w:cs="Calibri"/>
          <w:color w:val="1F497D"/>
          <w:szCs w:val="24"/>
        </w:rPr>
        <w:t xml:space="preserve"> </w:t>
      </w:r>
      <w:hyperlink r:id="rId27" w:history="1">
        <w:r w:rsidRPr="00F02FD8">
          <w:rPr>
            <w:rFonts w:ascii="Calibri" w:eastAsiaTheme="minorHAnsi" w:hAnsi="Calibri" w:cs="Calibri"/>
            <w:color w:val="0000FF"/>
            <w:szCs w:val="24"/>
            <w:u w:val="single"/>
          </w:rPr>
          <w:t>shahiras@ntra.gov.eg</w:t>
        </w:r>
      </w:hyperlink>
      <w:r w:rsidR="00E92A10" w:rsidRPr="00F02FD8">
        <w:rPr>
          <w:rFonts w:eastAsiaTheme="minorHAnsi"/>
        </w:rPr>
        <w:t>.</w:t>
      </w:r>
    </w:p>
    <w:p w:rsidR="00E92A10" w:rsidRPr="00F02FD8" w:rsidRDefault="00E92A10" w:rsidP="00464610"/>
    <w:p w:rsidR="00E92A10" w:rsidRPr="00F02FD8" w:rsidRDefault="00E92A10" w:rsidP="00BE7F6B">
      <w:pPr>
        <w:jc w:val="center"/>
      </w:pPr>
      <w:r w:rsidRPr="00F02FD8">
        <w:t>______________</w:t>
      </w:r>
    </w:p>
    <w:sectPr w:rsidR="00E92A10" w:rsidRPr="00F02FD8" w:rsidSect="00E92A10">
      <w:head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F5" w:rsidRDefault="00B660F5">
      <w:r>
        <w:separator/>
      </w:r>
    </w:p>
  </w:endnote>
  <w:endnote w:type="continuationSeparator" w:id="0">
    <w:p w:rsidR="00B660F5" w:rsidRDefault="00B6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10" w:rsidRPr="00E92A10" w:rsidRDefault="00E92A10" w:rsidP="00E92A10">
    <w:pPr>
      <w:pStyle w:val="Footer"/>
      <w:jc w:val="center"/>
      <w:rPr>
        <w:rFonts w:asciiTheme="minorHAnsi" w:hAnsiTheme="minorHAnsi"/>
        <w:caps w:val="0"/>
      </w:rPr>
    </w:pPr>
    <w:r w:rsidRPr="00E92A10">
      <w:rPr>
        <w:rFonts w:asciiTheme="minorHAnsi" w:hAnsiTheme="minorHAnsi"/>
        <w:caps w:val="0"/>
        <w:szCs w:val="18"/>
        <w:lang w:val="fr-CH"/>
      </w:rPr>
      <w:t>Union internationale des télécommunications • Place des Nations, CH</w:t>
    </w:r>
    <w:r w:rsidRPr="00E92A10">
      <w:rPr>
        <w:rFonts w:asciiTheme="minorHAnsi" w:hAnsiTheme="minorHAnsi"/>
        <w:caps w:val="0"/>
        <w:szCs w:val="18"/>
        <w:lang w:val="fr-CH"/>
      </w:rPr>
      <w:noBreakHyphen/>
      <w:t xml:space="preserve">1211 Genève 20, Suisse </w:t>
    </w:r>
    <w:r w:rsidRPr="00E92A10">
      <w:rPr>
        <w:rFonts w:asciiTheme="minorHAnsi" w:hAnsiTheme="minorHAnsi"/>
        <w:caps w:val="0"/>
        <w:szCs w:val="18"/>
        <w:lang w:val="fr-CH"/>
      </w:rPr>
      <w:br/>
      <w:t>Tél</w:t>
    </w:r>
    <w:r w:rsidR="00317BBD">
      <w:rPr>
        <w:rFonts w:asciiTheme="minorHAnsi" w:hAnsiTheme="minorHAnsi"/>
        <w:caps w:val="0"/>
        <w:szCs w:val="18"/>
        <w:lang w:val="fr-CH"/>
      </w:rPr>
      <w:t>.</w:t>
    </w:r>
    <w:r w:rsidRPr="00E92A10">
      <w:rPr>
        <w:rFonts w:asciiTheme="minorHAnsi" w:hAnsiTheme="minorHAnsi"/>
        <w:caps w:val="0"/>
        <w:szCs w:val="18"/>
        <w:lang w:val="fr-CH"/>
      </w:rPr>
      <w:t xml:space="preserve">: +41 22 730 5111 • Fax: +41 22 733 7256 • courriel: </w:t>
    </w:r>
    <w:hyperlink r:id="rId1" w:history="1">
      <w:r w:rsidRPr="00E92A10">
        <w:rPr>
          <w:rStyle w:val="Hyperlink"/>
          <w:rFonts w:asciiTheme="minorHAnsi" w:hAnsiTheme="minorHAnsi"/>
          <w:caps w:val="0"/>
          <w:szCs w:val="18"/>
        </w:rPr>
        <w:t>itumail@itu.int</w:t>
      </w:r>
    </w:hyperlink>
    <w:r w:rsidRPr="00E92A10">
      <w:rPr>
        <w:rFonts w:asciiTheme="minorHAnsi" w:hAnsiTheme="minorHAnsi"/>
        <w:caps w:val="0"/>
        <w:szCs w:val="18"/>
        <w:lang w:val="fr-CH"/>
      </w:rPr>
      <w:t xml:space="preserve"> • </w:t>
    </w:r>
    <w:hyperlink r:id="rId2" w:history="1">
      <w:r w:rsidRPr="00E92A10">
        <w:rPr>
          <w:rStyle w:val="Hyperlink"/>
          <w:rFonts w:asciiTheme="minorHAnsi" w:hAnsiTheme="minorHAnsi"/>
          <w:caps w:val="0"/>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F5" w:rsidRDefault="00B660F5">
      <w:r>
        <w:t>____________________</w:t>
      </w:r>
    </w:p>
  </w:footnote>
  <w:footnote w:type="continuationSeparator" w:id="0">
    <w:p w:rsidR="00B660F5" w:rsidRDefault="00B6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10" w:rsidRPr="005B330C" w:rsidRDefault="00B660F5" w:rsidP="00464610">
    <w:pPr>
      <w:pStyle w:val="Header"/>
      <w:rPr>
        <w:rFonts w:asciiTheme="minorHAnsi" w:hAnsiTheme="minorHAnsi"/>
        <w:sz w:val="18"/>
        <w:szCs w:val="18"/>
      </w:rPr>
    </w:pPr>
    <w:sdt>
      <w:sdtPr>
        <w:rPr>
          <w:rFonts w:asciiTheme="minorHAnsi" w:hAnsiTheme="minorHAnsi"/>
          <w:sz w:val="18"/>
          <w:szCs w:val="18"/>
        </w:rPr>
        <w:id w:val="938259106"/>
        <w:docPartObj>
          <w:docPartGallery w:val="Page Numbers (Top of Page)"/>
          <w:docPartUnique/>
        </w:docPartObj>
      </w:sdtPr>
      <w:sdtEndPr>
        <w:rPr>
          <w:noProof/>
        </w:rPr>
      </w:sdtEndPr>
      <w:sdtContent>
        <w:r w:rsidR="005B330C" w:rsidRPr="005B330C">
          <w:rPr>
            <w:rFonts w:asciiTheme="minorHAnsi" w:hAnsiTheme="minorHAnsi"/>
            <w:sz w:val="18"/>
            <w:szCs w:val="18"/>
          </w:rPr>
          <w:t xml:space="preserve">- </w:t>
        </w:r>
        <w:r w:rsidR="00E92A10" w:rsidRPr="005B330C">
          <w:rPr>
            <w:rFonts w:asciiTheme="minorHAnsi" w:hAnsiTheme="minorHAnsi"/>
            <w:sz w:val="18"/>
            <w:szCs w:val="18"/>
          </w:rPr>
          <w:fldChar w:fldCharType="begin"/>
        </w:r>
        <w:r w:rsidR="00E92A10" w:rsidRPr="005B330C">
          <w:rPr>
            <w:rFonts w:asciiTheme="minorHAnsi" w:hAnsiTheme="minorHAnsi"/>
            <w:sz w:val="18"/>
            <w:szCs w:val="18"/>
          </w:rPr>
          <w:instrText xml:space="preserve"> PAGE   \* MERGEFORMAT </w:instrText>
        </w:r>
        <w:r w:rsidR="00E92A10" w:rsidRPr="005B330C">
          <w:rPr>
            <w:rFonts w:asciiTheme="minorHAnsi" w:hAnsiTheme="minorHAnsi"/>
            <w:sz w:val="18"/>
            <w:szCs w:val="18"/>
          </w:rPr>
          <w:fldChar w:fldCharType="separate"/>
        </w:r>
        <w:r w:rsidR="0059496B">
          <w:rPr>
            <w:rFonts w:asciiTheme="minorHAnsi" w:hAnsiTheme="minorHAnsi"/>
            <w:noProof/>
            <w:sz w:val="18"/>
            <w:szCs w:val="18"/>
          </w:rPr>
          <w:t>4</w:t>
        </w:r>
        <w:r w:rsidR="00E92A10" w:rsidRPr="005B330C">
          <w:rPr>
            <w:rFonts w:asciiTheme="minorHAnsi" w:hAnsiTheme="minorHAnsi"/>
            <w:noProof/>
            <w:sz w:val="18"/>
            <w:szCs w:val="18"/>
          </w:rPr>
          <w:fldChar w:fldCharType="end"/>
        </w:r>
        <w:r w:rsidR="005B330C" w:rsidRPr="005B330C">
          <w:rPr>
            <w:rFonts w:asciiTheme="minorHAnsi" w:hAnsiTheme="minorHAnsi"/>
            <w:noProof/>
            <w:sz w:val="18"/>
            <w:szCs w:val="18"/>
          </w:rPr>
          <w:t xml:space="preserve"> -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5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3608"/>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7BBD"/>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C7DF3"/>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610"/>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1CE9"/>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496B"/>
    <w:rsid w:val="005962E7"/>
    <w:rsid w:val="005A0780"/>
    <w:rsid w:val="005A48DB"/>
    <w:rsid w:val="005A7DC7"/>
    <w:rsid w:val="005B330C"/>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16B5F"/>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15FC"/>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16C9F"/>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60F5"/>
    <w:rsid w:val="00B67822"/>
    <w:rsid w:val="00B8131A"/>
    <w:rsid w:val="00B8146B"/>
    <w:rsid w:val="00B8368F"/>
    <w:rsid w:val="00B92119"/>
    <w:rsid w:val="00B94FD0"/>
    <w:rsid w:val="00BA221C"/>
    <w:rsid w:val="00BB6706"/>
    <w:rsid w:val="00BC13AB"/>
    <w:rsid w:val="00BE6AC6"/>
    <w:rsid w:val="00BE7F6B"/>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4B39"/>
    <w:rsid w:val="00CB66C3"/>
    <w:rsid w:val="00CC008E"/>
    <w:rsid w:val="00CC3DFE"/>
    <w:rsid w:val="00CC42BD"/>
    <w:rsid w:val="00CC5916"/>
    <w:rsid w:val="00CC5A74"/>
    <w:rsid w:val="00CC6295"/>
    <w:rsid w:val="00CD1B78"/>
    <w:rsid w:val="00CD30D7"/>
    <w:rsid w:val="00CD3772"/>
    <w:rsid w:val="00CD614E"/>
    <w:rsid w:val="00CE05B5"/>
    <w:rsid w:val="00CE5FAD"/>
    <w:rsid w:val="00CE7AAD"/>
    <w:rsid w:val="00CF2AF6"/>
    <w:rsid w:val="00D159D1"/>
    <w:rsid w:val="00D22839"/>
    <w:rsid w:val="00D26D90"/>
    <w:rsid w:val="00D305EB"/>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06BB6"/>
    <w:rsid w:val="00E106EA"/>
    <w:rsid w:val="00E14F7D"/>
    <w:rsid w:val="00E26248"/>
    <w:rsid w:val="00E4238E"/>
    <w:rsid w:val="00E5105F"/>
    <w:rsid w:val="00E52AE4"/>
    <w:rsid w:val="00E55A3C"/>
    <w:rsid w:val="00E574AB"/>
    <w:rsid w:val="00E62878"/>
    <w:rsid w:val="00E63485"/>
    <w:rsid w:val="00E643A2"/>
    <w:rsid w:val="00E666D3"/>
    <w:rsid w:val="00E72182"/>
    <w:rsid w:val="00E72C5E"/>
    <w:rsid w:val="00E77BEC"/>
    <w:rsid w:val="00E86E18"/>
    <w:rsid w:val="00E8788E"/>
    <w:rsid w:val="00E87A59"/>
    <w:rsid w:val="00E92A10"/>
    <w:rsid w:val="00EA4E24"/>
    <w:rsid w:val="00EC6E02"/>
    <w:rsid w:val="00EC724B"/>
    <w:rsid w:val="00F02FD8"/>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20CB"/>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23C38D-3C73-470B-9190-6BCBBBF1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uiPriority w:val="59"/>
    <w:rsid w:val="00716B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16B5F"/>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mailto:mahab@tra.gov.eg"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novotel.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who.int/countries/egy/en/" TargetMode="External"/><Relationship Id="rId25" Type="http://schemas.openxmlformats.org/officeDocument/2006/relationships/hyperlink" Target="http://www.cbe.org.eg/en/EconomicResearch/Statistics/Pages/ExchangeRatesListing.aspx" TargetMode="External"/><Relationship Id="rId2" Type="http://schemas.openxmlformats.org/officeDocument/2006/relationships/numbering" Target="numbering.xml"/><Relationship Id="rId16" Type="http://schemas.openxmlformats.org/officeDocument/2006/relationships/hyperlink" Target="http://www.mfa.gov.eg/English/Embassies/Pages/Listing.aspx" TargetMode="External"/><Relationship Id="rId20" Type="http://schemas.openxmlformats.org/officeDocument/2006/relationships/hyperlink" Target="mailto:h0502-sl2@accor.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booking.com" TargetMode="External"/><Relationship Id="rId5" Type="http://schemas.openxmlformats.org/officeDocument/2006/relationships/webSettings" Target="webSettings.xml"/><Relationship Id="rId15" Type="http://schemas.openxmlformats.org/officeDocument/2006/relationships/hyperlink" Target="mailto:Beltabie@tra.gov.eg" TargetMode="External"/><Relationship Id="rId23" Type="http://schemas.openxmlformats.org/officeDocument/2006/relationships/hyperlink" Target="http://www.booking.com" TargetMode="External"/><Relationship Id="rId28" Type="http://schemas.openxmlformats.org/officeDocument/2006/relationships/header" Target="header1.xml"/><Relationship Id="rId10" Type="http://schemas.openxmlformats.org/officeDocument/2006/relationships/hyperlink" Target="mailto:tsbsg13@itu.int" TargetMode="External"/><Relationship Id="rId19" Type="http://schemas.openxmlformats.org/officeDocument/2006/relationships/hyperlink" Target="mailto:nohan@tra.gov.e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H0502-SL2@accor.com" TargetMode="External"/><Relationship Id="rId22" Type="http://schemas.openxmlformats.org/officeDocument/2006/relationships/hyperlink" Target="http://www.accorhotels.com/gb/middle-east/index.shtml" TargetMode="External"/><Relationship Id="rId27" Type="http://schemas.openxmlformats.org/officeDocument/2006/relationships/hyperlink" Target="mailto:basmaa@ntra.gov.e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2201-2279-4B80-8270-E8EF1E49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0</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7882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TSB (RC)</cp:lastModifiedBy>
  <cp:revision>2</cp:revision>
  <cp:lastPrinted>2017-03-08T16:46:00Z</cp:lastPrinted>
  <dcterms:created xsi:type="dcterms:W3CDTF">2017-03-10T13:49:00Z</dcterms:created>
  <dcterms:modified xsi:type="dcterms:W3CDTF">2017-03-10T13:49:00Z</dcterms:modified>
</cp:coreProperties>
</file>