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25"/>
        <w:gridCol w:w="3969"/>
        <w:gridCol w:w="2551"/>
        <w:gridCol w:w="2127"/>
      </w:tblGrid>
      <w:tr w:rsidR="002C3E7B" w:rsidRPr="00B70109" w14:paraId="43D89216" w14:textId="77777777" w:rsidTr="00933BA1">
        <w:trPr>
          <w:cantSplit/>
          <w:trHeight w:val="1560"/>
        </w:trPr>
        <w:tc>
          <w:tcPr>
            <w:tcW w:w="1560" w:type="dxa"/>
            <w:gridSpan w:val="2"/>
            <w:vAlign w:val="center"/>
          </w:tcPr>
          <w:p w14:paraId="613E8C2A" w14:textId="77777777" w:rsidR="002C3E7B" w:rsidRPr="00B70109" w:rsidRDefault="48648E2B" w:rsidP="00D750EC">
            <w:pPr>
              <w:pStyle w:val="Heading1"/>
              <w:rPr>
                <w:rFonts w:cs="Times New Roman Bold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6313EA4" wp14:editId="4A3CDD63">
                  <wp:extent cx="903605" cy="903605"/>
                  <wp:effectExtent l="0" t="0" r="0" b="0"/>
                  <wp:docPr id="703080884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37941C12" w14:textId="77777777" w:rsidR="002C3E7B" w:rsidRPr="00B70109" w:rsidRDefault="002C3E7B" w:rsidP="00E31F4D">
            <w:pPr>
              <w:spacing w:before="40" w:after="4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4805BF32" w14:textId="77777777" w:rsidR="002C3E7B" w:rsidRPr="00B70109" w:rsidRDefault="002C3E7B" w:rsidP="00E31F4D">
            <w:pPr>
              <w:spacing w:before="40" w:after="40"/>
              <w:rPr>
                <w:rFonts w:ascii="Verdana" w:hAnsi="Verdana"/>
                <w:color w:val="FFFFFF"/>
                <w:sz w:val="26"/>
                <w:szCs w:val="26"/>
              </w:rPr>
            </w:pPr>
            <w:r w:rsidRPr="00B70109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  <w:r w:rsidRPr="00B70109" w:rsidDel="002C3E7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1F84C725" w14:textId="77777777" w:rsidR="002C3E7B" w:rsidRPr="00B70109" w:rsidRDefault="002C3E7B" w:rsidP="00E31F4D">
            <w:pPr>
              <w:spacing w:before="40" w:after="4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B70109" w14:paraId="6D56AB4A" w14:textId="77777777" w:rsidTr="00933BA1">
        <w:trPr>
          <w:cantSplit/>
          <w:trHeight w:val="254"/>
        </w:trPr>
        <w:tc>
          <w:tcPr>
            <w:tcW w:w="5529" w:type="dxa"/>
            <w:gridSpan w:val="3"/>
            <w:vAlign w:val="center"/>
          </w:tcPr>
          <w:p w14:paraId="66691FF2" w14:textId="77777777" w:rsidR="000305E1" w:rsidRPr="00B70109" w:rsidRDefault="000305E1" w:rsidP="00E31F4D">
            <w:pPr>
              <w:pStyle w:val="Tabletext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69FB6B77" w14:textId="309249BB" w:rsidR="000305E1" w:rsidRPr="00B70109" w:rsidRDefault="000305E1" w:rsidP="00E31F4D">
            <w:pPr>
              <w:pStyle w:val="Tabletext"/>
            </w:pPr>
            <w:r w:rsidRPr="00B70109">
              <w:t xml:space="preserve">Geneva, </w:t>
            </w:r>
            <w:r w:rsidR="00933BA1">
              <w:t>8 September 2020</w:t>
            </w:r>
          </w:p>
        </w:tc>
      </w:tr>
      <w:tr w:rsidR="00933BA1" w:rsidRPr="00B70109" w14:paraId="766311A2" w14:textId="77777777" w:rsidTr="00933BA1">
        <w:trPr>
          <w:cantSplit/>
          <w:trHeight w:val="562"/>
        </w:trPr>
        <w:tc>
          <w:tcPr>
            <w:tcW w:w="1135" w:type="dxa"/>
          </w:tcPr>
          <w:p w14:paraId="7B333BB6" w14:textId="5BF6A76B" w:rsidR="00933BA1" w:rsidRPr="00933BA1" w:rsidRDefault="00933BA1" w:rsidP="00E31F4D">
            <w:pPr>
              <w:pStyle w:val="Tabletext"/>
              <w:rPr>
                <w:rFonts w:cstheme="minorHAnsi"/>
              </w:rPr>
            </w:pPr>
            <w:bookmarkStart w:id="0" w:name="Adress_E" w:colFirst="2" w:colLast="2"/>
            <w:r w:rsidRPr="00933BA1">
              <w:rPr>
                <w:rFonts w:cstheme="minorHAnsi"/>
              </w:rPr>
              <w:t>Ref:</w:t>
            </w:r>
          </w:p>
          <w:p w14:paraId="20819C8C" w14:textId="77777777" w:rsidR="00933BA1" w:rsidRPr="00933BA1" w:rsidRDefault="00933BA1" w:rsidP="00E31F4D">
            <w:pPr>
              <w:pStyle w:val="Tabletext"/>
              <w:rPr>
                <w:rFonts w:cstheme="minorHAnsi"/>
              </w:rPr>
            </w:pPr>
          </w:p>
          <w:p w14:paraId="20298DF9" w14:textId="77777777" w:rsidR="00933BA1" w:rsidRPr="00933BA1" w:rsidRDefault="00933BA1" w:rsidP="00E31F4D">
            <w:pPr>
              <w:pStyle w:val="Tabletext"/>
              <w:rPr>
                <w:rFonts w:cstheme="minorHAnsi"/>
              </w:rPr>
            </w:pPr>
            <w:r w:rsidRPr="00933BA1">
              <w:rPr>
                <w:rFonts w:cstheme="minorHAnsi"/>
              </w:rPr>
              <w:t>Tel:</w:t>
            </w:r>
          </w:p>
          <w:p w14:paraId="7859F64B" w14:textId="77777777" w:rsidR="00933BA1" w:rsidRPr="00933BA1" w:rsidRDefault="00933BA1" w:rsidP="00E31F4D">
            <w:pPr>
              <w:pStyle w:val="Tabletext"/>
              <w:rPr>
                <w:rFonts w:cstheme="minorHAnsi"/>
              </w:rPr>
            </w:pPr>
            <w:r w:rsidRPr="00933BA1">
              <w:rPr>
                <w:rFonts w:cstheme="minorHAnsi"/>
              </w:rPr>
              <w:t xml:space="preserve">Fax: </w:t>
            </w:r>
          </w:p>
          <w:p w14:paraId="13DB7FC4" w14:textId="77777777" w:rsidR="00933BA1" w:rsidRPr="00933BA1" w:rsidRDefault="00933BA1" w:rsidP="00E31F4D">
            <w:pPr>
              <w:pStyle w:val="Tabletext"/>
              <w:rPr>
                <w:rFonts w:cstheme="minorHAnsi"/>
              </w:rPr>
            </w:pPr>
            <w:r w:rsidRPr="00933BA1">
              <w:rPr>
                <w:rFonts w:cstheme="minorHAnsi"/>
              </w:rPr>
              <w:t>E-mail:</w:t>
            </w:r>
          </w:p>
          <w:p w14:paraId="30F627C6" w14:textId="66C12F88" w:rsidR="00933BA1" w:rsidRPr="00933BA1" w:rsidRDefault="00933BA1" w:rsidP="00E31F4D">
            <w:pPr>
              <w:pStyle w:val="Tabletext"/>
              <w:rPr>
                <w:rFonts w:cstheme="minorHAnsi"/>
              </w:rPr>
            </w:pPr>
            <w:r w:rsidRPr="00933BA1">
              <w:rPr>
                <w:rFonts w:cstheme="minorHAnsi"/>
              </w:rPr>
              <w:t>Web:</w:t>
            </w:r>
          </w:p>
        </w:tc>
        <w:tc>
          <w:tcPr>
            <w:tcW w:w="4394" w:type="dxa"/>
            <w:gridSpan w:val="2"/>
          </w:tcPr>
          <w:p w14:paraId="6F2FE377" w14:textId="77777777" w:rsidR="00933BA1" w:rsidRPr="00933BA1" w:rsidRDefault="00933BA1" w:rsidP="00933BA1">
            <w:pPr>
              <w:pStyle w:val="Tabletext"/>
              <w:rPr>
                <w:rFonts w:cstheme="minorHAnsi"/>
                <w:b/>
              </w:rPr>
            </w:pPr>
            <w:r w:rsidRPr="00933BA1">
              <w:rPr>
                <w:rFonts w:cstheme="minorHAnsi"/>
                <w:b/>
              </w:rPr>
              <w:t>TSB Collective letter 11/11</w:t>
            </w:r>
          </w:p>
          <w:p w14:paraId="1B363E6C" w14:textId="77777777" w:rsidR="00933BA1" w:rsidRPr="00933BA1" w:rsidRDefault="00933BA1" w:rsidP="00933BA1">
            <w:pPr>
              <w:pStyle w:val="Tabletext"/>
              <w:rPr>
                <w:rFonts w:cstheme="minorHAnsi"/>
              </w:rPr>
            </w:pPr>
            <w:r w:rsidRPr="00933BA1">
              <w:rPr>
                <w:rFonts w:cstheme="minorHAnsi"/>
              </w:rPr>
              <w:t>SG11/DA</w:t>
            </w:r>
          </w:p>
          <w:p w14:paraId="0B05882F" w14:textId="77777777" w:rsidR="00933BA1" w:rsidRPr="00933BA1" w:rsidRDefault="00933BA1" w:rsidP="00933BA1">
            <w:pPr>
              <w:pStyle w:val="Tabletext"/>
              <w:rPr>
                <w:rFonts w:cstheme="minorHAnsi"/>
                <w:b/>
              </w:rPr>
            </w:pPr>
            <w:r w:rsidRPr="00933BA1">
              <w:rPr>
                <w:rFonts w:cstheme="minorHAnsi"/>
              </w:rPr>
              <w:t>+41 22 730 5780</w:t>
            </w:r>
          </w:p>
          <w:p w14:paraId="6E462978" w14:textId="77777777" w:rsidR="00933BA1" w:rsidRPr="00933BA1" w:rsidRDefault="00933BA1" w:rsidP="00933BA1">
            <w:pPr>
              <w:pStyle w:val="Tabletext"/>
              <w:rPr>
                <w:rFonts w:cstheme="minorHAnsi"/>
                <w:b/>
              </w:rPr>
            </w:pPr>
            <w:r w:rsidRPr="00933BA1">
              <w:rPr>
                <w:rFonts w:cstheme="minorHAnsi"/>
              </w:rPr>
              <w:t>+41 22 730 5853</w:t>
            </w:r>
          </w:p>
          <w:p w14:paraId="14B1DBDB" w14:textId="77777777" w:rsidR="00933BA1" w:rsidRPr="00933BA1" w:rsidRDefault="007004CB" w:rsidP="00933BA1">
            <w:pPr>
              <w:pStyle w:val="Tabletext"/>
              <w:rPr>
                <w:rFonts w:cstheme="minorHAnsi"/>
              </w:rPr>
            </w:pPr>
            <w:hyperlink r:id="rId12" w:history="1">
              <w:r w:rsidR="00933BA1" w:rsidRPr="00933BA1">
                <w:rPr>
                  <w:rStyle w:val="Hyperlink"/>
                  <w:rFonts w:cstheme="minorHAnsi"/>
                </w:rPr>
                <w:t>tsbsg11@itu.int</w:t>
              </w:r>
            </w:hyperlink>
          </w:p>
          <w:p w14:paraId="0BBE2D8A" w14:textId="77777777" w:rsidR="00933BA1" w:rsidRDefault="007004CB" w:rsidP="00933BA1">
            <w:pPr>
              <w:pStyle w:val="Tabletext"/>
              <w:rPr>
                <w:rStyle w:val="Hyperlink"/>
                <w:rFonts w:cstheme="minorHAnsi"/>
              </w:rPr>
            </w:pPr>
            <w:hyperlink r:id="rId13" w:history="1">
              <w:r w:rsidR="00933BA1" w:rsidRPr="00933BA1">
                <w:rPr>
                  <w:rStyle w:val="Hyperlink"/>
                  <w:rFonts w:cstheme="minorHAnsi"/>
                </w:rPr>
                <w:t>http://itu.int/go/tsg11</w:t>
              </w:r>
            </w:hyperlink>
          </w:p>
          <w:p w14:paraId="0EF44109" w14:textId="1C448565" w:rsidR="00933BA1" w:rsidRPr="00933BA1" w:rsidRDefault="00933BA1" w:rsidP="00933BA1">
            <w:pPr>
              <w:pStyle w:val="Tabletext"/>
              <w:rPr>
                <w:rFonts w:cstheme="minorHAnsi"/>
              </w:rPr>
            </w:pPr>
          </w:p>
        </w:tc>
        <w:tc>
          <w:tcPr>
            <w:tcW w:w="4678" w:type="dxa"/>
            <w:gridSpan w:val="2"/>
          </w:tcPr>
          <w:p w14:paraId="21850CA2" w14:textId="55B3A98F" w:rsidR="00933BA1" w:rsidRDefault="00933BA1" w:rsidP="00E31F4D">
            <w:pPr>
              <w:pStyle w:val="Tabletext"/>
              <w:ind w:left="283" w:hanging="283"/>
            </w:pPr>
            <w:r w:rsidRPr="00B70109">
              <w:t>To</w:t>
            </w:r>
            <w:r>
              <w:t>:</w:t>
            </w:r>
            <w:r w:rsidRPr="00B70109">
              <w:t xml:space="preserve"> </w:t>
            </w:r>
          </w:p>
          <w:p w14:paraId="4B6FA373" w14:textId="53855924" w:rsidR="00933BA1" w:rsidRPr="00B70109" w:rsidRDefault="00933BA1" w:rsidP="00E31F4D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 xml:space="preserve">Administrations of Member States of the </w:t>
            </w:r>
            <w:proofErr w:type="gramStart"/>
            <w:r w:rsidRPr="00B70109">
              <w:t>Union;</w:t>
            </w:r>
            <w:proofErr w:type="gramEnd"/>
            <w:r w:rsidRPr="00B70109">
              <w:t xml:space="preserve"> </w:t>
            </w:r>
          </w:p>
          <w:p w14:paraId="14DE60ED" w14:textId="77777777" w:rsidR="00933BA1" w:rsidRPr="00B70109" w:rsidRDefault="00933BA1" w:rsidP="00E31F4D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 xml:space="preserve">T Sector </w:t>
            </w:r>
            <w:proofErr w:type="gramStart"/>
            <w:r w:rsidRPr="00B70109">
              <w:t>Members;</w:t>
            </w:r>
            <w:proofErr w:type="gramEnd"/>
          </w:p>
          <w:p w14:paraId="32391806" w14:textId="1C77FEE1" w:rsidR="00933BA1" w:rsidRPr="00B70109" w:rsidRDefault="00933BA1" w:rsidP="00E31F4D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</w:t>
            </w:r>
            <w:r w:rsidRPr="00B70109">
              <w:noBreakHyphen/>
              <w:t>T Associates of Study Group</w:t>
            </w:r>
            <w:r>
              <w:t xml:space="preserve"> </w:t>
            </w:r>
            <w:proofErr w:type="gramStart"/>
            <w:r>
              <w:t>11</w:t>
            </w:r>
            <w:r w:rsidRPr="00B70109">
              <w:t>;</w:t>
            </w:r>
            <w:proofErr w:type="gramEnd"/>
          </w:p>
          <w:p w14:paraId="535B734C" w14:textId="77777777" w:rsidR="00933BA1" w:rsidRPr="00B70109" w:rsidRDefault="00933BA1" w:rsidP="00E31F4D">
            <w:pPr>
              <w:pStyle w:val="Tabletext"/>
              <w:ind w:left="283" w:hanging="283"/>
            </w:pPr>
            <w:r w:rsidRPr="00B70109">
              <w:t>-</w:t>
            </w:r>
            <w:r w:rsidRPr="00B70109">
              <w:tab/>
              <w:t>To ITU Academia</w:t>
            </w:r>
          </w:p>
        </w:tc>
      </w:tr>
      <w:bookmarkEnd w:id="0"/>
      <w:tr w:rsidR="00933BA1" w:rsidRPr="00B70109" w14:paraId="268676D0" w14:textId="77777777" w:rsidTr="00933BA1">
        <w:trPr>
          <w:cantSplit/>
          <w:trHeight w:val="80"/>
        </w:trPr>
        <w:tc>
          <w:tcPr>
            <w:tcW w:w="1135" w:type="dxa"/>
          </w:tcPr>
          <w:p w14:paraId="314B5F73" w14:textId="1E823558" w:rsidR="00933BA1" w:rsidRPr="00B70109" w:rsidRDefault="00933BA1" w:rsidP="00933BA1">
            <w:pPr>
              <w:pStyle w:val="Tabletext"/>
            </w:pPr>
            <w:r w:rsidRPr="00933BA1">
              <w:rPr>
                <w:b/>
                <w:bCs/>
              </w:rPr>
              <w:t>Subject</w:t>
            </w:r>
            <w:r>
              <w:rPr>
                <w:b/>
                <w:bCs/>
              </w:rPr>
              <w:t>:</w:t>
            </w:r>
          </w:p>
        </w:tc>
        <w:tc>
          <w:tcPr>
            <w:tcW w:w="9072" w:type="dxa"/>
            <w:gridSpan w:val="4"/>
          </w:tcPr>
          <w:p w14:paraId="339998C4" w14:textId="76C1FEAD" w:rsidR="00933BA1" w:rsidRPr="00B70109" w:rsidRDefault="00933BA1" w:rsidP="00933BA1">
            <w:pPr>
              <w:pStyle w:val="Tabletext"/>
            </w:pPr>
            <w:bookmarkStart w:id="1" w:name="_Hlk50047293"/>
            <w:r w:rsidRPr="19927505">
              <w:rPr>
                <w:b/>
                <w:bCs/>
              </w:rPr>
              <w:t>Virtual m</w:t>
            </w:r>
            <w:r w:rsidRPr="00B70109">
              <w:rPr>
                <w:b/>
                <w:bCs/>
              </w:rPr>
              <w:t xml:space="preserve">eeting of </w:t>
            </w:r>
            <w:r>
              <w:rPr>
                <w:b/>
                <w:bCs/>
              </w:rPr>
              <w:t>Working Party 1/11, 19 November 2020</w:t>
            </w:r>
            <w:bookmarkEnd w:id="1"/>
          </w:p>
        </w:tc>
      </w:tr>
      <w:tr w:rsidR="00933BA1" w:rsidRPr="00B70109" w14:paraId="4470632D" w14:textId="77777777" w:rsidTr="00933BA1">
        <w:trPr>
          <w:cantSplit/>
          <w:trHeight w:val="80"/>
        </w:trPr>
        <w:tc>
          <w:tcPr>
            <w:tcW w:w="10207" w:type="dxa"/>
            <w:gridSpan w:val="5"/>
          </w:tcPr>
          <w:p w14:paraId="5309D4AE" w14:textId="77777777" w:rsidR="00933BA1" w:rsidRDefault="00933BA1" w:rsidP="00933BA1">
            <w:pPr>
              <w:spacing w:before="120"/>
            </w:pPr>
            <w:r w:rsidRPr="00B70109">
              <w:t>Dear Sir/Madam,</w:t>
            </w:r>
          </w:p>
          <w:p w14:paraId="3B30FDF0" w14:textId="77777777" w:rsidR="00933BA1" w:rsidRDefault="00933BA1" w:rsidP="00933BA1">
            <w:r w:rsidRPr="009A5E14">
              <w:t>With my agreement to the request of Study Group 1</w:t>
            </w:r>
            <w:r>
              <w:t>1</w:t>
            </w:r>
            <w:r w:rsidRPr="009A5E14">
              <w:t xml:space="preserve"> Chairman (</w:t>
            </w:r>
            <w:r>
              <w:t>Mr Andrey KUCHERYAVY</w:t>
            </w:r>
            <w:r w:rsidRPr="009A5E14">
              <w:t>) and as endorsed at the meeting of Study Group 1</w:t>
            </w:r>
            <w:r>
              <w:t>1</w:t>
            </w:r>
            <w:r w:rsidRPr="009A5E14">
              <w:t xml:space="preserve"> (</w:t>
            </w:r>
            <w:r>
              <w:t>virtual</w:t>
            </w:r>
            <w:r w:rsidRPr="009A5E14">
              <w:t xml:space="preserve">, </w:t>
            </w:r>
            <w:r>
              <w:t>22-31 July 2020), i</w:t>
            </w:r>
            <w:r w:rsidRPr="00B70109">
              <w:t xml:space="preserve">t is my pleasure to invite you to attend the next meeting </w:t>
            </w:r>
            <w:r>
              <w:t>of Working Party 1/11 (</w:t>
            </w:r>
            <w:r w:rsidRPr="00DD30E9">
              <w:rPr>
                <w:i/>
                <w:iCs/>
              </w:rPr>
              <w:t>Signalling requirements and protocols for emerging telecommunications networks</w:t>
            </w:r>
            <w:r w:rsidRPr="00DD30E9">
              <w:t>)</w:t>
            </w:r>
            <w:r>
              <w:t xml:space="preserve">, </w:t>
            </w:r>
            <w:r w:rsidRPr="00B70109">
              <w:t xml:space="preserve">which </w:t>
            </w:r>
            <w:r>
              <w:t>is planned</w:t>
            </w:r>
            <w:r w:rsidRPr="00B70109">
              <w:t xml:space="preserve"> </w:t>
            </w:r>
            <w:r>
              <w:t xml:space="preserve">to </w:t>
            </w:r>
            <w:r w:rsidRPr="00B70109">
              <w:t xml:space="preserve">be </w:t>
            </w:r>
            <w:r>
              <w:t>run</w:t>
            </w:r>
            <w:r w:rsidRPr="00B70109">
              <w:t xml:space="preserve"> </w:t>
            </w:r>
            <w:r>
              <w:t>fully virtual</w:t>
            </w:r>
            <w:r w:rsidRPr="00B70109">
              <w:t xml:space="preserve"> </w:t>
            </w:r>
            <w:r>
              <w:t>on 19 November 2020</w:t>
            </w:r>
            <w:r w:rsidRPr="00B70109">
              <w:t>.</w:t>
            </w:r>
          </w:p>
          <w:p w14:paraId="618ABB26" w14:textId="77777777" w:rsidR="00933BA1" w:rsidRPr="00F46A92" w:rsidRDefault="00933BA1" w:rsidP="00933BA1">
            <w:pPr>
              <w:pStyle w:val="enumlev1"/>
              <w:rPr>
                <w:rFonts w:ascii="Calibri" w:eastAsia="Calibri" w:hAnsi="Calibri" w:cs="Calibri"/>
                <w:szCs w:val="22"/>
              </w:rPr>
            </w:pPr>
            <w:r>
              <w:t xml:space="preserve">Note that </w:t>
            </w:r>
            <w:r w:rsidRPr="4751DD14">
              <w:rPr>
                <w:rFonts w:ascii="Calibri" w:eastAsia="Calibri" w:hAnsi="Calibri" w:cs="Calibri"/>
                <w:szCs w:val="22"/>
              </w:rPr>
              <w:t>no fellowships will be awarded, and the entire meeting will run</w:t>
            </w:r>
            <w:r>
              <w:rPr>
                <w:rFonts w:ascii="Calibri" w:eastAsia="Calibri" w:hAnsi="Calibri" w:cs="Calibri"/>
                <w:szCs w:val="22"/>
              </w:rPr>
              <w:t xml:space="preserve"> </w:t>
            </w:r>
            <w:r w:rsidRPr="4751DD14">
              <w:rPr>
                <w:rFonts w:ascii="Calibri" w:eastAsia="Calibri" w:hAnsi="Calibri" w:cs="Calibri"/>
                <w:szCs w:val="22"/>
              </w:rPr>
              <w:t xml:space="preserve">in English only </w:t>
            </w:r>
            <w:r w:rsidRPr="00F46A92">
              <w:rPr>
                <w:rFonts w:ascii="Calibri" w:eastAsia="Calibri" w:hAnsi="Calibri" w:cs="Calibri"/>
                <w:szCs w:val="22"/>
              </w:rPr>
              <w:t>with no interpretation</w:t>
            </w:r>
            <w:r w:rsidRPr="4751DD14">
              <w:rPr>
                <w:rFonts w:ascii="Calibri" w:eastAsia="Calibri" w:hAnsi="Calibri" w:cs="Calibri"/>
                <w:szCs w:val="22"/>
              </w:rPr>
              <w:t>.</w:t>
            </w:r>
          </w:p>
          <w:p w14:paraId="223A8E47" w14:textId="77777777" w:rsidR="00933BA1" w:rsidRDefault="00933BA1" w:rsidP="00933BA1">
            <w:r w:rsidRPr="00B70109">
              <w:t xml:space="preserve">The meeting will </w:t>
            </w:r>
            <w:r>
              <w:t>take place from 13</w:t>
            </w:r>
            <w:r w:rsidRPr="00B47D06">
              <w:t>00</w:t>
            </w:r>
            <w:r w:rsidRPr="00B70109">
              <w:t xml:space="preserve"> </w:t>
            </w:r>
            <w:r>
              <w:t xml:space="preserve">to 1500 </w:t>
            </w:r>
            <w:r w:rsidRPr="00B70109">
              <w:t>hours</w:t>
            </w:r>
            <w:r>
              <w:t>, Geneva time,</w:t>
            </w:r>
            <w:r w:rsidRPr="00B70109">
              <w:t xml:space="preserve"> </w:t>
            </w:r>
            <w:r>
              <w:t xml:space="preserve">using the </w:t>
            </w:r>
            <w:hyperlink r:id="rId14">
              <w:r w:rsidRPr="19927505">
                <w:rPr>
                  <w:rStyle w:val="Hyperlink"/>
                </w:rPr>
                <w:t>MyMeetings remote participation tool</w:t>
              </w:r>
            </w:hyperlink>
            <w:r>
              <w:t xml:space="preserve">. </w:t>
            </w:r>
            <w:r w:rsidRPr="001019B9">
              <w:t>Documentation, remote participation details and other related information can be found on the SG11 homepage (</w:t>
            </w:r>
            <w:hyperlink r:id="rId15" w:history="1">
              <w:r w:rsidRPr="00546660">
                <w:rPr>
                  <w:rStyle w:val="Hyperlink"/>
                </w:rPr>
                <w:t>www.itu.int/go/tsg11</w:t>
              </w:r>
            </w:hyperlink>
            <w:r w:rsidRPr="001019B9">
              <w:t>).</w:t>
            </w:r>
          </w:p>
          <w:p w14:paraId="3B70FBBB" w14:textId="77777777" w:rsidR="00933BA1" w:rsidRDefault="00933BA1" w:rsidP="00933BA1">
            <w:r w:rsidRPr="00BC75DB">
              <w:t>The main objective of th</w:t>
            </w:r>
            <w:r>
              <w:t>i</w:t>
            </w:r>
            <w:r w:rsidRPr="00BC75DB">
              <w:t xml:space="preserve">s </w:t>
            </w:r>
            <w:r>
              <w:t xml:space="preserve">WP1/11 </w:t>
            </w:r>
            <w:r w:rsidRPr="00BC75DB">
              <w:t xml:space="preserve">meeting </w:t>
            </w:r>
            <w:r>
              <w:t>is</w:t>
            </w:r>
            <w:r w:rsidRPr="00BC75DB">
              <w:t xml:space="preserve"> to consider initiating the approval process for the following draft ITU-T Recommendations, depending on the results of the</w:t>
            </w:r>
            <w:r>
              <w:t xml:space="preserve"> </w:t>
            </w:r>
            <w:hyperlink r:id="rId16" w:history="1">
              <w:r w:rsidRPr="00D4272E">
                <w:rPr>
                  <w:rStyle w:val="Hyperlink"/>
                </w:rPr>
                <w:t>Rapporteur Group meetings</w:t>
              </w:r>
            </w:hyperlink>
            <w:r w:rsidRPr="00BC75DB">
              <w:t>:</w:t>
            </w:r>
          </w:p>
          <w:p w14:paraId="787608C6" w14:textId="77777777" w:rsidR="00933BA1" w:rsidRPr="00E36A4F" w:rsidRDefault="00933BA1" w:rsidP="00933BA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E36A4F">
              <w:rPr>
                <w:rFonts w:asciiTheme="minorHAnsi" w:hAnsiTheme="minorHAnsi" w:cstheme="minorHAnsi"/>
              </w:rPr>
              <w:t>raft new Recommendation ITU-T Q.SCC “Signalling requirements and information model of Cooperative Controller</w:t>
            </w:r>
            <w:proofErr w:type="gramStart"/>
            <w:r w:rsidRPr="00E36A4F">
              <w:rPr>
                <w:rFonts w:asciiTheme="minorHAnsi" w:hAnsiTheme="minorHAnsi" w:cstheme="minorHAnsi"/>
              </w:rPr>
              <w:t>”;</w:t>
            </w:r>
            <w:proofErr w:type="gramEnd"/>
          </w:p>
          <w:p w14:paraId="633B9DF2" w14:textId="755802DC" w:rsidR="00933BA1" w:rsidRPr="00E36A4F" w:rsidRDefault="00933BA1" w:rsidP="00933BA1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E36A4F">
              <w:rPr>
                <w:rFonts w:asciiTheme="minorHAnsi" w:hAnsiTheme="minorHAnsi" w:cstheme="minorHAnsi"/>
              </w:rPr>
              <w:t xml:space="preserve">raft new Recommendation ITU-T </w:t>
            </w:r>
            <w:proofErr w:type="gramStart"/>
            <w:r w:rsidRPr="00E36A4F">
              <w:rPr>
                <w:rFonts w:asciiTheme="minorHAnsi" w:hAnsiTheme="minorHAnsi" w:cstheme="minorHAnsi"/>
              </w:rPr>
              <w:t>Q.VNFT</w:t>
            </w:r>
            <w:proofErr w:type="gramEnd"/>
            <w:r w:rsidRPr="00E36A4F">
              <w:rPr>
                <w:rFonts w:asciiTheme="minorHAnsi" w:hAnsiTheme="minorHAnsi" w:cstheme="minorHAnsi"/>
              </w:rPr>
              <w:t>-</w:t>
            </w:r>
            <w:proofErr w:type="spellStart"/>
            <w:r w:rsidRPr="00E36A4F">
              <w:rPr>
                <w:rFonts w:asciiTheme="minorHAnsi" w:hAnsiTheme="minorHAnsi" w:cstheme="minorHAnsi"/>
              </w:rPr>
              <w:t>req</w:t>
            </w:r>
            <w:proofErr w:type="spellEnd"/>
            <w:r w:rsidRPr="00E36A4F">
              <w:rPr>
                <w:rFonts w:asciiTheme="minorHAnsi" w:hAnsiTheme="minorHAnsi" w:cstheme="minorHAnsi"/>
              </w:rPr>
              <w:t xml:space="preserve"> “Signalling requirements for VNF lifecycle management under the testing environment”.</w:t>
            </w:r>
          </w:p>
          <w:p w14:paraId="01273D3C" w14:textId="77777777" w:rsidR="00933BA1" w:rsidRPr="00B70109" w:rsidRDefault="00933BA1" w:rsidP="00933BA1">
            <w:pPr>
              <w:spacing w:before="120" w:after="120"/>
            </w:pPr>
            <w:r w:rsidRPr="005F7525">
              <w:rPr>
                <w:rFonts w:cstheme="minorHAnsi"/>
                <w:b/>
                <w:bCs/>
              </w:rPr>
              <w:t>Key dead</w:t>
            </w:r>
            <w:r w:rsidRPr="00B70109">
              <w:rPr>
                <w:b/>
                <w:bCs/>
              </w:rPr>
              <w:t>lines</w:t>
            </w:r>
            <w:r w:rsidRPr="00B70109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8216"/>
            </w:tblGrid>
            <w:tr w:rsidR="00933BA1" w:rsidRPr="0004154C" w14:paraId="4CB8CDAA" w14:textId="77777777" w:rsidTr="0042767F">
              <w:tc>
                <w:tcPr>
                  <w:tcW w:w="1980" w:type="dxa"/>
                  <w:shd w:val="clear" w:color="auto" w:fill="auto"/>
                  <w:vAlign w:val="center"/>
                </w:tcPr>
                <w:p w14:paraId="5964E4FC" w14:textId="77777777" w:rsidR="00933BA1" w:rsidRPr="0004154C" w:rsidRDefault="00933BA1" w:rsidP="007004CB">
                  <w:pPr>
                    <w:pStyle w:val="TableText0"/>
                    <w:framePr w:hSpace="181" w:wrap="around" w:vAnchor="page" w:hAnchor="margin" w:xAlign="center" w:y="664"/>
                    <w:rPr>
                      <w:rFonts w:asciiTheme="minorHAnsi" w:hAnsiTheme="minorHAnsi"/>
                      <w:szCs w:val="22"/>
                    </w:rPr>
                  </w:pPr>
                  <w:r w:rsidRPr="0004154C">
                    <w:rPr>
                      <w:rFonts w:asciiTheme="minorHAnsi" w:hAnsiTheme="minorHAnsi"/>
                      <w:szCs w:val="22"/>
                    </w:rPr>
                    <w:t>19 September 2020</w:t>
                  </w:r>
                </w:p>
              </w:tc>
              <w:tc>
                <w:tcPr>
                  <w:tcW w:w="8216" w:type="dxa"/>
                  <w:shd w:val="clear" w:color="auto" w:fill="auto"/>
                </w:tcPr>
                <w:p w14:paraId="0EB18E9D" w14:textId="77777777" w:rsidR="00933BA1" w:rsidRPr="0004154C" w:rsidRDefault="00933BA1" w:rsidP="007004CB">
                  <w:pPr>
                    <w:pStyle w:val="TableText0"/>
                    <w:framePr w:hSpace="181" w:wrap="around" w:vAnchor="page" w:hAnchor="margin" w:xAlign="center" w:y="664"/>
                    <w:ind w:left="172" w:hanging="207"/>
                    <w:rPr>
                      <w:rFonts w:asciiTheme="minorHAnsi" w:hAnsiTheme="minorHAnsi"/>
                      <w:szCs w:val="22"/>
                    </w:rPr>
                  </w:pPr>
                  <w:r w:rsidRPr="0004154C">
                    <w:rPr>
                      <w:rFonts w:asciiTheme="minorHAnsi" w:hAnsiTheme="minorHAnsi"/>
                      <w:szCs w:val="22"/>
                    </w:rPr>
                    <w:t>-</w:t>
                  </w:r>
                  <w:r w:rsidRPr="0004154C">
                    <w:rPr>
                      <w:rFonts w:asciiTheme="minorHAnsi" w:hAnsiTheme="minorHAnsi"/>
                      <w:szCs w:val="22"/>
                    </w:rPr>
                    <w:tab/>
                  </w:r>
                  <w:hyperlink r:id="rId17" w:history="1">
                    <w:r w:rsidRPr="0004154C">
                      <w:rPr>
                        <w:rStyle w:val="Hyperlink"/>
                        <w:rFonts w:asciiTheme="minorHAnsi" w:hAnsiTheme="minorHAnsi"/>
                        <w:szCs w:val="22"/>
                      </w:rPr>
                      <w:t>Submit ITU-T Member contributions</w:t>
                    </w:r>
                  </w:hyperlink>
                  <w:r w:rsidRPr="0004154C">
                    <w:rPr>
                      <w:rFonts w:asciiTheme="minorHAnsi" w:hAnsiTheme="minorHAnsi"/>
                      <w:szCs w:val="22"/>
                    </w:rPr>
                    <w:t xml:space="preserve"> for which translation is requested</w:t>
                  </w:r>
                </w:p>
              </w:tc>
            </w:tr>
            <w:tr w:rsidR="00933BA1" w:rsidRPr="0004154C" w14:paraId="3B54BE74" w14:textId="77777777" w:rsidTr="0042767F">
              <w:tc>
                <w:tcPr>
                  <w:tcW w:w="1980" w:type="dxa"/>
                  <w:shd w:val="clear" w:color="auto" w:fill="auto"/>
                  <w:vAlign w:val="center"/>
                </w:tcPr>
                <w:p w14:paraId="68B6C82D" w14:textId="77777777" w:rsidR="00933BA1" w:rsidRPr="0004154C" w:rsidRDefault="00933BA1" w:rsidP="007004CB">
                  <w:pPr>
                    <w:pStyle w:val="TableText0"/>
                    <w:framePr w:hSpace="181" w:wrap="around" w:vAnchor="page" w:hAnchor="margin" w:xAlign="center" w:y="664"/>
                    <w:rPr>
                      <w:rFonts w:asciiTheme="minorHAnsi" w:hAnsiTheme="minorHAnsi"/>
                      <w:szCs w:val="22"/>
                    </w:rPr>
                  </w:pPr>
                  <w:r w:rsidRPr="0004154C">
                    <w:rPr>
                      <w:rFonts w:asciiTheme="minorHAnsi" w:hAnsiTheme="minorHAnsi"/>
                      <w:szCs w:val="22"/>
                    </w:rPr>
                    <w:t>19 October 2020</w:t>
                  </w:r>
                </w:p>
              </w:tc>
              <w:tc>
                <w:tcPr>
                  <w:tcW w:w="8216" w:type="dxa"/>
                  <w:shd w:val="clear" w:color="auto" w:fill="auto"/>
                </w:tcPr>
                <w:p w14:paraId="472A42E2" w14:textId="77777777" w:rsidR="00933BA1" w:rsidRPr="0004154C" w:rsidRDefault="00933BA1" w:rsidP="007004CB">
                  <w:pPr>
                    <w:pStyle w:val="TableText0"/>
                    <w:framePr w:hSpace="181" w:wrap="around" w:vAnchor="page" w:hAnchor="margin" w:xAlign="center" w:y="664"/>
                    <w:tabs>
                      <w:tab w:val="clear" w:pos="284"/>
                      <w:tab w:val="clear" w:pos="567"/>
                      <w:tab w:val="clear" w:pos="851"/>
                      <w:tab w:val="clear" w:pos="1134"/>
                      <w:tab w:val="clear" w:pos="1418"/>
                      <w:tab w:val="clear" w:pos="170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</w:tabs>
                    <w:ind w:left="172" w:hanging="207"/>
                    <w:rPr>
                      <w:rFonts w:asciiTheme="minorHAnsi" w:hAnsiTheme="minorHAnsi"/>
                    </w:rPr>
                  </w:pPr>
                  <w:r w:rsidRPr="0004154C">
                    <w:rPr>
                      <w:rFonts w:asciiTheme="minorHAnsi" w:hAnsiTheme="minorHAnsi"/>
                    </w:rPr>
                    <w:t>-</w:t>
                  </w:r>
                  <w:r w:rsidRPr="0004154C">
                    <w:rPr>
                      <w:rFonts w:asciiTheme="minorHAnsi" w:hAnsiTheme="minorHAnsi"/>
                      <w:szCs w:val="22"/>
                    </w:rPr>
                    <w:tab/>
                  </w:r>
                  <w:r w:rsidRPr="0004154C">
                    <w:rPr>
                      <w:rFonts w:asciiTheme="minorHAnsi" w:hAnsiTheme="minorHAnsi"/>
                    </w:rPr>
                    <w:t>Registration (via the o</w:t>
                  </w:r>
                  <w:r w:rsidRPr="0004154C">
                    <w:rPr>
                      <w:rFonts w:asciiTheme="minorHAnsi" w:hAnsiTheme="minorHAnsi" w:cstheme="minorHAnsi"/>
                    </w:rPr>
                    <w:t xml:space="preserve">nline registration form on the study group homepage at: </w:t>
                  </w:r>
                  <w:hyperlink r:id="rId18" w:history="1">
                    <w:r w:rsidRPr="0004154C">
                      <w:rPr>
                        <w:rStyle w:val="Hyperlink"/>
                        <w:rFonts w:asciiTheme="minorHAnsi" w:hAnsiTheme="minorHAnsi" w:cstheme="minorHAnsi"/>
                      </w:rPr>
                      <w:t>http://itu.int/go/tsg11</w:t>
                    </w:r>
                  </w:hyperlink>
                  <w:r w:rsidRPr="0004154C">
                    <w:rPr>
                      <w:rFonts w:asciiTheme="minorHAnsi" w:hAnsiTheme="minorHAnsi" w:cstheme="minorHAnsi"/>
                    </w:rPr>
                    <w:t>)</w:t>
                  </w:r>
                </w:p>
              </w:tc>
            </w:tr>
            <w:tr w:rsidR="00933BA1" w:rsidRPr="00E71692" w14:paraId="46444F2B" w14:textId="77777777" w:rsidTr="0042767F">
              <w:tc>
                <w:tcPr>
                  <w:tcW w:w="1980" w:type="dxa"/>
                  <w:shd w:val="clear" w:color="auto" w:fill="auto"/>
                  <w:vAlign w:val="center"/>
                </w:tcPr>
                <w:p w14:paraId="3D1B46A0" w14:textId="77777777" w:rsidR="00933BA1" w:rsidRPr="0004154C" w:rsidRDefault="00933BA1" w:rsidP="007004CB">
                  <w:pPr>
                    <w:pStyle w:val="TableText0"/>
                    <w:framePr w:hSpace="181" w:wrap="around" w:vAnchor="page" w:hAnchor="margin" w:xAlign="center" w:y="664"/>
                    <w:rPr>
                      <w:rFonts w:asciiTheme="minorHAnsi" w:hAnsiTheme="minorHAnsi"/>
                      <w:szCs w:val="22"/>
                    </w:rPr>
                  </w:pPr>
                  <w:r w:rsidRPr="0004154C">
                    <w:rPr>
                      <w:rFonts w:asciiTheme="minorHAnsi" w:hAnsiTheme="minorHAnsi"/>
                      <w:szCs w:val="22"/>
                    </w:rPr>
                    <w:t>6 November 2020</w:t>
                  </w:r>
                </w:p>
              </w:tc>
              <w:tc>
                <w:tcPr>
                  <w:tcW w:w="8216" w:type="dxa"/>
                  <w:shd w:val="clear" w:color="auto" w:fill="auto"/>
                </w:tcPr>
                <w:p w14:paraId="5A7143D6" w14:textId="77777777" w:rsidR="00933BA1" w:rsidRPr="00933BA1" w:rsidRDefault="00933BA1" w:rsidP="007004CB">
                  <w:pPr>
                    <w:pStyle w:val="TableText0"/>
                    <w:framePr w:hSpace="181" w:wrap="around" w:vAnchor="page" w:hAnchor="margin" w:xAlign="center" w:y="664"/>
                    <w:tabs>
                      <w:tab w:val="clear" w:pos="284"/>
                      <w:tab w:val="clear" w:pos="567"/>
                      <w:tab w:val="clear" w:pos="851"/>
                      <w:tab w:val="clear" w:pos="1134"/>
                      <w:tab w:val="clear" w:pos="1418"/>
                      <w:tab w:val="clear" w:pos="1701"/>
                      <w:tab w:val="clear" w:pos="1985"/>
                      <w:tab w:val="clear" w:pos="2268"/>
                      <w:tab w:val="clear" w:pos="2552"/>
                      <w:tab w:val="clear" w:pos="2835"/>
                      <w:tab w:val="clear" w:pos="3119"/>
                      <w:tab w:val="clear" w:pos="3402"/>
                      <w:tab w:val="clear" w:pos="3686"/>
                      <w:tab w:val="clear" w:pos="3969"/>
                    </w:tabs>
                    <w:ind w:left="172" w:hanging="207"/>
                    <w:rPr>
                      <w:rFonts w:asciiTheme="minorHAnsi" w:hAnsiTheme="minorHAnsi"/>
                      <w:szCs w:val="22"/>
                      <w:lang w:val="en-IE"/>
                    </w:rPr>
                  </w:pPr>
                  <w:r w:rsidRPr="00933BA1">
                    <w:rPr>
                      <w:rFonts w:asciiTheme="minorHAnsi" w:hAnsiTheme="minorHAnsi"/>
                      <w:szCs w:val="22"/>
                      <w:lang w:val="en-IE"/>
                    </w:rPr>
                    <w:t>-</w:t>
                  </w:r>
                  <w:r w:rsidRPr="00933BA1">
                    <w:rPr>
                      <w:rFonts w:asciiTheme="minorHAnsi" w:hAnsiTheme="minorHAnsi"/>
                      <w:szCs w:val="22"/>
                      <w:lang w:val="en-IE"/>
                    </w:rPr>
                    <w:tab/>
                  </w:r>
                  <w:hyperlink r:id="rId19" w:history="1">
                    <w:r w:rsidRPr="00933BA1">
                      <w:rPr>
                        <w:rStyle w:val="Hyperlink"/>
                        <w:rFonts w:asciiTheme="minorHAnsi" w:hAnsiTheme="minorHAnsi"/>
                        <w:szCs w:val="22"/>
                        <w:lang w:val="en-IE"/>
                      </w:rPr>
                      <w:t>Submit ITU-T Member contributions (via Direct Document Posting)</w:t>
                    </w:r>
                  </w:hyperlink>
                  <w:r w:rsidRPr="00933BA1">
                    <w:rPr>
                      <w:rFonts w:asciiTheme="minorHAnsi" w:hAnsiTheme="minorHAnsi"/>
                      <w:szCs w:val="22"/>
                      <w:lang w:val="en-IE"/>
                    </w:rPr>
                    <w:t xml:space="preserve"> to WP1/11</w:t>
                  </w:r>
                </w:p>
              </w:tc>
            </w:tr>
          </w:tbl>
          <w:p w14:paraId="778BACC8" w14:textId="6356F357" w:rsidR="00933BA1" w:rsidRPr="19927505" w:rsidRDefault="00933BA1" w:rsidP="00933BA1">
            <w:pPr>
              <w:rPr>
                <w:b/>
                <w:bCs/>
              </w:rPr>
            </w:pPr>
            <w:r w:rsidRPr="00B70109">
              <w:t xml:space="preserve">Practical meeting information is set out in </w:t>
            </w:r>
            <w:r w:rsidRPr="00B70109">
              <w:rPr>
                <w:b/>
                <w:bCs/>
              </w:rPr>
              <w:t>Annex A</w:t>
            </w:r>
            <w:r w:rsidRPr="00B70109">
              <w:t xml:space="preserve">. A draft meeting </w:t>
            </w:r>
            <w:r w:rsidRPr="00E31F4D">
              <w:rPr>
                <w:b/>
                <w:bCs/>
              </w:rPr>
              <w:t>agenda</w:t>
            </w:r>
            <w:r>
              <w:rPr>
                <w:b/>
                <w:bCs/>
              </w:rPr>
              <w:t>,</w:t>
            </w:r>
            <w:r w:rsidRPr="00E31F4D">
              <w:t xml:space="preserve"> prepared</w:t>
            </w:r>
            <w:r w:rsidRPr="00B70109">
              <w:t xml:space="preserve"> by </w:t>
            </w:r>
            <w:r>
              <w:t xml:space="preserve">the Working Party 1/11 Chairman, Ms </w:t>
            </w:r>
            <w:proofErr w:type="spellStart"/>
            <w:r w:rsidRPr="00E31F4D">
              <w:t>Xiaojie</w:t>
            </w:r>
            <w:proofErr w:type="spellEnd"/>
            <w:r w:rsidRPr="00E31F4D">
              <w:t xml:space="preserve"> ZHU</w:t>
            </w:r>
            <w:r>
              <w:t xml:space="preserve"> (China), is set out in </w:t>
            </w:r>
            <w:r w:rsidRPr="00B70109">
              <w:rPr>
                <w:b/>
                <w:bCs/>
              </w:rPr>
              <w:t>Annex B</w:t>
            </w:r>
            <w:r w:rsidRPr="00B70109">
              <w:t>.</w:t>
            </w:r>
            <w:r>
              <w:t xml:space="preserve"> The draft time plan is set out in </w:t>
            </w:r>
            <w:r w:rsidRPr="007177F3">
              <w:rPr>
                <w:b/>
                <w:bCs/>
              </w:rPr>
              <w:t>Annex C</w:t>
            </w:r>
            <w:r>
              <w:t xml:space="preserve">. </w:t>
            </w:r>
            <w:r w:rsidRPr="00B70109">
              <w:t>I wish you a productive and enjoyable meeting.</w:t>
            </w:r>
          </w:p>
        </w:tc>
      </w:tr>
    </w:tbl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E31F4D" w:rsidRPr="00B70109" w14:paraId="1A6F3231" w14:textId="77777777" w:rsidTr="007A5A97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6A329868" w14:textId="6A6879E9" w:rsidR="00E31F4D" w:rsidRPr="00933BA1" w:rsidRDefault="00E31F4D" w:rsidP="00933BA1">
            <w:pPr>
              <w:ind w:left="-107"/>
            </w:pPr>
            <w:bookmarkStart w:id="2" w:name="StartTyping_E"/>
            <w:bookmarkEnd w:id="2"/>
            <w:r w:rsidRPr="00933BA1">
              <w:t>Yours faithfully,</w:t>
            </w:r>
          </w:p>
          <w:p w14:paraId="320DBA0E" w14:textId="4519D116" w:rsidR="00E31F4D" w:rsidRPr="00933BA1" w:rsidRDefault="007004CB" w:rsidP="00933BA1">
            <w:pPr>
              <w:ind w:left="-107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FC0A91C" wp14:editId="654D70B8">
                  <wp:simplePos x="0" y="0"/>
                  <wp:positionH relativeFrom="column">
                    <wp:posOffset>-73084</wp:posOffset>
                  </wp:positionH>
                  <wp:positionV relativeFrom="paragraph">
                    <wp:posOffset>205017</wp:posOffset>
                  </wp:positionV>
                  <wp:extent cx="727267" cy="307208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245" cy="308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3A7709E" w14:textId="2FFA734A" w:rsidR="00E31F4D" w:rsidRPr="00933BA1" w:rsidRDefault="00E31F4D" w:rsidP="00933BA1">
            <w:pPr>
              <w:ind w:left="-107"/>
            </w:pPr>
          </w:p>
          <w:p w14:paraId="59984CD1" w14:textId="5AF99F01" w:rsidR="00E31F4D" w:rsidRPr="00933BA1" w:rsidRDefault="00E31F4D" w:rsidP="00933BA1">
            <w:pPr>
              <w:ind w:left="-107"/>
            </w:pPr>
          </w:p>
          <w:p w14:paraId="42C7CB96" w14:textId="73614FF2" w:rsidR="00E31F4D" w:rsidRPr="00933BA1" w:rsidRDefault="00E31F4D" w:rsidP="00933BA1">
            <w:pPr>
              <w:ind w:left="-107"/>
            </w:pPr>
            <w:r w:rsidRPr="00933BA1">
              <w:t>Chaesub Lee</w:t>
            </w:r>
            <w:r w:rsidRPr="00933BA1">
              <w:br/>
              <w:t>Director of the Telecommunication</w:t>
            </w:r>
            <w:r w:rsidRPr="00933BA1">
              <w:br/>
              <w:t xml:space="preserve">Standardization Bureau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DA1549" w14:textId="4311B944" w:rsidR="00E31F4D" w:rsidRPr="00B70109" w:rsidRDefault="00E31F4D" w:rsidP="00E31F4D">
            <w:pPr>
              <w:keepNext/>
              <w:keepLines/>
              <w:spacing w:before="0"/>
              <w:ind w:left="113" w:right="113"/>
              <w:jc w:val="center"/>
            </w:pPr>
            <w:r w:rsidRPr="00632FCB">
              <w:rPr>
                <w:noProof/>
                <w:sz w:val="16"/>
                <w:szCs w:val="16"/>
                <w:lang w:eastAsia="en-GB"/>
              </w:rPr>
              <w:drawing>
                <wp:inline distT="0" distB="0" distL="0" distR="0" wp14:anchorId="19FD38F3" wp14:editId="227E948D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2FCB">
              <w:rPr>
                <w:rFonts w:ascii="Calibri" w:eastAsia="SimSun" w:hAnsi="Calibri" w:cs="Arial"/>
                <w:sz w:val="20"/>
                <w:lang w:eastAsia="zh-CN"/>
              </w:rPr>
              <w:t>ITU-T SG11</w:t>
            </w:r>
          </w:p>
        </w:tc>
      </w:tr>
      <w:tr w:rsidR="00E31F4D" w:rsidRPr="00B70109" w14:paraId="5E9B29AF" w14:textId="77777777" w:rsidTr="57D57C6C">
        <w:trPr>
          <w:cantSplit/>
          <w:trHeight w:val="227"/>
        </w:trPr>
        <w:tc>
          <w:tcPr>
            <w:tcW w:w="6663" w:type="dxa"/>
            <w:vMerge/>
          </w:tcPr>
          <w:p w14:paraId="36E53CC5" w14:textId="77777777" w:rsidR="00E31F4D" w:rsidRPr="00B70109" w:rsidRDefault="00E31F4D" w:rsidP="00E31F4D">
            <w:pPr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2989" w14:textId="77777777" w:rsidR="00E31F4D" w:rsidRPr="00B70109" w:rsidRDefault="00E31F4D" w:rsidP="00E31F4D">
            <w:pPr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  <w:r w:rsidRPr="00C76E40">
              <w:rPr>
                <w:sz w:val="20"/>
                <w:szCs w:val="18"/>
              </w:rPr>
              <w:t>Latest meeting information</w:t>
            </w:r>
          </w:p>
        </w:tc>
      </w:tr>
    </w:tbl>
    <w:p w14:paraId="019B1245" w14:textId="6FB36B7B" w:rsidR="00384E5D" w:rsidRPr="00B70109" w:rsidRDefault="0024485F" w:rsidP="00CE218B">
      <w:pPr>
        <w:spacing w:before="240"/>
      </w:pPr>
      <w:r w:rsidRPr="00E31F4D">
        <w:rPr>
          <w:b/>
          <w:bCs/>
        </w:rPr>
        <w:t>Annexes</w:t>
      </w:r>
      <w:r w:rsidRPr="00E31F4D">
        <w:t xml:space="preserve">: </w:t>
      </w:r>
      <w:r w:rsidR="007177F3">
        <w:t>3</w:t>
      </w:r>
      <w:r w:rsidR="00384E5D" w:rsidRPr="00B70109">
        <w:br w:type="page"/>
      </w:r>
    </w:p>
    <w:p w14:paraId="35187F90" w14:textId="77777777" w:rsidR="00AC2918" w:rsidRPr="00B70109" w:rsidRDefault="00D33EE4" w:rsidP="00442C9B">
      <w:pPr>
        <w:pStyle w:val="Annextitle"/>
      </w:pPr>
      <w:r w:rsidRPr="00B70109">
        <w:lastRenderedPageBreak/>
        <w:t>ANNEX</w:t>
      </w:r>
      <w:r w:rsidR="00EE12EF" w:rsidRPr="00B70109">
        <w:t xml:space="preserve"> </w:t>
      </w:r>
      <w:r w:rsidR="00384E5D" w:rsidRPr="00B70109">
        <w:t>A</w:t>
      </w:r>
      <w:r w:rsidR="001C39A4" w:rsidRPr="00B70109">
        <w:br/>
        <w:t>Practical meeting information</w:t>
      </w:r>
    </w:p>
    <w:p w14:paraId="07E28E62" w14:textId="77777777" w:rsidR="00384E5D" w:rsidRPr="00B70109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B70109">
        <w:rPr>
          <w:b/>
          <w:bCs/>
          <w:szCs w:val="24"/>
        </w:rPr>
        <w:t>WORK</w:t>
      </w:r>
      <w:r w:rsidR="00931D00" w:rsidRPr="00B70109">
        <w:rPr>
          <w:b/>
          <w:bCs/>
          <w:szCs w:val="24"/>
        </w:rPr>
        <w:t>ING</w:t>
      </w:r>
      <w:r w:rsidRPr="00B70109">
        <w:rPr>
          <w:b/>
          <w:bCs/>
          <w:szCs w:val="24"/>
        </w:rPr>
        <w:t xml:space="preserve"> METHODS AND FACILITIES</w:t>
      </w:r>
    </w:p>
    <w:p w14:paraId="197D0721" w14:textId="77777777" w:rsidR="00B61795" w:rsidRPr="00B70109" w:rsidRDefault="00B61795">
      <w:pPr>
        <w:spacing w:after="120"/>
        <w:rPr>
          <w:rFonts w:eastAsia="SimSun"/>
          <w:b/>
          <w:bCs/>
          <w:szCs w:val="22"/>
          <w:lang w:eastAsia="zh-CN"/>
        </w:rPr>
      </w:pPr>
      <w:r w:rsidRPr="00B70109">
        <w:rPr>
          <w:rFonts w:eastAsia="SimSun"/>
          <w:b/>
          <w:bCs/>
          <w:szCs w:val="22"/>
          <w:lang w:eastAsia="zh-CN"/>
        </w:rPr>
        <w:t>DOCUMENT</w:t>
      </w:r>
      <w:r w:rsidR="0020709B" w:rsidRPr="00B70109">
        <w:rPr>
          <w:rFonts w:eastAsia="SimSun"/>
          <w:b/>
          <w:bCs/>
          <w:szCs w:val="22"/>
          <w:lang w:eastAsia="zh-CN"/>
        </w:rPr>
        <w:t xml:space="preserve"> </w:t>
      </w:r>
      <w:r w:rsidRPr="00B70109">
        <w:rPr>
          <w:rFonts w:eastAsia="SimSun"/>
          <w:b/>
          <w:bCs/>
          <w:szCs w:val="22"/>
          <w:lang w:eastAsia="zh-CN"/>
        </w:rPr>
        <w:t>S</w:t>
      </w:r>
      <w:r w:rsidR="0020709B" w:rsidRPr="00B70109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E93E5E">
        <w:rPr>
          <w:rFonts w:eastAsia="SimSun"/>
          <w:szCs w:val="22"/>
          <w:lang w:eastAsia="zh-CN"/>
        </w:rPr>
        <w:t>:</w:t>
      </w:r>
      <w:r w:rsidRPr="00B70109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Member </w:t>
      </w:r>
      <w:r w:rsidR="00875B05" w:rsidRPr="00B70109">
        <w:rPr>
          <w:rFonts w:eastAsia="SimSun"/>
          <w:szCs w:val="22"/>
          <w:lang w:eastAsia="zh-CN"/>
        </w:rPr>
        <w:t xml:space="preserve">contributions </w:t>
      </w:r>
      <w:r w:rsidR="0020709B" w:rsidRPr="00B70109">
        <w:rPr>
          <w:rFonts w:eastAsia="SimSun"/>
          <w:szCs w:val="22"/>
          <w:lang w:eastAsia="zh-CN"/>
        </w:rPr>
        <w:t xml:space="preserve">should be submitted using </w:t>
      </w:r>
      <w:hyperlink r:id="rId22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="00902D14" w:rsidRPr="00B70109">
        <w:rPr>
          <w:rFonts w:eastAsia="SimSun"/>
          <w:szCs w:val="22"/>
          <w:lang w:eastAsia="zh-CN"/>
        </w:rPr>
        <w:t>;</w:t>
      </w:r>
      <w:r w:rsidR="0020709B" w:rsidRPr="00B70109">
        <w:rPr>
          <w:rFonts w:eastAsia="SimSun"/>
          <w:szCs w:val="22"/>
          <w:lang w:eastAsia="zh-CN"/>
        </w:rPr>
        <w:t xml:space="preserve"> draft TDs should be submitted by e</w:t>
      </w:r>
      <w:r w:rsidR="00905875">
        <w:rPr>
          <w:rFonts w:eastAsia="SimSun"/>
          <w:szCs w:val="22"/>
          <w:lang w:eastAsia="zh-CN"/>
        </w:rPr>
        <w:t>-</w:t>
      </w:r>
      <w:r w:rsidR="0020709B" w:rsidRPr="00B70109">
        <w:rPr>
          <w:rFonts w:eastAsia="SimSun"/>
          <w:szCs w:val="22"/>
          <w:lang w:eastAsia="zh-CN"/>
        </w:rPr>
        <w:t>mail to the study</w:t>
      </w:r>
      <w:r w:rsidR="00000FC7" w:rsidRPr="00B70109">
        <w:rPr>
          <w:rFonts w:eastAsia="SimSun"/>
          <w:szCs w:val="22"/>
          <w:lang w:eastAsia="zh-CN"/>
        </w:rPr>
        <w:t xml:space="preserve"> </w:t>
      </w:r>
      <w:r w:rsidR="0020709B" w:rsidRPr="00B70109">
        <w:rPr>
          <w:rFonts w:eastAsia="SimSun"/>
          <w:szCs w:val="22"/>
          <w:lang w:eastAsia="zh-CN"/>
        </w:rPr>
        <w:t xml:space="preserve">group secretariat using the </w:t>
      </w:r>
      <w:hyperlink r:id="rId23" w:history="1">
        <w:r w:rsidR="0020709B" w:rsidRPr="00B70109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B70109">
        <w:rPr>
          <w:rFonts w:eastAsia="SimSun"/>
          <w:szCs w:val="22"/>
          <w:lang w:eastAsia="zh-CN"/>
        </w:rPr>
        <w:t xml:space="preserve">. </w:t>
      </w:r>
      <w:r w:rsidRPr="00B70109">
        <w:rPr>
          <w:rFonts w:eastAsia="SimSun"/>
          <w:szCs w:val="22"/>
          <w:lang w:eastAsia="zh-CN"/>
        </w:rPr>
        <w:t>Access to meeting documents i</w:t>
      </w:r>
      <w:r w:rsidR="00000FC7" w:rsidRPr="00B70109">
        <w:rPr>
          <w:rFonts w:eastAsia="SimSun"/>
          <w:szCs w:val="22"/>
          <w:lang w:eastAsia="zh-CN"/>
        </w:rPr>
        <w:t xml:space="preserve">s provided from the study </w:t>
      </w:r>
      <w:r w:rsidRPr="00B70109">
        <w:rPr>
          <w:rFonts w:eastAsia="SimSun"/>
          <w:szCs w:val="22"/>
          <w:lang w:eastAsia="zh-CN"/>
        </w:rPr>
        <w:t>group homepage</w:t>
      </w:r>
      <w:r w:rsidR="00902D14" w:rsidRPr="00B70109">
        <w:rPr>
          <w:rFonts w:eastAsia="SimSun"/>
          <w:szCs w:val="22"/>
          <w:lang w:eastAsia="zh-CN"/>
        </w:rPr>
        <w:t xml:space="preserve">, and is </w:t>
      </w:r>
      <w:r w:rsidR="00655FDD" w:rsidRPr="00B70109">
        <w:rPr>
          <w:rFonts w:eastAsia="SimSun"/>
          <w:szCs w:val="22"/>
          <w:lang w:eastAsia="zh-CN"/>
        </w:rPr>
        <w:t>restricted to ITU-T Members</w:t>
      </w:r>
      <w:r w:rsidR="00DA7519">
        <w:rPr>
          <w:rFonts w:eastAsia="SimSun"/>
          <w:szCs w:val="22"/>
          <w:lang w:eastAsia="zh-CN"/>
        </w:rPr>
        <w:t xml:space="preserve"> who have an </w:t>
      </w:r>
      <w:hyperlink r:id="rId24" w:history="1">
        <w:r w:rsidR="00DA7519" w:rsidRPr="00DA7519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>
        <w:rPr>
          <w:rFonts w:eastAsia="SimSun"/>
          <w:szCs w:val="22"/>
          <w:lang w:eastAsia="zh-CN"/>
        </w:rPr>
        <w:t xml:space="preserve"> with TIES access.</w:t>
      </w:r>
    </w:p>
    <w:p w14:paraId="6C873DB0" w14:textId="77777777" w:rsidR="00384E5D" w:rsidRDefault="692772F2" w:rsidP="00830DBC">
      <w:pPr>
        <w:rPr>
          <w:rFonts w:cstheme="majorBidi"/>
        </w:rPr>
      </w:pPr>
      <w:r w:rsidRPr="439886B5">
        <w:rPr>
          <w:rFonts w:cstheme="majorBidi"/>
          <w:b/>
          <w:bCs/>
        </w:rPr>
        <w:t>WORKING LANGUAGE</w:t>
      </w:r>
      <w:r w:rsidR="00B60D37" w:rsidRPr="439886B5">
        <w:rPr>
          <w:rFonts w:cstheme="majorBidi"/>
        </w:rPr>
        <w:t xml:space="preserve">: </w:t>
      </w:r>
      <w:r w:rsidR="003D002E" w:rsidRPr="00187FC5">
        <w:rPr>
          <w:rFonts w:cstheme="majorBidi"/>
        </w:rPr>
        <w:t>The entire meeting will run in English only.</w:t>
      </w:r>
    </w:p>
    <w:p w14:paraId="1B567014" w14:textId="77777777" w:rsidR="003D002E" w:rsidRDefault="003D002E" w:rsidP="003D002E">
      <w:pPr>
        <w:snapToGrid w:val="0"/>
        <w:spacing w:after="120"/>
        <w:rPr>
          <w:lang w:val="en-US"/>
        </w:rPr>
      </w:pPr>
      <w:r w:rsidRPr="439886B5">
        <w:rPr>
          <w:b/>
        </w:rPr>
        <w:t>INTERACTIVE REMOTE PARTICIPATION</w:t>
      </w:r>
      <w:r>
        <w:t xml:space="preserve">: </w:t>
      </w:r>
      <w:r w:rsidRPr="439886B5">
        <w:rPr>
          <w:lang w:val="en-US"/>
        </w:rPr>
        <w:t xml:space="preserve">The </w:t>
      </w:r>
      <w:hyperlink r:id="rId25">
        <w:r w:rsidR="49027495" w:rsidRPr="439886B5">
          <w:rPr>
            <w:rStyle w:val="Hyperlink"/>
            <w:lang w:val="en-US"/>
          </w:rPr>
          <w:t>MyMeetings</w:t>
        </w:r>
      </w:hyperlink>
      <w:r w:rsidRPr="439886B5">
        <w:rPr>
          <w:lang w:val="en-US"/>
        </w:rPr>
        <w:t xml:space="preserve"> tool will be used to </w:t>
      </w:r>
      <w:r w:rsidR="0027530C" w:rsidRPr="439886B5">
        <w:rPr>
          <w:lang w:val="en-US"/>
        </w:rPr>
        <w:t>provide</w:t>
      </w:r>
      <w:r w:rsidRPr="439886B5">
        <w:rPr>
          <w:lang w:val="en-US"/>
        </w:rPr>
        <w:t xml:space="preserve"> remote participation </w:t>
      </w:r>
      <w:r w:rsidR="0027530C" w:rsidRPr="439886B5">
        <w:rPr>
          <w:lang w:val="en-US"/>
        </w:rPr>
        <w:t xml:space="preserve">for </w:t>
      </w:r>
      <w:r w:rsidRPr="439886B5">
        <w:rPr>
          <w:lang w:val="en-US"/>
        </w:rPr>
        <w:t xml:space="preserve">all sessions, including decisions-making sessions such as working </w:t>
      </w:r>
      <w:r w:rsidR="36728A17" w:rsidRPr="439886B5">
        <w:rPr>
          <w:lang w:val="en-US"/>
        </w:rPr>
        <w:t>part</w:t>
      </w:r>
      <w:r w:rsidR="00C42DDC">
        <w:rPr>
          <w:lang w:val="en-US"/>
        </w:rPr>
        <w:t>y</w:t>
      </w:r>
      <w:r w:rsidR="36728A17" w:rsidRPr="439886B5">
        <w:rPr>
          <w:lang w:val="en-US"/>
        </w:rPr>
        <w:t xml:space="preserve"> and study group</w:t>
      </w:r>
      <w:r w:rsidR="49027495" w:rsidRPr="439886B5">
        <w:rPr>
          <w:lang w:val="en-US"/>
        </w:rPr>
        <w:t xml:space="preserve"> </w:t>
      </w:r>
      <w:r w:rsidRPr="439886B5">
        <w:rPr>
          <w:lang w:val="en-US"/>
        </w:rPr>
        <w:t xml:space="preserve">plenaries. Delegates must register for the meeting and identify themselves and their affiliation when taking the floor. Remote participation is provided on a best-effort basis. </w:t>
      </w:r>
      <w:r w:rsidR="00A049A9" w:rsidRPr="439886B5">
        <w:rPr>
          <w:lang w:val="en-US"/>
        </w:rPr>
        <w:t>Participants should be aware that t</w:t>
      </w:r>
      <w:r w:rsidRPr="439886B5">
        <w:rPr>
          <w:lang w:val="en-US"/>
        </w:rPr>
        <w:t xml:space="preserve">he meeting </w:t>
      </w:r>
      <w:r w:rsidR="00A049A9" w:rsidRPr="439886B5">
        <w:rPr>
          <w:lang w:val="en-US"/>
        </w:rPr>
        <w:t xml:space="preserve">will </w:t>
      </w:r>
      <w:r w:rsidRPr="439886B5">
        <w:rPr>
          <w:lang w:val="en-US"/>
        </w:rPr>
        <w:t xml:space="preserve">not be delayed or interrupted because of a remote participant’s inability to connect, </w:t>
      </w:r>
      <w:proofErr w:type="gramStart"/>
      <w:r w:rsidRPr="439886B5">
        <w:rPr>
          <w:lang w:val="en-US"/>
        </w:rPr>
        <w:t>listen</w:t>
      </w:r>
      <w:proofErr w:type="gramEnd"/>
      <w:r w:rsidRPr="439886B5">
        <w:rPr>
          <w:lang w:val="en-US"/>
        </w:rPr>
        <w:t xml:space="preserve"> or be heard</w:t>
      </w:r>
      <w:r w:rsidR="00A049A9" w:rsidRPr="439886B5">
        <w:rPr>
          <w:lang w:val="en-US"/>
        </w:rPr>
        <w:t>, as per the chairman's discretion</w:t>
      </w:r>
      <w:r w:rsidRPr="439886B5">
        <w:rPr>
          <w:lang w:val="en-US"/>
        </w:rPr>
        <w:t xml:space="preserve">. If the voice quality of a remote participant is considered insufficient, the Chairman </w:t>
      </w:r>
      <w:r w:rsidR="00A049A9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interrupt the remote participant and </w:t>
      </w:r>
      <w:r w:rsidR="00A049A9" w:rsidRPr="439886B5">
        <w:rPr>
          <w:lang w:val="en-US"/>
        </w:rPr>
        <w:t xml:space="preserve">may </w:t>
      </w:r>
      <w:r w:rsidRPr="439886B5">
        <w:rPr>
          <w:lang w:val="en-US"/>
        </w:rPr>
        <w:t xml:space="preserve">refrain from giving the participant the floor until </w:t>
      </w:r>
      <w:r w:rsidR="00A049A9" w:rsidRPr="439886B5">
        <w:rPr>
          <w:lang w:val="en-US"/>
        </w:rPr>
        <w:t xml:space="preserve">there is indication that </w:t>
      </w:r>
      <w:r w:rsidRPr="439886B5">
        <w:rPr>
          <w:lang w:val="en-US"/>
        </w:rPr>
        <w:t>the problem is resolved.</w:t>
      </w:r>
      <w:r w:rsidR="00A049A9" w:rsidRPr="439886B5">
        <w:rPr>
          <w:lang w:val="en-US"/>
        </w:rPr>
        <w:t xml:space="preserve"> The meeting chat facility is an integral part of the meeting and its use is encouraged </w:t>
      </w:r>
      <w:r w:rsidR="00893DC0" w:rsidRPr="439886B5">
        <w:rPr>
          <w:lang w:val="en-US"/>
        </w:rPr>
        <w:t xml:space="preserve">to facilitate </w:t>
      </w:r>
      <w:r w:rsidR="00A049A9" w:rsidRPr="439886B5">
        <w:rPr>
          <w:lang w:val="en-US"/>
        </w:rPr>
        <w:t xml:space="preserve">efficient time </w:t>
      </w:r>
      <w:r w:rsidR="00893DC0" w:rsidRPr="439886B5">
        <w:rPr>
          <w:lang w:val="en-US"/>
        </w:rPr>
        <w:t xml:space="preserve">management </w:t>
      </w:r>
      <w:r w:rsidR="00A049A9" w:rsidRPr="439886B5">
        <w:rPr>
          <w:lang w:val="en-US"/>
        </w:rPr>
        <w:t xml:space="preserve">during the </w:t>
      </w:r>
      <w:r w:rsidR="00893DC0" w:rsidRPr="439886B5">
        <w:rPr>
          <w:lang w:val="en-US"/>
        </w:rPr>
        <w:t>sessions</w:t>
      </w:r>
      <w:r w:rsidR="00A049A9" w:rsidRPr="439886B5">
        <w:rPr>
          <w:lang w:val="en-US"/>
        </w:rPr>
        <w:t>.</w:t>
      </w:r>
    </w:p>
    <w:p w14:paraId="1EE4C185" w14:textId="74C685F2" w:rsidR="00384E5D" w:rsidRPr="00B70109" w:rsidRDefault="00426BDA" w:rsidP="00EA43C5">
      <w:pPr>
        <w:tabs>
          <w:tab w:val="clear" w:pos="794"/>
          <w:tab w:val="clear" w:pos="1191"/>
          <w:tab w:val="clear" w:pos="1588"/>
          <w:tab w:val="clear" w:pos="1985"/>
        </w:tabs>
        <w:spacing w:before="720" w:after="120"/>
        <w:ind w:right="91"/>
        <w:jc w:val="center"/>
        <w:rPr>
          <w:b/>
        </w:rPr>
      </w:pPr>
      <w:r w:rsidRPr="19927505">
        <w:rPr>
          <w:b/>
        </w:rPr>
        <w:t>REGISTRATION</w:t>
      </w:r>
    </w:p>
    <w:p w14:paraId="464F7AF5" w14:textId="77777777" w:rsidR="007177F3" w:rsidRDefault="007177F3" w:rsidP="007177F3">
      <w:r w:rsidRPr="00B70109">
        <w:rPr>
          <w:b/>
          <w:bCs/>
        </w:rPr>
        <w:t>REGISTRATION</w:t>
      </w:r>
      <w:r w:rsidRPr="00E93E5E">
        <w:t>:</w:t>
      </w:r>
      <w:r w:rsidRPr="00EA41F2">
        <w:t xml:space="preserve"> </w:t>
      </w:r>
      <w:r>
        <w:t>R</w:t>
      </w:r>
      <w:r w:rsidRPr="00B70109">
        <w:t>egistration is mandatory and is to be done online via the study group home page</w:t>
      </w:r>
      <w:r>
        <w:t xml:space="preserve"> (</w:t>
      </w:r>
      <w:hyperlink r:id="rId26" w:history="1">
        <w:r w:rsidRPr="00146B3A">
          <w:rPr>
            <w:rStyle w:val="Hyperlink"/>
          </w:rPr>
          <w:t>www.itu.int/go/tsg11</w:t>
        </w:r>
      </w:hyperlink>
      <w:r>
        <w:t>)</w:t>
      </w:r>
      <w:r w:rsidRPr="00B70109">
        <w:t xml:space="preserve"> </w:t>
      </w:r>
      <w:r w:rsidRPr="00B70109">
        <w:rPr>
          <w:b/>
          <w:bCs/>
        </w:rPr>
        <w:t>at least one month before the start of the meeting</w:t>
      </w:r>
      <w:r w:rsidRPr="00B70109">
        <w:t xml:space="preserve">. </w:t>
      </w:r>
      <w:r>
        <w:t>Without registration, delegates will not be able to access the remote participation tool.</w:t>
      </w:r>
    </w:p>
    <w:p w14:paraId="722CDF3E" w14:textId="77777777" w:rsidR="007177F3" w:rsidRDefault="007177F3" w:rsidP="007177F3">
      <w:r w:rsidRPr="00B70109">
        <w:t xml:space="preserve">As outlined in </w:t>
      </w:r>
      <w:hyperlink r:id="rId27" w:history="1">
        <w:r w:rsidRPr="00B70109">
          <w:rPr>
            <w:rStyle w:val="Hyperlink"/>
          </w:rPr>
          <w:t>TSB Circular 68</w:t>
        </w:r>
      </w:hyperlink>
      <w:r w:rsidRPr="00B70109">
        <w:t xml:space="preserve">, the </w:t>
      </w:r>
      <w:r>
        <w:t>ITU-T</w:t>
      </w:r>
      <w:r w:rsidRPr="00B70109">
        <w:t xml:space="preserve"> registration system requires focal-point approval for registration requests</w:t>
      </w:r>
      <w:r>
        <w:t xml:space="preserve">; </w:t>
      </w:r>
      <w:hyperlink r:id="rId28" w:history="1">
        <w:r w:rsidRPr="00AC31EA">
          <w:rPr>
            <w:rStyle w:val="Hyperlink"/>
          </w:rPr>
          <w:t>TSB Circular 118</w:t>
        </w:r>
      </w:hyperlink>
      <w:r>
        <w:t xml:space="preserve"> describes how to set up automatic approval of these requests</w:t>
      </w:r>
      <w:r w:rsidRPr="00B70109">
        <w:t>.</w:t>
      </w:r>
    </w:p>
    <w:p w14:paraId="03FA3230" w14:textId="0C2EBCCD" w:rsidR="003D002E" w:rsidRPr="00A049A9" w:rsidRDefault="007177F3" w:rsidP="00D442B4">
      <w:r w:rsidRPr="00B70109">
        <w:t>The membership is invited to include women in their delegations whenever possible.</w:t>
      </w:r>
    </w:p>
    <w:p w14:paraId="3063FD88" w14:textId="77777777" w:rsidR="00000FC7" w:rsidRPr="00B70109" w:rsidRDefault="00000FC7" w:rsidP="00000FC7">
      <w:pPr>
        <w:spacing w:before="60"/>
        <w:rPr>
          <w:b/>
          <w:bCs/>
        </w:rPr>
      </w:pPr>
      <w:r w:rsidRPr="00B70109">
        <w:rPr>
          <w:b/>
          <w:bCs/>
        </w:rPr>
        <w:br w:type="page"/>
      </w:r>
    </w:p>
    <w:p w14:paraId="070216B0" w14:textId="011EAE1A" w:rsidR="00AE03A7" w:rsidRPr="007177F3" w:rsidRDefault="00D33EE4" w:rsidP="001C39A4">
      <w:pPr>
        <w:pStyle w:val="Annextitle"/>
      </w:pPr>
      <w:r w:rsidRPr="00B70109">
        <w:lastRenderedPageBreak/>
        <w:t>ANNEX B</w:t>
      </w:r>
      <w:r w:rsidR="00AE03A7" w:rsidRPr="00B70109">
        <w:br/>
      </w:r>
      <w:r w:rsidR="008C7E47" w:rsidRPr="007177F3">
        <w:t>Draft agenda</w:t>
      </w:r>
      <w:r w:rsidR="007177F3" w:rsidRPr="007177F3">
        <w:t xml:space="preserve"> of Working Party 1/11</w:t>
      </w:r>
      <w:r w:rsidR="007177F3">
        <w:t xml:space="preserve"> virtual meeting, 19 November 2020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87"/>
        <w:gridCol w:w="8937"/>
        <w:gridCol w:w="536"/>
      </w:tblGrid>
      <w:tr w:rsidR="007177F3" w14:paraId="5336977A" w14:textId="77777777" w:rsidTr="00A86166">
        <w:trPr>
          <w:jc w:val="center"/>
        </w:trPr>
        <w:tc>
          <w:tcPr>
            <w:tcW w:w="338" w:type="pct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nil"/>
            </w:tcBorders>
            <w:shd w:val="clear" w:color="auto" w:fill="C6D9F1"/>
            <w:hideMark/>
          </w:tcPr>
          <w:p w14:paraId="36FE1D87" w14:textId="77777777" w:rsidR="007177F3" w:rsidRDefault="007177F3" w:rsidP="00A86166">
            <w:pPr>
              <w:rPr>
                <w:rFonts w:cstheme="majorBidi"/>
                <w:b/>
                <w:bCs/>
                <w:szCs w:val="22"/>
                <w:lang w:eastAsia="zh-CN"/>
              </w:rPr>
            </w:pPr>
            <w:r>
              <w:rPr>
                <w:rFonts w:cstheme="majorBidi"/>
                <w:b/>
                <w:bCs/>
                <w:szCs w:val="22"/>
                <w:lang w:eastAsia="zh-CN"/>
              </w:rPr>
              <w:t>#</w:t>
            </w:r>
          </w:p>
        </w:tc>
        <w:tc>
          <w:tcPr>
            <w:tcW w:w="4398" w:type="pct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C6D9F1"/>
            <w:hideMark/>
          </w:tcPr>
          <w:p w14:paraId="4DBFA4A0" w14:textId="77777777" w:rsidR="007177F3" w:rsidRDefault="007177F3" w:rsidP="00A86166">
            <w:pPr>
              <w:rPr>
                <w:rFonts w:cstheme="majorBidi"/>
                <w:b/>
                <w:bCs/>
                <w:szCs w:val="22"/>
                <w:lang w:eastAsia="zh-CN"/>
              </w:rPr>
            </w:pPr>
            <w:r>
              <w:rPr>
                <w:rFonts w:cstheme="majorBidi"/>
                <w:b/>
                <w:bCs/>
                <w:szCs w:val="22"/>
                <w:lang w:eastAsia="zh-CN"/>
              </w:rPr>
              <w:t>Agenda items</w:t>
            </w:r>
          </w:p>
        </w:tc>
        <w:tc>
          <w:tcPr>
            <w:tcW w:w="264" w:type="pct"/>
            <w:tcBorders>
              <w:top w:val="single" w:sz="18" w:space="0" w:color="000000" w:themeColor="text1"/>
              <w:left w:val="nil"/>
              <w:bottom w:val="nil"/>
              <w:right w:val="single" w:sz="18" w:space="0" w:color="000000" w:themeColor="text1"/>
            </w:tcBorders>
            <w:shd w:val="clear" w:color="auto" w:fill="C6D9F1"/>
          </w:tcPr>
          <w:p w14:paraId="4C1B6D22" w14:textId="77777777" w:rsidR="007177F3" w:rsidRDefault="007177F3" w:rsidP="00A86166">
            <w:pPr>
              <w:tabs>
                <w:tab w:val="clear" w:pos="794"/>
                <w:tab w:val="clear" w:pos="1191"/>
              </w:tabs>
              <w:rPr>
                <w:rFonts w:cstheme="majorBidi"/>
                <w:b/>
                <w:bCs/>
                <w:szCs w:val="22"/>
                <w:lang w:eastAsia="zh-CN"/>
              </w:rPr>
            </w:pPr>
          </w:p>
        </w:tc>
      </w:tr>
      <w:tr w:rsidR="007177F3" w14:paraId="0E616236" w14:textId="77777777" w:rsidTr="00A8616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05E1343" w14:textId="77777777" w:rsidR="007177F3" w:rsidRDefault="007177F3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6F2421B9" w14:textId="46388637" w:rsidR="00861AD5" w:rsidRPr="00861AD5" w:rsidRDefault="007177F3" w:rsidP="006B349B">
            <w:pPr>
              <w:ind w:left="674" w:hanging="674"/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zh-CN"/>
              </w:rPr>
              <w:t xml:space="preserve">Opening </w:t>
            </w:r>
            <w:r w:rsidR="006B349B">
              <w:rPr>
                <w:rFonts w:cstheme="majorBidi"/>
                <w:szCs w:val="22"/>
                <w:lang w:eastAsia="zh-CN"/>
              </w:rPr>
              <w:t>remarks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582E96F0" w14:textId="77777777" w:rsidR="007177F3" w:rsidRDefault="007177F3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6B349B" w14:paraId="3CF68485" w14:textId="77777777" w:rsidTr="00A8616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730DFEBA" w14:textId="77777777" w:rsidR="006B349B" w:rsidRDefault="006B349B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7AF20EFE" w14:textId="2C77A866" w:rsidR="006B349B" w:rsidRDefault="006B349B" w:rsidP="00A86166">
            <w:pPr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ja-JP"/>
              </w:rPr>
              <w:t>Approval of the agenda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33615FE" w14:textId="77777777" w:rsidR="006B349B" w:rsidRDefault="006B349B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6B349B" w14:paraId="267AE62B" w14:textId="77777777" w:rsidTr="00A8616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6A8A1CDB" w14:textId="77777777" w:rsidR="006B349B" w:rsidRDefault="006B349B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4F81DB5E" w14:textId="1D3F207A" w:rsidR="006B349B" w:rsidRDefault="006B349B" w:rsidP="00A86166">
            <w:pPr>
              <w:ind w:left="674" w:hanging="674"/>
              <w:rPr>
                <w:rFonts w:cstheme="majorBidi"/>
                <w:szCs w:val="22"/>
                <w:lang w:eastAsia="ja-JP"/>
              </w:rPr>
            </w:pPr>
            <w:r>
              <w:rPr>
                <w:rFonts w:cstheme="majorBidi"/>
                <w:szCs w:val="22"/>
                <w:lang w:eastAsia="ja-JP"/>
              </w:rPr>
              <w:t>Documents allocation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3C98EDF" w14:textId="77777777" w:rsidR="006B349B" w:rsidRDefault="006B349B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6B349B" w14:paraId="191071DE" w14:textId="77777777" w:rsidTr="00A8616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25903CE9" w14:textId="77777777" w:rsidR="006B349B" w:rsidRDefault="006B349B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297D7C2E" w14:textId="750C4FC1" w:rsidR="006B349B" w:rsidRDefault="006B349B" w:rsidP="00A86166">
            <w:pPr>
              <w:ind w:left="674" w:hanging="674"/>
              <w:rPr>
                <w:rFonts w:cstheme="majorBidi"/>
                <w:szCs w:val="22"/>
                <w:lang w:eastAsia="ja-JP"/>
              </w:rPr>
            </w:pPr>
            <w:r>
              <w:rPr>
                <w:szCs w:val="22"/>
              </w:rPr>
              <w:t>Discussion of received contributions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E11B9C4" w14:textId="77777777" w:rsidR="006B349B" w:rsidRDefault="006B349B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034EF9" w14:paraId="3445216B" w14:textId="77777777" w:rsidTr="00A8616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FD29548" w14:textId="77777777" w:rsidR="00034EF9" w:rsidRDefault="00034EF9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1CB5A8AD" w14:textId="76F6519D" w:rsidR="00034EF9" w:rsidRDefault="00034EF9" w:rsidP="00034EF9">
            <w:pPr>
              <w:ind w:left="674" w:hanging="674"/>
              <w:rPr>
                <w:szCs w:val="22"/>
              </w:rPr>
            </w:pPr>
            <w:r>
              <w:rPr>
                <w:szCs w:val="22"/>
              </w:rPr>
              <w:t>Review and approve the reports and outputs of Rapporteur Group meetings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014AD33" w14:textId="77777777" w:rsidR="00034EF9" w:rsidRDefault="00034EF9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034EF9" w14:paraId="24676F35" w14:textId="77777777" w:rsidTr="00A8616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1F1F2993" w14:textId="77777777" w:rsidR="00034EF9" w:rsidRDefault="00034EF9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098AA01B" w14:textId="03295DCB" w:rsidR="00034EF9" w:rsidRDefault="00981D76" w:rsidP="00981D76">
            <w:pPr>
              <w:ind w:left="674" w:hanging="674"/>
              <w:rPr>
                <w:szCs w:val="22"/>
              </w:rPr>
            </w:pPr>
            <w:r>
              <w:rPr>
                <w:szCs w:val="22"/>
              </w:rPr>
              <w:t>Consent of draft Recommendations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262CEC06" w14:textId="77777777" w:rsidR="00034EF9" w:rsidRDefault="00034EF9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7177F3" w14:paraId="0341C7A8" w14:textId="77777777" w:rsidTr="00861AD5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5F5C801" w14:textId="77777777" w:rsidR="007177F3" w:rsidRDefault="007177F3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val="en-US" w:eastAsia="zh-CN"/>
              </w:rPr>
            </w:pPr>
          </w:p>
        </w:tc>
        <w:tc>
          <w:tcPr>
            <w:tcW w:w="4398" w:type="pct"/>
          </w:tcPr>
          <w:p w14:paraId="4106807E" w14:textId="6CBE826F" w:rsidR="007177F3" w:rsidRDefault="00861AD5" w:rsidP="00A86166">
            <w:pPr>
              <w:pStyle w:val="TOC1"/>
              <w:spacing w:before="120"/>
              <w:rPr>
                <w:rFonts w:cstheme="majorBidi"/>
                <w:szCs w:val="22"/>
                <w:lang w:eastAsia="zh-CN"/>
              </w:rPr>
            </w:pPr>
            <w:r w:rsidRPr="00861AD5">
              <w:rPr>
                <w:rFonts w:cstheme="majorBidi"/>
                <w:szCs w:val="22"/>
                <w:lang w:eastAsia="zh-CN"/>
              </w:rPr>
              <w:t>Agreement on other deliverables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317C291B" w14:textId="77777777" w:rsidR="007177F3" w:rsidRDefault="007177F3" w:rsidP="00A86166">
            <w:pPr>
              <w:rPr>
                <w:rFonts w:cstheme="majorBidi"/>
                <w:szCs w:val="22"/>
                <w:lang w:val="en-US" w:eastAsia="zh-CN"/>
              </w:rPr>
            </w:pPr>
          </w:p>
        </w:tc>
      </w:tr>
      <w:tr w:rsidR="007177F3" w14:paraId="73A45BC1" w14:textId="77777777" w:rsidTr="00861AD5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D951927" w14:textId="77777777" w:rsidR="007177F3" w:rsidRDefault="007177F3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2BF2AB96" w14:textId="66681732" w:rsidR="007177F3" w:rsidRDefault="00861AD5" w:rsidP="00A86166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 w:rsidRPr="00861AD5">
              <w:rPr>
                <w:rFonts w:cstheme="majorBidi"/>
                <w:szCs w:val="22"/>
                <w:lang w:eastAsia="zh-CN"/>
              </w:rPr>
              <w:t>Agreement on new work items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17AD6FBD" w14:textId="77777777" w:rsidR="007177F3" w:rsidRDefault="007177F3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7177F3" w14:paraId="7D820513" w14:textId="77777777" w:rsidTr="00861AD5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36100DD" w14:textId="77777777" w:rsidR="007177F3" w:rsidRDefault="007177F3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3B6ADA9A" w14:textId="5CD5925A" w:rsidR="007177F3" w:rsidRDefault="00861AD5" w:rsidP="00A86166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 w:rsidRPr="00861AD5">
              <w:rPr>
                <w:rFonts w:cstheme="majorBidi"/>
                <w:szCs w:val="22"/>
                <w:lang w:eastAsia="zh-CN"/>
              </w:rPr>
              <w:t>Agreement on future activities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0D512841" w14:textId="77777777" w:rsidR="007177F3" w:rsidRDefault="007177F3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7177F3" w14:paraId="3A1C67F4" w14:textId="77777777" w:rsidTr="00861AD5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0009A457" w14:textId="77777777" w:rsidR="007177F3" w:rsidRDefault="007177F3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0CF24998" w14:textId="20ABFC71" w:rsidR="007177F3" w:rsidRDefault="00861AD5" w:rsidP="00A86166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 w:rsidRPr="00861AD5">
              <w:rPr>
                <w:rFonts w:cstheme="majorBidi"/>
                <w:szCs w:val="22"/>
                <w:lang w:eastAsia="zh-CN"/>
              </w:rPr>
              <w:t>Approval of outgoing liaison statements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5FDF13C" w14:textId="77777777" w:rsidR="007177F3" w:rsidRDefault="007177F3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7177F3" w14:paraId="705A32CC" w14:textId="77777777" w:rsidTr="00861AD5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6ECCC525" w14:textId="77777777" w:rsidR="007177F3" w:rsidRDefault="007177F3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40B3FD8C" w14:textId="42E0EC6C" w:rsidR="007177F3" w:rsidRDefault="00861AD5" w:rsidP="00A86166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Work Programme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5412CD48" w14:textId="77777777" w:rsidR="007177F3" w:rsidRDefault="007177F3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861AD5" w14:paraId="3B3B1A6C" w14:textId="77777777" w:rsidTr="00861AD5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52CE36F5" w14:textId="77777777" w:rsidR="00861AD5" w:rsidRDefault="00861AD5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4C1F319D" w14:textId="2A4DAF72" w:rsidR="00861AD5" w:rsidRDefault="00861AD5" w:rsidP="00A86166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Future meetings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63BF415B" w14:textId="77777777" w:rsidR="00861AD5" w:rsidRDefault="00861AD5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861AD5" w14:paraId="0A5878E3" w14:textId="77777777" w:rsidTr="00861AD5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nil"/>
              <w:right w:val="nil"/>
            </w:tcBorders>
          </w:tcPr>
          <w:p w14:paraId="25A0EC2C" w14:textId="77777777" w:rsidR="00861AD5" w:rsidRDefault="00861AD5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29912B0E" w14:textId="2AEEF02A" w:rsidR="00861AD5" w:rsidRDefault="00861AD5" w:rsidP="00A86166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AOB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18" w:space="0" w:color="000000" w:themeColor="text1"/>
            </w:tcBorders>
          </w:tcPr>
          <w:p w14:paraId="412D851D" w14:textId="77777777" w:rsidR="00861AD5" w:rsidRDefault="00861AD5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7177F3" w14:paraId="1A0BCE27" w14:textId="77777777" w:rsidTr="00A86166">
        <w:trPr>
          <w:jc w:val="center"/>
        </w:trPr>
        <w:tc>
          <w:tcPr>
            <w:tcW w:w="338" w:type="pct"/>
            <w:tcBorders>
              <w:top w:val="nil"/>
              <w:left w:val="single" w:sz="18" w:space="0" w:color="000000" w:themeColor="text1"/>
              <w:bottom w:val="single" w:sz="18" w:space="0" w:color="000000" w:themeColor="text1"/>
              <w:right w:val="nil"/>
            </w:tcBorders>
          </w:tcPr>
          <w:p w14:paraId="4F5BAEAD" w14:textId="77777777" w:rsidR="007177F3" w:rsidRDefault="007177F3" w:rsidP="007177F3">
            <w:pPr>
              <w:numPr>
                <w:ilvl w:val="0"/>
                <w:numId w:val="17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spacing w:before="120"/>
              <w:ind w:left="357" w:hanging="357"/>
              <w:textAlignment w:val="auto"/>
              <w:rPr>
                <w:rFonts w:cstheme="majorBidi"/>
                <w:szCs w:val="22"/>
                <w:lang w:eastAsia="zh-CN"/>
              </w:rPr>
            </w:pPr>
          </w:p>
        </w:tc>
        <w:tc>
          <w:tcPr>
            <w:tcW w:w="4398" w:type="pct"/>
            <w:tcBorders>
              <w:top w:val="nil"/>
              <w:left w:val="nil"/>
              <w:bottom w:val="single" w:sz="18" w:space="0" w:color="000000" w:themeColor="text1"/>
              <w:right w:val="nil"/>
            </w:tcBorders>
            <w:hideMark/>
          </w:tcPr>
          <w:p w14:paraId="0B48F25A" w14:textId="54D7F9C3" w:rsidR="007177F3" w:rsidRDefault="00861AD5" w:rsidP="00A86166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ajorBidi"/>
                <w:szCs w:val="22"/>
                <w:lang w:eastAsia="zh-CN"/>
              </w:rPr>
            </w:pPr>
            <w:r>
              <w:rPr>
                <w:rFonts w:cstheme="majorBidi"/>
                <w:szCs w:val="22"/>
                <w:lang w:eastAsia="zh-CN"/>
              </w:rPr>
              <w:t>Closure of the meeting</w:t>
            </w:r>
          </w:p>
        </w:tc>
        <w:tc>
          <w:tcPr>
            <w:tcW w:w="264" w:type="pct"/>
            <w:tcBorders>
              <w:top w:val="nil"/>
              <w:left w:val="nil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8860F76" w14:textId="77777777" w:rsidR="007177F3" w:rsidRDefault="007177F3" w:rsidP="00A86166">
            <w:pPr>
              <w:rPr>
                <w:rFonts w:cstheme="majorBidi"/>
                <w:szCs w:val="22"/>
                <w:lang w:eastAsia="zh-CN"/>
              </w:rPr>
            </w:pPr>
          </w:p>
        </w:tc>
      </w:tr>
      <w:tr w:rsidR="007177F3" w14:paraId="0FE15178" w14:textId="77777777" w:rsidTr="00861AD5">
        <w:trPr>
          <w:trHeight w:val="111"/>
          <w:jc w:val="center"/>
        </w:trPr>
        <w:tc>
          <w:tcPr>
            <w:tcW w:w="5000" w:type="pct"/>
            <w:gridSpan w:val="3"/>
            <w:tcBorders>
              <w:top w:val="nil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  <w:shd w:val="clear" w:color="auto" w:fill="C6D9F1" w:themeFill="text2" w:themeFillTint="33"/>
          </w:tcPr>
          <w:p w14:paraId="51F06F0E" w14:textId="77777777" w:rsidR="007177F3" w:rsidRPr="00861AD5" w:rsidRDefault="007177F3" w:rsidP="00861AD5">
            <w:pPr>
              <w:spacing w:before="0"/>
              <w:rPr>
                <w:rFonts w:cstheme="majorBidi"/>
                <w:sz w:val="12"/>
                <w:szCs w:val="12"/>
                <w:lang w:eastAsia="zh-CN"/>
              </w:rPr>
            </w:pPr>
          </w:p>
        </w:tc>
      </w:tr>
    </w:tbl>
    <w:p w14:paraId="762D0DF7" w14:textId="2EA435A9" w:rsidR="007177F3" w:rsidRDefault="007177F3" w:rsidP="007177F3">
      <w:pPr>
        <w:spacing w:before="240"/>
        <w:rPr>
          <w:b/>
        </w:rPr>
      </w:pPr>
      <w:r>
        <w:t>NOTE ‒ Updates to the agenda can be found</w:t>
      </w:r>
      <w:r w:rsidR="009731AD">
        <w:t xml:space="preserve"> in</w:t>
      </w:r>
      <w:r>
        <w:t xml:space="preserve"> </w:t>
      </w:r>
      <w:r w:rsidRPr="00212780">
        <w:t>SG11-TD</w:t>
      </w:r>
      <w:r w:rsidR="00EA43C5" w:rsidRPr="00212780">
        <w:t>53</w:t>
      </w:r>
      <w:r w:rsidRPr="00212780">
        <w:t>/</w:t>
      </w:r>
      <w:r w:rsidR="00EA43C5" w:rsidRPr="00212780">
        <w:t>WP1</w:t>
      </w:r>
      <w:r w:rsidR="0083477E" w:rsidRPr="0083477E">
        <w:rPr>
          <w:rStyle w:val="Hyperlink"/>
          <w:color w:val="auto"/>
          <w:u w:val="none"/>
        </w:rPr>
        <w:t>.</w:t>
      </w:r>
    </w:p>
    <w:p w14:paraId="53C11001" w14:textId="77777777" w:rsidR="007177F3" w:rsidRDefault="007177F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</w:rPr>
      </w:pPr>
      <w:r>
        <w:rPr>
          <w:b/>
        </w:rPr>
        <w:br w:type="page"/>
      </w:r>
    </w:p>
    <w:p w14:paraId="66D32766" w14:textId="77777777" w:rsidR="007177F3" w:rsidRDefault="007177F3" w:rsidP="007177F3">
      <w:pPr>
        <w:pStyle w:val="Annextitle"/>
        <w:spacing w:before="0" w:after="0"/>
      </w:pPr>
      <w:r>
        <w:lastRenderedPageBreak/>
        <w:t>ANNEX C</w:t>
      </w:r>
      <w:r>
        <w:br/>
        <w:t>Draft time plan</w:t>
      </w:r>
    </w:p>
    <w:p w14:paraId="18B0ECC5" w14:textId="557C7860" w:rsidR="008C7E47" w:rsidRPr="00B70109" w:rsidRDefault="007177F3" w:rsidP="00B23660">
      <w:pPr>
        <w:spacing w:after="240"/>
        <w:jc w:val="center"/>
        <w:rPr>
          <w:b/>
        </w:rPr>
      </w:pPr>
      <w:r w:rsidRPr="007177F3">
        <w:rPr>
          <w:rFonts w:eastAsia="Calibri"/>
          <w:b/>
          <w:bCs/>
          <w:lang w:val="en-US"/>
        </w:rPr>
        <w:t>Working Party 1/11 virtual meeting, 19 November 2020</w:t>
      </w:r>
    </w:p>
    <w:tbl>
      <w:tblPr>
        <w:tblW w:w="3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"/>
        <w:gridCol w:w="351"/>
        <w:gridCol w:w="351"/>
        <w:gridCol w:w="350"/>
        <w:gridCol w:w="350"/>
        <w:gridCol w:w="350"/>
        <w:gridCol w:w="349"/>
        <w:gridCol w:w="281"/>
      </w:tblGrid>
      <w:tr w:rsidR="00B23660" w:rsidRPr="000E0ABF" w14:paraId="4F10BE5D" w14:textId="77777777" w:rsidTr="00BC2FCC">
        <w:trPr>
          <w:trHeight w:val="270"/>
          <w:jc w:val="center"/>
        </w:trPr>
        <w:tc>
          <w:tcPr>
            <w:tcW w:w="948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B26C9B2" w14:textId="77777777" w:rsidR="00B23660" w:rsidRPr="000E0ABF" w:rsidRDefault="00B23660" w:rsidP="00BC2FC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382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47D1F" w14:textId="77777777" w:rsidR="00B23660" w:rsidRPr="000E0ABF" w:rsidRDefault="00B23660" w:rsidP="00BC2FC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Thursday</w:t>
            </w:r>
            <w:r w:rsidRPr="000E0ABF">
              <w:rPr>
                <w:rFonts w:ascii="Calibri" w:hAnsi="Calibri"/>
                <w:b/>
                <w:sz w:val="16"/>
                <w:szCs w:val="16"/>
              </w:rPr>
              <w:t xml:space="preserve">, </w:t>
            </w:r>
            <w:r>
              <w:rPr>
                <w:rFonts w:ascii="Calibri" w:hAnsi="Calibri"/>
                <w:b/>
                <w:sz w:val="16"/>
                <w:szCs w:val="16"/>
              </w:rPr>
              <w:t>19</w:t>
            </w:r>
            <w:r w:rsidRPr="000E0ABF">
              <w:rPr>
                <w:rFonts w:ascii="Calibri" w:hAnsi="Calibri"/>
                <w:b/>
                <w:sz w:val="16"/>
                <w:szCs w:val="16"/>
              </w:rPr>
              <w:t xml:space="preserve"> November 2020</w:t>
            </w:r>
          </w:p>
        </w:tc>
      </w:tr>
      <w:tr w:rsidR="00B23660" w:rsidRPr="000E0ABF" w14:paraId="31D2E34F" w14:textId="77777777" w:rsidTr="00BC2FCC">
        <w:trPr>
          <w:trHeight w:val="270"/>
          <w:jc w:val="center"/>
        </w:trPr>
        <w:tc>
          <w:tcPr>
            <w:tcW w:w="94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63E727" w14:textId="77777777" w:rsidR="00B23660" w:rsidRPr="000E0ABF" w:rsidRDefault="00B23660" w:rsidP="00BC2FC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79631" w14:textId="77777777" w:rsidR="00B23660" w:rsidRPr="000E0ABF" w:rsidRDefault="00B23660" w:rsidP="00BC2FC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E0ABF">
              <w:rPr>
                <w:rFonts w:ascii="Calibri" w:hAnsi="Calibri"/>
                <w:sz w:val="16"/>
                <w:szCs w:val="16"/>
              </w:rPr>
              <w:t>0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39932A" w14:textId="77777777" w:rsidR="00B23660" w:rsidRPr="000E0ABF" w:rsidRDefault="00B23660" w:rsidP="00BC2FC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E0ABF">
              <w:rPr>
                <w:rFonts w:ascii="Calibri" w:hAnsi="Calibri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CFA966" w14:textId="77777777" w:rsidR="00B23660" w:rsidRPr="000E0ABF" w:rsidRDefault="00B23660" w:rsidP="00BC2FC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E0ABF">
              <w:rPr>
                <w:rFonts w:ascii="Calibri" w:hAnsi="Calibri"/>
                <w:sz w:val="16"/>
                <w:szCs w:val="16"/>
              </w:rPr>
              <w:t>2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25A56" w14:textId="753A1D53" w:rsidR="00B23660" w:rsidRPr="000E0ABF" w:rsidRDefault="008E4251" w:rsidP="00BC2FC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8E4251">
              <w:rPr>
                <w:rFonts w:ascii="Calibri" w:hAnsi="Calibri"/>
                <w:sz w:val="16"/>
                <w:szCs w:val="16"/>
              </w:rPr>
              <w:t>3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07C7F" w14:textId="4C9AC57B" w:rsidR="00B23660" w:rsidRPr="000E0ABF" w:rsidRDefault="008E4251" w:rsidP="00BC2FC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4</w:t>
            </w: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64D327" w14:textId="7F0C90DF" w:rsidR="00B23660" w:rsidRPr="000E0ABF" w:rsidRDefault="008E4251" w:rsidP="00BC2FC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5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54FCA" w14:textId="57A78BCA" w:rsidR="00B23660" w:rsidRPr="000E0ABF" w:rsidRDefault="008E4251" w:rsidP="00BC2FC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6</w:t>
            </w:r>
          </w:p>
        </w:tc>
      </w:tr>
      <w:tr w:rsidR="00B23660" w:rsidRPr="000E0ABF" w14:paraId="55782B2E" w14:textId="77777777" w:rsidTr="008E4251">
        <w:trPr>
          <w:trHeight w:val="270"/>
          <w:jc w:val="center"/>
        </w:trPr>
        <w:tc>
          <w:tcPr>
            <w:tcW w:w="948" w:type="dxa"/>
            <w:tcBorders>
              <w:left w:val="single" w:sz="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26708E6" w14:textId="1BA0A9C3" w:rsidR="00B23660" w:rsidRPr="000E0ABF" w:rsidRDefault="00BC2C8B" w:rsidP="00BC2FCC">
            <w:pPr>
              <w:spacing w:before="40" w:after="4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WP1/11</w:t>
            </w:r>
          </w:p>
        </w:tc>
        <w:tc>
          <w:tcPr>
            <w:tcW w:w="3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CFFB3" w14:textId="77777777" w:rsidR="00B23660" w:rsidRPr="000E0ABF" w:rsidRDefault="00B23660" w:rsidP="00BC2FC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7A4CF2" w14:textId="72E54DEC" w:rsidR="00B23660" w:rsidRPr="008E4251" w:rsidRDefault="00B23660" w:rsidP="00BC2FC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  <w:lang w:eastAsia="zh-CN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E6C55E" w14:textId="77777777" w:rsidR="00B23660" w:rsidRPr="000E0ABF" w:rsidRDefault="00B23660" w:rsidP="00BC2FC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2E7EBE" w14:textId="61EB43A4" w:rsidR="00B23660" w:rsidRPr="008E4251" w:rsidRDefault="008E4251" w:rsidP="00BC2FCC">
            <w:pPr>
              <w:spacing w:before="40" w:after="4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8E4251">
              <w:rPr>
                <w:rFonts w:ascii="Calibri" w:hAnsi="Calibri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C0FF76" w14:textId="77777777" w:rsidR="00B23660" w:rsidRPr="000E0ABF" w:rsidRDefault="00B23660" w:rsidP="00BC2FC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1533CD" w14:textId="77777777" w:rsidR="00B23660" w:rsidRPr="000E0ABF" w:rsidRDefault="00B23660" w:rsidP="00BC2FC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710275" w14:textId="77777777" w:rsidR="00B23660" w:rsidRPr="000E0ABF" w:rsidRDefault="00B23660" w:rsidP="00BC2FCC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B23660" w:rsidRPr="000E0ABF" w14:paraId="6138918A" w14:textId="77777777" w:rsidTr="00BC2FCC">
        <w:trPr>
          <w:trHeight w:val="590"/>
          <w:jc w:val="center"/>
        </w:trPr>
        <w:tc>
          <w:tcPr>
            <w:tcW w:w="33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DAC52" w14:textId="33F55F5D" w:rsidR="00B23660" w:rsidRPr="000E0ABF" w:rsidRDefault="00B23660" w:rsidP="00B23660">
            <w:pPr>
              <w:spacing w:before="40" w:after="40"/>
              <w:jc w:val="center"/>
              <w:rPr>
                <w:rFonts w:ascii="Calibri" w:hAnsi="Calibri"/>
                <w:sz w:val="16"/>
                <w:szCs w:val="16"/>
              </w:rPr>
            </w:pPr>
            <w:r w:rsidRPr="000E0ABF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Key</w:t>
            </w:r>
            <w:r w:rsidRPr="000E0ABF">
              <w:rPr>
                <w:rFonts w:ascii="Calibri" w:hAnsi="Calibri"/>
                <w:sz w:val="16"/>
                <w:szCs w:val="16"/>
                <w:lang w:val="en-US"/>
              </w:rPr>
              <w:t>:</w:t>
            </w:r>
            <w:r w:rsidRPr="000E0ABF">
              <w:t xml:space="preserve">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V</w:t>
            </w:r>
            <w:r w:rsidRPr="000E0ABF">
              <w:rPr>
                <w:rFonts w:ascii="Calibri" w:hAnsi="Calibri"/>
                <w:sz w:val="16"/>
                <w:szCs w:val="16"/>
                <w:lang w:val="en-US"/>
              </w:rPr>
              <w:t xml:space="preserve"> – 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virtual meeting </w:t>
            </w:r>
            <w:r w:rsidRPr="000E0ABF">
              <w:rPr>
                <w:rFonts w:ascii="Calibri" w:hAnsi="Calibri"/>
                <w:sz w:val="16"/>
                <w:szCs w:val="16"/>
                <w:lang w:val="en-US"/>
              </w:rPr>
              <w:t>via ITU MyMeetings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 xml:space="preserve"> (</w:t>
            </w:r>
            <w:r w:rsidR="008E4251">
              <w:rPr>
                <w:rFonts w:ascii="Calibri" w:hAnsi="Calibri"/>
                <w:sz w:val="16"/>
                <w:szCs w:val="16"/>
                <w:lang w:val="en-US"/>
              </w:rPr>
              <w:t>13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:00-1</w:t>
            </w:r>
            <w:r w:rsidR="008E4251">
              <w:rPr>
                <w:rFonts w:ascii="Calibri" w:hAnsi="Calibri"/>
                <w:sz w:val="16"/>
                <w:szCs w:val="16"/>
                <w:lang w:val="en-US"/>
              </w:rPr>
              <w:t>5</w:t>
            </w:r>
            <w:r>
              <w:rPr>
                <w:rFonts w:ascii="Calibri" w:hAnsi="Calibri"/>
                <w:sz w:val="16"/>
                <w:szCs w:val="16"/>
                <w:lang w:val="en-US"/>
              </w:rPr>
              <w:t>:00, Geneva time)</w:t>
            </w:r>
          </w:p>
        </w:tc>
      </w:tr>
    </w:tbl>
    <w:p w14:paraId="3AB7547E" w14:textId="77777777" w:rsidR="00977A25" w:rsidRPr="00B70109" w:rsidRDefault="00977A25" w:rsidP="00EA43C5">
      <w:pPr>
        <w:spacing w:before="240" w:after="120"/>
        <w:jc w:val="center"/>
      </w:pPr>
      <w:r w:rsidRPr="00B70109">
        <w:t>_____________________</w:t>
      </w:r>
    </w:p>
    <w:sectPr w:rsidR="00977A25" w:rsidRPr="00B70109" w:rsidSect="00EA43C5">
      <w:headerReference w:type="default" r:id="rId29"/>
      <w:footerReference w:type="first" r:id="rId30"/>
      <w:type w:val="oddPage"/>
      <w:pgSz w:w="11907" w:h="16834" w:code="9"/>
      <w:pgMar w:top="851" w:right="850" w:bottom="567" w:left="851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AFD61" w14:textId="77777777" w:rsidR="00B97C2C" w:rsidRDefault="00B97C2C">
      <w:r>
        <w:separator/>
      </w:r>
    </w:p>
  </w:endnote>
  <w:endnote w:type="continuationSeparator" w:id="0">
    <w:p w14:paraId="5C77380F" w14:textId="77777777" w:rsidR="00B97C2C" w:rsidRDefault="00B97C2C">
      <w:r>
        <w:continuationSeparator/>
      </w:r>
    </w:p>
  </w:endnote>
  <w:endnote w:type="continuationNotice" w:id="1">
    <w:p w14:paraId="148A668E" w14:textId="77777777" w:rsidR="00B97C2C" w:rsidRDefault="00B97C2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9EC5E" w14:textId="77777777" w:rsidR="00DA6274" w:rsidRPr="00C345C7" w:rsidRDefault="00DA6274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 w:rsidR="00713CDB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="00713CDB"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 w:rsidR="00713CDB"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16856" w14:textId="77777777" w:rsidR="00B97C2C" w:rsidRDefault="00B97C2C">
      <w:r>
        <w:t>____________________</w:t>
      </w:r>
    </w:p>
  </w:footnote>
  <w:footnote w:type="continuationSeparator" w:id="0">
    <w:p w14:paraId="0BC8A182" w14:textId="77777777" w:rsidR="00B97C2C" w:rsidRDefault="00B97C2C">
      <w:r>
        <w:continuationSeparator/>
      </w:r>
    </w:p>
  </w:footnote>
  <w:footnote w:type="continuationNotice" w:id="1">
    <w:p w14:paraId="39B139D7" w14:textId="77777777" w:rsidR="00B97C2C" w:rsidRDefault="00B97C2C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13AD7" w14:textId="77777777" w:rsidR="00C740E1" w:rsidRDefault="007004CB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A71AF">
          <w:rPr>
            <w:noProof/>
          </w:rPr>
          <w:t>-</w:t>
        </w:r>
        <w:r w:rsidR="00C740E1">
          <w:t xml:space="preserve">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2008F8">
          <w:rPr>
            <w:noProof/>
          </w:rPr>
          <w:t>5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</w:t>
    </w:r>
    <w:r w:rsidR="003A71AF">
      <w:rPr>
        <w:noProof/>
      </w:rPr>
      <w:t>-</w:t>
    </w:r>
  </w:p>
  <w:p w14:paraId="0C9B31CF" w14:textId="199224CD" w:rsidR="00C740E1" w:rsidRPr="00C740E1" w:rsidRDefault="001850FC" w:rsidP="00E31F4D">
    <w:pPr>
      <w:pStyle w:val="Header"/>
      <w:spacing w:after="240"/>
      <w:rPr>
        <w:lang w:val="en-US"/>
      </w:rPr>
    </w:pPr>
    <w:r>
      <w:rPr>
        <w:noProof/>
      </w:rPr>
      <w:t>Collective letter</w:t>
    </w:r>
    <w:r w:rsidR="00E31F4D">
      <w:rPr>
        <w:noProof/>
      </w:rPr>
      <w:t xml:space="preserve"> 11/11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E5486D"/>
    <w:multiLevelType w:val="hybridMultilevel"/>
    <w:tmpl w:val="3B5234BC"/>
    <w:lvl w:ilvl="0" w:tplc="6650871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0"/>
  </w:num>
  <w:num w:numId="14">
    <w:abstractNumId w:val="15"/>
  </w:num>
  <w:num w:numId="15">
    <w:abstractNumId w:val="12"/>
  </w:num>
  <w:num w:numId="16">
    <w:abstractNumId w:val="13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79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21"/>
    <w:rsid w:val="00000FC7"/>
    <w:rsid w:val="000069D4"/>
    <w:rsid w:val="0000705A"/>
    <w:rsid w:val="000103B1"/>
    <w:rsid w:val="00010B0B"/>
    <w:rsid w:val="000174AD"/>
    <w:rsid w:val="00025A7B"/>
    <w:rsid w:val="000305E1"/>
    <w:rsid w:val="00034EF9"/>
    <w:rsid w:val="0004154C"/>
    <w:rsid w:val="000473DF"/>
    <w:rsid w:val="00052167"/>
    <w:rsid w:val="00053AD3"/>
    <w:rsid w:val="00057223"/>
    <w:rsid w:val="00073152"/>
    <w:rsid w:val="000877A6"/>
    <w:rsid w:val="00095667"/>
    <w:rsid w:val="00096C2F"/>
    <w:rsid w:val="000A402E"/>
    <w:rsid w:val="000A7D55"/>
    <w:rsid w:val="000B2F64"/>
    <w:rsid w:val="000B31A0"/>
    <w:rsid w:val="000B46FB"/>
    <w:rsid w:val="000B5400"/>
    <w:rsid w:val="000B7817"/>
    <w:rsid w:val="000C2E8E"/>
    <w:rsid w:val="000C4D66"/>
    <w:rsid w:val="000D49FB"/>
    <w:rsid w:val="000E0AE4"/>
    <w:rsid w:val="000E0E7C"/>
    <w:rsid w:val="000E126B"/>
    <w:rsid w:val="000F1B4B"/>
    <w:rsid w:val="000F6D51"/>
    <w:rsid w:val="001019B9"/>
    <w:rsid w:val="00115DF1"/>
    <w:rsid w:val="00120B55"/>
    <w:rsid w:val="00124AE2"/>
    <w:rsid w:val="00126E71"/>
    <w:rsid w:val="0012744F"/>
    <w:rsid w:val="00127ED7"/>
    <w:rsid w:val="0013130F"/>
    <w:rsid w:val="00135065"/>
    <w:rsid w:val="0013699E"/>
    <w:rsid w:val="00136A91"/>
    <w:rsid w:val="0014326B"/>
    <w:rsid w:val="00150FE5"/>
    <w:rsid w:val="00156DFF"/>
    <w:rsid w:val="00156F66"/>
    <w:rsid w:val="00166BC0"/>
    <w:rsid w:val="0018068E"/>
    <w:rsid w:val="001809AC"/>
    <w:rsid w:val="00182528"/>
    <w:rsid w:val="0018500B"/>
    <w:rsid w:val="001850FC"/>
    <w:rsid w:val="001863B9"/>
    <w:rsid w:val="00187FC5"/>
    <w:rsid w:val="00191E5E"/>
    <w:rsid w:val="001922BB"/>
    <w:rsid w:val="00196A19"/>
    <w:rsid w:val="00196AB1"/>
    <w:rsid w:val="001A0955"/>
    <w:rsid w:val="001A7DDC"/>
    <w:rsid w:val="001B24FA"/>
    <w:rsid w:val="001C0948"/>
    <w:rsid w:val="001C39A4"/>
    <w:rsid w:val="001C3A5A"/>
    <w:rsid w:val="001C3CDB"/>
    <w:rsid w:val="001D0985"/>
    <w:rsid w:val="001E2029"/>
    <w:rsid w:val="001E50C0"/>
    <w:rsid w:val="002008F8"/>
    <w:rsid w:val="00202DC1"/>
    <w:rsid w:val="002039F5"/>
    <w:rsid w:val="00206F31"/>
    <w:rsid w:val="0020709B"/>
    <w:rsid w:val="002116EE"/>
    <w:rsid w:val="00212780"/>
    <w:rsid w:val="0021661A"/>
    <w:rsid w:val="002169B6"/>
    <w:rsid w:val="00220F21"/>
    <w:rsid w:val="00223220"/>
    <w:rsid w:val="002309D8"/>
    <w:rsid w:val="002346FE"/>
    <w:rsid w:val="00241934"/>
    <w:rsid w:val="0024485F"/>
    <w:rsid w:val="00263CE7"/>
    <w:rsid w:val="00267A46"/>
    <w:rsid w:val="0027530C"/>
    <w:rsid w:val="00282A23"/>
    <w:rsid w:val="00287BF1"/>
    <w:rsid w:val="002A2F20"/>
    <w:rsid w:val="002A3D35"/>
    <w:rsid w:val="002A7FE2"/>
    <w:rsid w:val="002B1EB1"/>
    <w:rsid w:val="002B7101"/>
    <w:rsid w:val="002B711C"/>
    <w:rsid w:val="002C0244"/>
    <w:rsid w:val="002C3E7B"/>
    <w:rsid w:val="002D0ACE"/>
    <w:rsid w:val="002D2D49"/>
    <w:rsid w:val="002E1B4F"/>
    <w:rsid w:val="002F2E67"/>
    <w:rsid w:val="002F6530"/>
    <w:rsid w:val="00300095"/>
    <w:rsid w:val="00301488"/>
    <w:rsid w:val="00302D75"/>
    <w:rsid w:val="00310217"/>
    <w:rsid w:val="00315546"/>
    <w:rsid w:val="0031577B"/>
    <w:rsid w:val="003172EE"/>
    <w:rsid w:val="003302F9"/>
    <w:rsid w:val="00330567"/>
    <w:rsid w:val="00341B07"/>
    <w:rsid w:val="0034610C"/>
    <w:rsid w:val="00350914"/>
    <w:rsid w:val="00351DA5"/>
    <w:rsid w:val="003614F8"/>
    <w:rsid w:val="00365034"/>
    <w:rsid w:val="0037172F"/>
    <w:rsid w:val="0038260B"/>
    <w:rsid w:val="00383598"/>
    <w:rsid w:val="003839E7"/>
    <w:rsid w:val="00384E5D"/>
    <w:rsid w:val="00386A9D"/>
    <w:rsid w:val="00391081"/>
    <w:rsid w:val="003A33CB"/>
    <w:rsid w:val="003A71AF"/>
    <w:rsid w:val="003B2789"/>
    <w:rsid w:val="003B362E"/>
    <w:rsid w:val="003B7FF4"/>
    <w:rsid w:val="003C13CE"/>
    <w:rsid w:val="003C29A6"/>
    <w:rsid w:val="003C74EF"/>
    <w:rsid w:val="003D002E"/>
    <w:rsid w:val="003D1461"/>
    <w:rsid w:val="003E2518"/>
    <w:rsid w:val="003F0DED"/>
    <w:rsid w:val="00402460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0606"/>
    <w:rsid w:val="00442C9B"/>
    <w:rsid w:val="00446E76"/>
    <w:rsid w:val="00447690"/>
    <w:rsid w:val="00453805"/>
    <w:rsid w:val="00462660"/>
    <w:rsid w:val="004651E3"/>
    <w:rsid w:val="004748F4"/>
    <w:rsid w:val="00484B34"/>
    <w:rsid w:val="00491EEB"/>
    <w:rsid w:val="004976A9"/>
    <w:rsid w:val="004A26EA"/>
    <w:rsid w:val="004A2FEE"/>
    <w:rsid w:val="004A6172"/>
    <w:rsid w:val="004B1EF7"/>
    <w:rsid w:val="004B3DB3"/>
    <w:rsid w:val="004B3FAD"/>
    <w:rsid w:val="004C58A9"/>
    <w:rsid w:val="004D0180"/>
    <w:rsid w:val="004D170F"/>
    <w:rsid w:val="004D2B92"/>
    <w:rsid w:val="004E3CF9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5318D"/>
    <w:rsid w:val="00567372"/>
    <w:rsid w:val="0057179C"/>
    <w:rsid w:val="005729DB"/>
    <w:rsid w:val="00573344"/>
    <w:rsid w:val="00576D0E"/>
    <w:rsid w:val="0057770B"/>
    <w:rsid w:val="00583F9B"/>
    <w:rsid w:val="00584AFA"/>
    <w:rsid w:val="005A569C"/>
    <w:rsid w:val="005A6BCA"/>
    <w:rsid w:val="005C0606"/>
    <w:rsid w:val="005C19B3"/>
    <w:rsid w:val="005C580C"/>
    <w:rsid w:val="005C7E74"/>
    <w:rsid w:val="005D3724"/>
    <w:rsid w:val="005D71A2"/>
    <w:rsid w:val="005E1223"/>
    <w:rsid w:val="005E5C10"/>
    <w:rsid w:val="005E70E3"/>
    <w:rsid w:val="005F2C78"/>
    <w:rsid w:val="005F32E7"/>
    <w:rsid w:val="005F7525"/>
    <w:rsid w:val="006006A3"/>
    <w:rsid w:val="00603DFC"/>
    <w:rsid w:val="006144E4"/>
    <w:rsid w:val="00617501"/>
    <w:rsid w:val="00622D0F"/>
    <w:rsid w:val="00624555"/>
    <w:rsid w:val="006430C1"/>
    <w:rsid w:val="00650299"/>
    <w:rsid w:val="006513DD"/>
    <w:rsid w:val="006550C0"/>
    <w:rsid w:val="00655FC5"/>
    <w:rsid w:val="00655FDD"/>
    <w:rsid w:val="00666F62"/>
    <w:rsid w:val="00670B08"/>
    <w:rsid w:val="00680D49"/>
    <w:rsid w:val="00687BD5"/>
    <w:rsid w:val="006907AE"/>
    <w:rsid w:val="00690BFB"/>
    <w:rsid w:val="006A116C"/>
    <w:rsid w:val="006A184C"/>
    <w:rsid w:val="006B3467"/>
    <w:rsid w:val="006B349B"/>
    <w:rsid w:val="006B43D3"/>
    <w:rsid w:val="006C44C1"/>
    <w:rsid w:val="006C6E0B"/>
    <w:rsid w:val="006D4085"/>
    <w:rsid w:val="006D6AF4"/>
    <w:rsid w:val="006D7202"/>
    <w:rsid w:val="007004CB"/>
    <w:rsid w:val="00710D11"/>
    <w:rsid w:val="00713CDB"/>
    <w:rsid w:val="007177F3"/>
    <w:rsid w:val="00737EA1"/>
    <w:rsid w:val="00754E83"/>
    <w:rsid w:val="0075739B"/>
    <w:rsid w:val="00766333"/>
    <w:rsid w:val="00776750"/>
    <w:rsid w:val="00783E10"/>
    <w:rsid w:val="00786948"/>
    <w:rsid w:val="00792A3A"/>
    <w:rsid w:val="007A3B5D"/>
    <w:rsid w:val="007C2288"/>
    <w:rsid w:val="007D0DC2"/>
    <w:rsid w:val="007D2F64"/>
    <w:rsid w:val="007E51DC"/>
    <w:rsid w:val="00801031"/>
    <w:rsid w:val="00802953"/>
    <w:rsid w:val="00803F97"/>
    <w:rsid w:val="00807FF1"/>
    <w:rsid w:val="00817BB4"/>
    <w:rsid w:val="0082123B"/>
    <w:rsid w:val="00822581"/>
    <w:rsid w:val="008309DD"/>
    <w:rsid w:val="00830DBC"/>
    <w:rsid w:val="00831A6E"/>
    <w:rsid w:val="0083227A"/>
    <w:rsid w:val="0083477E"/>
    <w:rsid w:val="00834B1E"/>
    <w:rsid w:val="00835B8B"/>
    <w:rsid w:val="008415AD"/>
    <w:rsid w:val="00843171"/>
    <w:rsid w:val="00852F97"/>
    <w:rsid w:val="00857C67"/>
    <w:rsid w:val="00861AD5"/>
    <w:rsid w:val="00862CC9"/>
    <w:rsid w:val="00866900"/>
    <w:rsid w:val="00870336"/>
    <w:rsid w:val="0087300D"/>
    <w:rsid w:val="0087539F"/>
    <w:rsid w:val="00875B05"/>
    <w:rsid w:val="008768C5"/>
    <w:rsid w:val="00881BA1"/>
    <w:rsid w:val="00885066"/>
    <w:rsid w:val="00893DC0"/>
    <w:rsid w:val="008A0A55"/>
    <w:rsid w:val="008B0087"/>
    <w:rsid w:val="008C26B8"/>
    <w:rsid w:val="008C7E47"/>
    <w:rsid w:val="008D79A4"/>
    <w:rsid w:val="008E4251"/>
    <w:rsid w:val="008E51E1"/>
    <w:rsid w:val="008E522E"/>
    <w:rsid w:val="008E6A25"/>
    <w:rsid w:val="0090173C"/>
    <w:rsid w:val="00902D14"/>
    <w:rsid w:val="009053AA"/>
    <w:rsid w:val="00905875"/>
    <w:rsid w:val="009069C7"/>
    <w:rsid w:val="00912B2C"/>
    <w:rsid w:val="00913C97"/>
    <w:rsid w:val="00922514"/>
    <w:rsid w:val="009273EC"/>
    <w:rsid w:val="00931726"/>
    <w:rsid w:val="00931D00"/>
    <w:rsid w:val="00932E45"/>
    <w:rsid w:val="00933BA1"/>
    <w:rsid w:val="00935255"/>
    <w:rsid w:val="00936D00"/>
    <w:rsid w:val="0094758D"/>
    <w:rsid w:val="00951309"/>
    <w:rsid w:val="0095168F"/>
    <w:rsid w:val="00957761"/>
    <w:rsid w:val="00957A2F"/>
    <w:rsid w:val="00960310"/>
    <w:rsid w:val="009607B6"/>
    <w:rsid w:val="009616FE"/>
    <w:rsid w:val="00964CF0"/>
    <w:rsid w:val="009731AD"/>
    <w:rsid w:val="00977A25"/>
    <w:rsid w:val="00980F76"/>
    <w:rsid w:val="00981D76"/>
    <w:rsid w:val="00982084"/>
    <w:rsid w:val="00991A72"/>
    <w:rsid w:val="00995963"/>
    <w:rsid w:val="009A0D34"/>
    <w:rsid w:val="009A4488"/>
    <w:rsid w:val="009A54D9"/>
    <w:rsid w:val="009B61EB"/>
    <w:rsid w:val="009B6449"/>
    <w:rsid w:val="009C2064"/>
    <w:rsid w:val="009C7222"/>
    <w:rsid w:val="009D1697"/>
    <w:rsid w:val="009D1DF9"/>
    <w:rsid w:val="009E13BC"/>
    <w:rsid w:val="009E4F80"/>
    <w:rsid w:val="009F12DC"/>
    <w:rsid w:val="009F3E9B"/>
    <w:rsid w:val="009F6A52"/>
    <w:rsid w:val="00A014F8"/>
    <w:rsid w:val="00A015F3"/>
    <w:rsid w:val="00A033CA"/>
    <w:rsid w:val="00A049A9"/>
    <w:rsid w:val="00A11DCA"/>
    <w:rsid w:val="00A129C1"/>
    <w:rsid w:val="00A1765C"/>
    <w:rsid w:val="00A47BC7"/>
    <w:rsid w:val="00A5173C"/>
    <w:rsid w:val="00A57624"/>
    <w:rsid w:val="00A60FE3"/>
    <w:rsid w:val="00A61AEF"/>
    <w:rsid w:val="00A75CB3"/>
    <w:rsid w:val="00A8676D"/>
    <w:rsid w:val="00A9233F"/>
    <w:rsid w:val="00A95848"/>
    <w:rsid w:val="00A9652E"/>
    <w:rsid w:val="00A9718D"/>
    <w:rsid w:val="00AA1543"/>
    <w:rsid w:val="00AA5940"/>
    <w:rsid w:val="00AB0FFD"/>
    <w:rsid w:val="00AC2918"/>
    <w:rsid w:val="00AC31EA"/>
    <w:rsid w:val="00AD32BA"/>
    <w:rsid w:val="00AD32FB"/>
    <w:rsid w:val="00AD7192"/>
    <w:rsid w:val="00AE03A7"/>
    <w:rsid w:val="00AE659E"/>
    <w:rsid w:val="00AF10F1"/>
    <w:rsid w:val="00AF173A"/>
    <w:rsid w:val="00AF2757"/>
    <w:rsid w:val="00AF4F21"/>
    <w:rsid w:val="00B027CC"/>
    <w:rsid w:val="00B034E1"/>
    <w:rsid w:val="00B04E9E"/>
    <w:rsid w:val="00B066A4"/>
    <w:rsid w:val="00B07A13"/>
    <w:rsid w:val="00B07B81"/>
    <w:rsid w:val="00B13A72"/>
    <w:rsid w:val="00B143E2"/>
    <w:rsid w:val="00B20A67"/>
    <w:rsid w:val="00B23660"/>
    <w:rsid w:val="00B30E7D"/>
    <w:rsid w:val="00B34BDA"/>
    <w:rsid w:val="00B4279B"/>
    <w:rsid w:val="00B45FC9"/>
    <w:rsid w:val="00B46C10"/>
    <w:rsid w:val="00B47D06"/>
    <w:rsid w:val="00B50540"/>
    <w:rsid w:val="00B57728"/>
    <w:rsid w:val="00B60D37"/>
    <w:rsid w:val="00B61795"/>
    <w:rsid w:val="00B70109"/>
    <w:rsid w:val="00B75797"/>
    <w:rsid w:val="00B805FC"/>
    <w:rsid w:val="00B83461"/>
    <w:rsid w:val="00B9685D"/>
    <w:rsid w:val="00B97C2C"/>
    <w:rsid w:val="00BC0D7C"/>
    <w:rsid w:val="00BC2C8B"/>
    <w:rsid w:val="00BC398D"/>
    <w:rsid w:val="00BC41E7"/>
    <w:rsid w:val="00BC5760"/>
    <w:rsid w:val="00BC75DB"/>
    <w:rsid w:val="00BC7CCF"/>
    <w:rsid w:val="00BE1A8D"/>
    <w:rsid w:val="00BE3F36"/>
    <w:rsid w:val="00BE470B"/>
    <w:rsid w:val="00BF48C3"/>
    <w:rsid w:val="00BF72E2"/>
    <w:rsid w:val="00C018E7"/>
    <w:rsid w:val="00C13A07"/>
    <w:rsid w:val="00C25538"/>
    <w:rsid w:val="00C27D39"/>
    <w:rsid w:val="00C42DDC"/>
    <w:rsid w:val="00C57A91"/>
    <w:rsid w:val="00C60568"/>
    <w:rsid w:val="00C641B0"/>
    <w:rsid w:val="00C740E1"/>
    <w:rsid w:val="00C75C0D"/>
    <w:rsid w:val="00C76E40"/>
    <w:rsid w:val="00C81884"/>
    <w:rsid w:val="00C87A03"/>
    <w:rsid w:val="00C87E56"/>
    <w:rsid w:val="00CA2AA1"/>
    <w:rsid w:val="00CA4D9F"/>
    <w:rsid w:val="00CA7964"/>
    <w:rsid w:val="00CB43AF"/>
    <w:rsid w:val="00CB6571"/>
    <w:rsid w:val="00CC01C2"/>
    <w:rsid w:val="00CE218B"/>
    <w:rsid w:val="00CE37EC"/>
    <w:rsid w:val="00CF141F"/>
    <w:rsid w:val="00CF1D31"/>
    <w:rsid w:val="00CF21F2"/>
    <w:rsid w:val="00CF4DBA"/>
    <w:rsid w:val="00CF5EBB"/>
    <w:rsid w:val="00D02712"/>
    <w:rsid w:val="00D057B9"/>
    <w:rsid w:val="00D070C6"/>
    <w:rsid w:val="00D145D8"/>
    <w:rsid w:val="00D214D0"/>
    <w:rsid w:val="00D33EE4"/>
    <w:rsid w:val="00D3526A"/>
    <w:rsid w:val="00D360C6"/>
    <w:rsid w:val="00D36E7B"/>
    <w:rsid w:val="00D41E01"/>
    <w:rsid w:val="00D4272E"/>
    <w:rsid w:val="00D442B4"/>
    <w:rsid w:val="00D44F90"/>
    <w:rsid w:val="00D50796"/>
    <w:rsid w:val="00D565B5"/>
    <w:rsid w:val="00D649C3"/>
    <w:rsid w:val="00D6546B"/>
    <w:rsid w:val="00D71FFB"/>
    <w:rsid w:val="00D734BC"/>
    <w:rsid w:val="00D750EC"/>
    <w:rsid w:val="00D80150"/>
    <w:rsid w:val="00D82A2A"/>
    <w:rsid w:val="00D8684E"/>
    <w:rsid w:val="00DA3E91"/>
    <w:rsid w:val="00DA6274"/>
    <w:rsid w:val="00DA7519"/>
    <w:rsid w:val="00DB3E56"/>
    <w:rsid w:val="00DB6AC5"/>
    <w:rsid w:val="00DC36AC"/>
    <w:rsid w:val="00DC4133"/>
    <w:rsid w:val="00DC4A91"/>
    <w:rsid w:val="00DC74FE"/>
    <w:rsid w:val="00DD0952"/>
    <w:rsid w:val="00DD42B2"/>
    <w:rsid w:val="00DD4BED"/>
    <w:rsid w:val="00DE39F0"/>
    <w:rsid w:val="00DF0AF3"/>
    <w:rsid w:val="00E0115C"/>
    <w:rsid w:val="00E03A76"/>
    <w:rsid w:val="00E06CA9"/>
    <w:rsid w:val="00E17CCC"/>
    <w:rsid w:val="00E20FD8"/>
    <w:rsid w:val="00E21FE2"/>
    <w:rsid w:val="00E27D7E"/>
    <w:rsid w:val="00E3102C"/>
    <w:rsid w:val="00E319EC"/>
    <w:rsid w:val="00E31F4D"/>
    <w:rsid w:val="00E34935"/>
    <w:rsid w:val="00E35A1F"/>
    <w:rsid w:val="00E36A4F"/>
    <w:rsid w:val="00E40339"/>
    <w:rsid w:val="00E40E7B"/>
    <w:rsid w:val="00E42E13"/>
    <w:rsid w:val="00E45172"/>
    <w:rsid w:val="00E5309E"/>
    <w:rsid w:val="00E6257C"/>
    <w:rsid w:val="00E63C59"/>
    <w:rsid w:val="00E64B03"/>
    <w:rsid w:val="00E6788D"/>
    <w:rsid w:val="00E71692"/>
    <w:rsid w:val="00E757C8"/>
    <w:rsid w:val="00E93E5E"/>
    <w:rsid w:val="00EA43C5"/>
    <w:rsid w:val="00EA4E6F"/>
    <w:rsid w:val="00EA789F"/>
    <w:rsid w:val="00EC0EF4"/>
    <w:rsid w:val="00EC21DF"/>
    <w:rsid w:val="00EE12EF"/>
    <w:rsid w:val="00EE1D23"/>
    <w:rsid w:val="00EE32F5"/>
    <w:rsid w:val="00EE72FD"/>
    <w:rsid w:val="00EF0B7F"/>
    <w:rsid w:val="00F07162"/>
    <w:rsid w:val="00F37AB8"/>
    <w:rsid w:val="00F40852"/>
    <w:rsid w:val="00F42EF2"/>
    <w:rsid w:val="00F443AE"/>
    <w:rsid w:val="00F46A92"/>
    <w:rsid w:val="00F54DF5"/>
    <w:rsid w:val="00F676CC"/>
    <w:rsid w:val="00F67C38"/>
    <w:rsid w:val="00F717FE"/>
    <w:rsid w:val="00F8385A"/>
    <w:rsid w:val="00F85826"/>
    <w:rsid w:val="00FA124A"/>
    <w:rsid w:val="00FA21D2"/>
    <w:rsid w:val="00FA45F5"/>
    <w:rsid w:val="00FC08DD"/>
    <w:rsid w:val="00FC2316"/>
    <w:rsid w:val="00FC25B6"/>
    <w:rsid w:val="00FC2CFD"/>
    <w:rsid w:val="00FD06C7"/>
    <w:rsid w:val="00FD2B1B"/>
    <w:rsid w:val="00FD4119"/>
    <w:rsid w:val="00FE091D"/>
    <w:rsid w:val="00FE540B"/>
    <w:rsid w:val="00FF5FAE"/>
    <w:rsid w:val="01CB75C4"/>
    <w:rsid w:val="02D5400D"/>
    <w:rsid w:val="032F9FF6"/>
    <w:rsid w:val="0993EDB3"/>
    <w:rsid w:val="0AACAB5B"/>
    <w:rsid w:val="0BC81547"/>
    <w:rsid w:val="0EE8CC11"/>
    <w:rsid w:val="1039E4B4"/>
    <w:rsid w:val="12CD5390"/>
    <w:rsid w:val="160D0E53"/>
    <w:rsid w:val="174DE993"/>
    <w:rsid w:val="18D4FABA"/>
    <w:rsid w:val="19927505"/>
    <w:rsid w:val="1B66933F"/>
    <w:rsid w:val="1F554448"/>
    <w:rsid w:val="215184E0"/>
    <w:rsid w:val="223A8411"/>
    <w:rsid w:val="230C4235"/>
    <w:rsid w:val="2579350F"/>
    <w:rsid w:val="2C542B3A"/>
    <w:rsid w:val="2FF79611"/>
    <w:rsid w:val="31BCA7E3"/>
    <w:rsid w:val="3298BEE0"/>
    <w:rsid w:val="35B1E919"/>
    <w:rsid w:val="36728A17"/>
    <w:rsid w:val="38ADAE5B"/>
    <w:rsid w:val="3A3D6C27"/>
    <w:rsid w:val="3AB313A5"/>
    <w:rsid w:val="3DE478C3"/>
    <w:rsid w:val="3EA75405"/>
    <w:rsid w:val="40B7EE59"/>
    <w:rsid w:val="40F56B58"/>
    <w:rsid w:val="42F39FD6"/>
    <w:rsid w:val="439886B5"/>
    <w:rsid w:val="4751DD14"/>
    <w:rsid w:val="48648E2B"/>
    <w:rsid w:val="49014B8C"/>
    <w:rsid w:val="49027495"/>
    <w:rsid w:val="49C706D9"/>
    <w:rsid w:val="4BF014E8"/>
    <w:rsid w:val="4C09BB72"/>
    <w:rsid w:val="4C1EE890"/>
    <w:rsid w:val="4C811E68"/>
    <w:rsid w:val="4E287322"/>
    <w:rsid w:val="4EEEB5DC"/>
    <w:rsid w:val="57D57C6C"/>
    <w:rsid w:val="5893A6CD"/>
    <w:rsid w:val="5917D359"/>
    <w:rsid w:val="594AC528"/>
    <w:rsid w:val="59D77419"/>
    <w:rsid w:val="59EAFAFD"/>
    <w:rsid w:val="5A40319A"/>
    <w:rsid w:val="5C66826C"/>
    <w:rsid w:val="5EB97B97"/>
    <w:rsid w:val="5ED31E85"/>
    <w:rsid w:val="5FEDB59E"/>
    <w:rsid w:val="604CBF26"/>
    <w:rsid w:val="6149ABD3"/>
    <w:rsid w:val="61D9FE66"/>
    <w:rsid w:val="61F39F8A"/>
    <w:rsid w:val="6200DBBF"/>
    <w:rsid w:val="621A2E96"/>
    <w:rsid w:val="62CFAD0F"/>
    <w:rsid w:val="6649BED0"/>
    <w:rsid w:val="67A6B4A3"/>
    <w:rsid w:val="68EE8904"/>
    <w:rsid w:val="692772F2"/>
    <w:rsid w:val="69C1EA4A"/>
    <w:rsid w:val="6A41398D"/>
    <w:rsid w:val="6AA2DD65"/>
    <w:rsid w:val="6AED9469"/>
    <w:rsid w:val="6B412F15"/>
    <w:rsid w:val="6C31EF1D"/>
    <w:rsid w:val="6D0F47E6"/>
    <w:rsid w:val="715B4CA8"/>
    <w:rsid w:val="72F6C5E1"/>
    <w:rsid w:val="75044201"/>
    <w:rsid w:val="759102B6"/>
    <w:rsid w:val="7737D5A2"/>
    <w:rsid w:val="7B90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0F0FAD3"/>
  <w15:docId w15:val="{420E9868-3882-40D1-AE0F-144894C2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uiPriority w:val="39"/>
    <w:qFormat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超链接1"/>
    <w:basedOn w:val="DefaultParagraphFont"/>
    <w:uiPriority w:val="99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7530C"/>
    <w:rPr>
      <w:color w:val="605E5C"/>
      <w:shd w:val="clear" w:color="auto" w:fill="E1DFDD"/>
    </w:rPr>
  </w:style>
  <w:style w:type="paragraph" w:customStyle="1" w:styleId="Default">
    <w:name w:val="Default"/>
    <w:rsid w:val="006B34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tu.int/go/tsg11" TargetMode="External"/><Relationship Id="rId18" Type="http://schemas.openxmlformats.org/officeDocument/2006/relationships/hyperlink" Target="http://itu.int/go/tsg11" TargetMode="External"/><Relationship Id="rId26" Type="http://schemas.openxmlformats.org/officeDocument/2006/relationships/hyperlink" Target="http://www.itu.int/go/tsg11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settings" Target="settings.xml"/><Relationship Id="rId12" Type="http://schemas.openxmlformats.org/officeDocument/2006/relationships/hyperlink" Target="mailto:tsbsg11@itu.int" TargetMode="External"/><Relationship Id="rId17" Type="http://schemas.openxmlformats.org/officeDocument/2006/relationships/hyperlink" Target="https://www.itu.int/net/ITU-T/ddp/Default.aspx?groupid=T17-SG11" TargetMode="External"/><Relationship Id="rId25" Type="http://schemas.openxmlformats.org/officeDocument/2006/relationships/hyperlink" Target="https://remote.itu.in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lists/rgm.aspx?Group=11&amp;type=interim" TargetMode="External"/><Relationship Id="rId20" Type="http://schemas.openxmlformats.org/officeDocument/2006/relationships/image" Target="media/image2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itu.int/TIES/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itu.int/go/tsg11" TargetMode="External"/><Relationship Id="rId23" Type="http://schemas.openxmlformats.org/officeDocument/2006/relationships/hyperlink" Target="https://www.itu.int/en/ITU-T/studygroups/Pages/templates.aspx" TargetMode="External"/><Relationship Id="rId28" Type="http://schemas.openxmlformats.org/officeDocument/2006/relationships/hyperlink" Target="https://www.itu.int/md/T17-TSB-CIR-0118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itu.int/net/ITU-T/ddp/Default.aspx?groupid=T17-SG11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mote.itu.int/" TargetMode="External"/><Relationship Id="rId22" Type="http://schemas.openxmlformats.org/officeDocument/2006/relationships/hyperlink" Target="http://itu.int/net/ITU-T/ddp/" TargetMode="External"/><Relationship Id="rId27" Type="http://schemas.openxmlformats.org/officeDocument/2006/relationships/hyperlink" Target="https://www.itu.int/md/T17-TSB-CIR-0068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1769929400247A482A6B8D8C3D7A8" ma:contentTypeVersion="4" ma:contentTypeDescription="Create a new document." ma:contentTypeScope="" ma:versionID="3ad67d26c31032ed3572d68dfb828d59">
  <xsd:schema xmlns:xsd="http://www.w3.org/2001/XMLSchema" xmlns:xs="http://www.w3.org/2001/XMLSchema" xmlns:p="http://schemas.microsoft.com/office/2006/metadata/properties" xmlns:ns2="1238c2fb-f919-419c-a17c-617fee3c8b80" targetNamespace="http://schemas.microsoft.com/office/2006/metadata/properties" ma:root="true" ma:fieldsID="ab540981f92d6167d957dd76bfba08f6" ns2:_="">
    <xsd:import namespace="1238c2fb-f919-419c-a17c-617fee3c8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c2fb-f919-419c-a17c-617fee3c8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5B3A50-5726-4CF2-9716-1CD42AD4C4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645614-1798-436E-8D98-E1ACDE9D21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68D8FA-B582-4BDB-B775-33B5176DB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8c2fb-f919-419c-a17c-617fee3c8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B9B7F9-54E4-4830-B06E-63997D2934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784</Words>
  <Characters>5221</Characters>
  <Application>Microsoft Office Word</Application>
  <DocSecurity>0</DocSecurity>
  <Lines>200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TSB</dc:creator>
  <cp:lastModifiedBy>Maguire, Mairéad</cp:lastModifiedBy>
  <cp:revision>4</cp:revision>
  <cp:lastPrinted>2017-05-19T13:20:00Z</cp:lastPrinted>
  <dcterms:created xsi:type="dcterms:W3CDTF">2020-09-08T09:31:00Z</dcterms:created>
  <dcterms:modified xsi:type="dcterms:W3CDTF">2020-09-08T09:59:00Z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0x010100DD41769929400247A482A6B8D8C3D7A8</vt:lpwstr>
  </property>
</Properties>
</file>