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1984ABB7" w14:textId="77777777" w:rsidTr="00067FC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9B5DA3E" w14:textId="77777777" w:rsidR="002C3E7B" w:rsidRPr="00B70109" w:rsidRDefault="000A402E" w:rsidP="00067FC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229AC" wp14:editId="4CF5640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0825383" w14:textId="77777777" w:rsidR="002C3E7B" w:rsidRPr="00B70109" w:rsidRDefault="002C3E7B" w:rsidP="00067FC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2CAC460" w14:textId="77777777" w:rsidR="002C3E7B" w:rsidRPr="00B70109" w:rsidRDefault="002C3E7B" w:rsidP="00067FC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7DC4D0D" w14:textId="77777777" w:rsidR="002C3E7B" w:rsidRPr="00B70109" w:rsidRDefault="002C3E7B" w:rsidP="00067FC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2667DE4" w14:textId="77777777" w:rsidTr="009D16E7">
        <w:trPr>
          <w:cantSplit/>
          <w:trHeight w:val="818"/>
        </w:trPr>
        <w:tc>
          <w:tcPr>
            <w:tcW w:w="5387" w:type="dxa"/>
            <w:gridSpan w:val="3"/>
            <w:vAlign w:val="center"/>
          </w:tcPr>
          <w:p w14:paraId="11BC5A9C" w14:textId="77777777" w:rsidR="000305E1" w:rsidRPr="00B70109" w:rsidRDefault="000305E1" w:rsidP="00067FCB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ECBEF5" w14:textId="4167F531" w:rsidR="000305E1" w:rsidRPr="00B70109" w:rsidRDefault="000305E1" w:rsidP="00067FCB">
            <w:pPr>
              <w:pStyle w:val="Tabletext"/>
              <w:spacing w:before="240" w:after="120"/>
            </w:pPr>
            <w:r w:rsidRPr="00B70109">
              <w:t>Geneva,</w:t>
            </w:r>
            <w:r w:rsidR="009D16E7">
              <w:t xml:space="preserve"> 14 May 2020</w:t>
            </w:r>
          </w:p>
        </w:tc>
      </w:tr>
      <w:tr w:rsidR="0038260B" w:rsidRPr="00B70109" w14:paraId="71F96702" w14:textId="77777777" w:rsidTr="00067FCB">
        <w:trPr>
          <w:cantSplit/>
          <w:trHeight w:val="746"/>
        </w:trPr>
        <w:tc>
          <w:tcPr>
            <w:tcW w:w="993" w:type="dxa"/>
          </w:tcPr>
          <w:p w14:paraId="60F87935" w14:textId="77777777" w:rsidR="0038260B" w:rsidRPr="00B70109" w:rsidRDefault="0038260B" w:rsidP="00067FCB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374ECDE1" w14:textId="7D617DB5" w:rsidR="0038260B" w:rsidRPr="00B70109" w:rsidRDefault="0038260B" w:rsidP="00067FCB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>TSB Collective letter</w:t>
            </w:r>
            <w:r w:rsidR="00632FCB">
              <w:rPr>
                <w:b/>
              </w:rPr>
              <w:t xml:space="preserve"> 10/11</w:t>
            </w:r>
          </w:p>
          <w:p w14:paraId="653D1298" w14:textId="53179D14" w:rsidR="00C87A03" w:rsidRPr="00B70109" w:rsidRDefault="00632FCB" w:rsidP="00067FCB">
            <w:pPr>
              <w:pStyle w:val="Tabletext"/>
            </w:pPr>
            <w:r w:rsidRPr="00B70109">
              <w:t>SG</w:t>
            </w:r>
            <w:r>
              <w:t>11/DA</w:t>
            </w:r>
          </w:p>
        </w:tc>
        <w:tc>
          <w:tcPr>
            <w:tcW w:w="4678" w:type="dxa"/>
            <w:gridSpan w:val="2"/>
            <w:vMerge w:val="restart"/>
          </w:tcPr>
          <w:p w14:paraId="72FF3399" w14:textId="77777777" w:rsidR="0038260B" w:rsidRPr="00B70109" w:rsidRDefault="0038260B" w:rsidP="00067FC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436B6161" w14:textId="77777777" w:rsidR="0038260B" w:rsidRPr="00B70109" w:rsidRDefault="0038260B" w:rsidP="00067FC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09839631" w14:textId="7C29F25D" w:rsidR="0038260B" w:rsidRPr="00B70109" w:rsidRDefault="0038260B" w:rsidP="00067FC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632FCB">
              <w:t xml:space="preserve"> 11</w:t>
            </w:r>
            <w:r w:rsidRPr="00B70109">
              <w:t>;</w:t>
            </w:r>
          </w:p>
          <w:p w14:paraId="18258203" w14:textId="77777777" w:rsidR="0038260B" w:rsidRPr="00B70109" w:rsidRDefault="0038260B" w:rsidP="00067FC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2F6ED5D0" w14:textId="77777777" w:rsidTr="00067FCB">
        <w:trPr>
          <w:cantSplit/>
          <w:trHeight w:val="221"/>
        </w:trPr>
        <w:tc>
          <w:tcPr>
            <w:tcW w:w="993" w:type="dxa"/>
          </w:tcPr>
          <w:p w14:paraId="07F1A13B" w14:textId="77777777" w:rsidR="0038260B" w:rsidRPr="00B70109" w:rsidRDefault="0038260B" w:rsidP="00067FCB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5BC2FE51" w14:textId="13A6BA25" w:rsidR="0038260B" w:rsidRPr="00B70109" w:rsidRDefault="0038260B" w:rsidP="00067FCB">
            <w:pPr>
              <w:pStyle w:val="Tabletext"/>
              <w:rPr>
                <w:b/>
              </w:rPr>
            </w:pPr>
            <w:r w:rsidRPr="00B70109">
              <w:t>+41 22</w:t>
            </w:r>
            <w:r w:rsidR="00AD2F5B">
              <w:t xml:space="preserve"> </w:t>
            </w:r>
            <w:r w:rsidRPr="00B70109">
              <w:t>730</w:t>
            </w:r>
            <w:r w:rsidR="00632FCB">
              <w:t xml:space="preserve"> 5780</w:t>
            </w:r>
          </w:p>
        </w:tc>
        <w:tc>
          <w:tcPr>
            <w:tcW w:w="4678" w:type="dxa"/>
            <w:gridSpan w:val="2"/>
            <w:vMerge/>
          </w:tcPr>
          <w:p w14:paraId="62A357DE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55F90A61" w14:textId="77777777" w:rsidTr="00067FCB">
        <w:trPr>
          <w:cantSplit/>
          <w:trHeight w:val="282"/>
        </w:trPr>
        <w:tc>
          <w:tcPr>
            <w:tcW w:w="993" w:type="dxa"/>
          </w:tcPr>
          <w:p w14:paraId="4A0D5132" w14:textId="77777777" w:rsidR="0038260B" w:rsidRPr="00B70109" w:rsidRDefault="0038260B" w:rsidP="00067FCB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7BF0D3B0" w14:textId="77777777" w:rsidR="0038260B" w:rsidRPr="00B70109" w:rsidRDefault="0038260B" w:rsidP="00067FCB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0F5EFB0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5510E25B" w14:textId="77777777" w:rsidTr="00067FCB">
        <w:trPr>
          <w:cantSplit/>
          <w:trHeight w:val="376"/>
        </w:trPr>
        <w:tc>
          <w:tcPr>
            <w:tcW w:w="993" w:type="dxa"/>
          </w:tcPr>
          <w:p w14:paraId="4E10041A" w14:textId="77777777" w:rsidR="0038260B" w:rsidRPr="00B70109" w:rsidRDefault="0038260B" w:rsidP="00067FC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77A439E" w14:textId="2342A1A0" w:rsidR="0038260B" w:rsidRPr="00B70109" w:rsidRDefault="00CF3756" w:rsidP="00067FCB">
            <w:pPr>
              <w:pStyle w:val="Tabletext"/>
            </w:pPr>
            <w:hyperlink r:id="rId12" w:history="1">
              <w:r w:rsidR="00632FCB" w:rsidRPr="00874D21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0880ED01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2105FC0C" w14:textId="77777777" w:rsidTr="009D16E7">
        <w:trPr>
          <w:cantSplit/>
          <w:trHeight w:val="791"/>
        </w:trPr>
        <w:tc>
          <w:tcPr>
            <w:tcW w:w="993" w:type="dxa"/>
          </w:tcPr>
          <w:p w14:paraId="03C8903C" w14:textId="77777777" w:rsidR="0038260B" w:rsidRPr="00B70109" w:rsidRDefault="0038260B" w:rsidP="00067FC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4051F2BD" w14:textId="1B9C8166" w:rsidR="0038260B" w:rsidRPr="00B70109" w:rsidRDefault="00CF3756" w:rsidP="00067FCB">
            <w:pPr>
              <w:pStyle w:val="Tabletext"/>
            </w:pPr>
            <w:hyperlink r:id="rId13" w:history="1">
              <w:r w:rsidR="00632FCB" w:rsidRPr="00874D21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678" w:type="dxa"/>
            <w:gridSpan w:val="2"/>
            <w:vMerge/>
          </w:tcPr>
          <w:p w14:paraId="22DA0531" w14:textId="77777777" w:rsidR="0038260B" w:rsidRPr="00B70109" w:rsidRDefault="0038260B" w:rsidP="00067FCB">
            <w:pPr>
              <w:pStyle w:val="Tabletext"/>
            </w:pPr>
          </w:p>
        </w:tc>
      </w:tr>
      <w:tr w:rsidR="00951309" w:rsidRPr="00B70109" w14:paraId="684BD708" w14:textId="77777777" w:rsidTr="009D16E7">
        <w:trPr>
          <w:cantSplit/>
          <w:trHeight w:val="431"/>
        </w:trPr>
        <w:tc>
          <w:tcPr>
            <w:tcW w:w="993" w:type="dxa"/>
          </w:tcPr>
          <w:p w14:paraId="7DA32AA1" w14:textId="77777777" w:rsidR="00951309" w:rsidRPr="00B70109" w:rsidRDefault="00951309" w:rsidP="00067FCB">
            <w:pPr>
              <w:pStyle w:val="Tabletext"/>
            </w:pPr>
            <w:r w:rsidRPr="009D16E7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77A74D42" w14:textId="7EDD25B0" w:rsidR="00951309" w:rsidRPr="00B70109" w:rsidRDefault="00F07607" w:rsidP="00067FCB">
            <w:pPr>
              <w:pStyle w:val="Tabletext"/>
            </w:pPr>
            <w:r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 xml:space="preserve">eeting of </w:t>
            </w:r>
            <w:r w:rsidR="007064E1">
              <w:rPr>
                <w:b/>
                <w:bCs/>
              </w:rPr>
              <w:t xml:space="preserve">ITU-T </w:t>
            </w:r>
            <w:r w:rsidR="00501F4A" w:rsidRPr="00B70109">
              <w:rPr>
                <w:b/>
                <w:bCs/>
              </w:rPr>
              <w:t>Study Group</w:t>
            </w:r>
            <w:r w:rsidR="00632FCB">
              <w:rPr>
                <w:b/>
                <w:bCs/>
              </w:rPr>
              <w:t xml:space="preserve"> 11</w:t>
            </w:r>
            <w:r w:rsidR="003F0F21" w:rsidRPr="00A62FC0">
              <w:rPr>
                <w:b/>
                <w:bCs/>
              </w:rPr>
              <w:t xml:space="preserve">, </w:t>
            </w:r>
            <w:r w:rsidR="00632FCB" w:rsidRPr="00A62FC0">
              <w:rPr>
                <w:b/>
                <w:bCs/>
              </w:rPr>
              <w:t>22-31 July 2020</w:t>
            </w:r>
          </w:p>
        </w:tc>
      </w:tr>
    </w:tbl>
    <w:p w14:paraId="40854A10" w14:textId="77777777" w:rsidR="000B46FB" w:rsidRPr="00632FCB" w:rsidRDefault="000B46FB" w:rsidP="00CE218B">
      <w:pPr>
        <w:spacing w:before="240"/>
      </w:pPr>
      <w:bookmarkStart w:id="1" w:name="StartTyping_E"/>
      <w:bookmarkEnd w:id="1"/>
      <w:r w:rsidRPr="00632FCB">
        <w:t>Dear Sir/Madam,</w:t>
      </w:r>
    </w:p>
    <w:p w14:paraId="1C232508" w14:textId="5AAA1E28" w:rsidR="00C92138" w:rsidRDefault="001C0948" w:rsidP="009D16E7">
      <w:pPr>
        <w:jc w:val="both"/>
        <w:rPr>
          <w:rFonts w:cstheme="minorHAnsi"/>
        </w:rPr>
      </w:pPr>
      <w:r w:rsidRPr="00632FCB">
        <w:t xml:space="preserve">It is my pleasure to invite you to attend </w:t>
      </w:r>
      <w:r w:rsidR="00025A7B" w:rsidRPr="00632FCB">
        <w:t xml:space="preserve">the next meeting of </w:t>
      </w:r>
      <w:r w:rsidRPr="00632FCB">
        <w:t>Study Group</w:t>
      </w:r>
      <w:r w:rsidR="00632FCB" w:rsidRPr="00632FCB">
        <w:t xml:space="preserve"> 11</w:t>
      </w:r>
      <w:r w:rsidRPr="00632FCB">
        <w:t xml:space="preserve"> </w:t>
      </w:r>
      <w:r w:rsidR="00632FCB" w:rsidRPr="00632FCB">
        <w:t>(</w:t>
      </w:r>
      <w:r w:rsidR="00632FCB" w:rsidRPr="00632FCB">
        <w:rPr>
          <w:i/>
        </w:rPr>
        <w:t xml:space="preserve">Signalling requirements, protocols, test specifications and </w:t>
      </w:r>
      <w:r w:rsidR="00632FCB" w:rsidRPr="00DF3488">
        <w:rPr>
          <w:rFonts w:cstheme="minorHAnsi"/>
          <w:i/>
        </w:rPr>
        <w:t>combating counterfeit products</w:t>
      </w:r>
      <w:r w:rsidR="00632FCB" w:rsidRPr="00DF3488">
        <w:rPr>
          <w:rFonts w:cstheme="minorHAnsi"/>
        </w:rPr>
        <w:t>)</w:t>
      </w:r>
      <w:r w:rsidR="00B50540" w:rsidRPr="00DF3488">
        <w:rPr>
          <w:rFonts w:cstheme="minorHAnsi"/>
        </w:rPr>
        <w:t>,</w:t>
      </w:r>
      <w:r w:rsidRPr="00DF3488">
        <w:rPr>
          <w:rFonts w:cstheme="minorHAnsi"/>
        </w:rPr>
        <w:t xml:space="preserve"> which</w:t>
      </w:r>
      <w:r w:rsidR="00040FCE">
        <w:rPr>
          <w:rFonts w:cstheme="minorHAnsi"/>
        </w:rPr>
        <w:t xml:space="preserve"> </w:t>
      </w:r>
      <w:r w:rsidR="00D36CDA">
        <w:rPr>
          <w:rFonts w:cstheme="minorHAnsi"/>
        </w:rPr>
        <w:t xml:space="preserve">is planned to </w:t>
      </w:r>
      <w:r w:rsidR="00CC2C3B">
        <w:rPr>
          <w:rFonts w:cstheme="minorHAnsi"/>
        </w:rPr>
        <w:t xml:space="preserve">be </w:t>
      </w:r>
      <w:r w:rsidR="00D36CDA">
        <w:rPr>
          <w:rFonts w:cstheme="minorHAnsi"/>
        </w:rPr>
        <w:t xml:space="preserve">run </w:t>
      </w:r>
      <w:r w:rsidR="00CC2C3B" w:rsidRPr="007542B3">
        <w:rPr>
          <w:rFonts w:cstheme="minorHAnsi"/>
          <w:u w:val="single"/>
        </w:rPr>
        <w:t>fully virtual</w:t>
      </w:r>
      <w:r w:rsidR="00CC2C3B">
        <w:rPr>
          <w:rFonts w:cstheme="minorHAnsi"/>
        </w:rPr>
        <w:t xml:space="preserve"> </w:t>
      </w:r>
      <w:r w:rsidR="008955F8">
        <w:rPr>
          <w:rFonts w:cstheme="minorHAnsi"/>
        </w:rPr>
        <w:t>from 22</w:t>
      </w:r>
      <w:r w:rsidR="00B25EAD">
        <w:rPr>
          <w:rFonts w:cstheme="minorHAnsi"/>
        </w:rPr>
        <w:t xml:space="preserve"> to </w:t>
      </w:r>
      <w:r w:rsidR="008955F8">
        <w:rPr>
          <w:rFonts w:cstheme="minorHAnsi"/>
        </w:rPr>
        <w:t>31 July 2020</w:t>
      </w:r>
      <w:r w:rsidR="0012592B">
        <w:rPr>
          <w:rFonts w:cstheme="minorHAnsi"/>
        </w:rPr>
        <w:t>, inclusive</w:t>
      </w:r>
      <w:r w:rsidR="00C92138" w:rsidRPr="00DF3488">
        <w:rPr>
          <w:rFonts w:cstheme="minorHAnsi"/>
        </w:rPr>
        <w:t>.</w:t>
      </w:r>
    </w:p>
    <w:p w14:paraId="6A969644" w14:textId="24853EFF" w:rsidR="004F4800" w:rsidRDefault="008955F8" w:rsidP="009D16E7">
      <w:pPr>
        <w:jc w:val="both"/>
      </w:pPr>
      <w:r w:rsidRPr="00C92138">
        <w:t>As a consequence</w:t>
      </w:r>
      <w:r>
        <w:t xml:space="preserve"> of </w:t>
      </w:r>
      <w:r w:rsidR="00D36CDA">
        <w:t xml:space="preserve">the </w:t>
      </w:r>
      <w:r>
        <w:t>current COVID-19</w:t>
      </w:r>
      <w:r w:rsidR="00D36CDA">
        <w:t xml:space="preserve"> pandemic</w:t>
      </w:r>
      <w:r w:rsidRPr="00C92138">
        <w:t xml:space="preserve">, and in coordination with the ITU-T Study Group </w:t>
      </w:r>
      <w:r>
        <w:t>11</w:t>
      </w:r>
      <w:r w:rsidRPr="00C92138">
        <w:t xml:space="preserve"> Chairman</w:t>
      </w:r>
      <w:r w:rsidR="0021565E">
        <w:t xml:space="preserve">, </w:t>
      </w:r>
      <w:r w:rsidR="00345C0E">
        <w:t xml:space="preserve">its </w:t>
      </w:r>
      <w:r w:rsidRPr="00C92138">
        <w:t>management team</w:t>
      </w:r>
      <w:r w:rsidR="0021565E">
        <w:t xml:space="preserve"> and TSB</w:t>
      </w:r>
      <w:r w:rsidRPr="00C92138">
        <w:t>, th</w:t>
      </w:r>
      <w:r w:rsidR="00D36CDA">
        <w:t>is</w:t>
      </w:r>
      <w:r w:rsidRPr="00C92138">
        <w:t xml:space="preserve"> meeting</w:t>
      </w:r>
      <w:r w:rsidR="00D36CDA">
        <w:t xml:space="preserve"> replaces the one originally planned to be held in</w:t>
      </w:r>
      <w:r w:rsidRPr="00C92138">
        <w:t xml:space="preserve"> Geneva</w:t>
      </w:r>
      <w:r>
        <w:t xml:space="preserve"> on</w:t>
      </w:r>
      <w:r w:rsidRPr="00C92138">
        <w:t xml:space="preserve"> </w:t>
      </w:r>
      <w:r w:rsidR="00D36CDA">
        <w:t xml:space="preserve">the same </w:t>
      </w:r>
      <w:r>
        <w:t>dates.</w:t>
      </w:r>
    </w:p>
    <w:p w14:paraId="539FCC5A" w14:textId="4ADA1072" w:rsidR="001D42B8" w:rsidRDefault="001D42B8" w:rsidP="009D16E7">
      <w:pPr>
        <w:jc w:val="both"/>
        <w:rPr>
          <w:rFonts w:cstheme="minorHAnsi"/>
        </w:rPr>
      </w:pPr>
      <w:r>
        <w:t xml:space="preserve">Note that </w:t>
      </w:r>
      <w:r w:rsidRPr="008232CD">
        <w:rPr>
          <w:rFonts w:cstheme="minorHAnsi"/>
        </w:rPr>
        <w:t xml:space="preserve">no </w:t>
      </w:r>
      <w:r>
        <w:rPr>
          <w:rFonts w:cstheme="minorHAnsi"/>
        </w:rPr>
        <w:t>f</w:t>
      </w:r>
      <w:r w:rsidRPr="008232CD">
        <w:rPr>
          <w:rFonts w:cstheme="minorHAnsi"/>
        </w:rPr>
        <w:t>ellowships will be awarded,</w:t>
      </w:r>
      <w:r>
        <w:rPr>
          <w:rFonts w:cstheme="minorHAnsi"/>
        </w:rPr>
        <w:t xml:space="preserve"> and the </w:t>
      </w:r>
      <w:r w:rsidRPr="004F4800">
        <w:rPr>
          <w:rFonts w:cstheme="minorHAnsi"/>
        </w:rPr>
        <w:t>entire meeting will run in English only</w:t>
      </w:r>
      <w:r>
        <w:rPr>
          <w:rFonts w:cstheme="minorHAnsi"/>
        </w:rPr>
        <w:t xml:space="preserve"> with no interpretation</w:t>
      </w:r>
      <w:r w:rsidRPr="004F4800">
        <w:rPr>
          <w:rFonts w:cstheme="minorHAnsi"/>
        </w:rPr>
        <w:t>.</w:t>
      </w:r>
    </w:p>
    <w:p w14:paraId="01F1DFFF" w14:textId="2C2E5F2B" w:rsidR="00EB77FD" w:rsidRPr="00FD7E06" w:rsidRDefault="00EB77FD" w:rsidP="009D16E7">
      <w:pPr>
        <w:jc w:val="both"/>
      </w:pPr>
      <w:r w:rsidRPr="00A87538">
        <w:rPr>
          <w:rFonts w:cstheme="minorHAnsi"/>
        </w:rPr>
        <w:t xml:space="preserve">The opening plenary will be convened on </w:t>
      </w:r>
      <w:r>
        <w:t>22 July</w:t>
      </w:r>
      <w:r w:rsidRPr="00A87538">
        <w:rPr>
          <w:rFonts w:cstheme="minorHAnsi"/>
        </w:rPr>
        <w:t xml:space="preserve"> </w:t>
      </w:r>
      <w:r>
        <w:rPr>
          <w:rFonts w:cstheme="minorHAnsi"/>
        </w:rPr>
        <w:t xml:space="preserve">2020, starting from </w:t>
      </w:r>
      <w:r>
        <w:t>1330</w:t>
      </w:r>
      <w:r w:rsidRPr="00E01084">
        <w:t xml:space="preserve"> hours</w:t>
      </w:r>
      <w:r>
        <w:t xml:space="preserve">, Geneva time, </w:t>
      </w:r>
      <w:r w:rsidRPr="00D861B2">
        <w:t xml:space="preserve">using </w:t>
      </w:r>
      <w:hyperlink r:id="rId14" w:history="1">
        <w:r w:rsidRPr="00D861B2">
          <w:rPr>
            <w:rStyle w:val="Hyperlink"/>
          </w:rPr>
          <w:t>MyMeetings remote participation tool</w:t>
        </w:r>
      </w:hyperlink>
      <w:r w:rsidRPr="00D861B2">
        <w:t>.</w:t>
      </w:r>
      <w:r>
        <w:t xml:space="preserve"> </w:t>
      </w:r>
      <w:r w:rsidRPr="00FD7E06">
        <w:t xml:space="preserve">Documentation, remote participation details and other related information can be found on the </w:t>
      </w:r>
      <w:r w:rsidR="009C7A31">
        <w:t>SG11</w:t>
      </w:r>
      <w:r w:rsidR="00B25EAD">
        <w:t xml:space="preserve"> homepage</w:t>
      </w:r>
      <w:r w:rsidR="009C7A31">
        <w:t xml:space="preserve"> (</w:t>
      </w:r>
      <w:hyperlink r:id="rId15" w:history="1">
        <w:r w:rsidR="009C7A31" w:rsidRPr="00B54F44">
          <w:rPr>
            <w:rStyle w:val="Hyperlink"/>
          </w:rPr>
          <w:t>www.itu.int/go/tsg11</w:t>
        </w:r>
      </w:hyperlink>
      <w:r w:rsidR="009C7A31">
        <w:t>).</w:t>
      </w:r>
    </w:p>
    <w:p w14:paraId="372AE9D1" w14:textId="0FD69B6A" w:rsidR="00EB77FD" w:rsidRPr="008F2CA2" w:rsidRDefault="00EB77FD" w:rsidP="009D16E7">
      <w:pPr>
        <w:jc w:val="both"/>
        <w:rPr>
          <w:rFonts w:cstheme="minorHAnsi"/>
        </w:rPr>
      </w:pPr>
      <w:r w:rsidRPr="008F2CA2">
        <w:t xml:space="preserve">A Bridging the Standardization Gap (BSG) Hands-on Training Session for delegates from developing countries is planned to take place on 21 July 2020, 14:00-15:30, Geneva time. Please indicate your interest to </w:t>
      </w:r>
      <w:hyperlink r:id="rId16" w:history="1">
        <w:r w:rsidRPr="008F2CA2">
          <w:rPr>
            <w:rStyle w:val="Hyperlink"/>
          </w:rPr>
          <w:t>tsbbsg@itu.int</w:t>
        </w:r>
      </w:hyperlink>
      <w:r w:rsidRPr="008F2CA2">
        <w:t>.</w:t>
      </w:r>
    </w:p>
    <w:p w14:paraId="27DBA21A" w14:textId="332B6379" w:rsidR="00E01084" w:rsidRDefault="00E01084" w:rsidP="009D16E7">
      <w:pPr>
        <w:jc w:val="both"/>
      </w:pPr>
      <w:r w:rsidRPr="008D2766">
        <w:t xml:space="preserve">The following </w:t>
      </w:r>
      <w:r w:rsidR="00D36CDA">
        <w:t>events</w:t>
      </w:r>
      <w:r w:rsidR="00D36CDA" w:rsidRPr="008D2766">
        <w:t xml:space="preserve"> </w:t>
      </w:r>
      <w:r w:rsidRPr="008D2766">
        <w:t xml:space="preserve">will be </w:t>
      </w:r>
      <w:r w:rsidR="00D36CDA">
        <w:t xml:space="preserve">held </w:t>
      </w:r>
      <w:r w:rsidRPr="008D2766">
        <w:t>in parallel</w:t>
      </w:r>
      <w:r w:rsidR="00D36CDA">
        <w:t xml:space="preserve"> with the SG11 meeting</w:t>
      </w:r>
      <w:r w:rsidRPr="008D2766">
        <w:t>:</w:t>
      </w:r>
    </w:p>
    <w:p w14:paraId="2FE68D39" w14:textId="1E49CB24" w:rsidR="00E01084" w:rsidRDefault="00E01084" w:rsidP="009D16E7">
      <w:pPr>
        <w:ind w:left="450" w:hanging="284"/>
        <w:jc w:val="both"/>
      </w:pPr>
      <w:r>
        <w:t>-</w:t>
      </w:r>
      <w:r>
        <w:tab/>
      </w:r>
      <w:r w:rsidRPr="00DE2BD0">
        <w:t xml:space="preserve">ITU-T Study Group 13 </w:t>
      </w:r>
      <w:r w:rsidR="007A0207" w:rsidRPr="00DE2BD0">
        <w:t xml:space="preserve">virtual </w:t>
      </w:r>
      <w:r w:rsidR="002B07E5" w:rsidRPr="00DE2BD0">
        <w:t>meeting</w:t>
      </w:r>
      <w:r w:rsidRPr="00DE2BD0">
        <w:t xml:space="preserve">, 20-31 July 2020; more information is available in </w:t>
      </w:r>
      <w:hyperlink r:id="rId17" w:history="1">
        <w:r w:rsidRPr="00DE2BD0">
          <w:rPr>
            <w:rStyle w:val="Hyperlink"/>
          </w:rPr>
          <w:t>Collective</w:t>
        </w:r>
        <w:r w:rsidR="00D36CDA">
          <w:rPr>
            <w:rStyle w:val="Hyperlink"/>
          </w:rPr>
          <w:t xml:space="preserve"> letter</w:t>
        </w:r>
        <w:r w:rsidRPr="00DE2BD0">
          <w:rPr>
            <w:rStyle w:val="Hyperlink"/>
          </w:rPr>
          <w:t xml:space="preserve"> 11/13</w:t>
        </w:r>
      </w:hyperlink>
      <w:r w:rsidRPr="00DE2BD0">
        <w:t>;</w:t>
      </w:r>
    </w:p>
    <w:p w14:paraId="1D9BD162" w14:textId="60AEA27B" w:rsidR="00E01084" w:rsidRDefault="00E01084" w:rsidP="009D16E7">
      <w:pPr>
        <w:ind w:left="450" w:hanging="284"/>
        <w:jc w:val="both"/>
      </w:pPr>
      <w:r>
        <w:t>-</w:t>
      </w:r>
      <w:r>
        <w:tab/>
      </w:r>
      <w:r w:rsidRPr="005C1A96">
        <w:t xml:space="preserve">ITU-T Conformity Assessment </w:t>
      </w:r>
      <w:r>
        <w:t>Steering Committee (</w:t>
      </w:r>
      <w:r w:rsidRPr="00222244">
        <w:t>ITU-T CASC</w:t>
      </w:r>
      <w:r>
        <w:t xml:space="preserve">) </w:t>
      </w:r>
      <w:r w:rsidR="00920327">
        <w:t xml:space="preserve">virtual </w:t>
      </w:r>
      <w:r>
        <w:t>meeting</w:t>
      </w:r>
      <w:r w:rsidRPr="005C1A96">
        <w:t xml:space="preserve">, </w:t>
      </w:r>
      <w:r>
        <w:t xml:space="preserve">24 July 2020; more information </w:t>
      </w:r>
      <w:r w:rsidR="00D17A7C">
        <w:t>is available</w:t>
      </w:r>
      <w:r>
        <w:t xml:space="preserve"> on the </w:t>
      </w:r>
      <w:hyperlink r:id="rId18" w:history="1">
        <w:r w:rsidR="00D36CDA">
          <w:rPr>
            <w:rStyle w:val="Hyperlink"/>
          </w:rPr>
          <w:t>CASC w</w:t>
        </w:r>
        <w:r w:rsidRPr="00222244">
          <w:rPr>
            <w:rStyle w:val="Hyperlink"/>
          </w:rPr>
          <w:t>ebpage</w:t>
        </w:r>
      </w:hyperlink>
      <w:r>
        <w:t>.</w:t>
      </w:r>
    </w:p>
    <w:p w14:paraId="6B9D77B8" w14:textId="77777777" w:rsidR="00A129C1" w:rsidRPr="00B70109" w:rsidRDefault="00A129C1" w:rsidP="00B537A8">
      <w:pPr>
        <w:spacing w:after="240"/>
      </w:pPr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025A7B" w:rsidRPr="00B70109" w14:paraId="771886C9" w14:textId="77777777" w:rsidTr="00E617E9">
        <w:tc>
          <w:tcPr>
            <w:tcW w:w="0" w:type="auto"/>
            <w:shd w:val="clear" w:color="auto" w:fill="auto"/>
            <w:vAlign w:val="center"/>
          </w:tcPr>
          <w:p w14:paraId="1306B493" w14:textId="1C7A52DA" w:rsidR="00025A7B" w:rsidRPr="00B70109" w:rsidRDefault="00A27EEA" w:rsidP="00E96626">
            <w:pPr>
              <w:pStyle w:val="TableText0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A27EEA">
              <w:rPr>
                <w:rFonts w:asciiTheme="minorHAnsi" w:hAnsiTheme="minorHAnsi"/>
                <w:szCs w:val="22"/>
              </w:rPr>
              <w:t>22 May 2020</w:t>
            </w:r>
          </w:p>
        </w:tc>
        <w:tc>
          <w:tcPr>
            <w:tcW w:w="7952" w:type="dxa"/>
            <w:shd w:val="clear" w:color="auto" w:fill="auto"/>
          </w:tcPr>
          <w:p w14:paraId="4DBD6D57" w14:textId="77777777" w:rsidR="00025A7B" w:rsidRPr="00B70109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  <w:szCs w:val="22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hyperlink r:id="rId19" w:history="1">
              <w:r w:rsidR="007A3B5D" w:rsidRPr="00B70109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B70109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B70109" w14:paraId="298B556B" w14:textId="77777777" w:rsidTr="000C4D66">
        <w:tc>
          <w:tcPr>
            <w:tcW w:w="1696" w:type="dxa"/>
            <w:shd w:val="clear" w:color="auto" w:fill="auto"/>
            <w:vAlign w:val="center"/>
          </w:tcPr>
          <w:p w14:paraId="22AAE249" w14:textId="5EF7E4A3" w:rsidR="00BC398D" w:rsidRPr="00B70109" w:rsidRDefault="00A27EEA" w:rsidP="00A27EEA">
            <w:pPr>
              <w:pStyle w:val="TableText0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A27EEA">
              <w:rPr>
                <w:rFonts w:asciiTheme="minorHAnsi" w:hAnsiTheme="minorHAnsi"/>
                <w:szCs w:val="22"/>
              </w:rPr>
              <w:t>22 June 2020</w:t>
            </w:r>
          </w:p>
        </w:tc>
        <w:tc>
          <w:tcPr>
            <w:tcW w:w="7952" w:type="dxa"/>
            <w:shd w:val="clear" w:color="auto" w:fill="auto"/>
          </w:tcPr>
          <w:p w14:paraId="78E5F8EB" w14:textId="19C948D9" w:rsidR="00BC398D" w:rsidRPr="00B70109" w:rsidRDefault="00B027CC" w:rsidP="0081319F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00B65682">
              <w:rPr>
                <w:rFonts w:asciiTheme="minorHAnsi" w:hAnsiTheme="minorHAnsi"/>
                <w:szCs w:val="22"/>
              </w:rPr>
              <w:t>R</w:t>
            </w:r>
            <w:r w:rsidR="00BC398D" w:rsidRPr="00B70109">
              <w:rPr>
                <w:rFonts w:asciiTheme="minorHAnsi" w:hAnsiTheme="minorHAnsi"/>
              </w:rPr>
              <w:t>egistration</w:t>
            </w:r>
            <w:r w:rsidR="00010B0B" w:rsidRPr="00B70109">
              <w:rPr>
                <w:rFonts w:asciiTheme="minorHAnsi" w:hAnsiTheme="minorHAnsi"/>
              </w:rPr>
              <w:t xml:space="preserve"> (via the</w:t>
            </w:r>
            <w:r w:rsidR="00206F31" w:rsidRPr="00B70109">
              <w:rPr>
                <w:rFonts w:asciiTheme="minorHAnsi" w:hAnsiTheme="minorHAnsi"/>
              </w:rPr>
              <w:t xml:space="preserve"> online registration form on </w:t>
            </w:r>
            <w:r w:rsidR="00206F31" w:rsidRPr="00A27EEA">
              <w:rPr>
                <w:rFonts w:asciiTheme="minorHAnsi" w:hAnsiTheme="minorHAnsi"/>
              </w:rPr>
              <w:t>the</w:t>
            </w:r>
            <w:r w:rsidR="00010B0B" w:rsidRPr="00A27EEA">
              <w:rPr>
                <w:rFonts w:asciiTheme="minorHAnsi" w:hAnsiTheme="minorHAnsi"/>
              </w:rPr>
              <w:t xml:space="preserve"> </w:t>
            </w:r>
            <w:r w:rsidR="00010B0B" w:rsidRPr="00B65682">
              <w:rPr>
                <w:rFonts w:asciiTheme="minorHAnsi" w:hAnsiTheme="minorHAnsi"/>
              </w:rPr>
              <w:t>study group homepage</w:t>
            </w:r>
            <w:r w:rsidR="00B65682">
              <w:rPr>
                <w:rFonts w:asciiTheme="minorHAnsi" w:hAnsiTheme="minorHAnsi"/>
              </w:rPr>
              <w:t xml:space="preserve"> </w:t>
            </w:r>
            <w:r w:rsidR="004777CA">
              <w:rPr>
                <w:rFonts w:asciiTheme="minorHAnsi" w:hAnsiTheme="minorHAnsi"/>
              </w:rPr>
              <w:t xml:space="preserve">at: </w:t>
            </w:r>
            <w:hyperlink r:id="rId20" w:history="1">
              <w:r w:rsidR="004777CA" w:rsidRPr="00146B3A">
                <w:rPr>
                  <w:rStyle w:val="Hyperlink"/>
                  <w:rFonts w:asciiTheme="minorHAnsi" w:hAnsiTheme="minorHAnsi"/>
                </w:rPr>
                <w:t>www.itu.int/go/tsg11</w:t>
              </w:r>
            </w:hyperlink>
            <w:r w:rsidR="00010B0B" w:rsidRPr="00A27EEA">
              <w:rPr>
                <w:rFonts w:asciiTheme="minorHAnsi" w:hAnsiTheme="minorHAnsi"/>
              </w:rPr>
              <w:t>)</w:t>
            </w:r>
          </w:p>
        </w:tc>
      </w:tr>
      <w:tr w:rsidR="00BC398D" w:rsidRPr="009D16E7" w14:paraId="65C07B2D" w14:textId="77777777" w:rsidTr="000C4D66">
        <w:tc>
          <w:tcPr>
            <w:tcW w:w="1696" w:type="dxa"/>
            <w:shd w:val="clear" w:color="auto" w:fill="auto"/>
            <w:vAlign w:val="center"/>
          </w:tcPr>
          <w:p w14:paraId="6158C20F" w14:textId="4623A1CB" w:rsidR="00BC398D" w:rsidRPr="00B70109" w:rsidRDefault="00B537A8" w:rsidP="00E96626">
            <w:pPr>
              <w:pStyle w:val="TableText0"/>
              <w:jc w:val="center"/>
              <w:rPr>
                <w:rFonts w:asciiTheme="minorHAnsi" w:hAnsiTheme="minorHAnsi"/>
                <w:szCs w:val="22"/>
                <w:highlight w:val="yellow"/>
              </w:rPr>
            </w:pPr>
            <w:r w:rsidRPr="00B537A8">
              <w:rPr>
                <w:rFonts w:asciiTheme="minorHAnsi" w:hAnsiTheme="minorHAnsi"/>
                <w:szCs w:val="22"/>
              </w:rPr>
              <w:t>9 July 2020</w:t>
            </w:r>
          </w:p>
        </w:tc>
        <w:tc>
          <w:tcPr>
            <w:tcW w:w="7952" w:type="dxa"/>
            <w:shd w:val="clear" w:color="auto" w:fill="auto"/>
          </w:tcPr>
          <w:p w14:paraId="2519B1A3" w14:textId="77777777" w:rsidR="00BC398D" w:rsidRPr="00B537A8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B537A8">
              <w:rPr>
                <w:rFonts w:asciiTheme="minorHAnsi" w:hAnsiTheme="minorHAnsi"/>
                <w:szCs w:val="22"/>
                <w:lang w:val="fr-FR"/>
              </w:rPr>
              <w:t>-</w:t>
            </w:r>
            <w:r w:rsidR="00B027CC" w:rsidRPr="00B537A8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21" w:history="1">
              <w:proofErr w:type="spellStart"/>
              <w:r w:rsidR="007A3B5D" w:rsidRPr="00B537A8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="007A3B5D" w:rsidRPr="00B537A8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Member contributions</w:t>
              </w:r>
              <w:r w:rsidR="00206F31" w:rsidRPr="00B537A8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(via Direct Document </w:t>
              </w:r>
              <w:proofErr w:type="spellStart"/>
              <w:r w:rsidR="00206F31" w:rsidRPr="00B537A8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="00206F31" w:rsidRPr="00B537A8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5B94FBBC" w14:textId="77777777" w:rsidR="009D16E7" w:rsidRDefault="009D16E7" w:rsidP="00B537A8">
      <w:pPr>
        <w:spacing w:before="240"/>
      </w:pPr>
    </w:p>
    <w:p w14:paraId="3A19D1E8" w14:textId="77777777" w:rsidR="009D16E7" w:rsidRDefault="009D16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44259B2" w14:textId="7D8A34D5" w:rsidR="001C0948" w:rsidRPr="00B70109" w:rsidRDefault="00E617E9" w:rsidP="009D16E7">
      <w:pPr>
        <w:spacing w:before="240"/>
        <w:jc w:val="both"/>
      </w:pPr>
      <w:r w:rsidRPr="00B70109">
        <w:lastRenderedPageBreak/>
        <w:t xml:space="preserve">Practical meeting information is set out in </w:t>
      </w:r>
      <w:r w:rsidRPr="00B70109">
        <w:rPr>
          <w:b/>
          <w:bCs/>
        </w:rPr>
        <w:t>Annex A</w:t>
      </w:r>
      <w:r w:rsidRPr="00B70109">
        <w:t xml:space="preserve">. A draft meeting </w:t>
      </w:r>
      <w:r w:rsidRPr="00B70109">
        <w:rPr>
          <w:b/>
          <w:bCs/>
        </w:rPr>
        <w:t>agenda</w:t>
      </w:r>
      <w:r w:rsidRPr="00B70109">
        <w:t>, prepared by</w:t>
      </w:r>
      <w:r w:rsidR="00D36CDA">
        <w:t xml:space="preserve"> the ITU-T SG11 Chairman,</w:t>
      </w:r>
      <w:r>
        <w:t xml:space="preserve"> </w:t>
      </w:r>
      <w:r w:rsidRPr="00613B67">
        <w:t xml:space="preserve">Mr Andrey </w:t>
      </w:r>
      <w:proofErr w:type="spellStart"/>
      <w:r w:rsidRPr="00613B67">
        <w:t>K</w:t>
      </w:r>
      <w:r>
        <w:t>ucheryavy</w:t>
      </w:r>
      <w:proofErr w:type="spellEnd"/>
      <w:r w:rsidRPr="00613B67">
        <w:t xml:space="preserve"> (Russian Federation)</w:t>
      </w:r>
      <w:r w:rsidRPr="00B70109">
        <w:t>,</w:t>
      </w:r>
      <w:r>
        <w:t xml:space="preserve"> is </w:t>
      </w:r>
      <w:r w:rsidRPr="00B70109">
        <w:t xml:space="preserve">set out in </w:t>
      </w:r>
      <w:r w:rsidRPr="00B70109">
        <w:rPr>
          <w:b/>
          <w:bCs/>
        </w:rPr>
        <w:t>Annex B</w:t>
      </w:r>
      <w:r w:rsidRPr="00B70109">
        <w:t>.</w:t>
      </w:r>
      <w:r>
        <w:t xml:space="preserve"> </w:t>
      </w:r>
      <w:r w:rsidRPr="00E4659B">
        <w:t>The draft time</w:t>
      </w:r>
      <w:r>
        <w:t xml:space="preserve"> </w:t>
      </w:r>
      <w:r w:rsidRPr="00E4659B">
        <w:t xml:space="preserve">plan is set out in </w:t>
      </w:r>
      <w:r w:rsidRPr="00E4659B">
        <w:rPr>
          <w:b/>
          <w:bCs/>
        </w:rPr>
        <w:t>Annex C</w:t>
      </w:r>
      <w:r w:rsidRPr="00B70109">
        <w:t>.</w:t>
      </w:r>
    </w:p>
    <w:p w14:paraId="2077CE2B" w14:textId="77777777"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57770B" w:rsidRPr="00B70109" w14:paraId="3FB46215" w14:textId="77777777" w:rsidTr="009D16E7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849AA7D" w14:textId="3EB97323" w:rsidR="00BC5760" w:rsidRPr="00B70109" w:rsidRDefault="0057770B" w:rsidP="009D16E7">
            <w:pPr>
              <w:keepNext/>
              <w:keepLines/>
              <w:spacing w:before="480"/>
            </w:pPr>
            <w:r w:rsidRPr="00B70109">
              <w:t>Yours faithfully,</w:t>
            </w:r>
          </w:p>
          <w:p w14:paraId="0D1E21D4" w14:textId="6B82DC1B" w:rsidR="0057770B" w:rsidRPr="00B70109" w:rsidRDefault="00CF3756" w:rsidP="009D16E7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1E24E5" wp14:editId="7A7BF8C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110490</wp:posOffset>
                  </wp:positionV>
                  <wp:extent cx="819150" cy="34602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048021" w14:textId="5DB6B275" w:rsidR="0057770B" w:rsidRPr="00632FCB" w:rsidRDefault="00632FCB" w:rsidP="00491EEB">
            <w:pPr>
              <w:keepNext/>
              <w:keepLines/>
              <w:spacing w:before="0"/>
              <w:ind w:left="113" w:right="113"/>
              <w:jc w:val="center"/>
            </w:pPr>
            <w:r w:rsidRPr="00632FCB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21391A8" wp14:editId="43C79201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632FCB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 w:rsidRPr="00632FCB">
              <w:rPr>
                <w:rFonts w:ascii="Calibri" w:eastAsia="SimSun" w:hAnsi="Calibri" w:cs="Arial"/>
                <w:sz w:val="20"/>
                <w:lang w:eastAsia="zh-CN"/>
              </w:rPr>
              <w:t>1</w:t>
            </w:r>
            <w:r w:rsidR="0057770B" w:rsidRPr="00632FCB">
              <w:rPr>
                <w:rFonts w:ascii="Calibri" w:eastAsia="SimSun" w:hAnsi="Calibri" w:cs="Arial"/>
                <w:sz w:val="20"/>
                <w:lang w:eastAsia="zh-CN"/>
              </w:rPr>
              <w:t>1</w:t>
            </w:r>
          </w:p>
        </w:tc>
      </w:tr>
      <w:tr w:rsidR="0057770B" w:rsidRPr="00B70109" w14:paraId="333562F7" w14:textId="77777777" w:rsidTr="009D16E7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6238F48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73DB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22225F5F" w14:textId="1E4CF357" w:rsidR="00384E5D" w:rsidRPr="00B70109" w:rsidRDefault="0024485F" w:rsidP="00CE218B">
      <w:pPr>
        <w:spacing w:before="240"/>
      </w:pPr>
      <w:r w:rsidRPr="00B70109">
        <w:rPr>
          <w:b/>
          <w:bCs/>
        </w:rPr>
        <w:t>Annex</w:t>
      </w:r>
      <w:r w:rsidR="00E617E9">
        <w:rPr>
          <w:b/>
          <w:bCs/>
        </w:rPr>
        <w:t>es</w:t>
      </w:r>
      <w:r w:rsidRPr="00B70109">
        <w:t>:</w:t>
      </w:r>
      <w:r w:rsidR="00E617E9">
        <w:t xml:space="preserve"> 3</w:t>
      </w:r>
      <w:r w:rsidR="00384E5D" w:rsidRPr="00B70109">
        <w:br w:type="page"/>
      </w:r>
    </w:p>
    <w:p w14:paraId="1BB1777C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02419DD4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2A506FF6" w14:textId="1676107A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4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5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6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6AE3EEB5" w14:textId="1DBE20C6" w:rsidR="00384E5D" w:rsidRPr="00B70109" w:rsidRDefault="009854F7" w:rsidP="00830DBC">
      <w:pPr>
        <w:rPr>
          <w:szCs w:val="22"/>
        </w:rPr>
      </w:pPr>
      <w:r>
        <w:rPr>
          <w:rFonts w:cstheme="majorBidi"/>
          <w:b/>
          <w:bCs/>
          <w:szCs w:val="22"/>
        </w:rPr>
        <w:t>WORKING LANGUAGE</w:t>
      </w:r>
      <w:r w:rsidR="00B60D37" w:rsidRPr="00B70109">
        <w:rPr>
          <w:rFonts w:cstheme="majorBidi"/>
          <w:szCs w:val="22"/>
        </w:rPr>
        <w:t xml:space="preserve">: </w:t>
      </w:r>
      <w:r w:rsidR="00B537A8" w:rsidRPr="00B537A8">
        <w:rPr>
          <w:rFonts w:cstheme="majorBidi"/>
          <w:szCs w:val="22"/>
        </w:rPr>
        <w:t>The entire meeting will run in English only.</w:t>
      </w:r>
    </w:p>
    <w:p w14:paraId="3C9244C8" w14:textId="34634584" w:rsidR="000F293C" w:rsidRDefault="009560AB" w:rsidP="00F71053">
      <w:pPr>
        <w:snapToGrid w:val="0"/>
        <w:spacing w:after="120"/>
        <w:rPr>
          <w:szCs w:val="22"/>
          <w:lang w:val="en-US"/>
        </w:rPr>
      </w:pPr>
      <w:r w:rsidRPr="00F71053">
        <w:rPr>
          <w:b/>
          <w:bCs/>
          <w:szCs w:val="22"/>
        </w:rPr>
        <w:t>INTERACTIVE REMOTE PARTICIPATION</w:t>
      </w:r>
      <w:r w:rsidRPr="003739EE">
        <w:rPr>
          <w:szCs w:val="22"/>
        </w:rPr>
        <w:t>:</w:t>
      </w:r>
      <w:r w:rsidR="00601975">
        <w:rPr>
          <w:szCs w:val="22"/>
        </w:rPr>
        <w:t xml:space="preserve"> </w:t>
      </w:r>
      <w:r w:rsidR="000F293C" w:rsidRPr="000F293C">
        <w:rPr>
          <w:szCs w:val="22"/>
          <w:lang w:val="en-US"/>
        </w:rPr>
        <w:t>The</w:t>
      </w:r>
      <w:r w:rsidR="000F293C">
        <w:rPr>
          <w:szCs w:val="22"/>
          <w:lang w:val="en-US"/>
        </w:rPr>
        <w:t xml:space="preserve"> </w:t>
      </w:r>
      <w:hyperlink r:id="rId27" w:tgtFrame="_blank" w:history="1">
        <w:proofErr w:type="spellStart"/>
        <w:r w:rsidR="000F293C" w:rsidRPr="000F293C">
          <w:rPr>
            <w:rStyle w:val="Hyperlink"/>
            <w:szCs w:val="22"/>
            <w:lang w:val="en-US"/>
          </w:rPr>
          <w:t>MyMeetings</w:t>
        </w:r>
        <w:proofErr w:type="spellEnd"/>
      </w:hyperlink>
      <w:r w:rsidR="000F293C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tool will be used to</w:t>
      </w:r>
      <w:r w:rsidR="000F293C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provide</w:t>
      </w:r>
      <w:r w:rsidR="0043353E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remote participation</w:t>
      </w:r>
      <w:r w:rsidR="0043353E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for</w:t>
      </w:r>
      <w:r w:rsidR="0043353E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all sessions, including decisions-making sessions such as</w:t>
      </w:r>
      <w:r w:rsidR="00635094">
        <w:rPr>
          <w:szCs w:val="22"/>
          <w:lang w:val="en-US"/>
        </w:rPr>
        <w:t xml:space="preserve"> </w:t>
      </w:r>
      <w:r w:rsidR="00E01AAA">
        <w:rPr>
          <w:szCs w:val="22"/>
          <w:lang w:val="en-US"/>
        </w:rPr>
        <w:t>working part</w:t>
      </w:r>
      <w:r w:rsidR="00FA53EC">
        <w:rPr>
          <w:szCs w:val="22"/>
          <w:lang w:val="en-US"/>
        </w:rPr>
        <w:t>ies</w:t>
      </w:r>
      <w:r w:rsidR="00E01AAA">
        <w:rPr>
          <w:szCs w:val="22"/>
          <w:lang w:val="en-US"/>
        </w:rPr>
        <w:t xml:space="preserve"> and study group </w:t>
      </w:r>
      <w:r w:rsidR="000F293C" w:rsidRPr="000F293C">
        <w:rPr>
          <w:szCs w:val="22"/>
          <w:lang w:val="en-US"/>
        </w:rPr>
        <w:t>plenaries. Delegates must register for the meeting and identify themselves and their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affiliation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when taking the floor. Remote participation is provided on a best-effort basis.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Participants should be aware that the meeting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will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not be delayed or interrupted because of a remote participant’s inability to connect,</w:t>
      </w:r>
      <w:r w:rsidR="00635094">
        <w:rPr>
          <w:szCs w:val="22"/>
          <w:lang w:val="en-US"/>
        </w:rPr>
        <w:t xml:space="preserve"> </w:t>
      </w:r>
      <w:proofErr w:type="gramStart"/>
      <w:r w:rsidR="000F293C" w:rsidRPr="000F293C">
        <w:rPr>
          <w:szCs w:val="22"/>
          <w:lang w:val="en-US"/>
        </w:rPr>
        <w:t>listen</w:t>
      </w:r>
      <w:proofErr w:type="gramEnd"/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 xml:space="preserve">or be heard, as per the </w:t>
      </w:r>
      <w:r w:rsidR="001012B0">
        <w:rPr>
          <w:szCs w:val="22"/>
          <w:lang w:val="en-US"/>
        </w:rPr>
        <w:t>C</w:t>
      </w:r>
      <w:r w:rsidR="000F293C" w:rsidRPr="000F293C">
        <w:rPr>
          <w:szCs w:val="22"/>
          <w:lang w:val="en-US"/>
        </w:rPr>
        <w:t>hairman's discretion. If the voice quality of a remote participant is considered insufficient, the Chairman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may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interrupt the remote participant and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may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refrain from giving the participant the floor until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there is indication that</w:t>
      </w:r>
      <w:r w:rsidR="00635094">
        <w:rPr>
          <w:szCs w:val="22"/>
          <w:lang w:val="en-US"/>
        </w:rPr>
        <w:t xml:space="preserve"> </w:t>
      </w:r>
      <w:r w:rsidR="000F293C" w:rsidRPr="000F293C">
        <w:rPr>
          <w:szCs w:val="22"/>
          <w:lang w:val="en-US"/>
        </w:rPr>
        <w:t>the problem is resolved.</w:t>
      </w:r>
    </w:p>
    <w:p w14:paraId="5B13699F" w14:textId="6B530442" w:rsidR="00384E5D" w:rsidRPr="00B70109" w:rsidRDefault="00426BDA" w:rsidP="008539A2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REGISTRATION</w:t>
      </w:r>
    </w:p>
    <w:p w14:paraId="4EFA8769" w14:textId="6BB12110" w:rsidR="008E3443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EA41F2" w:rsidRPr="00EA41F2">
        <w:t xml:space="preserve"> </w:t>
      </w:r>
      <w:r w:rsidR="00AC6FA8">
        <w:t>R</w:t>
      </w:r>
      <w:r w:rsidR="00C87E56" w:rsidRPr="00B70109">
        <w:t xml:space="preserve">egistration is </w:t>
      </w:r>
      <w:r w:rsidR="00B027CC" w:rsidRPr="00B70109">
        <w:t xml:space="preserve">mandatory and is </w:t>
      </w:r>
      <w:r w:rsidR="00C87E56" w:rsidRPr="00B70109">
        <w:t>to be done online via the study group home page</w:t>
      </w:r>
      <w:r w:rsidR="00F27356">
        <w:t xml:space="preserve"> (</w:t>
      </w:r>
      <w:hyperlink r:id="rId28" w:history="1">
        <w:r w:rsidR="00F27356" w:rsidRPr="00146B3A">
          <w:rPr>
            <w:rStyle w:val="Hyperlink"/>
          </w:rPr>
          <w:t>www.itu.int/go/tsg11</w:t>
        </w:r>
      </w:hyperlink>
      <w:r w:rsidR="00F27356">
        <w:t>)</w:t>
      </w:r>
      <w:r w:rsidR="00C87E56" w:rsidRPr="00B70109">
        <w:t xml:space="preserve">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</w:t>
      </w:r>
      <w:r w:rsidR="00455CE4">
        <w:t>Without registration, delegates will not be able to access the remote participation tool.</w:t>
      </w:r>
    </w:p>
    <w:p w14:paraId="2267811F" w14:textId="77777777" w:rsidR="00607A02" w:rsidRDefault="00B027CC" w:rsidP="00D442B4">
      <w:r w:rsidRPr="00B70109">
        <w:t xml:space="preserve">As outlined in </w:t>
      </w:r>
      <w:hyperlink r:id="rId29" w:history="1">
        <w:r w:rsidRPr="00B70109">
          <w:rPr>
            <w:rStyle w:val="Hyperlink"/>
          </w:rPr>
          <w:t>TSB Circular 68</w:t>
        </w:r>
      </w:hyperlink>
      <w:r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AC31EA" w:rsidRPr="00B70109">
        <w:t xml:space="preserve"> </w:t>
      </w:r>
      <w:r w:rsidR="00617501" w:rsidRPr="00B70109">
        <w:t xml:space="preserve">registration system requires </w:t>
      </w:r>
      <w:r w:rsidRPr="00B70109">
        <w:t>focal-point approval for registration requests</w:t>
      </w:r>
      <w:r w:rsidR="00AC31EA">
        <w:t xml:space="preserve">; </w:t>
      </w:r>
      <w:hyperlink r:id="rId30" w:history="1">
        <w:r w:rsidR="00AC31EA" w:rsidRPr="00AC31EA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Pr="00B70109">
        <w:t>.</w:t>
      </w:r>
    </w:p>
    <w:p w14:paraId="12C7D719" w14:textId="0CB663B3" w:rsidR="00C87E56" w:rsidRDefault="00D442B4" w:rsidP="00D442B4">
      <w:r w:rsidRPr="00B70109">
        <w:t xml:space="preserve">The membership is invited to include women </w:t>
      </w:r>
      <w:r w:rsidR="003C29A6" w:rsidRPr="00B70109">
        <w:t>in</w:t>
      </w:r>
      <w:r w:rsidRPr="00B70109">
        <w:t xml:space="preserve"> their delegations whenever possible</w:t>
      </w:r>
      <w:r w:rsidR="000B31A0" w:rsidRPr="00B70109">
        <w:t>.</w:t>
      </w:r>
    </w:p>
    <w:p w14:paraId="36F626CD" w14:textId="77777777" w:rsidR="00000FC7" w:rsidRPr="00B70109" w:rsidRDefault="00000FC7" w:rsidP="0081319F">
      <w:pPr>
        <w:spacing w:after="120"/>
        <w:rPr>
          <w:b/>
          <w:bCs/>
        </w:rPr>
      </w:pPr>
      <w:r w:rsidRPr="00B70109">
        <w:rPr>
          <w:b/>
          <w:bCs/>
        </w:rPr>
        <w:br w:type="page"/>
      </w:r>
    </w:p>
    <w:p w14:paraId="1C3B651C" w14:textId="3B39B220" w:rsidR="00AE03A7" w:rsidRPr="00B70109" w:rsidRDefault="00D33EE4" w:rsidP="001C39A4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  <w:r w:rsidR="00C81646">
        <w:t xml:space="preserve"> of SG11 virtual meeting, 22-31 July 2020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8937"/>
        <w:gridCol w:w="536"/>
      </w:tblGrid>
      <w:tr w:rsidR="00A50646" w14:paraId="5EC21655" w14:textId="77777777" w:rsidTr="007B02EC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180EB0EA" w14:textId="77777777" w:rsidR="00A50646" w:rsidRDefault="00A50646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>
              <w:rPr>
                <w:rFonts w:cstheme="majorBidi"/>
                <w:b/>
                <w:bCs/>
                <w:szCs w:val="22"/>
                <w:lang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06A5C220" w14:textId="77777777" w:rsidR="00A50646" w:rsidRDefault="00A50646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>
              <w:rPr>
                <w:rFonts w:cstheme="majorBidi"/>
                <w:b/>
                <w:bCs/>
                <w:szCs w:val="22"/>
                <w:lang w:eastAsia="zh-CN"/>
              </w:rPr>
              <w:t>Agenda items</w:t>
            </w:r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2014F32F" w14:textId="77777777" w:rsidR="00A50646" w:rsidRDefault="00A50646">
            <w:pPr>
              <w:tabs>
                <w:tab w:val="clear" w:pos="794"/>
                <w:tab w:val="clear" w:pos="1191"/>
              </w:tabs>
              <w:rPr>
                <w:rFonts w:cstheme="majorBidi"/>
                <w:b/>
                <w:bCs/>
                <w:szCs w:val="22"/>
                <w:lang w:eastAsia="zh-CN"/>
              </w:rPr>
            </w:pPr>
          </w:p>
        </w:tc>
      </w:tr>
      <w:tr w:rsidR="00A50646" w14:paraId="7AC8755F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6DFA6ED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5D13A917" w14:textId="77777777" w:rsidR="00A50646" w:rsidRDefault="00A50646">
            <w:pPr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 xml:space="preserve">Opening of the SG11 Plenary meeting </w:t>
            </w:r>
          </w:p>
          <w:p w14:paraId="564AACC6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Approval of the agenda</w:t>
            </w:r>
          </w:p>
          <w:p w14:paraId="09D30478" w14:textId="6E79D331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Approval of the previous SG11 reports (</w:t>
            </w:r>
            <w:r w:rsidR="004E7DCA">
              <w:rPr>
                <w:rFonts w:cstheme="majorBidi"/>
                <w:szCs w:val="22"/>
                <w:lang w:eastAsia="ja-JP"/>
              </w:rPr>
              <w:t>4-13 March 2020</w:t>
            </w:r>
            <w:r>
              <w:rPr>
                <w:rFonts w:cstheme="majorBidi"/>
                <w:szCs w:val="22"/>
                <w:lang w:eastAsia="ja-JP"/>
              </w:rPr>
              <w:t>)</w:t>
            </w:r>
          </w:p>
          <w:p w14:paraId="7F5F2F94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Approval of the meeting time plan</w:t>
            </w:r>
          </w:p>
          <w:p w14:paraId="01B1459E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Document allocation</w:t>
            </w:r>
          </w:p>
          <w:p w14:paraId="08C873D3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Incoming liaison statements</w:t>
            </w:r>
          </w:p>
          <w:p w14:paraId="0D102CB1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Meeting facilities and electronic working methods</w:t>
            </w:r>
          </w:p>
          <w:p w14:paraId="408F2DE6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ja-JP"/>
              </w:rPr>
              <w:t>Newcomers’ welcome pack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FE0B68F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1F39B1A1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74BAD27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2D3EA3E2" w14:textId="77777777" w:rsidR="00A50646" w:rsidRDefault="00A50646">
            <w:pPr>
              <w:pStyle w:val="TOC1"/>
              <w:spacing w:before="120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SG11 organization, including Regional Groups and CASC</w:t>
            </w:r>
          </w:p>
          <w:p w14:paraId="5721F289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SG11 Management team</w:t>
            </w:r>
          </w:p>
          <w:p w14:paraId="4C625F04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Working Party structure and its Management</w:t>
            </w:r>
          </w:p>
          <w:p w14:paraId="74E3EFD8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Questions Rapporteurs and Associates, including rapporteur appointments</w:t>
            </w:r>
          </w:p>
          <w:p w14:paraId="6775380A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ja-JP"/>
              </w:rPr>
              <w:t>Liaison Officers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6F3BA2B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7A2B3270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04C6E6A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5F349A12" w14:textId="77777777" w:rsidR="00A50646" w:rsidRDefault="00A50646">
            <w:pPr>
              <w:tabs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Feedback on interim activities since last meeting</w:t>
            </w:r>
          </w:p>
          <w:p w14:paraId="00077BE9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Recommendation matters</w:t>
            </w:r>
          </w:p>
          <w:p w14:paraId="3A29452E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ja-JP"/>
              </w:rPr>
              <w:t>Interim Rapporteur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C4FBDA4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6D614D34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63AE82C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7CE9D8FD" w14:textId="77777777" w:rsidR="00A50646" w:rsidRDefault="00A50646">
            <w:pPr>
              <w:tabs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Approval of interim outgoing Liaison Statements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2366F87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5FC7609F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8DBC8D0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32B3B665" w14:textId="77777777" w:rsidR="00A50646" w:rsidRDefault="00A50646">
            <w:pPr>
              <w:tabs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Approval of the updated work programme of SG11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3690A92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788299C8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ED2AEF1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34B059EF" w14:textId="77777777" w:rsidR="00A50646" w:rsidRPr="00C91712" w:rsidRDefault="00A50646">
            <w:pPr>
              <w:tabs>
                <w:tab w:val="clear" w:pos="794"/>
                <w:tab w:val="left" w:pos="0"/>
                <w:tab w:val="left" w:pos="34"/>
              </w:tabs>
              <w:rPr>
                <w:rFonts w:cstheme="minorHAnsi"/>
                <w:szCs w:val="22"/>
                <w:lang w:eastAsia="zh-CN"/>
              </w:rPr>
            </w:pPr>
            <w:r w:rsidRPr="00C91712">
              <w:rPr>
                <w:rFonts w:cstheme="minorHAnsi"/>
                <w:szCs w:val="22"/>
                <w:lang w:eastAsia="zh-CN"/>
              </w:rPr>
              <w:t>Consider approval of Recommendations in accordance with [Resolution 1 / Recommendation ITU-T A.8], if any</w:t>
            </w:r>
          </w:p>
          <w:p w14:paraId="738E4510" w14:textId="77677F1F" w:rsidR="00C91712" w:rsidRPr="0081319F" w:rsidRDefault="002871C8" w:rsidP="0081319F">
            <w:pPr>
              <w:pStyle w:val="ListParagraph"/>
              <w:numPr>
                <w:ilvl w:val="1"/>
                <w:numId w:val="16"/>
              </w:numPr>
              <w:tabs>
                <w:tab w:val="clear" w:pos="720"/>
                <w:tab w:val="clear" w:pos="794"/>
                <w:tab w:val="left" w:pos="0"/>
                <w:tab w:val="left" w:pos="34"/>
                <w:tab w:val="num" w:pos="456"/>
              </w:tabs>
              <w:ind w:left="456" w:hanging="456"/>
              <w:rPr>
                <w:rFonts w:asciiTheme="minorHAnsi" w:hAnsiTheme="minorHAnsi" w:cstheme="minorHAnsi"/>
                <w:szCs w:val="22"/>
                <w:lang w:eastAsia="zh-CN"/>
              </w:rPr>
            </w:pPr>
            <w:r w:rsidRPr="0081319F">
              <w:rPr>
                <w:rFonts w:asciiTheme="minorHAnsi" w:hAnsiTheme="minorHAnsi" w:cstheme="minorHAnsi"/>
                <w:szCs w:val="22"/>
                <w:lang w:eastAsia="zh-CN"/>
              </w:rPr>
              <w:t>Member State consultation on Determined draft new Recommendation ITU-T Q.3643</w:t>
            </w:r>
            <w:r w:rsidR="00C91712" w:rsidRPr="00C91712">
              <w:rPr>
                <w:rFonts w:asciiTheme="minorHAnsi" w:hAnsiTheme="minorHAnsi" w:cstheme="minorHAnsi"/>
                <w:szCs w:val="22"/>
                <w:lang w:eastAsia="zh-CN"/>
              </w:rPr>
              <w:t xml:space="preserve"> (</w:t>
            </w:r>
            <w:hyperlink r:id="rId31" w:history="1">
              <w:r w:rsidR="00C91712" w:rsidRPr="00C91712">
                <w:rPr>
                  <w:rStyle w:val="Hyperlink"/>
                  <w:rFonts w:asciiTheme="minorHAnsi" w:hAnsiTheme="minorHAnsi" w:cstheme="minorHAnsi"/>
                  <w:szCs w:val="22"/>
                  <w:lang w:eastAsia="zh-CN"/>
                </w:rPr>
                <w:t>TSB Circular 241</w:t>
              </w:r>
            </w:hyperlink>
            <w:r w:rsidR="00C91712">
              <w:rPr>
                <w:rFonts w:asciiTheme="minorHAnsi" w:hAnsiTheme="minorHAnsi" w:cstheme="minorHAnsi"/>
                <w:szCs w:val="22"/>
                <w:lang w:eastAsia="zh-CN"/>
              </w:rPr>
              <w:t xml:space="preserve"> and </w:t>
            </w:r>
            <w:hyperlink r:id="rId32" w:history="1">
              <w:r w:rsidR="00C91712" w:rsidRPr="00C91712">
                <w:rPr>
                  <w:rStyle w:val="Hyperlink"/>
                  <w:rFonts w:asciiTheme="minorHAnsi" w:hAnsiTheme="minorHAnsi" w:cstheme="minorHAnsi"/>
                  <w:szCs w:val="22"/>
                  <w:lang w:eastAsia="zh-CN"/>
                </w:rPr>
                <w:t>Report 30</w:t>
              </w:r>
            </w:hyperlink>
            <w:r w:rsidR="00C91712">
              <w:rPr>
                <w:rFonts w:asciiTheme="minorHAnsi" w:hAnsiTheme="minorHAnsi" w:cstheme="minorHAnsi"/>
                <w:szCs w:val="22"/>
                <w:lang w:eastAsia="zh-CN"/>
              </w:rPr>
              <w:t>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3FC7E36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57BBD5E0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5528864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0A472C30" w14:textId="3E467C07" w:rsidR="00A50646" w:rsidRDefault="00F720CC">
            <w:pPr>
              <w:pStyle w:val="TOC1"/>
              <w:spacing w:before="120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 xml:space="preserve">Achievements of </w:t>
            </w:r>
            <w:r w:rsidR="00A50646">
              <w:rPr>
                <w:rFonts w:cstheme="majorBidi"/>
                <w:szCs w:val="22"/>
                <w:lang w:eastAsia="zh-CN"/>
              </w:rPr>
              <w:t xml:space="preserve">SG11 </w:t>
            </w:r>
            <w:r>
              <w:rPr>
                <w:rFonts w:cstheme="majorBidi"/>
                <w:szCs w:val="22"/>
                <w:lang w:eastAsia="zh-CN"/>
              </w:rPr>
              <w:t>during</w:t>
            </w:r>
            <w:r w:rsidR="00A50646">
              <w:rPr>
                <w:rFonts w:cstheme="majorBidi"/>
                <w:szCs w:val="22"/>
                <w:lang w:eastAsia="zh-CN"/>
              </w:rPr>
              <w:t xml:space="preserve"> 2017-2020 Study Period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776E854" w14:textId="77777777" w:rsidR="00A50646" w:rsidRDefault="00A50646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A50646" w14:paraId="3C2DE560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C08D9C6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5A97743E" w14:textId="77777777" w:rsidR="00A50646" w:rsidRDefault="00A5064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proofErr w:type="spellStart"/>
            <w:r>
              <w:rPr>
                <w:rFonts w:cstheme="majorBidi"/>
                <w:szCs w:val="22"/>
                <w:lang w:eastAsia="zh-CN"/>
              </w:rPr>
              <w:t>iLSs</w:t>
            </w:r>
            <w:proofErr w:type="spellEnd"/>
            <w:r>
              <w:rPr>
                <w:rFonts w:cstheme="majorBidi"/>
                <w:szCs w:val="22"/>
                <w:lang w:eastAsia="zh-CN"/>
              </w:rPr>
              <w:t xml:space="preserve"> addressed to all Questions of SG11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F535D44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1D8F7A48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7C56E77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7C2B95DB" w14:textId="77777777" w:rsidR="00A50646" w:rsidRDefault="00A5064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Promotion of SG11 work, e.g. workshops organization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F20EF77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49BB3F04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452CBAA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175BF261" w14:textId="77777777" w:rsidR="00A50646" w:rsidRDefault="00A5064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Templates (e.g. agendas, reports)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D6E40DD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1B8F66C6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F6D6966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13714BF1" w14:textId="71A3DB87" w:rsidR="00A50646" w:rsidRDefault="00A5064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 xml:space="preserve">Arrangement of </w:t>
            </w:r>
            <w:bookmarkStart w:id="2" w:name="_Hlk12543696"/>
            <w:r>
              <w:rPr>
                <w:rFonts w:cstheme="majorBidi"/>
                <w:szCs w:val="22"/>
                <w:lang w:eastAsia="zh-CN"/>
              </w:rPr>
              <w:t>SG11 special session</w:t>
            </w:r>
            <w:r w:rsidR="00E33124">
              <w:rPr>
                <w:rFonts w:cstheme="majorBidi"/>
                <w:szCs w:val="22"/>
                <w:lang w:eastAsia="zh-CN"/>
              </w:rPr>
              <w:t>s</w:t>
            </w:r>
            <w:r>
              <w:rPr>
                <w:rFonts w:cstheme="majorBidi"/>
                <w:szCs w:val="22"/>
                <w:lang w:eastAsia="zh-CN"/>
              </w:rPr>
              <w:t xml:space="preserve"> on preparation for WTSA-20</w:t>
            </w:r>
            <w:bookmarkEnd w:id="2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C7B26E0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6BF2F626" w14:textId="77777777" w:rsidTr="007B02EC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67667618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60CD7173" w14:textId="77777777" w:rsidR="00A50646" w:rsidRDefault="00A5064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AOB for opening Plenary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8636D9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628DEF82" w14:textId="77777777" w:rsidTr="00BD38FF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62DA0F68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</w:tbl>
    <w:p w14:paraId="1A56EABD" w14:textId="4730E401" w:rsidR="00A50646" w:rsidRDefault="00A50646" w:rsidP="00000FC7"/>
    <w:p w14:paraId="39A7C48B" w14:textId="77777777" w:rsidR="00A50646" w:rsidRDefault="00A506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8939"/>
        <w:gridCol w:w="534"/>
      </w:tblGrid>
      <w:tr w:rsidR="00A50646" w14:paraId="70A991E6" w14:textId="77777777" w:rsidTr="00BD38FF">
        <w:trPr>
          <w:jc w:val="center"/>
        </w:trPr>
        <w:tc>
          <w:tcPr>
            <w:tcW w:w="338" w:type="pct"/>
            <w:tcBorders>
              <w:top w:val="single" w:sz="18" w:space="0" w:color="auto"/>
              <w:left w:val="single" w:sz="18" w:space="0" w:color="000000" w:themeColor="text1"/>
              <w:bottom w:val="nil"/>
              <w:right w:val="nil"/>
            </w:tcBorders>
          </w:tcPr>
          <w:p w14:paraId="10E7AB50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22A3D95B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Intellectual Property Rights (IPR) inquiry</w:t>
            </w:r>
          </w:p>
        </w:tc>
        <w:tc>
          <w:tcPr>
            <w:tcW w:w="263" w:type="pct"/>
            <w:tcBorders>
              <w:top w:val="single" w:sz="18" w:space="0" w:color="auto"/>
              <w:left w:val="nil"/>
              <w:bottom w:val="nil"/>
              <w:right w:val="single" w:sz="18" w:space="0" w:color="000000" w:themeColor="text1"/>
            </w:tcBorders>
          </w:tcPr>
          <w:p w14:paraId="02D641DE" w14:textId="77777777" w:rsidR="00A50646" w:rsidRDefault="00A50646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A50646" w14:paraId="53DE79B0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44F23DC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5B1F90B4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Approval and “Consent” of draft Recommendations proposed for approval (Recommendation ITU-T A.8) and approval of other deliverables</w:t>
            </w:r>
          </w:p>
          <w:p w14:paraId="64FF24CD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Recommendations</w:t>
            </w:r>
          </w:p>
          <w:p w14:paraId="2B33BD64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Supplements</w:t>
            </w:r>
          </w:p>
          <w:p w14:paraId="7AF574E6" w14:textId="77777777" w:rsidR="00A50646" w:rsidRDefault="00A50646" w:rsidP="00A50646">
            <w:pPr>
              <w:numPr>
                <w:ilvl w:val="1"/>
                <w:numId w:val="16"/>
              </w:numPr>
              <w:tabs>
                <w:tab w:val="left" w:pos="720"/>
              </w:tabs>
              <w:overflowPunct/>
              <w:autoSpaceDE/>
              <w:adjustRightInd/>
              <w:spacing w:before="120"/>
              <w:ind w:left="492" w:hanging="492"/>
              <w:contextualSpacing/>
              <w:textAlignment w:val="auto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ja-JP"/>
              </w:rPr>
              <w:t>Technical Papers and Reports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5929803" w14:textId="77777777" w:rsidR="00A50646" w:rsidRDefault="00A50646">
            <w:pPr>
              <w:tabs>
                <w:tab w:val="left" w:pos="720"/>
              </w:tabs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22FC65A8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8EF4389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2DFE9625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Recommendations for (TAP) Determination/Decision/Approval (Resolution 1) (if any)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AD2C5D6" w14:textId="77777777" w:rsidR="00A50646" w:rsidRDefault="00A50646">
            <w:pPr>
              <w:tabs>
                <w:tab w:val="left" w:pos="720"/>
              </w:tabs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2F74886E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7D49960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420CCC52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New appointment of Rapporteurs, Associate Rapporteurs, Liaison Officers (if any)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0073478" w14:textId="77777777" w:rsidR="00A50646" w:rsidRDefault="00A50646">
            <w:pPr>
              <w:tabs>
                <w:tab w:val="left" w:pos="720"/>
              </w:tabs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19C47019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4A2BD94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124FA12C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zh-CN"/>
              </w:rPr>
              <w:t>Approval of Working Party reports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3E6D6A0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</w:p>
        </w:tc>
      </w:tr>
      <w:tr w:rsidR="00A50646" w14:paraId="6EED9790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00D3CDC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36E48C3B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Outcomes of SG11 special session on preparation for WTSA-20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8E471C5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</w:p>
        </w:tc>
      </w:tr>
      <w:tr w:rsidR="00A50646" w14:paraId="133EF63E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BDC590A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3F50937F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Outgoing Liaison Statements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1375830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</w:p>
        </w:tc>
      </w:tr>
      <w:tr w:rsidR="00A50646" w14:paraId="64280A54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17962F7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58D691A5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zh-CN"/>
              </w:rPr>
              <w:t>New/Revised Questions (if any)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A9E40C8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2960CE2A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F2111E7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62B8BF81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New work items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497A9FA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2A72CD56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1D1DBC8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6AE935CF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Update of SG11 Work Programme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FC24236" w14:textId="77777777" w:rsidR="00A50646" w:rsidRDefault="00A50646">
            <w:pPr>
              <w:tabs>
                <w:tab w:val="left" w:pos="720"/>
              </w:tabs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3D7069E2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13C2D2B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4C9D84B1" w14:textId="77777777" w:rsidR="00A50646" w:rsidRDefault="00A50646">
            <w:pPr>
              <w:rPr>
                <w:rFonts w:cstheme="majorBidi"/>
                <w:szCs w:val="22"/>
                <w:highlight w:val="yellow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Date and place of the next SG11 meetings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1F84B5F" w14:textId="77777777" w:rsidR="00A50646" w:rsidRDefault="00A50646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A50646" w14:paraId="5BC7B66D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C9ACBEF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798E5894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zh-CN"/>
              </w:rPr>
              <w:t>Future Interim Activities (Working Parties and interim Rapporteur group meetings)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4E90DEA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0CAE055F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7AE6D6F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19A8FC24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Future Workshops of SG11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2DDA921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20EFB4F8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B10D1B4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1F4995BD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Future Regional Group meetings and CASC meetings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5023673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7F59A954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6FE43BF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0379ABF7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ja-JP"/>
              </w:rPr>
              <w:t>AOB</w:t>
            </w:r>
            <w:r>
              <w:rPr>
                <w:rFonts w:cstheme="majorBidi"/>
                <w:szCs w:val="22"/>
                <w:lang w:eastAsia="zh-CN"/>
              </w:rPr>
              <w:t xml:space="preserve"> for closing Plenary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DC6D155" w14:textId="77777777" w:rsidR="00A50646" w:rsidRDefault="00A5064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A50646" w14:paraId="2060ED40" w14:textId="77777777" w:rsidTr="00BD38FF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2DC1FAAC" w14:textId="77777777" w:rsidR="00A50646" w:rsidRDefault="00A50646" w:rsidP="00A50646">
            <w:pPr>
              <w:numPr>
                <w:ilvl w:val="0"/>
                <w:numId w:val="16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05BA5568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zh-CN"/>
              </w:rPr>
              <w:t>Closing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86B1DBE" w14:textId="77777777" w:rsidR="00A50646" w:rsidRDefault="00A50646">
            <w:pPr>
              <w:rPr>
                <w:rFonts w:cstheme="majorBidi"/>
                <w:szCs w:val="22"/>
                <w:lang w:eastAsia="ja-JP"/>
              </w:rPr>
            </w:pPr>
          </w:p>
        </w:tc>
      </w:tr>
    </w:tbl>
    <w:p w14:paraId="0C6535E2" w14:textId="1BDA3B1B" w:rsidR="00A50646" w:rsidRDefault="00A50646" w:rsidP="00A50646">
      <w:pPr>
        <w:spacing w:before="360"/>
        <w:rPr>
          <w:i/>
          <w:iCs/>
          <w:szCs w:val="22"/>
        </w:rPr>
      </w:pPr>
      <w:r>
        <w:rPr>
          <w:i/>
          <w:iCs/>
          <w:szCs w:val="22"/>
        </w:rPr>
        <w:t>Note: Items 1 to 1</w:t>
      </w:r>
      <w:r w:rsidR="00E33124">
        <w:rPr>
          <w:i/>
          <w:iCs/>
          <w:szCs w:val="22"/>
        </w:rPr>
        <w:t>2</w:t>
      </w:r>
      <w:r>
        <w:rPr>
          <w:i/>
          <w:iCs/>
          <w:szCs w:val="22"/>
        </w:rPr>
        <w:t xml:space="preserve"> are expected to be addressed in the opening Plenary (22 July 2020) and items 1</w:t>
      </w:r>
      <w:r w:rsidR="00E33124">
        <w:rPr>
          <w:i/>
          <w:iCs/>
          <w:szCs w:val="22"/>
        </w:rPr>
        <w:t>3</w:t>
      </w:r>
      <w:r>
        <w:rPr>
          <w:i/>
          <w:iCs/>
          <w:szCs w:val="22"/>
        </w:rPr>
        <w:t xml:space="preserve"> to 2</w:t>
      </w:r>
      <w:r w:rsidR="00E33124">
        <w:rPr>
          <w:i/>
          <w:iCs/>
          <w:szCs w:val="22"/>
        </w:rPr>
        <w:t>8</w:t>
      </w:r>
      <w:r>
        <w:rPr>
          <w:i/>
          <w:iCs/>
          <w:szCs w:val="22"/>
        </w:rPr>
        <w:t xml:space="preserve"> are expected to be addressed in the closing Plenary (31 July 2020).</w:t>
      </w:r>
    </w:p>
    <w:p w14:paraId="5FD93C9E" w14:textId="77777777" w:rsidR="00BD38FF" w:rsidRDefault="00A50646" w:rsidP="00A50646">
      <w:pPr>
        <w:sectPr w:rsidR="00BD38FF" w:rsidSect="00D442B4">
          <w:headerReference w:type="default" r:id="rId33"/>
          <w:footerReference w:type="first" r:id="rId34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  <w:r>
        <w:t xml:space="preserve">NOTE ‒ Updates to the agenda can be found in </w:t>
      </w:r>
      <w:hyperlink r:id="rId35" w:history="1">
        <w:r w:rsidRPr="00A50646">
          <w:rPr>
            <w:rStyle w:val="Hyperlink"/>
          </w:rPr>
          <w:t>SG11-TD1265/GEN</w:t>
        </w:r>
      </w:hyperlink>
      <w:r>
        <w:t>.</w:t>
      </w:r>
    </w:p>
    <w:p w14:paraId="2CFB7D27" w14:textId="77777777" w:rsidR="00BD38FF" w:rsidRDefault="00BD38FF" w:rsidP="00BD38FF">
      <w:pPr>
        <w:pStyle w:val="Annextitle"/>
        <w:spacing w:before="0" w:after="0"/>
      </w:pPr>
      <w:r>
        <w:lastRenderedPageBreak/>
        <w:t>ANNEX C</w:t>
      </w:r>
      <w:r>
        <w:br/>
        <w:t>Draft time plan</w:t>
      </w:r>
    </w:p>
    <w:p w14:paraId="480C696B" w14:textId="77777777" w:rsidR="0000149D" w:rsidRDefault="0000149D" w:rsidP="0000149D">
      <w:pPr>
        <w:snapToGrid w:val="0"/>
        <w:spacing w:before="0" w:after="240"/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t>SG11 virtual mee</w:t>
      </w:r>
      <w:r w:rsidRPr="00B747B5">
        <w:rPr>
          <w:rFonts w:eastAsia="Calibri"/>
          <w:b/>
          <w:bCs/>
          <w:lang w:val="en-US"/>
        </w:rPr>
        <w:t xml:space="preserve">ting, </w:t>
      </w:r>
      <w:bookmarkStart w:id="3" w:name="_Hlk38874097"/>
      <w:r w:rsidRPr="00B747B5">
        <w:rPr>
          <w:rFonts w:eastAsia="Calibri"/>
          <w:b/>
          <w:bCs/>
          <w:lang w:val="en-US"/>
        </w:rPr>
        <w:t>22-31 July 2020</w:t>
      </w:r>
      <w:bookmarkEnd w:id="3"/>
      <w:r>
        <w:rPr>
          <w:rFonts w:eastAsia="Calibri"/>
          <w:b/>
          <w:bCs/>
          <w:lang w:val="en-US"/>
        </w:rPr>
        <w:br/>
        <w:t>(</w:t>
      </w:r>
      <w:r w:rsidRPr="00B747B5">
        <w:rPr>
          <w:rFonts w:eastAsia="Calibri"/>
          <w:b/>
          <w:bCs/>
          <w:lang w:val="en-US"/>
        </w:rPr>
        <w:t>First week</w:t>
      </w:r>
      <w:r>
        <w:rPr>
          <w:rFonts w:eastAsia="Calibri"/>
          <w:b/>
          <w:bCs/>
          <w:lang w:val="en-US"/>
        </w:rPr>
        <w:t>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322CF" w:rsidRPr="003B2617" w14:paraId="70D080F6" w14:textId="77777777" w:rsidTr="00B25EAD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3893478" w14:textId="77777777" w:rsidR="002322CF" w:rsidRPr="003B2617" w:rsidRDefault="002322CF" w:rsidP="00B25EAD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BEA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Wednesday, 22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5DFF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Thursday, 23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0C5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Friday, 24 July 2020</w:t>
            </w:r>
          </w:p>
        </w:tc>
      </w:tr>
      <w:tr w:rsidR="002322CF" w:rsidRPr="003B2617" w14:paraId="20FB0E02" w14:textId="77777777" w:rsidTr="00B25EAD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9F03F4D" w14:textId="77777777" w:rsidR="002322CF" w:rsidRPr="003B2617" w:rsidRDefault="002322CF" w:rsidP="00B25EAD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9300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4928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6F76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EE00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50E5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3E70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23BE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0D04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318F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0DDF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150A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7F3E4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4109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C530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B2BC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A8BF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952E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6F757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2617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2322CF" w:rsidRPr="003B2617" w14:paraId="16A89271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A55353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E7A50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B29E6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74FE9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456A61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B2DA62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4C070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B7523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DAEA2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564A2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67FF4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BA293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CB8FE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5B520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65AAB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53B4E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4EF9A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CB397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367F82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22CF" w:rsidRPr="003B2617" w14:paraId="7D3FFAC9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C06C67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F81BF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55CC0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81786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F48FB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3AFF5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631AA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02554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8E721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BCA85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93CBD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0062E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DF29A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4E07E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91AB5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66151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433AC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333CC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BAED57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30AE4438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84F90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51DC0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EC2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78D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BB8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FC5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DC99E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0A10C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1BF6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81BC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2AF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097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1621F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217F2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027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50E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591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FB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BAC5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0A73E11E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7BD2F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581CA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EA5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09F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1F3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B28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51DE6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EDF5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6A4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6B6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418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ABD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704D5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53F49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697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FD2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7B1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0A9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FEEA6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6B4C7383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8FF21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4682E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434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2FC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4A55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798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2A6E2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D1C18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9A08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FF7A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1D6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FBA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08DE5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4714B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5BA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942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63C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55B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ACC69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0D0F605D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F859C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A1F5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D91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80C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601B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EF3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22F7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63558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D99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FDB7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2202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F7B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A7243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25FC4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C14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9A7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F24B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F57E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9BAB8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0E4495E2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F083D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FF71F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629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A58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6285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C54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6B4B0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2A064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007F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D983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825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1F9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AA128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96CEB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5295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0710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2C1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C66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441E2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09997ECE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836B3E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A1671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FD791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1BFC2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AA4CA5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F26C1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290F4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3B489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45BCA9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784D5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3AC81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1BB00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53D5B1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DD6A3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406B1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582FA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2940F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AECE2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0286AE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4B57B6C5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A24D5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7F199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8FA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B78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C42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4EB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29118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917D3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C06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161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1848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6470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6E8C8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1347A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B04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3A9D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7A37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66C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414DF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0F905993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0B817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72097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21A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D9A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D67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D4F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D209F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D5F01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C9F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159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E54A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1EB2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05F26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315A1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39A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C90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14E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27EB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5442B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4AEFFB6F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C90FE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72FC6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218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52F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CC6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E46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44451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1B53C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E92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84E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BA40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0820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C9061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FB2EA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A243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765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E23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2B9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3D5B9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695D01EA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38DBF0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E5F9A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A78FF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4A490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E04CA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E9D54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3A89FA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01716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677A6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D02F1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AB657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6147F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F12F3F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25789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90CF8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75C26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B1011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84282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50419C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579AA3A7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1F511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Q9/11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75B19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0BC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0B3C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DC03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FA6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F6AF8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B7FE9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DEEB" w14:textId="77777777" w:rsidR="002322CF" w:rsidRPr="0044642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D05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591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956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61C78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2FD08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4A5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263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2AE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C3B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4267F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5E04B80D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285175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Q10/11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DDE82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282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A0B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1F1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AA8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4C73A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FCDF3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719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664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830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066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1B37A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327E7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BC8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23B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F94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F18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E00AA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42A41AFB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15A46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Q11/11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513A3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3E2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520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E98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888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4B9A0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5FC37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D74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001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D7D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D4A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BAE9E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AD3DA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1D7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559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695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B5C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433DB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7B3A7FA8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ABE62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AA21C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38B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910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FEB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E8D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87F7E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3DD9F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FC76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178D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68F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94AB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0406A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80FD8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065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6A2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87AF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227E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3292E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787FB66B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E4044C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9B136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4E7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918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DCA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FE9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DD4C5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C74D4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C46D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6090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65D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3B6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83998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A602A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5B8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F1C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75D4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B2DA7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73E75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661805C3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862CB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6D6C0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6075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42A1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530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321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04BAE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83173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91D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E4A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20A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966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37E0E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BC3A8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D94B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E5A1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2EDA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3526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0DA24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1ADA927C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A206F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F23EF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98F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2D7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708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9E2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38ECCE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1671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D99E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0393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D63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72EE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9F713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648C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F9C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A6F4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C00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96B4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95FB6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</w:tr>
      <w:tr w:rsidR="002322CF" w:rsidRPr="003B2617" w14:paraId="62027C16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32606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Prep. SS WTSA-20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A8786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CBD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7DE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FB1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F08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FF745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DF1E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681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ECA9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7FE3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0504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53CA5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87628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6C0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1F5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7BA5A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F5C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166A8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3B2617" w14:paraId="1B6BEC24" w14:textId="77777777" w:rsidTr="00B25EAD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5F422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2617">
              <w:rPr>
                <w:rFonts w:cstheme="minorHAnsi"/>
                <w:b/>
                <w:sz w:val="16"/>
                <w:szCs w:val="16"/>
              </w:rPr>
              <w:t>CASC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7A2DDC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1A4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E8F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170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7CE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F3779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3FAA01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D395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F890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A627D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1156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9EC88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8031D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11E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63B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A6868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4258F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81DF9B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322CF" w:rsidRPr="00E3739E" w14:paraId="48958AF4" w14:textId="77777777" w:rsidTr="00B25EAD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EE8B6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Sessions times (Geneva time)</w:t>
            </w:r>
          </w:p>
          <w:p w14:paraId="6C425A77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fr-CH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0: 0900-1015;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1: 1030-1145;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2: 1200-1315;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>Session 3: 1330-1445;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br/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4: 1500-1615;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>Session 5: 1630-1745</w:t>
            </w:r>
          </w:p>
        </w:tc>
      </w:tr>
      <w:tr w:rsidR="002322CF" w:rsidRPr="003B2617" w14:paraId="2DFD06A1" w14:textId="77777777" w:rsidTr="00B25EAD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09912" w14:textId="77777777" w:rsidR="002322CF" w:rsidRPr="003B2617" w:rsidRDefault="002322CF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  <w:lang w:val="en-US"/>
              </w:rPr>
              <w:t>Key:   V - virtual meeting via ITU MyWorkspace</w:t>
            </w:r>
          </w:p>
        </w:tc>
      </w:tr>
    </w:tbl>
    <w:p w14:paraId="17C4D445" w14:textId="77777777" w:rsidR="00CE6341" w:rsidRPr="002322CF" w:rsidRDefault="00CE63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p w14:paraId="7D9A5674" w14:textId="77777777" w:rsidR="001E3596" w:rsidRDefault="001E3596" w:rsidP="001E3596">
      <w:pPr>
        <w:snapToGrid w:val="0"/>
        <w:spacing w:before="0" w:after="240"/>
        <w:jc w:val="center"/>
        <w:rPr>
          <w:rFonts w:eastAsia="Calibri"/>
          <w:b/>
          <w:bCs/>
          <w:lang w:val="en-US"/>
        </w:rPr>
      </w:pPr>
      <w:r>
        <w:rPr>
          <w:rFonts w:eastAsia="Calibri"/>
          <w:b/>
          <w:bCs/>
          <w:lang w:val="en-US"/>
        </w:rPr>
        <w:lastRenderedPageBreak/>
        <w:t>SG11 virtual mee</w:t>
      </w:r>
      <w:r w:rsidRPr="00B747B5">
        <w:rPr>
          <w:rFonts w:eastAsia="Calibri"/>
          <w:b/>
          <w:bCs/>
          <w:lang w:val="en-US"/>
        </w:rPr>
        <w:t>ting, 22-31 July 2020</w:t>
      </w:r>
      <w:r>
        <w:rPr>
          <w:rFonts w:eastAsia="Calibri"/>
          <w:b/>
          <w:bCs/>
          <w:lang w:val="en-US"/>
        </w:rPr>
        <w:br/>
        <w:t>(Second</w:t>
      </w:r>
      <w:r w:rsidRPr="00B747B5">
        <w:rPr>
          <w:rFonts w:eastAsia="Calibri"/>
          <w:b/>
          <w:bCs/>
          <w:lang w:val="en-US"/>
        </w:rPr>
        <w:t xml:space="preserve"> week</w:t>
      </w:r>
      <w:r>
        <w:rPr>
          <w:rFonts w:eastAsia="Calibri"/>
          <w:b/>
          <w:bCs/>
          <w:lang w:val="en-US"/>
        </w:rPr>
        <w:t>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1E3596" w:rsidRPr="00855011" w14:paraId="688E13D4" w14:textId="77777777" w:rsidTr="00B25EAD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4F38D8A" w14:textId="77777777" w:rsidR="001E3596" w:rsidRPr="00855011" w:rsidRDefault="001E3596" w:rsidP="00B25EAD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9A21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Monday, 27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C976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Tuesday, 28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97A6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Wednesday, 29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A750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Thursday, 30 July 2020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4CE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Friday, 31 July 2020</w:t>
            </w:r>
          </w:p>
        </w:tc>
      </w:tr>
      <w:tr w:rsidR="001E3596" w:rsidRPr="00855011" w14:paraId="3B39F0B4" w14:textId="77777777" w:rsidTr="00B25EAD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D9BAB05" w14:textId="77777777" w:rsidR="001E3596" w:rsidRPr="00855011" w:rsidRDefault="001E3596" w:rsidP="00B25EAD">
            <w:pPr>
              <w:spacing w:before="0" w:line="256" w:lineRule="auto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CB41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57E9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6557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8FA8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565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C0576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586F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7CAA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684D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2347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2D02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595B9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B726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04B8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F6FA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A8D0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0B34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B9DEE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8AA9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553E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1623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2D8B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199F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AB466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8E2C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1458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47C2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C65B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64E6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9BB9F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5011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1E3596" w:rsidRPr="00855011" w14:paraId="0A8015AC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D3F72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BDF4E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6A0CC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79F31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703C7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CC32D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C72FE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84B96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C9AF7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5E06A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332AD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00181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A9C10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5E7DF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12359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9F57D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F9DFD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0C59C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DCDCA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09660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9B19D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3A3E8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7D34C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5DB20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84396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9BAD8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5C6D4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DA26B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0B60F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92D52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07ACE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31EED496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CC2A7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86264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76F57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B3AC3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E3DAC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4DFC9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DFC19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13639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DFD97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A5922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E3B9C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5BE80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E2413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ECDCE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E388C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02DB4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A2702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B6828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BB668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58A32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77064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88AB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2F504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28531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079CC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1548F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9D160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63E74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ABB67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83541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3CAE1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10B2DD86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25E557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024B7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F0C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758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4A71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394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332A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1BFC4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ED9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8941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6FE7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D04A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886A6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662B2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A90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ED6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227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63E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E664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B54EF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FA0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CE9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591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7FD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1A66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8F5C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12D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738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E43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506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08F52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11A7DA2F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E9222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D07FD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727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4EF6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613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6AB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FDE1F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D2FD5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D3A5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3BF5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857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C85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DE46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B1265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351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B0D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CB4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371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082E2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8E0060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35A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0BD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8F4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4B9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64C86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69401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3A9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D8A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173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DBC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6B8A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40C5FF6F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69F0F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4F621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3FFE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DF79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F790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C4F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B96F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BA798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67E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4C5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8E1B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A6B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3525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19718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E15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025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D7F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9EB1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C61F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D80D5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81B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614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E16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817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D8F0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E534F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F83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C0B3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E24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429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C8C7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26A385B9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E51A5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31683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8DD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99A7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6CE5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7ECE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27297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6E76C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F5AC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5DC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BB0D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B3DD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0E50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2F420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72B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9EA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63C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EEB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9587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A2B3D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931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3AC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06A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72E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CA359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77309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A39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9B1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C96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090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6032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6F8DE84E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4DD78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5267A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628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BDF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D1E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3EB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6AB3A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79C83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367B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F6B2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27B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214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378C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3E478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1E4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34D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166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74B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59BF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5E1DF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4E0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113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97C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0EC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A384C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2A540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B38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850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231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A57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68EB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166F83E2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15F2C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0F41E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60796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1D9A7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BB965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83F3B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2927A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E2A3F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B8BEA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75EB0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C70CE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4759E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4FE3B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E0525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C4233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8874C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F5218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132D9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C846D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52187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818B5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CB309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14F71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57F11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C8E0F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6C176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CA03C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FF1EB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4B1CC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9B587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9D3E6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2C864FBA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F232AC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2BE3B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ABE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BC6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613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CA4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78032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1EC45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31B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0E9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AEA9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7332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1EF9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60D22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A6CB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A1B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E55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1DF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A60C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3EC7E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78B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F5DE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053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112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0A0C6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89ECE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64C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E7CA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1531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37D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47D4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7AA6CB2A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AD6AF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EE2C4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546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6DC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8136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D76F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AABA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F7835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6E63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9BF1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5A92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7336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0BE86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DEDC0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FB7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EBE2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DE6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DA4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4ACD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68505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BF1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A24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BF6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BA6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6F532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D72F8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446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E36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EB4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6B7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4087C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06101793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CD089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CF45E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4A1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7E7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9551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C28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D871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04533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91B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00E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B7BD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A7E4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AA88B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4A923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3BD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73D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9B26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564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3EB9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1B4C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333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74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EBE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794E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769D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B46D7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E59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963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FC8A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535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A8A8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64BB8C8E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650DA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CA689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1A8C8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8D22C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7B238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0F9F1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57A23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851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5CF29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D4456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776E7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D684C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B1B30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2E8F8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45026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7A643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63654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32143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3E425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8404F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BE0BE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DC91C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D0D0B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E2CA8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8067A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16080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3EC68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5284D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BF834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1CEE3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EBE4F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733600E1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0BFF9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Q9/11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596C8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FF4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6C9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756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333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21C5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67311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261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F4A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C8C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114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3A79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81B99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300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2AC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F0C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219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F7E2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06EE4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641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FD6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4EF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CE1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8F28D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1DC48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1AE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70D4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0BD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775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454C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1B925D22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CCB1B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Q10/11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CAD4F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913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FA5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907B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9DA2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3393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963F5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95A2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3765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8CB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5F3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2463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DCEDF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2274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7CA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FCC7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2C05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690F9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88BD3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F11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5CC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C1B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572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3DADA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3B0A7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B00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ED5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917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D1D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BA4E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446BE5FF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0B96B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Q11/11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A1377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429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98D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240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F5E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B94D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58B1D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AEB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6D81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430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3E2C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5066A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E030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395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BC9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36C6D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772C1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2D7F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83799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85E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64D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1EC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018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E2DA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69129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FEE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9C4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CD0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437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05FA9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4DD49195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6351B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437AE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FCA0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5AED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D26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F19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DE19D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91AA1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FB0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AD0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91C8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7E38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4050E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6CF48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B35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F77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858C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3BDD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67A35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F3566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17B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5C74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F6E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76D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A490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FF88B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077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4F79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A2F2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847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ABEB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2696FA71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E1E60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39AA0" w14:textId="0CD36A66" w:rsidR="001E3596" w:rsidRPr="00855011" w:rsidRDefault="006B7300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C99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6044" w14:textId="047D6C23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116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853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5C00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13D57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1B7D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52A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963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11F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954E9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4393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D3D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73B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4E51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539E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8B6CF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E0515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677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B292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E25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D76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094B8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A49A6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E32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E2D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C2A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0A4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D8F8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6D39C3CA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128BD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8B287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59D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694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65A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41E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6898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F7586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88A5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01AA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337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0C7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1103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47B44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B8DF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5F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F473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B414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3FAC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88E17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448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2A9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FAF2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E81B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24406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C8466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B43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0FB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50A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CB3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6B236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6B3A481B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18FE0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D5AD0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D92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891B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A10D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3C96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2B6C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EAF73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BE2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5DC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8585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1769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F642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72428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E3E8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F61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0D7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C67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74294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5FBB3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137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885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D3C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949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BE5FF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757102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3C7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23F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4FB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CD9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EDBF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855011" w14:paraId="257AA396" w14:textId="77777777" w:rsidTr="00B25EAD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ED33C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55011">
              <w:rPr>
                <w:rFonts w:cstheme="minorHAnsi"/>
                <w:b/>
                <w:sz w:val="16"/>
                <w:szCs w:val="16"/>
              </w:rPr>
              <w:t>Prep. SS WTSA-20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E8892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5C8E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70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740A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871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04C1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C357E3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F50E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1CB7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6E0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ACD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DF457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79ABA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AD9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31D4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6097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55B85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55011">
              <w:rPr>
                <w:rFonts w:cstheme="minorHAns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4AF84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DE4F9D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333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D411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4DEB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FDA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C0AF66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15D8D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679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2FB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AF90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FB9C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D55069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E3596" w:rsidRPr="00E3739E" w14:paraId="1869531C" w14:textId="77777777" w:rsidTr="00B25EAD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28A5B" w14:textId="77777777" w:rsidR="001E3596" w:rsidRPr="003B2617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</w:rPr>
              <w:t>Sessions times (Geneva time)</w:t>
            </w:r>
          </w:p>
          <w:p w14:paraId="49E2AF3B" w14:textId="77777777" w:rsidR="001E3596" w:rsidRPr="003920C7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fr-CH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0: 0900-1015;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1: 1030-1145;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2: 1200-1315;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3: 1330-1445;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4: 1500-1615; </w:t>
            </w:r>
            <w:r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         </w:t>
            </w:r>
            <w:r w:rsidRPr="003B2617">
              <w:rPr>
                <w:rFonts w:cstheme="minorHAnsi"/>
                <w:b/>
                <w:bCs/>
                <w:sz w:val="16"/>
                <w:szCs w:val="16"/>
                <w:lang w:val="fr-CH"/>
              </w:rPr>
              <w:t>Session 5: 1630-1745</w:t>
            </w:r>
          </w:p>
        </w:tc>
      </w:tr>
      <w:tr w:rsidR="001E3596" w:rsidRPr="00855011" w14:paraId="5092BC2F" w14:textId="77777777" w:rsidTr="00B25EAD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6297F" w14:textId="77777777" w:rsidR="001E3596" w:rsidRPr="00855011" w:rsidRDefault="001E3596" w:rsidP="00B25EAD">
            <w:pPr>
              <w:spacing w:before="40" w:after="40" w:line="25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B2617">
              <w:rPr>
                <w:rFonts w:cstheme="minorHAnsi"/>
                <w:b/>
                <w:bCs/>
                <w:sz w:val="16"/>
                <w:szCs w:val="16"/>
                <w:lang w:val="en-US"/>
              </w:rPr>
              <w:t>Key:   V - virtual meeting via ITU MyWorkspace</w:t>
            </w:r>
          </w:p>
        </w:tc>
      </w:tr>
    </w:tbl>
    <w:p w14:paraId="082F6C73" w14:textId="09BDCD29" w:rsidR="00CE6341" w:rsidRDefault="00CE63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p w14:paraId="5BEA8D22" w14:textId="3E96FD11" w:rsidR="00CE6341" w:rsidRDefault="00CE6341" w:rsidP="00CE6341">
      <w:pPr>
        <w:spacing w:before="360"/>
      </w:pPr>
      <w:r>
        <w:t xml:space="preserve">Note 2: Updates to the timetable can be found in </w:t>
      </w:r>
      <w:hyperlink r:id="rId36" w:history="1">
        <w:r w:rsidRPr="00A50646">
          <w:rPr>
            <w:rStyle w:val="Hyperlink"/>
          </w:rPr>
          <w:t>SG11-TD126</w:t>
        </w:r>
        <w:r>
          <w:rPr>
            <w:rStyle w:val="Hyperlink"/>
          </w:rPr>
          <w:t>6</w:t>
        </w:r>
        <w:r w:rsidRPr="00A50646">
          <w:rPr>
            <w:rStyle w:val="Hyperlink"/>
          </w:rPr>
          <w:t>/GEN</w:t>
        </w:r>
      </w:hyperlink>
      <w:r>
        <w:t>.</w:t>
      </w:r>
    </w:p>
    <w:p w14:paraId="3972FF1F" w14:textId="77777777" w:rsidR="00977A25" w:rsidRPr="00B70109" w:rsidRDefault="00977A25" w:rsidP="00D8683D">
      <w:pPr>
        <w:spacing w:before="240" w:after="120"/>
        <w:jc w:val="center"/>
      </w:pPr>
      <w:r w:rsidRPr="00B70109">
        <w:t>_____________________</w:t>
      </w:r>
    </w:p>
    <w:sectPr w:rsidR="00977A25" w:rsidRPr="00B70109" w:rsidSect="00BD38FF">
      <w:pgSz w:w="16834" w:h="11907" w:orient="landscape" w:code="9"/>
      <w:pgMar w:top="851" w:right="1135" w:bottom="85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E1345" w14:textId="77777777" w:rsidR="00B25EAD" w:rsidRDefault="00B25EAD">
      <w:r>
        <w:separator/>
      </w:r>
    </w:p>
  </w:endnote>
  <w:endnote w:type="continuationSeparator" w:id="0">
    <w:p w14:paraId="243599FE" w14:textId="77777777" w:rsidR="00B25EAD" w:rsidRDefault="00B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9E57" w14:textId="77777777" w:rsidR="00B25EAD" w:rsidRPr="00C345C7" w:rsidRDefault="00B25EAD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DA4CC" w14:textId="77777777" w:rsidR="00B25EAD" w:rsidRDefault="00B25EAD">
      <w:r>
        <w:t>____________________</w:t>
      </w:r>
    </w:p>
  </w:footnote>
  <w:footnote w:type="continuationSeparator" w:id="0">
    <w:p w14:paraId="725A30AE" w14:textId="77777777" w:rsidR="00B25EAD" w:rsidRDefault="00B25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8E5B" w14:textId="77777777" w:rsidR="00B25EAD" w:rsidRDefault="00CF3756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5EAD">
          <w:rPr>
            <w:noProof/>
          </w:rPr>
          <w:t>-</w:t>
        </w:r>
        <w:r w:rsidR="00B25EAD">
          <w:t xml:space="preserve"> </w:t>
        </w:r>
        <w:r w:rsidR="00B25EAD">
          <w:fldChar w:fldCharType="begin"/>
        </w:r>
        <w:r w:rsidR="00B25EAD">
          <w:instrText xml:space="preserve"> PAGE   \* MERGEFORMAT </w:instrText>
        </w:r>
        <w:r w:rsidR="00B25EAD">
          <w:fldChar w:fldCharType="separate"/>
        </w:r>
        <w:r w:rsidR="00B25EAD">
          <w:rPr>
            <w:noProof/>
          </w:rPr>
          <w:t>5</w:t>
        </w:r>
        <w:r w:rsidR="00B25EAD">
          <w:rPr>
            <w:noProof/>
          </w:rPr>
          <w:fldChar w:fldCharType="end"/>
        </w:r>
      </w:sdtContent>
    </w:sdt>
    <w:r w:rsidR="00B25EAD">
      <w:rPr>
        <w:noProof/>
      </w:rPr>
      <w:t xml:space="preserve"> -</w:t>
    </w:r>
  </w:p>
  <w:p w14:paraId="3DC202DD" w14:textId="3D34C83E" w:rsidR="00B25EAD" w:rsidRDefault="00B25EAD" w:rsidP="00453805">
    <w:pPr>
      <w:pStyle w:val="Header"/>
      <w:rPr>
        <w:noProof/>
      </w:rPr>
    </w:pPr>
    <w:r>
      <w:rPr>
        <w:noProof/>
      </w:rPr>
      <w:t>Collective letter 10/11</w:t>
    </w:r>
  </w:p>
  <w:p w14:paraId="2CF2BF2D" w14:textId="77777777" w:rsidR="009D16E7" w:rsidRPr="00C740E1" w:rsidRDefault="009D16E7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0"/>
  </w:num>
  <w:num w:numId="14">
    <w:abstractNumId w:val="18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2E"/>
    <w:rsid w:val="00000FC7"/>
    <w:rsid w:val="0000149D"/>
    <w:rsid w:val="000034C9"/>
    <w:rsid w:val="000069D4"/>
    <w:rsid w:val="0000705A"/>
    <w:rsid w:val="000103B1"/>
    <w:rsid w:val="00010B0B"/>
    <w:rsid w:val="000174AD"/>
    <w:rsid w:val="0002578E"/>
    <w:rsid w:val="00025A7B"/>
    <w:rsid w:val="000305E1"/>
    <w:rsid w:val="00040FCE"/>
    <w:rsid w:val="000473DF"/>
    <w:rsid w:val="00053AD3"/>
    <w:rsid w:val="00057223"/>
    <w:rsid w:val="00067FCB"/>
    <w:rsid w:val="00073152"/>
    <w:rsid w:val="000877A6"/>
    <w:rsid w:val="00095667"/>
    <w:rsid w:val="00096C2F"/>
    <w:rsid w:val="000A402E"/>
    <w:rsid w:val="000A7199"/>
    <w:rsid w:val="000A7D55"/>
    <w:rsid w:val="000B2F64"/>
    <w:rsid w:val="000B31A0"/>
    <w:rsid w:val="000B46FB"/>
    <w:rsid w:val="000B7817"/>
    <w:rsid w:val="000C2E8E"/>
    <w:rsid w:val="000C4182"/>
    <w:rsid w:val="000C4C90"/>
    <w:rsid w:val="000C4D66"/>
    <w:rsid w:val="000D49FB"/>
    <w:rsid w:val="000E0AE4"/>
    <w:rsid w:val="000E0E7C"/>
    <w:rsid w:val="000E271C"/>
    <w:rsid w:val="000E2B32"/>
    <w:rsid w:val="000F1B4B"/>
    <w:rsid w:val="000F293C"/>
    <w:rsid w:val="000F6D51"/>
    <w:rsid w:val="001012B0"/>
    <w:rsid w:val="00115DF1"/>
    <w:rsid w:val="00120B55"/>
    <w:rsid w:val="00124AE2"/>
    <w:rsid w:val="0012592B"/>
    <w:rsid w:val="00126E71"/>
    <w:rsid w:val="0012744F"/>
    <w:rsid w:val="0013130F"/>
    <w:rsid w:val="00135065"/>
    <w:rsid w:val="0013699E"/>
    <w:rsid w:val="00136A91"/>
    <w:rsid w:val="0013702E"/>
    <w:rsid w:val="0014326B"/>
    <w:rsid w:val="00150FE5"/>
    <w:rsid w:val="0015436A"/>
    <w:rsid w:val="00156DFF"/>
    <w:rsid w:val="00156F66"/>
    <w:rsid w:val="00166BC0"/>
    <w:rsid w:val="0018068E"/>
    <w:rsid w:val="001809AC"/>
    <w:rsid w:val="0018111C"/>
    <w:rsid w:val="00182528"/>
    <w:rsid w:val="0018500B"/>
    <w:rsid w:val="001850FC"/>
    <w:rsid w:val="001863B9"/>
    <w:rsid w:val="00186724"/>
    <w:rsid w:val="00191E5E"/>
    <w:rsid w:val="001922BB"/>
    <w:rsid w:val="00196A19"/>
    <w:rsid w:val="00196AB1"/>
    <w:rsid w:val="001A0955"/>
    <w:rsid w:val="001A2A30"/>
    <w:rsid w:val="001A7DDC"/>
    <w:rsid w:val="001B24FA"/>
    <w:rsid w:val="001B475C"/>
    <w:rsid w:val="001C0948"/>
    <w:rsid w:val="001C39A4"/>
    <w:rsid w:val="001C3CDB"/>
    <w:rsid w:val="001D0985"/>
    <w:rsid w:val="001D1A0B"/>
    <w:rsid w:val="001D2128"/>
    <w:rsid w:val="001D42B8"/>
    <w:rsid w:val="001E2029"/>
    <w:rsid w:val="001E3596"/>
    <w:rsid w:val="001E482E"/>
    <w:rsid w:val="001E50C0"/>
    <w:rsid w:val="001F6AC6"/>
    <w:rsid w:val="00202DC1"/>
    <w:rsid w:val="002039F5"/>
    <w:rsid w:val="00206AB9"/>
    <w:rsid w:val="00206F31"/>
    <w:rsid w:val="0020709B"/>
    <w:rsid w:val="002116EE"/>
    <w:rsid w:val="0021565E"/>
    <w:rsid w:val="002157F6"/>
    <w:rsid w:val="0021661A"/>
    <w:rsid w:val="002169B6"/>
    <w:rsid w:val="00223220"/>
    <w:rsid w:val="002309D8"/>
    <w:rsid w:val="002322CF"/>
    <w:rsid w:val="002346FE"/>
    <w:rsid w:val="002411E2"/>
    <w:rsid w:val="00241934"/>
    <w:rsid w:val="0024485F"/>
    <w:rsid w:val="0026242A"/>
    <w:rsid w:val="00263CE7"/>
    <w:rsid w:val="00265F6A"/>
    <w:rsid w:val="00267A46"/>
    <w:rsid w:val="00282A23"/>
    <w:rsid w:val="002871C8"/>
    <w:rsid w:val="00287BF1"/>
    <w:rsid w:val="002A2F20"/>
    <w:rsid w:val="002A3D35"/>
    <w:rsid w:val="002A7FE2"/>
    <w:rsid w:val="002B07E5"/>
    <w:rsid w:val="002B27CB"/>
    <w:rsid w:val="002B7101"/>
    <w:rsid w:val="002B711C"/>
    <w:rsid w:val="002C0244"/>
    <w:rsid w:val="002C0AAF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5C0E"/>
    <w:rsid w:val="0034610C"/>
    <w:rsid w:val="00350914"/>
    <w:rsid w:val="00351DA5"/>
    <w:rsid w:val="003614F8"/>
    <w:rsid w:val="00361BC7"/>
    <w:rsid w:val="00365034"/>
    <w:rsid w:val="003739EE"/>
    <w:rsid w:val="0038260B"/>
    <w:rsid w:val="00383598"/>
    <w:rsid w:val="003839E7"/>
    <w:rsid w:val="00384E5D"/>
    <w:rsid w:val="00386A9D"/>
    <w:rsid w:val="00391081"/>
    <w:rsid w:val="003A33CB"/>
    <w:rsid w:val="003A5537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3F0F21"/>
    <w:rsid w:val="0040250E"/>
    <w:rsid w:val="00413914"/>
    <w:rsid w:val="00414944"/>
    <w:rsid w:val="00415BB4"/>
    <w:rsid w:val="00415C7A"/>
    <w:rsid w:val="004202CD"/>
    <w:rsid w:val="00426BDA"/>
    <w:rsid w:val="004275B6"/>
    <w:rsid w:val="0043040C"/>
    <w:rsid w:val="004314A2"/>
    <w:rsid w:val="0043353E"/>
    <w:rsid w:val="00435C16"/>
    <w:rsid w:val="00442C9B"/>
    <w:rsid w:val="00446E76"/>
    <w:rsid w:val="00447690"/>
    <w:rsid w:val="00453805"/>
    <w:rsid w:val="00455CE4"/>
    <w:rsid w:val="00462660"/>
    <w:rsid w:val="004651E3"/>
    <w:rsid w:val="004748F4"/>
    <w:rsid w:val="004777CA"/>
    <w:rsid w:val="00484B34"/>
    <w:rsid w:val="00490C0F"/>
    <w:rsid w:val="00491EEB"/>
    <w:rsid w:val="004976A9"/>
    <w:rsid w:val="004A26EA"/>
    <w:rsid w:val="004A2FEE"/>
    <w:rsid w:val="004A6172"/>
    <w:rsid w:val="004B1EF7"/>
    <w:rsid w:val="004B3DB3"/>
    <w:rsid w:val="004B3FAD"/>
    <w:rsid w:val="004B44C1"/>
    <w:rsid w:val="004C58A9"/>
    <w:rsid w:val="004D0180"/>
    <w:rsid w:val="004D170F"/>
    <w:rsid w:val="004D2B92"/>
    <w:rsid w:val="004D35E2"/>
    <w:rsid w:val="004E3CF9"/>
    <w:rsid w:val="004E7DCA"/>
    <w:rsid w:val="004F4800"/>
    <w:rsid w:val="004F7071"/>
    <w:rsid w:val="00501DCA"/>
    <w:rsid w:val="00501F4A"/>
    <w:rsid w:val="00513A47"/>
    <w:rsid w:val="00514383"/>
    <w:rsid w:val="00514907"/>
    <w:rsid w:val="00517901"/>
    <w:rsid w:val="00523522"/>
    <w:rsid w:val="00523D2D"/>
    <w:rsid w:val="005255BC"/>
    <w:rsid w:val="00532ADA"/>
    <w:rsid w:val="00535F8D"/>
    <w:rsid w:val="00537EF9"/>
    <w:rsid w:val="005408DF"/>
    <w:rsid w:val="005444BD"/>
    <w:rsid w:val="0055318D"/>
    <w:rsid w:val="00557FD8"/>
    <w:rsid w:val="00561482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1975"/>
    <w:rsid w:val="00603D1C"/>
    <w:rsid w:val="00607A02"/>
    <w:rsid w:val="006144E4"/>
    <w:rsid w:val="00617501"/>
    <w:rsid w:val="00622D0F"/>
    <w:rsid w:val="00624555"/>
    <w:rsid w:val="00632FCB"/>
    <w:rsid w:val="00635094"/>
    <w:rsid w:val="00650299"/>
    <w:rsid w:val="006513DD"/>
    <w:rsid w:val="00651669"/>
    <w:rsid w:val="006550C0"/>
    <w:rsid w:val="00655FC5"/>
    <w:rsid w:val="00655FDD"/>
    <w:rsid w:val="00670B08"/>
    <w:rsid w:val="00680D49"/>
    <w:rsid w:val="006820A1"/>
    <w:rsid w:val="006868F5"/>
    <w:rsid w:val="00687BD5"/>
    <w:rsid w:val="006907AE"/>
    <w:rsid w:val="00690BFB"/>
    <w:rsid w:val="006A116C"/>
    <w:rsid w:val="006A184C"/>
    <w:rsid w:val="006B3467"/>
    <w:rsid w:val="006B3AF0"/>
    <w:rsid w:val="006B43D3"/>
    <w:rsid w:val="006B4EC7"/>
    <w:rsid w:val="006B7300"/>
    <w:rsid w:val="006C44C1"/>
    <w:rsid w:val="006C6E0B"/>
    <w:rsid w:val="006D0E21"/>
    <w:rsid w:val="006D3A21"/>
    <w:rsid w:val="006D4085"/>
    <w:rsid w:val="006D6AF4"/>
    <w:rsid w:val="006D7202"/>
    <w:rsid w:val="007064E1"/>
    <w:rsid w:val="007073DC"/>
    <w:rsid w:val="00710D11"/>
    <w:rsid w:val="00713CDB"/>
    <w:rsid w:val="0072755A"/>
    <w:rsid w:val="007318F3"/>
    <w:rsid w:val="00737EA1"/>
    <w:rsid w:val="007542B3"/>
    <w:rsid w:val="0075739B"/>
    <w:rsid w:val="00766333"/>
    <w:rsid w:val="00774182"/>
    <w:rsid w:val="00776750"/>
    <w:rsid w:val="00783D9F"/>
    <w:rsid w:val="00783E10"/>
    <w:rsid w:val="00786948"/>
    <w:rsid w:val="00787326"/>
    <w:rsid w:val="00792A3A"/>
    <w:rsid w:val="007A0207"/>
    <w:rsid w:val="007A3B5D"/>
    <w:rsid w:val="007B02EC"/>
    <w:rsid w:val="007B3EC4"/>
    <w:rsid w:val="007C2288"/>
    <w:rsid w:val="007D0DC2"/>
    <w:rsid w:val="007D2F64"/>
    <w:rsid w:val="007E51DC"/>
    <w:rsid w:val="00800E9C"/>
    <w:rsid w:val="00801031"/>
    <w:rsid w:val="00802953"/>
    <w:rsid w:val="00803F97"/>
    <w:rsid w:val="00807FF1"/>
    <w:rsid w:val="00810100"/>
    <w:rsid w:val="0081319F"/>
    <w:rsid w:val="00817BB4"/>
    <w:rsid w:val="00822581"/>
    <w:rsid w:val="008232CD"/>
    <w:rsid w:val="008309DD"/>
    <w:rsid w:val="00830DBC"/>
    <w:rsid w:val="00831A6E"/>
    <w:rsid w:val="0083227A"/>
    <w:rsid w:val="008342C1"/>
    <w:rsid w:val="00834475"/>
    <w:rsid w:val="00834B1E"/>
    <w:rsid w:val="00835B8B"/>
    <w:rsid w:val="00836D83"/>
    <w:rsid w:val="008415AD"/>
    <w:rsid w:val="00843171"/>
    <w:rsid w:val="00843742"/>
    <w:rsid w:val="00852F97"/>
    <w:rsid w:val="008539A2"/>
    <w:rsid w:val="00857C67"/>
    <w:rsid w:val="0086133C"/>
    <w:rsid w:val="00862CC9"/>
    <w:rsid w:val="00866900"/>
    <w:rsid w:val="00870336"/>
    <w:rsid w:val="0087300D"/>
    <w:rsid w:val="0087539F"/>
    <w:rsid w:val="00875B05"/>
    <w:rsid w:val="008768C5"/>
    <w:rsid w:val="008805EA"/>
    <w:rsid w:val="00881BA1"/>
    <w:rsid w:val="00885066"/>
    <w:rsid w:val="008909E0"/>
    <w:rsid w:val="008955F8"/>
    <w:rsid w:val="008A0A55"/>
    <w:rsid w:val="008A6916"/>
    <w:rsid w:val="008B0087"/>
    <w:rsid w:val="008C26B8"/>
    <w:rsid w:val="008C7E47"/>
    <w:rsid w:val="008D793B"/>
    <w:rsid w:val="008D79A4"/>
    <w:rsid w:val="008E3443"/>
    <w:rsid w:val="008E3B48"/>
    <w:rsid w:val="008E51E1"/>
    <w:rsid w:val="008F2CA2"/>
    <w:rsid w:val="0090173C"/>
    <w:rsid w:val="00902D14"/>
    <w:rsid w:val="00905875"/>
    <w:rsid w:val="009069C7"/>
    <w:rsid w:val="00912B2C"/>
    <w:rsid w:val="00913C97"/>
    <w:rsid w:val="00920327"/>
    <w:rsid w:val="00920CF6"/>
    <w:rsid w:val="00925953"/>
    <w:rsid w:val="009273EC"/>
    <w:rsid w:val="00931726"/>
    <w:rsid w:val="00931D00"/>
    <w:rsid w:val="00932E45"/>
    <w:rsid w:val="00935108"/>
    <w:rsid w:val="00936D00"/>
    <w:rsid w:val="00951309"/>
    <w:rsid w:val="0095168F"/>
    <w:rsid w:val="009560AB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3A9C"/>
    <w:rsid w:val="009854F7"/>
    <w:rsid w:val="00991A72"/>
    <w:rsid w:val="00992E8B"/>
    <w:rsid w:val="00995963"/>
    <w:rsid w:val="009A4488"/>
    <w:rsid w:val="009A54D9"/>
    <w:rsid w:val="009B0A04"/>
    <w:rsid w:val="009B61EB"/>
    <w:rsid w:val="009B6449"/>
    <w:rsid w:val="009C2064"/>
    <w:rsid w:val="009C7222"/>
    <w:rsid w:val="009C7A31"/>
    <w:rsid w:val="009D1697"/>
    <w:rsid w:val="009D16E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7EEA"/>
    <w:rsid w:val="00A42000"/>
    <w:rsid w:val="00A47BC7"/>
    <w:rsid w:val="00A50646"/>
    <w:rsid w:val="00A5173C"/>
    <w:rsid w:val="00A57624"/>
    <w:rsid w:val="00A60FE3"/>
    <w:rsid w:val="00A61AEF"/>
    <w:rsid w:val="00A62FC0"/>
    <w:rsid w:val="00A72A49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C6FA8"/>
    <w:rsid w:val="00AD2F5B"/>
    <w:rsid w:val="00AD32BA"/>
    <w:rsid w:val="00AD32FB"/>
    <w:rsid w:val="00AD7192"/>
    <w:rsid w:val="00AE03A7"/>
    <w:rsid w:val="00AE659E"/>
    <w:rsid w:val="00AF10F1"/>
    <w:rsid w:val="00AF173A"/>
    <w:rsid w:val="00AF2757"/>
    <w:rsid w:val="00B027CC"/>
    <w:rsid w:val="00B048E1"/>
    <w:rsid w:val="00B066A4"/>
    <w:rsid w:val="00B07A13"/>
    <w:rsid w:val="00B07B81"/>
    <w:rsid w:val="00B143E2"/>
    <w:rsid w:val="00B20A67"/>
    <w:rsid w:val="00B25EAD"/>
    <w:rsid w:val="00B30E7D"/>
    <w:rsid w:val="00B33E09"/>
    <w:rsid w:val="00B34BDA"/>
    <w:rsid w:val="00B4279B"/>
    <w:rsid w:val="00B45FC9"/>
    <w:rsid w:val="00B46C10"/>
    <w:rsid w:val="00B50540"/>
    <w:rsid w:val="00B537A8"/>
    <w:rsid w:val="00B57728"/>
    <w:rsid w:val="00B60D37"/>
    <w:rsid w:val="00B61795"/>
    <w:rsid w:val="00B63CF1"/>
    <w:rsid w:val="00B65682"/>
    <w:rsid w:val="00B70109"/>
    <w:rsid w:val="00B75797"/>
    <w:rsid w:val="00B778FF"/>
    <w:rsid w:val="00B805FC"/>
    <w:rsid w:val="00B83461"/>
    <w:rsid w:val="00B84A9F"/>
    <w:rsid w:val="00B87021"/>
    <w:rsid w:val="00B873D3"/>
    <w:rsid w:val="00B9685D"/>
    <w:rsid w:val="00BC398D"/>
    <w:rsid w:val="00BC41E7"/>
    <w:rsid w:val="00BC5760"/>
    <w:rsid w:val="00BC7CCF"/>
    <w:rsid w:val="00BD38FF"/>
    <w:rsid w:val="00BD4DE3"/>
    <w:rsid w:val="00BE1A8D"/>
    <w:rsid w:val="00BE3F36"/>
    <w:rsid w:val="00BE470B"/>
    <w:rsid w:val="00BF35F1"/>
    <w:rsid w:val="00BF72E2"/>
    <w:rsid w:val="00C018E7"/>
    <w:rsid w:val="00C13A07"/>
    <w:rsid w:val="00C25538"/>
    <w:rsid w:val="00C34746"/>
    <w:rsid w:val="00C51CDD"/>
    <w:rsid w:val="00C579DC"/>
    <w:rsid w:val="00C57A91"/>
    <w:rsid w:val="00C60568"/>
    <w:rsid w:val="00C641B0"/>
    <w:rsid w:val="00C740E1"/>
    <w:rsid w:val="00C75C0D"/>
    <w:rsid w:val="00C76E40"/>
    <w:rsid w:val="00C81646"/>
    <w:rsid w:val="00C81884"/>
    <w:rsid w:val="00C87A03"/>
    <w:rsid w:val="00C87E56"/>
    <w:rsid w:val="00C91712"/>
    <w:rsid w:val="00C92138"/>
    <w:rsid w:val="00CA2AA1"/>
    <w:rsid w:val="00CA4D9F"/>
    <w:rsid w:val="00CB43AF"/>
    <w:rsid w:val="00CB6571"/>
    <w:rsid w:val="00CC01C2"/>
    <w:rsid w:val="00CC2C3B"/>
    <w:rsid w:val="00CE218B"/>
    <w:rsid w:val="00CE37EC"/>
    <w:rsid w:val="00CE6341"/>
    <w:rsid w:val="00CF141F"/>
    <w:rsid w:val="00CF1D31"/>
    <w:rsid w:val="00CF21F2"/>
    <w:rsid w:val="00CF3756"/>
    <w:rsid w:val="00CF4DBA"/>
    <w:rsid w:val="00CF5EBB"/>
    <w:rsid w:val="00D02712"/>
    <w:rsid w:val="00D057B9"/>
    <w:rsid w:val="00D067B8"/>
    <w:rsid w:val="00D070C6"/>
    <w:rsid w:val="00D145D8"/>
    <w:rsid w:val="00D17A7C"/>
    <w:rsid w:val="00D214D0"/>
    <w:rsid w:val="00D22CC4"/>
    <w:rsid w:val="00D33EE4"/>
    <w:rsid w:val="00D3526A"/>
    <w:rsid w:val="00D360C6"/>
    <w:rsid w:val="00D36CDA"/>
    <w:rsid w:val="00D41E01"/>
    <w:rsid w:val="00D4406D"/>
    <w:rsid w:val="00D442B4"/>
    <w:rsid w:val="00D44F90"/>
    <w:rsid w:val="00D50796"/>
    <w:rsid w:val="00D565B5"/>
    <w:rsid w:val="00D6546B"/>
    <w:rsid w:val="00D80150"/>
    <w:rsid w:val="00D81CD9"/>
    <w:rsid w:val="00D82A2A"/>
    <w:rsid w:val="00D8683D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2BD0"/>
    <w:rsid w:val="00DE39F0"/>
    <w:rsid w:val="00DE5ED9"/>
    <w:rsid w:val="00DF0AF3"/>
    <w:rsid w:val="00DF3488"/>
    <w:rsid w:val="00E01084"/>
    <w:rsid w:val="00E0115C"/>
    <w:rsid w:val="00E01AAA"/>
    <w:rsid w:val="00E03A76"/>
    <w:rsid w:val="00E06CA9"/>
    <w:rsid w:val="00E17CCC"/>
    <w:rsid w:val="00E20FD8"/>
    <w:rsid w:val="00E21FE2"/>
    <w:rsid w:val="00E27D7E"/>
    <w:rsid w:val="00E3102C"/>
    <w:rsid w:val="00E319EC"/>
    <w:rsid w:val="00E33124"/>
    <w:rsid w:val="00E337E2"/>
    <w:rsid w:val="00E34935"/>
    <w:rsid w:val="00E35A1F"/>
    <w:rsid w:val="00E3739E"/>
    <w:rsid w:val="00E40339"/>
    <w:rsid w:val="00E40E7B"/>
    <w:rsid w:val="00E42E13"/>
    <w:rsid w:val="00E5309E"/>
    <w:rsid w:val="00E617E9"/>
    <w:rsid w:val="00E6257C"/>
    <w:rsid w:val="00E63C59"/>
    <w:rsid w:val="00E64B03"/>
    <w:rsid w:val="00E6788D"/>
    <w:rsid w:val="00E67BF5"/>
    <w:rsid w:val="00E71A36"/>
    <w:rsid w:val="00E757C8"/>
    <w:rsid w:val="00E93E5E"/>
    <w:rsid w:val="00E96626"/>
    <w:rsid w:val="00EA0F08"/>
    <w:rsid w:val="00EA41F2"/>
    <w:rsid w:val="00EA4E6F"/>
    <w:rsid w:val="00EA789F"/>
    <w:rsid w:val="00EB77FD"/>
    <w:rsid w:val="00EC0EF4"/>
    <w:rsid w:val="00EC21DF"/>
    <w:rsid w:val="00EE12EF"/>
    <w:rsid w:val="00EE1D23"/>
    <w:rsid w:val="00EE32F5"/>
    <w:rsid w:val="00EE72FD"/>
    <w:rsid w:val="00EF2CDC"/>
    <w:rsid w:val="00F07162"/>
    <w:rsid w:val="00F07607"/>
    <w:rsid w:val="00F27356"/>
    <w:rsid w:val="00F37AB8"/>
    <w:rsid w:val="00F40852"/>
    <w:rsid w:val="00F42EF2"/>
    <w:rsid w:val="00F443AE"/>
    <w:rsid w:val="00F54DF5"/>
    <w:rsid w:val="00F632AC"/>
    <w:rsid w:val="00F64E8B"/>
    <w:rsid w:val="00F676CC"/>
    <w:rsid w:val="00F67C38"/>
    <w:rsid w:val="00F71053"/>
    <w:rsid w:val="00F717FE"/>
    <w:rsid w:val="00F720CC"/>
    <w:rsid w:val="00F80D39"/>
    <w:rsid w:val="00F8385A"/>
    <w:rsid w:val="00F85826"/>
    <w:rsid w:val="00F92264"/>
    <w:rsid w:val="00FA124A"/>
    <w:rsid w:val="00FA21D2"/>
    <w:rsid w:val="00FA53EC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FF78955"/>
  <w15:docId w15:val="{992A71E8-5126-40DA-91ED-BF958FB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7EE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5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s://www.itu.int/en/ITU-T/studygroups/2017-2020/11/Pages/CASC.aspx" TargetMode="External"/><Relationship Id="rId26" Type="http://schemas.openxmlformats.org/officeDocument/2006/relationships/hyperlink" Target="http://www.itu.int/TIES/" TargetMode="External"/><Relationship Id="rId21" Type="http://schemas.openxmlformats.org/officeDocument/2006/relationships/hyperlink" Target="http://www.itu.int/net/ITU-T/ddp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md/T17-SG13-COL-0011/en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sbbsg@itu.int" TargetMode="External"/><Relationship Id="rId20" Type="http://schemas.openxmlformats.org/officeDocument/2006/relationships/hyperlink" Target="http://www.itu.int/go/tsg11" TargetMode="External"/><Relationship Id="rId29" Type="http://schemas.openxmlformats.org/officeDocument/2006/relationships/hyperlink" Target="https://www.itu.int/md/T17-TSB-CIR-006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yperlink" Target="https://www.itu.int/md/meetingdoc.asp?lang=en&amp;parent=T17-SG11-R-0030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www.itu.int/go/tsg11" TargetMode="External"/><Relationship Id="rId36" Type="http://schemas.openxmlformats.org/officeDocument/2006/relationships/hyperlink" Target="https://www.itu.int/md/meetingdoc.asp?lang=en&amp;parent=T17-SG11-200722-TD-GEN-126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md/T17-TSB-CIR-024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https://www.itu.int/md/meetingdoc.asp?lang=en&amp;parent=T17-SG11-200722-TD-GEN-1265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0176-3181-4897-A7A3-04B2A0CEB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C01C8-0528-4F34-90F5-2053DDD1A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7DD83-9A7E-414A-B420-5E606DF51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260BF-0A1E-44AC-8DBE-7399E889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6</TotalTime>
  <Pages>7</Pages>
  <Words>1358</Words>
  <Characters>9093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SG3 Secretariat</dc:creator>
  <dc:description>SG11_Coll10_July2020-bnj.docx  For: _x000d_Document date: _x000d_Saved by ITU51011599 at 12:23:32 on 14.05.20</dc:description>
  <cp:lastModifiedBy>Braud, Olivia</cp:lastModifiedBy>
  <cp:revision>6</cp:revision>
  <cp:lastPrinted>2020-05-14T10:32:00Z</cp:lastPrinted>
  <dcterms:created xsi:type="dcterms:W3CDTF">2020-05-14T10:22:00Z</dcterms:created>
  <dcterms:modified xsi:type="dcterms:W3CDTF">2020-05-14T10:33:00Z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SG11_Coll10_July2020-bnj.docx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0x0101006EE2011685E409408A5E886FA9500CDE</vt:lpwstr>
  </property>
</Properties>
</file>