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4C172F" w:rsidTr="00427EA6">
        <w:trPr>
          <w:cantSplit/>
        </w:trPr>
        <w:tc>
          <w:tcPr>
            <w:tcW w:w="1418" w:type="dxa"/>
            <w:vAlign w:val="center"/>
          </w:tcPr>
          <w:p w:rsidR="00427EA6" w:rsidRPr="004C172F" w:rsidRDefault="00427EA6" w:rsidP="00427EA6">
            <w:pPr>
              <w:tabs>
                <w:tab w:val="right" w:pos="8732"/>
              </w:tabs>
              <w:spacing w:before="0"/>
              <w:rPr>
                <w:b/>
                <w:bCs/>
                <w:iCs/>
                <w:color w:val="FFFFFF"/>
                <w:sz w:val="30"/>
                <w:szCs w:val="30"/>
              </w:rPr>
            </w:pPr>
            <w:r w:rsidRPr="004C172F">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4C172F" w:rsidRDefault="00427EA6" w:rsidP="00427EA6">
            <w:pPr>
              <w:spacing w:before="0"/>
              <w:rPr>
                <w:rFonts w:cs="Times New Roman Bold"/>
                <w:b/>
                <w:bCs/>
                <w:smallCaps/>
                <w:sz w:val="26"/>
                <w:szCs w:val="26"/>
              </w:rPr>
            </w:pPr>
            <w:r w:rsidRPr="004C172F">
              <w:rPr>
                <w:rFonts w:cs="Times New Roman Bold"/>
                <w:b/>
                <w:bCs/>
                <w:smallCaps/>
                <w:sz w:val="36"/>
                <w:szCs w:val="36"/>
              </w:rPr>
              <w:t>Unión Internacional de Telecomunicaciones</w:t>
            </w:r>
          </w:p>
          <w:p w:rsidR="00427EA6" w:rsidRPr="004C172F" w:rsidRDefault="00427EA6" w:rsidP="00427EA6">
            <w:pPr>
              <w:tabs>
                <w:tab w:val="right" w:pos="8732"/>
              </w:tabs>
              <w:spacing w:before="0"/>
              <w:rPr>
                <w:b/>
                <w:bCs/>
                <w:iCs/>
                <w:color w:val="FFFFFF"/>
                <w:sz w:val="30"/>
                <w:szCs w:val="30"/>
              </w:rPr>
            </w:pPr>
            <w:r w:rsidRPr="004C172F">
              <w:rPr>
                <w:rFonts w:cs="Times New Roman Bold"/>
                <w:b/>
                <w:bCs/>
                <w:iCs/>
                <w:smallCaps/>
                <w:sz w:val="28"/>
                <w:szCs w:val="28"/>
              </w:rPr>
              <w:t>Oficina de Normalización de las Telecomunicaciones</w:t>
            </w:r>
          </w:p>
        </w:tc>
        <w:tc>
          <w:tcPr>
            <w:tcW w:w="1984" w:type="dxa"/>
            <w:vAlign w:val="center"/>
          </w:tcPr>
          <w:p w:rsidR="00427EA6" w:rsidRPr="004C172F" w:rsidRDefault="00427EA6" w:rsidP="00427EA6">
            <w:pPr>
              <w:spacing w:before="0"/>
              <w:jc w:val="right"/>
              <w:rPr>
                <w:color w:val="FFFFFF"/>
                <w:sz w:val="26"/>
                <w:szCs w:val="26"/>
              </w:rPr>
            </w:pPr>
          </w:p>
        </w:tc>
      </w:tr>
    </w:tbl>
    <w:p w:rsidR="001640B7" w:rsidRPr="009B782B" w:rsidRDefault="001640B7" w:rsidP="008B5796">
      <w:pPr>
        <w:tabs>
          <w:tab w:val="clear" w:pos="794"/>
          <w:tab w:val="clear" w:pos="1191"/>
          <w:tab w:val="clear" w:pos="1588"/>
          <w:tab w:val="clear" w:pos="1985"/>
          <w:tab w:val="left" w:pos="4962"/>
        </w:tabs>
      </w:pPr>
      <w:r w:rsidRPr="009B782B">
        <w:tab/>
        <w:t xml:space="preserve">Ginebra, </w:t>
      </w:r>
      <w:r w:rsidR="008B5796" w:rsidRPr="004C172F">
        <w:rPr>
          <w:szCs w:val="24"/>
        </w:rPr>
        <w:t>13 de abril de 2017</w:t>
      </w:r>
    </w:p>
    <w:p w:rsidR="001640B7" w:rsidRPr="009B782B" w:rsidRDefault="001640B7" w:rsidP="008B5796">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1494"/>
        <w:gridCol w:w="3268"/>
      </w:tblGrid>
      <w:tr w:rsidR="001640B7" w:rsidRPr="009B782B" w:rsidTr="008B5796">
        <w:trPr>
          <w:cantSplit/>
          <w:trHeight w:val="340"/>
        </w:trPr>
        <w:tc>
          <w:tcPr>
            <w:tcW w:w="1084" w:type="dxa"/>
            <w:gridSpan w:val="2"/>
          </w:tcPr>
          <w:p w:rsidR="001640B7" w:rsidRPr="009B782B" w:rsidRDefault="001640B7" w:rsidP="008B5796">
            <w:pPr>
              <w:tabs>
                <w:tab w:val="left" w:pos="4111"/>
              </w:tabs>
              <w:spacing w:before="10"/>
              <w:ind w:left="57"/>
              <w:rPr>
                <w:sz w:val="22"/>
              </w:rPr>
            </w:pPr>
            <w:r w:rsidRPr="009B782B">
              <w:rPr>
                <w:sz w:val="22"/>
              </w:rPr>
              <w:t>Ref.:</w:t>
            </w:r>
          </w:p>
        </w:tc>
        <w:tc>
          <w:tcPr>
            <w:tcW w:w="3793" w:type="dxa"/>
          </w:tcPr>
          <w:p w:rsidR="001640B7" w:rsidRPr="009B782B" w:rsidRDefault="001640B7" w:rsidP="008B5796">
            <w:pPr>
              <w:tabs>
                <w:tab w:val="left" w:pos="4111"/>
              </w:tabs>
              <w:spacing w:before="0"/>
              <w:ind w:left="57"/>
              <w:rPr>
                <w:u w:val="single"/>
              </w:rPr>
            </w:pPr>
            <w:r w:rsidRPr="009B782B">
              <w:rPr>
                <w:b/>
              </w:rPr>
              <w:t xml:space="preserve">Carta Colectiva TSB </w:t>
            </w:r>
            <w:r w:rsidRPr="004C172F">
              <w:rPr>
                <w:b/>
                <w:szCs w:val="24"/>
              </w:rPr>
              <w:t>2/11</w:t>
            </w:r>
          </w:p>
          <w:p w:rsidR="001640B7" w:rsidRPr="009B782B" w:rsidRDefault="001640B7" w:rsidP="008B5796">
            <w:pPr>
              <w:tabs>
                <w:tab w:val="left" w:pos="4111"/>
              </w:tabs>
              <w:spacing w:before="0"/>
              <w:ind w:left="57"/>
              <w:rPr>
                <w:u w:val="single"/>
              </w:rPr>
            </w:pPr>
            <w:r w:rsidRPr="001640B7">
              <w:rPr>
                <w:bCs/>
                <w:szCs w:val="24"/>
              </w:rPr>
              <w:t>CE 11/DA</w:t>
            </w:r>
          </w:p>
          <w:p w:rsidR="001640B7" w:rsidRPr="009B782B" w:rsidRDefault="001640B7" w:rsidP="008B5796">
            <w:pPr>
              <w:tabs>
                <w:tab w:val="left" w:pos="4111"/>
              </w:tabs>
              <w:spacing w:before="0"/>
              <w:ind w:left="57"/>
            </w:pPr>
          </w:p>
        </w:tc>
        <w:tc>
          <w:tcPr>
            <w:tcW w:w="4762" w:type="dxa"/>
            <w:gridSpan w:val="2"/>
          </w:tcPr>
          <w:p w:rsidR="001640B7" w:rsidRPr="009B782B" w:rsidRDefault="001640B7" w:rsidP="008B5796">
            <w:pPr>
              <w:tabs>
                <w:tab w:val="left" w:pos="4111"/>
              </w:tabs>
              <w:spacing w:before="0"/>
              <w:ind w:left="57"/>
              <w:rPr>
                <w:b/>
              </w:rPr>
            </w:pPr>
          </w:p>
        </w:tc>
      </w:tr>
      <w:tr w:rsidR="001640B7" w:rsidRPr="009B782B" w:rsidTr="008B5796">
        <w:trPr>
          <w:cantSplit/>
        </w:trPr>
        <w:tc>
          <w:tcPr>
            <w:tcW w:w="1084" w:type="dxa"/>
            <w:gridSpan w:val="2"/>
          </w:tcPr>
          <w:p w:rsidR="001640B7" w:rsidRPr="009B782B" w:rsidRDefault="001640B7" w:rsidP="008B5796">
            <w:pPr>
              <w:tabs>
                <w:tab w:val="left" w:pos="4111"/>
              </w:tabs>
              <w:spacing w:before="10"/>
              <w:ind w:left="57"/>
              <w:rPr>
                <w:sz w:val="22"/>
              </w:rPr>
            </w:pPr>
            <w:r w:rsidRPr="009B782B">
              <w:rPr>
                <w:sz w:val="22"/>
              </w:rPr>
              <w:t>Tel.:</w:t>
            </w:r>
          </w:p>
        </w:tc>
        <w:tc>
          <w:tcPr>
            <w:tcW w:w="3793" w:type="dxa"/>
          </w:tcPr>
          <w:p w:rsidR="001640B7" w:rsidRPr="009B782B" w:rsidRDefault="001640B7" w:rsidP="008B5796">
            <w:pPr>
              <w:tabs>
                <w:tab w:val="left" w:pos="4111"/>
              </w:tabs>
              <w:spacing w:before="0"/>
              <w:ind w:left="57"/>
            </w:pPr>
            <w:r w:rsidRPr="009B782B">
              <w:t xml:space="preserve">+41 22 730 </w:t>
            </w:r>
            <w:r w:rsidRPr="004C172F">
              <w:rPr>
                <w:szCs w:val="24"/>
              </w:rPr>
              <w:t>5780</w:t>
            </w:r>
          </w:p>
        </w:tc>
        <w:tc>
          <w:tcPr>
            <w:tcW w:w="4762" w:type="dxa"/>
            <w:gridSpan w:val="2"/>
          </w:tcPr>
          <w:p w:rsidR="001640B7" w:rsidRPr="009B782B" w:rsidRDefault="001640B7" w:rsidP="008B5796">
            <w:pPr>
              <w:tabs>
                <w:tab w:val="left" w:pos="4111"/>
              </w:tabs>
              <w:spacing w:before="0"/>
              <w:ind w:left="57"/>
            </w:pPr>
            <w:r>
              <w:t>A:</w:t>
            </w:r>
          </w:p>
        </w:tc>
      </w:tr>
      <w:tr w:rsidR="001640B7" w:rsidRPr="009B782B" w:rsidTr="008B5796">
        <w:trPr>
          <w:cantSplit/>
        </w:trPr>
        <w:tc>
          <w:tcPr>
            <w:tcW w:w="1084" w:type="dxa"/>
            <w:gridSpan w:val="2"/>
          </w:tcPr>
          <w:p w:rsidR="001640B7" w:rsidRPr="009B782B" w:rsidRDefault="001640B7" w:rsidP="008B5796">
            <w:pPr>
              <w:tabs>
                <w:tab w:val="left" w:pos="4111"/>
              </w:tabs>
              <w:spacing w:before="10"/>
              <w:ind w:left="57"/>
              <w:rPr>
                <w:sz w:val="22"/>
              </w:rPr>
            </w:pPr>
            <w:r w:rsidRPr="009B782B">
              <w:rPr>
                <w:sz w:val="22"/>
              </w:rPr>
              <w:t>Fax:</w:t>
            </w:r>
          </w:p>
          <w:p w:rsidR="001640B7" w:rsidRDefault="001640B7" w:rsidP="008B5796">
            <w:pPr>
              <w:tabs>
                <w:tab w:val="left" w:pos="4111"/>
              </w:tabs>
              <w:spacing w:before="10"/>
              <w:ind w:left="57"/>
              <w:rPr>
                <w:sz w:val="22"/>
              </w:rPr>
            </w:pPr>
            <w:r w:rsidRPr="009B782B">
              <w:rPr>
                <w:sz w:val="22"/>
              </w:rPr>
              <w:t>Correo-e:</w:t>
            </w:r>
          </w:p>
          <w:p w:rsidR="001640B7" w:rsidRPr="009B782B" w:rsidRDefault="001640B7" w:rsidP="008B5796">
            <w:pPr>
              <w:tabs>
                <w:tab w:val="left" w:pos="4111"/>
              </w:tabs>
              <w:spacing w:before="10"/>
              <w:ind w:left="57"/>
              <w:rPr>
                <w:sz w:val="22"/>
              </w:rPr>
            </w:pPr>
            <w:r>
              <w:rPr>
                <w:sz w:val="22"/>
              </w:rPr>
              <w:t>Web</w:t>
            </w:r>
          </w:p>
        </w:tc>
        <w:tc>
          <w:tcPr>
            <w:tcW w:w="3793" w:type="dxa"/>
          </w:tcPr>
          <w:p w:rsidR="001640B7" w:rsidRPr="009B782B" w:rsidRDefault="001640B7" w:rsidP="008B5796">
            <w:pPr>
              <w:tabs>
                <w:tab w:val="left" w:pos="4111"/>
              </w:tabs>
              <w:spacing w:before="0"/>
              <w:ind w:left="57"/>
            </w:pPr>
            <w:r w:rsidRPr="009B782B">
              <w:t>+41 22 730 5853</w:t>
            </w:r>
          </w:p>
          <w:p w:rsidR="001640B7" w:rsidRDefault="00511FEB" w:rsidP="008B5796">
            <w:pPr>
              <w:tabs>
                <w:tab w:val="left" w:pos="4111"/>
              </w:tabs>
              <w:spacing w:before="0"/>
              <w:ind w:left="57"/>
              <w:rPr>
                <w:rStyle w:val="Hyperlink"/>
                <w:szCs w:val="24"/>
              </w:rPr>
            </w:pPr>
            <w:hyperlink r:id="rId9" w:history="1">
              <w:r w:rsidR="001640B7" w:rsidRPr="004C172F">
                <w:rPr>
                  <w:rStyle w:val="Hyperlink"/>
                  <w:szCs w:val="24"/>
                </w:rPr>
                <w:t>tsbsg11@itu.int</w:t>
              </w:r>
            </w:hyperlink>
          </w:p>
          <w:p w:rsidR="001640B7" w:rsidRPr="009B782B" w:rsidRDefault="00511FEB" w:rsidP="008B5796">
            <w:pPr>
              <w:tabs>
                <w:tab w:val="left" w:pos="4111"/>
              </w:tabs>
              <w:spacing w:before="0"/>
              <w:ind w:left="57"/>
            </w:pPr>
            <w:hyperlink r:id="rId10" w:history="1">
              <w:r w:rsidR="001640B7" w:rsidRPr="001640B7">
                <w:rPr>
                  <w:rStyle w:val="Hyperlink"/>
                </w:rPr>
                <w:t>http://itu.int/go/tsg11</w:t>
              </w:r>
            </w:hyperlink>
          </w:p>
        </w:tc>
        <w:tc>
          <w:tcPr>
            <w:tcW w:w="4762" w:type="dxa"/>
            <w:gridSpan w:val="2"/>
          </w:tcPr>
          <w:p w:rsidR="001640B7" w:rsidRDefault="001640B7" w:rsidP="008B5796">
            <w:pPr>
              <w:pStyle w:val="ListParagraph"/>
              <w:numPr>
                <w:ilvl w:val="0"/>
                <w:numId w:val="5"/>
              </w:numPr>
              <w:tabs>
                <w:tab w:val="clear" w:pos="794"/>
                <w:tab w:val="clear" w:pos="1191"/>
                <w:tab w:val="left" w:pos="502"/>
                <w:tab w:val="left" w:pos="4111"/>
              </w:tabs>
              <w:spacing w:before="0"/>
              <w:ind w:left="77"/>
            </w:pPr>
            <w:r>
              <w:t>-</w:t>
            </w:r>
            <w:r>
              <w:tab/>
              <w:t xml:space="preserve">Las </w:t>
            </w:r>
            <w:r w:rsidRPr="009B782B">
              <w:t xml:space="preserve">Administraciones de los Estados </w:t>
            </w:r>
            <w:r>
              <w:tab/>
            </w:r>
            <w:r w:rsidR="000B6254">
              <w:t>Miembros de la Unión;</w:t>
            </w:r>
          </w:p>
          <w:p w:rsidR="001640B7" w:rsidRDefault="001640B7" w:rsidP="008B5796">
            <w:pPr>
              <w:pStyle w:val="ListParagraph"/>
              <w:numPr>
                <w:ilvl w:val="0"/>
                <w:numId w:val="5"/>
              </w:numPr>
              <w:tabs>
                <w:tab w:val="clear" w:pos="794"/>
                <w:tab w:val="clear" w:pos="1191"/>
                <w:tab w:val="left" w:pos="502"/>
                <w:tab w:val="left" w:pos="4111"/>
              </w:tabs>
              <w:spacing w:before="0"/>
              <w:ind w:left="77"/>
            </w:pPr>
            <w:r>
              <w:t>-</w:t>
            </w:r>
            <w:r>
              <w:tab/>
              <w:t>L</w:t>
            </w:r>
            <w:r w:rsidRPr="009B782B">
              <w:t>os Miembros del Sector UIT</w:t>
            </w:r>
            <w:r w:rsidRPr="009B782B">
              <w:noBreakHyphen/>
              <w:t>T</w:t>
            </w:r>
            <w:r w:rsidR="000B6254">
              <w:t>;</w:t>
            </w:r>
          </w:p>
          <w:p w:rsidR="001640B7" w:rsidRDefault="001640B7" w:rsidP="008B5796">
            <w:pPr>
              <w:pStyle w:val="ListParagraph"/>
              <w:numPr>
                <w:ilvl w:val="0"/>
                <w:numId w:val="5"/>
              </w:numPr>
              <w:tabs>
                <w:tab w:val="clear" w:pos="794"/>
                <w:tab w:val="clear" w:pos="1191"/>
                <w:tab w:val="left" w:pos="502"/>
                <w:tab w:val="left" w:pos="4111"/>
              </w:tabs>
              <w:spacing w:before="0"/>
              <w:ind w:left="77"/>
            </w:pPr>
            <w:r>
              <w:t>-</w:t>
            </w:r>
            <w:r>
              <w:tab/>
              <w:t>L</w:t>
            </w:r>
            <w:r w:rsidRPr="009B782B">
              <w:t xml:space="preserve">os Asociados </w:t>
            </w:r>
            <w:r w:rsidRPr="004C172F">
              <w:rPr>
                <w:szCs w:val="24"/>
              </w:rPr>
              <w:t>la CE 11 del UIT-T</w:t>
            </w:r>
            <w:r w:rsidR="000B6254">
              <w:rPr>
                <w:szCs w:val="24"/>
              </w:rPr>
              <w:t>;</w:t>
            </w:r>
          </w:p>
          <w:p w:rsidR="001640B7" w:rsidRPr="009B782B" w:rsidRDefault="001640B7" w:rsidP="008B5796">
            <w:pPr>
              <w:pStyle w:val="ListParagraph"/>
              <w:numPr>
                <w:ilvl w:val="0"/>
                <w:numId w:val="5"/>
              </w:numPr>
              <w:tabs>
                <w:tab w:val="clear" w:pos="794"/>
                <w:tab w:val="clear" w:pos="1191"/>
                <w:tab w:val="left" w:pos="502"/>
                <w:tab w:val="left" w:pos="4111"/>
              </w:tabs>
              <w:spacing w:before="0" w:after="240"/>
              <w:ind w:left="73" w:hanging="357"/>
            </w:pPr>
            <w:r>
              <w:t>-</w:t>
            </w:r>
            <w:r>
              <w:tab/>
              <w:t xml:space="preserve">Las Instituciones Académicas </w:t>
            </w:r>
            <w:r w:rsidR="003303A3">
              <w:t xml:space="preserve">de la </w:t>
            </w:r>
            <w:r w:rsidRPr="009B782B">
              <w:t>UI</w:t>
            </w:r>
            <w:r w:rsidR="003303A3">
              <w:t>T</w:t>
            </w:r>
          </w:p>
        </w:tc>
      </w:tr>
      <w:tr w:rsidR="001640B7" w:rsidRPr="009B782B" w:rsidTr="008B5796">
        <w:trPr>
          <w:gridAfter w:val="1"/>
          <w:wAfter w:w="3268" w:type="dxa"/>
          <w:cantSplit/>
          <w:trHeight w:val="680"/>
        </w:trPr>
        <w:tc>
          <w:tcPr>
            <w:tcW w:w="1070" w:type="dxa"/>
          </w:tcPr>
          <w:p w:rsidR="001640B7" w:rsidRPr="009B782B" w:rsidRDefault="001640B7" w:rsidP="008B5796">
            <w:pPr>
              <w:tabs>
                <w:tab w:val="left" w:pos="4111"/>
              </w:tabs>
              <w:spacing w:before="0"/>
              <w:ind w:left="57"/>
              <w:rPr>
                <w:sz w:val="22"/>
              </w:rPr>
            </w:pPr>
            <w:r w:rsidRPr="009B782B">
              <w:rPr>
                <w:sz w:val="22"/>
              </w:rPr>
              <w:t>Asunto:</w:t>
            </w:r>
          </w:p>
        </w:tc>
        <w:tc>
          <w:tcPr>
            <w:tcW w:w="5301" w:type="dxa"/>
            <w:gridSpan w:val="3"/>
          </w:tcPr>
          <w:p w:rsidR="001640B7" w:rsidRPr="009B782B" w:rsidRDefault="008B5796" w:rsidP="008B5796">
            <w:pPr>
              <w:tabs>
                <w:tab w:val="left" w:pos="4111"/>
              </w:tabs>
              <w:spacing w:before="0"/>
              <w:ind w:left="57"/>
              <w:rPr>
                <w:b/>
                <w:bCs/>
              </w:rPr>
            </w:pPr>
            <w:r w:rsidRPr="004C172F">
              <w:rPr>
                <w:b/>
                <w:bCs/>
                <w:szCs w:val="24"/>
              </w:rPr>
              <w:t xml:space="preserve">Reunión de los Grupos de Trabajo 1 y 2/11, </w:t>
            </w:r>
            <w:r>
              <w:rPr>
                <w:b/>
                <w:bCs/>
                <w:szCs w:val="24"/>
              </w:rPr>
              <w:br/>
            </w:r>
            <w:r w:rsidRPr="004C172F">
              <w:rPr>
                <w:b/>
                <w:bCs/>
                <w:szCs w:val="24"/>
              </w:rPr>
              <w:t>Ginebra, 12-13 de julio de 2017</w:t>
            </w:r>
          </w:p>
        </w:tc>
      </w:tr>
    </w:tbl>
    <w:p w:rsidR="007D7181" w:rsidRPr="004C172F" w:rsidRDefault="007D7181" w:rsidP="000D7277">
      <w:pPr>
        <w:pStyle w:val="Normalaftertitle0"/>
        <w:rPr>
          <w:szCs w:val="24"/>
        </w:rPr>
      </w:pPr>
      <w:r w:rsidRPr="004C172F">
        <w:rPr>
          <w:szCs w:val="24"/>
        </w:rPr>
        <w:t>Estimada Señora/Estimado Señor:</w:t>
      </w:r>
    </w:p>
    <w:p w:rsidR="007D7181" w:rsidRPr="004C172F" w:rsidRDefault="007D7181" w:rsidP="000A5063">
      <w:pPr>
        <w:rPr>
          <w:szCs w:val="24"/>
        </w:rPr>
      </w:pPr>
      <w:r w:rsidRPr="004C172F">
        <w:rPr>
          <w:szCs w:val="24"/>
        </w:rPr>
        <w:t>Con</w:t>
      </w:r>
      <w:r w:rsidR="00772519">
        <w:rPr>
          <w:szCs w:val="24"/>
        </w:rPr>
        <w:t xml:space="preserve"> mi acuerdo a la solicitud del </w:t>
      </w:r>
      <w:r w:rsidRPr="004C172F">
        <w:rPr>
          <w:szCs w:val="24"/>
        </w:rPr>
        <w:t>Presidente de la Comisión de Estudio 11 (Sr. Andrey KUCHERYAVY) y según lo refrendado durante la reunión de dicha Comisión (Ginebra</w:t>
      </w:r>
      <w:r w:rsidR="005721BF">
        <w:rPr>
          <w:szCs w:val="24"/>
        </w:rPr>
        <w:t>,</w:t>
      </w:r>
      <w:r w:rsidRPr="004C172F">
        <w:rPr>
          <w:szCs w:val="24"/>
        </w:rPr>
        <w:t xml:space="preserve"> 6-15 de febrero de 2017), tengo el placer de invitarle a la reunión del GT 1/11 (</w:t>
      </w:r>
      <w:r w:rsidR="00AC5066">
        <w:rPr>
          <w:i/>
          <w:iCs/>
          <w:szCs w:val="24"/>
        </w:rPr>
        <w:t>Protocolos y requisitos de </w:t>
      </w:r>
      <w:r w:rsidRPr="004C172F">
        <w:rPr>
          <w:i/>
          <w:iCs/>
          <w:szCs w:val="24"/>
        </w:rPr>
        <w:t>señalización para redes de telecomunicaciones incipientes</w:t>
      </w:r>
      <w:r w:rsidRPr="004C172F">
        <w:rPr>
          <w:szCs w:val="24"/>
        </w:rPr>
        <w:t>) y del GT 2/11 (</w:t>
      </w:r>
      <w:r w:rsidR="00AC5066">
        <w:rPr>
          <w:i/>
          <w:iCs/>
          <w:szCs w:val="24"/>
        </w:rPr>
        <w:t>Protocolos de gestión </w:t>
      </w:r>
      <w:r w:rsidRPr="004C172F">
        <w:rPr>
          <w:i/>
          <w:iCs/>
          <w:szCs w:val="24"/>
        </w:rPr>
        <w:t>y control de las IMT-2020</w:t>
      </w:r>
      <w:r w:rsidR="00AC5066">
        <w:rPr>
          <w:szCs w:val="24"/>
        </w:rPr>
        <w:t>)</w:t>
      </w:r>
      <w:r w:rsidRPr="004C172F">
        <w:rPr>
          <w:szCs w:val="24"/>
        </w:rPr>
        <w:t>, que tendrán lugar en la sede de la UIT</w:t>
      </w:r>
      <w:r w:rsidR="000E5543">
        <w:rPr>
          <w:szCs w:val="24"/>
        </w:rPr>
        <w:t xml:space="preserve"> en Ginebra los días 12 </w:t>
      </w:r>
      <w:r w:rsidR="00AC5066">
        <w:rPr>
          <w:szCs w:val="24"/>
        </w:rPr>
        <w:t>y </w:t>
      </w:r>
      <w:r w:rsidRPr="004C172F">
        <w:rPr>
          <w:szCs w:val="24"/>
        </w:rPr>
        <w:t xml:space="preserve">13 de </w:t>
      </w:r>
      <w:r w:rsidR="00AC5066">
        <w:rPr>
          <w:szCs w:val="24"/>
        </w:rPr>
        <w:t>julio de 2017, respectivamente.</w:t>
      </w:r>
    </w:p>
    <w:p w:rsidR="007D7181" w:rsidRPr="004C172F" w:rsidRDefault="007D7181" w:rsidP="001F59D9">
      <w:pPr>
        <w:rPr>
          <w:szCs w:val="24"/>
        </w:rPr>
      </w:pPr>
      <w:r w:rsidRPr="004C172F">
        <w:rPr>
          <w:szCs w:val="24"/>
        </w:rPr>
        <w:t xml:space="preserve">Los principales objetivos de estas reuniones son estudiar la posibilidad de iniciar el proceso de aprobación para los siguientes proyectos de Recomendación, según corresponda en función de los resultados de las </w:t>
      </w:r>
      <w:hyperlink r:id="rId11" w:history="1">
        <w:r w:rsidRPr="004C172F">
          <w:rPr>
            <w:rStyle w:val="Hyperlink"/>
            <w:szCs w:val="24"/>
          </w:rPr>
          <w:t>reuniones de los Grupos de Relator</w:t>
        </w:r>
      </w:hyperlink>
      <w:r w:rsidRPr="004C172F">
        <w:rPr>
          <w:szCs w:val="24"/>
        </w:rPr>
        <w:t xml:space="preserve"> celebradas del 3 al 12 de julio de 2017 en Ginebra:</w:t>
      </w:r>
    </w:p>
    <w:p w:rsidR="007D7181" w:rsidRPr="004C172F" w:rsidRDefault="007D7181" w:rsidP="000A5063">
      <w:pPr>
        <w:rPr>
          <w:b/>
          <w:bCs/>
          <w:szCs w:val="24"/>
        </w:rPr>
      </w:pPr>
      <w:r w:rsidRPr="004C172F">
        <w:rPr>
          <w:b/>
          <w:bCs/>
          <w:szCs w:val="24"/>
        </w:rPr>
        <w:t>GT1/11:</w:t>
      </w:r>
    </w:p>
    <w:p w:rsidR="007D7181" w:rsidRPr="004C172F" w:rsidRDefault="00CC0EC8" w:rsidP="00CC0EC8">
      <w:pPr>
        <w:pStyle w:val="enumlev1"/>
      </w:pPr>
      <w:r w:rsidRPr="004C172F">
        <w:t>–</w:t>
      </w:r>
      <w:r w:rsidRPr="004C172F">
        <w:tab/>
      </w:r>
      <w:r w:rsidR="007D7181" w:rsidRPr="004C172F">
        <w:t>Proyect</w:t>
      </w:r>
      <w:r w:rsidR="005A32AD">
        <w:t>o de Recomendación UIT-T Q.SCO "</w:t>
      </w:r>
      <w:r w:rsidR="007D7181" w:rsidRPr="004C172F">
        <w:t>Escenarios y requisitos de señalizació</w:t>
      </w:r>
      <w:r w:rsidR="005A32AD">
        <w:t>n para la central basada en SDN"</w:t>
      </w:r>
      <w:r w:rsidR="007D7181" w:rsidRPr="004C172F">
        <w:t>.</w:t>
      </w:r>
    </w:p>
    <w:p w:rsidR="007D7181" w:rsidRPr="004C172F" w:rsidRDefault="007D7181" w:rsidP="000A5063">
      <w:pPr>
        <w:rPr>
          <w:b/>
          <w:bCs/>
          <w:szCs w:val="24"/>
        </w:rPr>
      </w:pPr>
      <w:r w:rsidRPr="004C172F">
        <w:rPr>
          <w:b/>
          <w:bCs/>
          <w:szCs w:val="24"/>
        </w:rPr>
        <w:t>GT2/11:</w:t>
      </w:r>
    </w:p>
    <w:p w:rsidR="007D7181" w:rsidRPr="004C172F" w:rsidRDefault="00CC0EC8" w:rsidP="004C172F">
      <w:pPr>
        <w:pStyle w:val="enumlev1"/>
        <w:rPr>
          <w:szCs w:val="24"/>
        </w:rPr>
      </w:pPr>
      <w:r w:rsidRPr="004C172F">
        <w:t>–</w:t>
      </w:r>
      <w:r w:rsidRPr="004C172F">
        <w:tab/>
      </w:r>
      <w:r w:rsidR="007D7181" w:rsidRPr="004C172F">
        <w:rPr>
          <w:szCs w:val="24"/>
        </w:rPr>
        <w:t>Proyecto de R</w:t>
      </w:r>
      <w:r w:rsidR="004C172F">
        <w:rPr>
          <w:szCs w:val="24"/>
        </w:rPr>
        <w:t>ecomendación UIT-T X.mp2p-mssr "</w:t>
      </w:r>
      <w:r w:rsidR="007D7181" w:rsidRPr="004C172F">
        <w:rPr>
          <w:szCs w:val="24"/>
        </w:rPr>
        <w:t>Comunicaciones entre pares (P2P) gestionadas: requisitos de señalización para el servicio multimedios de flujo continuo</w:t>
      </w:r>
      <w:r w:rsidR="004C172F">
        <w:rPr>
          <w:szCs w:val="24"/>
        </w:rPr>
        <w:t>"</w:t>
      </w:r>
      <w:r w:rsidR="00125B05">
        <w:rPr>
          <w:szCs w:val="24"/>
        </w:rPr>
        <w:t>.</w:t>
      </w:r>
    </w:p>
    <w:p w:rsidR="007D7181" w:rsidRPr="004C172F" w:rsidRDefault="007D7181" w:rsidP="001F59D9">
      <w:pPr>
        <w:ind w:right="-193"/>
        <w:rPr>
          <w:szCs w:val="24"/>
        </w:rPr>
      </w:pPr>
      <w:r w:rsidRPr="004C172F">
        <w:rPr>
          <w:szCs w:val="24"/>
        </w:rPr>
        <w:t>Asimismo, se organizarán en paralelo en el mismo lugar de celebr</w:t>
      </w:r>
      <w:r w:rsidR="004C172F">
        <w:rPr>
          <w:szCs w:val="24"/>
        </w:rPr>
        <w:t>ación las reuniones siguientes:</w:t>
      </w:r>
    </w:p>
    <w:p w:rsidR="007D7181" w:rsidRPr="004C172F" w:rsidRDefault="00CC0EC8" w:rsidP="00CC0EC8">
      <w:pPr>
        <w:pStyle w:val="enumlev1"/>
      </w:pPr>
      <w:r w:rsidRPr="004C172F">
        <w:t>–</w:t>
      </w:r>
      <w:r w:rsidRPr="004C172F">
        <w:tab/>
      </w:r>
      <w:r w:rsidR="007D7181" w:rsidRPr="004C172F">
        <w:rPr>
          <w:szCs w:val="24"/>
        </w:rPr>
        <w:t>Reuniones de los GT1, 2, 3/13, 14 de julio de 2017</w:t>
      </w:r>
      <w:r w:rsidR="007D7181" w:rsidRPr="004C172F">
        <w:t xml:space="preserve">, más información disponible en la Carta Colectiva </w:t>
      </w:r>
      <w:hyperlink r:id="rId12" w:history="1">
        <w:r w:rsidR="007D7181" w:rsidRPr="004C172F">
          <w:rPr>
            <w:color w:val="0000FF"/>
            <w:u w:val="single"/>
          </w:rPr>
          <w:t>2/13</w:t>
        </w:r>
      </w:hyperlink>
      <w:r w:rsidR="007D7181" w:rsidRPr="004C172F">
        <w:t>.</w:t>
      </w:r>
    </w:p>
    <w:p w:rsidR="007D7181" w:rsidRPr="004C172F" w:rsidRDefault="00CC0EC8" w:rsidP="00CC0EC8">
      <w:pPr>
        <w:pStyle w:val="enumlev1"/>
      </w:pPr>
      <w:r w:rsidRPr="004C172F">
        <w:t>–</w:t>
      </w:r>
      <w:r w:rsidRPr="004C172F">
        <w:tab/>
      </w:r>
      <w:r w:rsidR="007D7181" w:rsidRPr="004C172F">
        <w:t>Reunión por medios electrónicos del Comité de Dirección sobre Evaluaciones de Conformidad del UIT-T (</w:t>
      </w:r>
      <w:hyperlink r:id="rId13" w:history="1">
        <w:r w:rsidR="007D7181" w:rsidRPr="004C172F">
          <w:rPr>
            <w:color w:val="0000FF"/>
            <w:u w:val="single"/>
          </w:rPr>
          <w:t>ITU-T CASC</w:t>
        </w:r>
      </w:hyperlink>
      <w:r w:rsidR="007D7181" w:rsidRPr="004C172F">
        <w:t>), 12 de julio de 2017, más información disponible en la</w:t>
      </w:r>
      <w:r w:rsidR="00977230">
        <w:t> </w:t>
      </w:r>
      <w:hyperlink r:id="rId14" w:history="1">
        <w:r w:rsidR="007D7181" w:rsidRPr="004C172F">
          <w:rPr>
            <w:rStyle w:val="Hyperlink"/>
          </w:rPr>
          <w:t>página web</w:t>
        </w:r>
      </w:hyperlink>
      <w:r w:rsidR="007D7181" w:rsidRPr="004C172F">
        <w:t xml:space="preserve"> del CASC.</w:t>
      </w:r>
    </w:p>
    <w:p w:rsidR="007D7181" w:rsidRPr="004C172F" w:rsidRDefault="00CC0EC8" w:rsidP="00786AA2">
      <w:pPr>
        <w:pStyle w:val="enumlev1"/>
        <w:keepNext/>
      </w:pPr>
      <w:r w:rsidRPr="004C172F">
        <w:lastRenderedPageBreak/>
        <w:t>–</w:t>
      </w:r>
      <w:r w:rsidRPr="004C172F">
        <w:tab/>
      </w:r>
      <w:r w:rsidR="007D7181" w:rsidRPr="004C172F">
        <w:t>Reunión de la Actividad Conjunta de Coordinación sobre redes definidas por software (</w:t>
      </w:r>
      <w:hyperlink r:id="rId15" w:history="1">
        <w:r w:rsidR="007D7181" w:rsidRPr="004C172F">
          <w:rPr>
            <w:color w:val="0000FF"/>
            <w:u w:val="single"/>
          </w:rPr>
          <w:t>JCA-SDN</w:t>
        </w:r>
      </w:hyperlink>
      <w:r w:rsidR="005A32AD">
        <w:t>), 5 de julio de 2017 (14.30-17.</w:t>
      </w:r>
      <w:r w:rsidR="007D7181" w:rsidRPr="004C172F">
        <w:t>30</w:t>
      </w:r>
      <w:r w:rsidR="005A32AD">
        <w:t xml:space="preserve"> horas</w:t>
      </w:r>
      <w:r w:rsidR="007D7181" w:rsidRPr="004C172F">
        <w:t xml:space="preserve">), más información disponible en la </w:t>
      </w:r>
      <w:hyperlink r:id="rId16" w:history="1">
        <w:r w:rsidR="007D7181" w:rsidRPr="004C172F">
          <w:rPr>
            <w:rStyle w:val="Hyperlink"/>
          </w:rPr>
          <w:t>página web</w:t>
        </w:r>
      </w:hyperlink>
      <w:r w:rsidR="007D7181" w:rsidRPr="004C172F">
        <w:t xml:space="preserve"> de la JCA-SDN.</w:t>
      </w:r>
    </w:p>
    <w:p w:rsidR="007D7181" w:rsidRPr="004C172F" w:rsidRDefault="00CC0EC8" w:rsidP="006D753F">
      <w:pPr>
        <w:pStyle w:val="enumlev1"/>
        <w:keepNext/>
      </w:pPr>
      <w:r w:rsidRPr="004C172F">
        <w:t>–</w:t>
      </w:r>
      <w:r w:rsidRPr="004C172F">
        <w:tab/>
      </w:r>
      <w:r w:rsidR="007D7181" w:rsidRPr="004C172F">
        <w:t xml:space="preserve">La reunión inaugural de la </w:t>
      </w:r>
      <w:hyperlink r:id="rId17" w:history="1">
        <w:r w:rsidR="007D7181" w:rsidRPr="004C172F">
          <w:t>JCA sobre las IMT-2020</w:t>
        </w:r>
      </w:hyperlink>
      <w:r w:rsidR="006D753F" w:rsidRPr="00D84135">
        <w:rPr>
          <w:position w:val="6"/>
          <w:sz w:val="16"/>
        </w:rPr>
        <w:footnoteReference w:customMarkFollows="1" w:id="1"/>
        <w:t>*</w:t>
      </w:r>
      <w:r w:rsidR="007D7181" w:rsidRPr="004C172F">
        <w:t xml:space="preserve"> (JCA-IMT-2020) tendrá lugar e</w:t>
      </w:r>
      <w:r w:rsidR="005A32AD">
        <w:t>l 10 de julio de 2017 (11.00-13.</w:t>
      </w:r>
      <w:r w:rsidR="007D7181" w:rsidRPr="004C172F">
        <w:t>00</w:t>
      </w:r>
      <w:r w:rsidR="005A32AD" w:rsidRPr="005A32AD">
        <w:t xml:space="preserve"> </w:t>
      </w:r>
      <w:r w:rsidR="005A32AD">
        <w:t>horas</w:t>
      </w:r>
      <w:r w:rsidR="007D7181" w:rsidRPr="004C172F">
        <w:t>).</w:t>
      </w:r>
    </w:p>
    <w:p w:rsidR="007D7181" w:rsidRPr="004C172F" w:rsidRDefault="00CC0EC8" w:rsidP="00CC0EC8">
      <w:pPr>
        <w:pStyle w:val="enumlev1"/>
      </w:pPr>
      <w:r w:rsidRPr="004C172F">
        <w:t>–</w:t>
      </w:r>
      <w:r w:rsidRPr="004C172F">
        <w:tab/>
      </w:r>
      <w:r w:rsidR="007D7181" w:rsidRPr="004C172F">
        <w:t>EL Taller itinerante 5G se ce</w:t>
      </w:r>
      <w:r w:rsidR="004C172F">
        <w:t>lebrará el 11 de julio de 2017.</w:t>
      </w:r>
    </w:p>
    <w:p w:rsidR="007D7181" w:rsidRPr="004C172F" w:rsidRDefault="007D7181" w:rsidP="00F32E2C">
      <w:r w:rsidRPr="004C172F">
        <w:t>La reunión del GT1/11 comenzará a las 09</w:t>
      </w:r>
      <w:r w:rsidR="005A32AD">
        <w:t>.</w:t>
      </w:r>
      <w:r w:rsidRPr="004C172F">
        <w:t xml:space="preserve">30 horas del 12 de </w:t>
      </w:r>
      <w:r w:rsidR="005A32AD">
        <w:t>julio de 2017, y la reunión del </w:t>
      </w:r>
      <w:r w:rsidRPr="004C172F">
        <w:t>GT2/11 comenzará a las 14</w:t>
      </w:r>
      <w:r w:rsidR="005A32AD">
        <w:t>.</w:t>
      </w:r>
      <w:r w:rsidRPr="004C172F">
        <w:t>30 horas del 13 de julio de 2017. La inscripción de los participantes comenzará a las 08</w:t>
      </w:r>
      <w:r w:rsidR="005A32AD">
        <w:t>.</w:t>
      </w:r>
      <w:r w:rsidRPr="004C172F">
        <w:t xml:space="preserve">30 horas en la </w:t>
      </w:r>
      <w:hyperlink r:id="rId18" w:history="1">
        <w:r w:rsidRPr="004C172F">
          <w:rPr>
            <w:color w:val="0000FF"/>
            <w:u w:val="single"/>
          </w:rPr>
          <w:t>entrada del edificio de Montbrillant</w:t>
        </w:r>
      </w:hyperlink>
      <w:r w:rsidRPr="004C172F">
        <w:t xml:space="preserve">. La atribución cotidiana de las salas de reunión podrá consultarse en las pantallas diseminadas en toda la UIT, y en línea </w:t>
      </w:r>
      <w:hyperlink r:id="rId19" w:history="1">
        <w:r w:rsidRPr="004C172F">
          <w:rPr>
            <w:color w:val="0000FF"/>
            <w:u w:val="single"/>
          </w:rPr>
          <w:t>aquí</w:t>
        </w:r>
      </w:hyperlink>
      <w:r w:rsidRPr="004C172F">
        <w:t>.</w:t>
      </w:r>
    </w:p>
    <w:p w:rsidR="007D7181" w:rsidRPr="004C172F" w:rsidRDefault="007D7181" w:rsidP="001F59D9">
      <w:pPr>
        <w:keepNext/>
        <w:keepLines/>
        <w:spacing w:after="120"/>
      </w:pPr>
      <w:r w:rsidRPr="004C172F">
        <w:rPr>
          <w:b/>
          <w:bCs/>
        </w:rPr>
        <w:t>Plazos clave</w:t>
      </w:r>
      <w:r w:rsidRPr="004C172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525"/>
      </w:tblGrid>
      <w:tr w:rsidR="007D7181" w:rsidRPr="004C172F" w:rsidTr="00D01E8B">
        <w:tc>
          <w:tcPr>
            <w:tcW w:w="2122" w:type="dxa"/>
            <w:shd w:val="clear" w:color="auto" w:fill="auto"/>
            <w:vAlign w:val="center"/>
          </w:tcPr>
          <w:p w:rsidR="007D7181" w:rsidRPr="004C172F" w:rsidRDefault="007D7181" w:rsidP="00F32E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4C172F">
              <w:rPr>
                <w:sz w:val="22"/>
                <w:szCs w:val="22"/>
              </w:rPr>
              <w:t>12 de mayo de 2017</w:t>
            </w:r>
          </w:p>
        </w:tc>
        <w:tc>
          <w:tcPr>
            <w:tcW w:w="7597" w:type="dxa"/>
            <w:shd w:val="clear" w:color="auto" w:fill="auto"/>
            <w:vAlign w:val="center"/>
          </w:tcPr>
          <w:p w:rsidR="007D7181" w:rsidRPr="004C172F" w:rsidRDefault="005A32AD" w:rsidP="005A32A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rPr>
            </w:pPr>
            <w:r w:rsidRPr="005A32AD">
              <w:rPr>
                <w:sz w:val="22"/>
                <w:szCs w:val="22"/>
              </w:rPr>
              <w:t>–</w:t>
            </w:r>
            <w:r>
              <w:rPr>
                <w:sz w:val="22"/>
                <w:szCs w:val="22"/>
              </w:rPr>
              <w:tab/>
            </w:r>
            <w:hyperlink r:id="rId20" w:history="1">
              <w:r w:rsidR="007D7181" w:rsidRPr="004C172F">
                <w:rPr>
                  <w:color w:val="0000FF"/>
                  <w:sz w:val="22"/>
                  <w:szCs w:val="22"/>
                  <w:u w:val="single"/>
                </w:rPr>
                <w:t>Presentación de contribuciones de los miembros del UIT-T</w:t>
              </w:r>
            </w:hyperlink>
            <w:r w:rsidR="00203AED">
              <w:rPr>
                <w:sz w:val="22"/>
                <w:szCs w:val="22"/>
              </w:rPr>
              <w:t xml:space="preserve"> al GT1/11 y al </w:t>
            </w:r>
            <w:r w:rsidR="007D7181" w:rsidRPr="004C172F">
              <w:rPr>
                <w:sz w:val="22"/>
                <w:szCs w:val="22"/>
              </w:rPr>
              <w:t>GT2/11 para las que se requiere traducción</w:t>
            </w:r>
          </w:p>
        </w:tc>
      </w:tr>
      <w:tr w:rsidR="007D7181" w:rsidRPr="004C172F" w:rsidTr="00D01E8B">
        <w:tc>
          <w:tcPr>
            <w:tcW w:w="2122" w:type="dxa"/>
            <w:shd w:val="clear" w:color="auto" w:fill="auto"/>
            <w:vAlign w:val="center"/>
          </w:tcPr>
          <w:p w:rsidR="007D7181" w:rsidRPr="004C172F" w:rsidRDefault="007D7181" w:rsidP="00F32E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4C172F">
              <w:rPr>
                <w:sz w:val="22"/>
                <w:szCs w:val="22"/>
              </w:rPr>
              <w:t>12 de junio de 2017</w:t>
            </w:r>
          </w:p>
        </w:tc>
        <w:tc>
          <w:tcPr>
            <w:tcW w:w="7597" w:type="dxa"/>
            <w:shd w:val="clear" w:color="auto" w:fill="auto"/>
            <w:vAlign w:val="center"/>
          </w:tcPr>
          <w:p w:rsidR="007D7181" w:rsidRPr="004C172F" w:rsidRDefault="005A32AD" w:rsidP="005A32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rPr>
            </w:pPr>
            <w:r w:rsidRPr="005A32AD">
              <w:rPr>
                <w:sz w:val="22"/>
              </w:rPr>
              <w:t>–</w:t>
            </w:r>
            <w:r>
              <w:rPr>
                <w:sz w:val="22"/>
              </w:rPr>
              <w:tab/>
            </w:r>
            <w:r w:rsidR="007D7181" w:rsidRPr="004C172F">
              <w:rPr>
                <w:sz w:val="22"/>
              </w:rPr>
              <w:t xml:space="preserve">Preinscripción (en línea a través de la </w:t>
            </w:r>
            <w:hyperlink r:id="rId21" w:history="1">
              <w:r w:rsidR="007D7181" w:rsidRPr="004C172F">
                <w:rPr>
                  <w:color w:val="0000FF"/>
                  <w:sz w:val="22"/>
                  <w:u w:val="single"/>
                </w:rPr>
                <w:t>página principal de la Comisión de Estudio</w:t>
              </w:r>
            </w:hyperlink>
            <w:r w:rsidR="007D7181" w:rsidRPr="004C172F">
              <w:rPr>
                <w:sz w:val="22"/>
              </w:rPr>
              <w:t>)</w:t>
            </w:r>
          </w:p>
          <w:p w:rsidR="007D7181" w:rsidRPr="004C172F" w:rsidRDefault="005A32AD" w:rsidP="005A32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rPr>
            </w:pPr>
            <w:r w:rsidRPr="005A32AD">
              <w:rPr>
                <w:sz w:val="22"/>
                <w:szCs w:val="22"/>
              </w:rPr>
              <w:t>–</w:t>
            </w:r>
            <w:r>
              <w:rPr>
                <w:sz w:val="22"/>
                <w:szCs w:val="22"/>
              </w:rPr>
              <w:tab/>
            </w:r>
            <w:r w:rsidR="007D7181" w:rsidRPr="004C172F">
              <w:rPr>
                <w:sz w:val="22"/>
                <w:szCs w:val="22"/>
              </w:rPr>
              <w:t xml:space="preserve">Presentación de solicitudes para las cartas de apoyo para la obtención del visado (puede encontrar una plantilla de solicitud </w:t>
            </w:r>
            <w:hyperlink r:id="rId22" w:history="1">
              <w:r w:rsidR="007D7181" w:rsidRPr="004C172F">
                <w:rPr>
                  <w:color w:val="0000FF"/>
                  <w:sz w:val="22"/>
                  <w:szCs w:val="22"/>
                  <w:u w:val="single"/>
                </w:rPr>
                <w:t>aquí</w:t>
              </w:r>
            </w:hyperlink>
            <w:r w:rsidR="007D7181" w:rsidRPr="004C172F">
              <w:rPr>
                <w:sz w:val="22"/>
                <w:szCs w:val="22"/>
              </w:rPr>
              <w:t>)</w:t>
            </w:r>
          </w:p>
        </w:tc>
      </w:tr>
      <w:tr w:rsidR="007D7181" w:rsidRPr="004C172F" w:rsidTr="00D01E8B">
        <w:tc>
          <w:tcPr>
            <w:tcW w:w="2122" w:type="dxa"/>
            <w:shd w:val="clear" w:color="auto" w:fill="auto"/>
            <w:vAlign w:val="center"/>
          </w:tcPr>
          <w:p w:rsidR="007D7181" w:rsidRPr="004C172F" w:rsidRDefault="007D7181" w:rsidP="00F32E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highlight w:val="yellow"/>
              </w:rPr>
            </w:pPr>
            <w:r w:rsidRPr="004C172F">
              <w:rPr>
                <w:sz w:val="22"/>
                <w:szCs w:val="22"/>
              </w:rPr>
              <w:t>29 de junio de 2017</w:t>
            </w:r>
          </w:p>
        </w:tc>
        <w:tc>
          <w:tcPr>
            <w:tcW w:w="7597" w:type="dxa"/>
            <w:shd w:val="clear" w:color="auto" w:fill="auto"/>
            <w:vAlign w:val="center"/>
          </w:tcPr>
          <w:p w:rsidR="007D7181" w:rsidRPr="004C172F" w:rsidRDefault="005A32AD" w:rsidP="00D01E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5A32AD">
              <w:rPr>
                <w:sz w:val="22"/>
                <w:szCs w:val="22"/>
              </w:rPr>
              <w:t>–</w:t>
            </w:r>
            <w:r>
              <w:rPr>
                <w:sz w:val="22"/>
                <w:szCs w:val="22"/>
              </w:rPr>
              <w:tab/>
            </w:r>
            <w:hyperlink r:id="rId23" w:history="1">
              <w:r w:rsidR="007D7181" w:rsidRPr="004C172F">
                <w:rPr>
                  <w:color w:val="0000FF"/>
                  <w:sz w:val="22"/>
                  <w:szCs w:val="22"/>
                  <w:u w:val="single"/>
                </w:rPr>
                <w:t>Presentación de contribuciones de miembros del UIT-T</w:t>
              </w:r>
            </w:hyperlink>
            <w:r w:rsidR="007D7181" w:rsidRPr="004C172F">
              <w:rPr>
                <w:sz w:val="22"/>
                <w:szCs w:val="22"/>
              </w:rPr>
              <w:t xml:space="preserve"> al GT1/11 y al GT2/11</w:t>
            </w:r>
          </w:p>
        </w:tc>
      </w:tr>
    </w:tbl>
    <w:p w:rsidR="00101287" w:rsidRPr="004C172F" w:rsidRDefault="007D7181" w:rsidP="00101287">
      <w:pPr>
        <w:spacing w:before="240"/>
      </w:pPr>
      <w:r w:rsidRPr="004C172F">
        <w:t xml:space="preserve">En el </w:t>
      </w:r>
      <w:r w:rsidRPr="004C172F">
        <w:rPr>
          <w:b/>
          <w:bCs/>
        </w:rPr>
        <w:t>Anexo A</w:t>
      </w:r>
      <w:r w:rsidRPr="004C172F">
        <w:t xml:space="preserve"> encontrará información práctica sobre la reunión. En el </w:t>
      </w:r>
      <w:r w:rsidRPr="004C172F">
        <w:rPr>
          <w:b/>
          <w:bCs/>
        </w:rPr>
        <w:t>Anexo B</w:t>
      </w:r>
      <w:r w:rsidRPr="004C172F">
        <w:t xml:space="preserve"> figuran un proyecto de </w:t>
      </w:r>
      <w:r w:rsidRPr="004C172F">
        <w:rPr>
          <w:b/>
          <w:bCs/>
        </w:rPr>
        <w:t>orden del día</w:t>
      </w:r>
      <w:r w:rsidRPr="004C172F">
        <w:t xml:space="preserve"> y el </w:t>
      </w:r>
      <w:r w:rsidRPr="004C172F">
        <w:rPr>
          <w:b/>
          <w:bCs/>
        </w:rPr>
        <w:t>plan de gestión del tiempo</w:t>
      </w:r>
      <w:r w:rsidRPr="004C172F">
        <w:t xml:space="preserve"> de las reuniones, tal y como fueron preparados por los Presidentes de los</w:t>
      </w:r>
      <w:r w:rsidR="00101287" w:rsidRPr="004C172F">
        <w:t xml:space="preserve"> Grupos de Trabajo 1/11 y 2/11.</w:t>
      </w:r>
    </w:p>
    <w:p w:rsidR="00101287" w:rsidRPr="004C172F" w:rsidRDefault="00101287" w:rsidP="00101287">
      <w:pPr>
        <w:spacing w:before="240"/>
      </w:pPr>
      <w:r w:rsidRPr="004C172F">
        <w:t>Le deseo una reunión agradable y productiva.</w:t>
      </w:r>
    </w:p>
    <w:tbl>
      <w:tblPr>
        <w:tblW w:w="0" w:type="auto"/>
        <w:tblLook w:val="04A0" w:firstRow="1" w:lastRow="0" w:firstColumn="1" w:lastColumn="0" w:noHBand="0" w:noVBand="1"/>
      </w:tblPr>
      <w:tblGrid>
        <w:gridCol w:w="6312"/>
        <w:gridCol w:w="3322"/>
      </w:tblGrid>
      <w:tr w:rsidR="00101287" w:rsidRPr="004C172F" w:rsidTr="001475E2">
        <w:trPr>
          <w:trHeight w:val="996"/>
        </w:trPr>
        <w:tc>
          <w:tcPr>
            <w:tcW w:w="6379" w:type="dxa"/>
            <w:tcBorders>
              <w:right w:val="single" w:sz="4" w:space="0" w:color="auto"/>
            </w:tcBorders>
            <w:tcMar>
              <w:left w:w="0" w:type="dxa"/>
              <w:right w:w="0" w:type="dxa"/>
            </w:tcMar>
          </w:tcPr>
          <w:p w:rsidR="00101287" w:rsidRDefault="00160D57" w:rsidP="004C172F">
            <w:r>
              <w:t>Atentamente,</w:t>
            </w:r>
            <w:bookmarkStart w:id="0" w:name="_GoBack"/>
            <w:bookmarkEnd w:id="0"/>
          </w:p>
          <w:p w:rsidR="00160D57" w:rsidRPr="004C172F" w:rsidRDefault="00160D57" w:rsidP="004C172F">
            <w:pPr>
              <w:rPr>
                <w:rFonts w:ascii="Calibri" w:hAnsi="Calibri"/>
                <w:szCs w:val="24"/>
              </w:rPr>
            </w:pPr>
          </w:p>
          <w:p w:rsidR="00101287" w:rsidRPr="004C172F" w:rsidRDefault="00101287" w:rsidP="004C172F">
            <w:pPr>
              <w:spacing w:before="600"/>
            </w:pPr>
            <w:r w:rsidRPr="004C172F">
              <w:rPr>
                <w:rFonts w:ascii="Calibri" w:hAnsi="Calibri"/>
                <w:szCs w:val="24"/>
              </w:rPr>
              <w:t>Chaesub Lee</w:t>
            </w:r>
            <w:r w:rsidRPr="004C172F">
              <w:rPr>
                <w:rFonts w:ascii="Calibri" w:hAnsi="Calibri"/>
                <w:szCs w:val="24"/>
              </w:rPr>
              <w:br/>
            </w:r>
            <w:r w:rsidRPr="004C172F">
              <w:t>Director de la Oficina de Normalización 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rsidR="00101287" w:rsidRPr="004C172F" w:rsidRDefault="00101287" w:rsidP="001475E2">
            <w:pPr>
              <w:spacing w:before="0"/>
              <w:jc w:val="center"/>
            </w:pPr>
            <w:r w:rsidRPr="004C172F">
              <w:rPr>
                <w:noProof/>
                <w:szCs w:val="24"/>
                <w:lang w:val="en-US" w:eastAsia="zh-CN"/>
              </w:rPr>
              <w:drawing>
                <wp:inline distT="0" distB="0" distL="0" distR="0" wp14:anchorId="631AD1EF" wp14:editId="16F4B736">
                  <wp:extent cx="1028700" cy="1028700"/>
                  <wp:effectExtent l="0" t="0" r="0" b="0"/>
                  <wp:docPr id="10" name="Picture 10" descr="Title: Latest meeting information - Description: This QR code redirects to the latest meeeting information at:&#10;http://handle.itu.int/11.1002/groups/sg11"/>
                  <wp:cNvGraphicFramePr/>
                  <a:graphic xmlns:a="http://schemas.openxmlformats.org/drawingml/2006/main">
                    <a:graphicData uri="http://schemas.openxmlformats.org/drawingml/2006/picture">
                      <pic:pic xmlns:pic="http://schemas.openxmlformats.org/drawingml/2006/picture">
                        <pic:nvPicPr>
                          <pic:cNvPr id="0" name="Picture 52" descr="Title: Latest meeting information - Description: This QR code redirects to the latest meeeting information at:&#10;http://handle.itu.int/11.1002/groups/sg11"/>
                          <pic:cNvPicPr>
                            <a:picLocks noChangeArrowheads="1"/>
                          </pic:cNvPicPr>
                        </pic:nvPicPr>
                        <pic:blipFill>
                          <a:blip r:embed="rId24">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p>
          <w:p w:rsidR="00101287" w:rsidRPr="004C172F" w:rsidRDefault="004C172F" w:rsidP="001475E2">
            <w:pPr>
              <w:spacing w:before="0"/>
              <w:jc w:val="center"/>
            </w:pPr>
            <w:r w:rsidRPr="004C172F">
              <w:t>última información de la reunión</w:t>
            </w:r>
          </w:p>
        </w:tc>
      </w:tr>
    </w:tbl>
    <w:p w:rsidR="00101287" w:rsidRPr="004C172F" w:rsidRDefault="007D7181" w:rsidP="004C172F">
      <w:pPr>
        <w:spacing w:before="840"/>
      </w:pPr>
      <w:r w:rsidRPr="004C172F">
        <w:rPr>
          <w:b/>
          <w:bCs/>
        </w:rPr>
        <w:t>Anexos</w:t>
      </w:r>
      <w:r w:rsidRPr="004C172F">
        <w:t>: 2</w:t>
      </w:r>
    </w:p>
    <w:p w:rsidR="007D7181" w:rsidRPr="004C172F" w:rsidRDefault="007D7181" w:rsidP="001F59D9">
      <w:pPr>
        <w:spacing w:before="480"/>
      </w:pPr>
      <w:r w:rsidRPr="004C172F">
        <w:br w:type="page"/>
      </w:r>
    </w:p>
    <w:p w:rsidR="007D7181" w:rsidRPr="005A32AD" w:rsidRDefault="007D7181" w:rsidP="005A32AD">
      <w:pPr>
        <w:pStyle w:val="AnnexNo"/>
        <w:textAlignment w:val="baseline"/>
        <w:rPr>
          <w:lang w:val="es-ES_tradnl"/>
        </w:rPr>
      </w:pPr>
      <w:r w:rsidRPr="005A32AD">
        <w:rPr>
          <w:lang w:val="es-ES_tradnl"/>
        </w:rPr>
        <w:lastRenderedPageBreak/>
        <w:t>ANEXO A</w:t>
      </w:r>
    </w:p>
    <w:p w:rsidR="007D7181" w:rsidRPr="005A32AD" w:rsidRDefault="007D7181" w:rsidP="005A32AD">
      <w:pPr>
        <w:pStyle w:val="AnnexTitle"/>
        <w:spacing w:before="120"/>
        <w:rPr>
          <w:b w:val="0"/>
          <w:bCs/>
          <w:sz w:val="28"/>
          <w:szCs w:val="28"/>
        </w:rPr>
      </w:pPr>
      <w:r w:rsidRPr="005A32AD">
        <w:rPr>
          <w:b w:val="0"/>
          <w:bCs/>
        </w:rPr>
        <w:t>(</w:t>
      </w:r>
      <w:proofErr w:type="gramStart"/>
      <w:r w:rsidRPr="005A32AD">
        <w:rPr>
          <w:b w:val="0"/>
          <w:bCs/>
        </w:rPr>
        <w:t>a</w:t>
      </w:r>
      <w:proofErr w:type="gramEnd"/>
      <w:r w:rsidRPr="005A32AD">
        <w:rPr>
          <w:b w:val="0"/>
          <w:bCs/>
        </w:rPr>
        <w:t xml:space="preserve"> la Carta Colectiva TSB 2/11)</w:t>
      </w:r>
    </w:p>
    <w:p w:rsidR="007D7181" w:rsidRPr="005A32AD" w:rsidRDefault="007D7181" w:rsidP="005A32AD">
      <w:pPr>
        <w:pStyle w:val="AnnexTitle"/>
        <w:rPr>
          <w:rFonts w:ascii="Calibri" w:hAnsi="Calibri"/>
          <w:bCs/>
          <w:szCs w:val="24"/>
        </w:rPr>
      </w:pPr>
      <w:r w:rsidRPr="005A32AD">
        <w:rPr>
          <w:rFonts w:ascii="Calibri" w:hAnsi="Calibri"/>
          <w:bCs/>
          <w:szCs w:val="24"/>
        </w:rPr>
        <w:t>MÉTODOS DE TRABAJO E INSTALACIONES</w:t>
      </w:r>
    </w:p>
    <w:p w:rsidR="007D7181" w:rsidRPr="004C172F" w:rsidRDefault="007D7181" w:rsidP="00E26CC0">
      <w:pPr>
        <w:spacing w:before="240" w:after="120"/>
        <w:rPr>
          <w:rFonts w:eastAsia="SimSun"/>
          <w:b/>
          <w:bCs/>
          <w:sz w:val="22"/>
          <w:szCs w:val="22"/>
          <w:lang w:eastAsia="zh-CN"/>
        </w:rPr>
      </w:pPr>
      <w:r w:rsidRPr="004C172F">
        <w:rPr>
          <w:rFonts w:eastAsia="SimSun"/>
          <w:b/>
          <w:bCs/>
          <w:sz w:val="22"/>
          <w:szCs w:val="22"/>
          <w:lang w:eastAsia="zh-CN"/>
        </w:rPr>
        <w:t xml:space="preserve">PRESENTACIÓN Y ACCESO A LOS DOCUMENTOS: </w:t>
      </w:r>
      <w:r w:rsidRPr="004C172F">
        <w:rPr>
          <w:rFonts w:eastAsia="SimSun"/>
          <w:sz w:val="22"/>
          <w:szCs w:val="22"/>
          <w:lang w:eastAsia="zh-CN"/>
        </w:rPr>
        <w:t>La reunión se celebrará sin hacer uso del papel. Las contribuciones de los miembros deben presentarse mediante la</w:t>
      </w:r>
      <w:r w:rsidRPr="004C172F">
        <w:rPr>
          <w:rFonts w:eastAsia="SimSun"/>
          <w:b/>
          <w:bCs/>
          <w:sz w:val="22"/>
          <w:szCs w:val="22"/>
          <w:lang w:eastAsia="zh-CN"/>
        </w:rPr>
        <w:t xml:space="preserve"> </w:t>
      </w:r>
      <w:hyperlink r:id="rId25" w:history="1">
        <w:r w:rsidRPr="004C172F">
          <w:rPr>
            <w:rFonts w:eastAsia="SimSun"/>
            <w:color w:val="0000FF"/>
            <w:sz w:val="22"/>
            <w:szCs w:val="22"/>
            <w:u w:val="single"/>
            <w:lang w:eastAsia="zh-CN"/>
          </w:rPr>
          <w:t>Publicación Directa de Documentos</w:t>
        </w:r>
      </w:hyperlink>
      <w:r w:rsidRPr="004C172F">
        <w:rPr>
          <w:rFonts w:eastAsia="SimSun"/>
          <w:sz w:val="22"/>
          <w:szCs w:val="22"/>
          <w:lang w:eastAsia="zh-CN"/>
        </w:rPr>
        <w:t xml:space="preserve">; los proyectos de DT deben presentarse por correo-e a la secretaría de la Comisión de Estudio utilizando la </w:t>
      </w:r>
      <w:hyperlink r:id="rId26" w:history="1">
        <w:r w:rsidRPr="004C172F">
          <w:rPr>
            <w:rFonts w:eastAsia="SimSun"/>
            <w:color w:val="0000FF"/>
            <w:sz w:val="22"/>
            <w:szCs w:val="22"/>
            <w:u w:val="single"/>
            <w:lang w:eastAsia="zh-CN"/>
          </w:rPr>
          <w:t>plantilla correspondiente</w:t>
        </w:r>
      </w:hyperlink>
      <w:r w:rsidRPr="004C172F">
        <w:rPr>
          <w:rFonts w:eastAsia="SimSun"/>
          <w:sz w:val="22"/>
          <w:szCs w:val="22"/>
          <w:lang w:eastAsia="zh-CN"/>
        </w:rPr>
        <w:t>. El acceso a los documentos de reunión se facilita a partir de la página principal de la Comisión de Estudio, y está restringido a los Miembros del UIT-T/</w:t>
      </w:r>
      <w:hyperlink r:id="rId27" w:history="1">
        <w:r w:rsidRPr="004C172F">
          <w:rPr>
            <w:rStyle w:val="Hyperlink"/>
            <w:rFonts w:eastAsia="SimSun"/>
            <w:sz w:val="22"/>
            <w:szCs w:val="22"/>
            <w:lang w:eastAsia="zh-CN"/>
          </w:rPr>
          <w:t>titulares de una cuenta TIES</w:t>
        </w:r>
      </w:hyperlink>
      <w:r w:rsidRPr="004C172F">
        <w:rPr>
          <w:rFonts w:eastAsia="SimSun"/>
          <w:sz w:val="22"/>
          <w:szCs w:val="22"/>
          <w:lang w:eastAsia="zh-CN"/>
        </w:rPr>
        <w:t xml:space="preserve">. </w:t>
      </w:r>
    </w:p>
    <w:p w:rsidR="007D7181" w:rsidRPr="004C172F" w:rsidRDefault="007D7181" w:rsidP="001F59D9">
      <w:pPr>
        <w:rPr>
          <w:sz w:val="22"/>
          <w:szCs w:val="22"/>
        </w:rPr>
      </w:pPr>
      <w:r w:rsidRPr="004C172F">
        <w:rPr>
          <w:rFonts w:eastAsia="SimSun"/>
          <w:b/>
          <w:bCs/>
          <w:sz w:val="22"/>
          <w:szCs w:val="22"/>
          <w:lang w:eastAsia="zh-CN"/>
        </w:rPr>
        <w:t>LAN INALÁMBRICA</w:t>
      </w:r>
      <w:r w:rsidRPr="004C172F">
        <w:t xml:space="preserve">: </w:t>
      </w:r>
      <w:r w:rsidRPr="004C172F">
        <w:rPr>
          <w:sz w:val="22"/>
          <w:szCs w:val="22"/>
        </w:rPr>
        <w:t>Los delegados disponen de instalaciones de red de área local inalámbrica en todas las salas de conferencias de la UIT (SSID: "ITUwifi", contraseña: itu@GVA1211). En la dirección web del UIT-T (</w:t>
      </w:r>
      <w:hyperlink r:id="rId28" w:history="1">
        <w:r w:rsidRPr="004C172F">
          <w:rPr>
            <w:color w:val="0000FF"/>
            <w:sz w:val="22"/>
            <w:szCs w:val="22"/>
            <w:u w:val="single"/>
          </w:rPr>
          <w:t>http://www.itu.int/ITU-T/edh/faqs-support.html</w:t>
        </w:r>
      </w:hyperlink>
      <w:r w:rsidRPr="004C172F">
        <w:rPr>
          <w:sz w:val="22"/>
          <w:szCs w:val="22"/>
        </w:rPr>
        <w:t xml:space="preserve">) e </w:t>
      </w:r>
      <w:r w:rsidRPr="004C172F">
        <w:rPr>
          <w:i/>
          <w:iCs/>
          <w:sz w:val="22"/>
          <w:szCs w:val="22"/>
        </w:rPr>
        <w:t>in situ</w:t>
      </w:r>
      <w:r w:rsidRPr="004C172F">
        <w:rPr>
          <w:sz w:val="22"/>
          <w:szCs w:val="22"/>
        </w:rPr>
        <w:t xml:space="preserve"> se puede encontrar información más detallada al respecto.</w:t>
      </w:r>
    </w:p>
    <w:p w:rsidR="007D7181" w:rsidRPr="004C172F" w:rsidRDefault="007D7181" w:rsidP="00E26CC0">
      <w:pPr>
        <w:spacing w:after="120"/>
      </w:pPr>
      <w:r w:rsidRPr="004C172F">
        <w:rPr>
          <w:rFonts w:eastAsia="SimSun"/>
          <w:b/>
          <w:bCs/>
          <w:sz w:val="22"/>
          <w:szCs w:val="22"/>
          <w:lang w:eastAsia="zh-CN"/>
        </w:rPr>
        <w:t>TAQUILLAS ELECTRÓNICAS:</w:t>
      </w:r>
      <w:r w:rsidRPr="004C172F">
        <w:t xml:space="preserve"> </w:t>
      </w:r>
      <w:r w:rsidRPr="004C172F">
        <w:rPr>
          <w:sz w:val="22"/>
          <w:szCs w:val="22"/>
        </w:rPr>
        <w:t xml:space="preserve">Durante toda la reunión se dispondrá de taquillas electrónicas que podrán abrirse y cerrarse con la tarjeta de identificación RFID del UIT-T de los delegados. Las taquillas electrónicas están situadas justo detrás del mostrador de inscripción en la planta baja del </w:t>
      </w:r>
      <w:hyperlink r:id="rId29" w:history="1">
        <w:r w:rsidRPr="004C172F">
          <w:rPr>
            <w:color w:val="0000FF"/>
            <w:sz w:val="22"/>
            <w:szCs w:val="22"/>
            <w:u w:val="single"/>
          </w:rPr>
          <w:t>edificio Montbrillant</w:t>
        </w:r>
      </w:hyperlink>
      <w:r w:rsidRPr="004C172F">
        <w:rPr>
          <w:sz w:val="22"/>
          <w:szCs w:val="22"/>
        </w:rPr>
        <w:t>.</w:t>
      </w:r>
    </w:p>
    <w:p w:rsidR="007D7181" w:rsidRPr="004C172F" w:rsidRDefault="007D7181" w:rsidP="001A105C">
      <w:pPr>
        <w:spacing w:after="120"/>
        <w:rPr>
          <w:sz w:val="22"/>
          <w:szCs w:val="22"/>
        </w:rPr>
      </w:pPr>
      <w:r w:rsidRPr="004C172F">
        <w:rPr>
          <w:b/>
          <w:bCs/>
          <w:sz w:val="22"/>
          <w:szCs w:val="22"/>
        </w:rPr>
        <w:t>IMPRESORAS</w:t>
      </w:r>
      <w:r w:rsidRPr="004C172F">
        <w:rPr>
          <w:sz w:val="22"/>
          <w:szCs w:val="22"/>
        </w:rPr>
        <w:t xml:space="preserve">: En las salas para los delegados y en las proximidades de las </w:t>
      </w:r>
      <w:hyperlink r:id="rId30" w:history="1">
        <w:r w:rsidRPr="004C172F">
          <w:rPr>
            <w:color w:val="0000FF"/>
            <w:sz w:val="22"/>
            <w:szCs w:val="22"/>
            <w:u w:val="single"/>
          </w:rPr>
          <w:t>principales salas de reunión</w:t>
        </w:r>
      </w:hyperlink>
      <w:r w:rsidRPr="004C172F">
        <w:rPr>
          <w:sz w:val="22"/>
          <w:szCs w:val="22"/>
        </w:rPr>
        <w:t xml:space="preserve"> se han puesto a disposición impresoras. Para no tener que instalar controladores en su computadora, puede imprimir directamente los documentos enviándolos por correo elec</w:t>
      </w:r>
      <w:r w:rsidR="004C172F">
        <w:rPr>
          <w:sz w:val="22"/>
          <w:szCs w:val="22"/>
        </w:rPr>
        <w:t>trónico a la impresora deseada.</w:t>
      </w:r>
      <w:r w:rsidR="001A105C">
        <w:rPr>
          <w:sz w:val="22"/>
          <w:szCs w:val="22"/>
        </w:rPr>
        <w:t xml:space="preserve"> </w:t>
      </w:r>
      <w:r w:rsidRPr="004C172F">
        <w:rPr>
          <w:sz w:val="22"/>
          <w:szCs w:val="22"/>
        </w:rPr>
        <w:t xml:space="preserve">Vea los detalles en </w:t>
      </w:r>
      <w:hyperlink r:id="rId31" w:history="1">
        <w:r w:rsidRPr="004C172F">
          <w:rPr>
            <w:color w:val="0000FF"/>
            <w:sz w:val="22"/>
            <w:szCs w:val="22"/>
            <w:u w:val="single"/>
          </w:rPr>
          <w:t>http://itu.int/go/e-print</w:t>
        </w:r>
      </w:hyperlink>
      <w:r w:rsidRPr="004C172F">
        <w:rPr>
          <w:sz w:val="22"/>
          <w:szCs w:val="22"/>
        </w:rPr>
        <w:t>.</w:t>
      </w:r>
    </w:p>
    <w:p w:rsidR="007D7181" w:rsidRPr="004C172F" w:rsidRDefault="007D7181" w:rsidP="00E26CC0">
      <w:pPr>
        <w:textAlignment w:val="auto"/>
        <w:rPr>
          <w:rFonts w:ascii="Calibri" w:hAnsi="Calibri"/>
          <w:sz w:val="22"/>
          <w:szCs w:val="22"/>
        </w:rPr>
      </w:pPr>
      <w:r w:rsidRPr="004C172F">
        <w:rPr>
          <w:rFonts w:ascii="Calibri" w:hAnsi="Calibri"/>
          <w:b/>
          <w:bCs/>
          <w:sz w:val="22"/>
          <w:szCs w:val="22"/>
        </w:rPr>
        <w:t>PRÉSTAMO DE COMPUTADORAS PORTÁTILES</w:t>
      </w:r>
      <w:r w:rsidRPr="004C172F">
        <w:rPr>
          <w:rFonts w:ascii="Calibri" w:hAnsi="Calibri"/>
          <w:sz w:val="22"/>
          <w:szCs w:val="22"/>
        </w:rPr>
        <w:t>: El Servicio de Asistencia de la UIT (</w:t>
      </w:r>
      <w:hyperlink r:id="rId32" w:history="1">
        <w:r w:rsidRPr="004C172F">
          <w:rPr>
            <w:rFonts w:ascii="Calibri" w:hAnsi="Calibri"/>
            <w:color w:val="0000FF"/>
            <w:sz w:val="22"/>
            <w:szCs w:val="22"/>
            <w:u w:val="single"/>
          </w:rPr>
          <w:t>servicedesk@itu.int</w:t>
        </w:r>
      </w:hyperlink>
      <w:r w:rsidRPr="004C172F">
        <w:rPr>
          <w:rFonts w:ascii="Calibri" w:hAnsi="Calibri"/>
          <w:sz w:val="22"/>
          <w:szCs w:val="22"/>
        </w:rPr>
        <w:t>) dispondrá de computadoras portátiles a disposición de los delegados. Se atenderán las solicitudes por orden de llegada.</w:t>
      </w:r>
    </w:p>
    <w:p w:rsidR="007D7181" w:rsidRPr="004C172F" w:rsidRDefault="007D7181" w:rsidP="00E26CC0">
      <w:pPr>
        <w:tabs>
          <w:tab w:val="clear" w:pos="794"/>
          <w:tab w:val="clear" w:pos="1191"/>
          <w:tab w:val="clear" w:pos="1588"/>
          <w:tab w:val="clear" w:pos="1985"/>
        </w:tabs>
        <w:spacing w:before="200" w:after="120"/>
        <w:ind w:right="91"/>
        <w:jc w:val="center"/>
        <w:rPr>
          <w:b/>
          <w:bCs/>
          <w:sz w:val="22"/>
          <w:szCs w:val="22"/>
        </w:rPr>
      </w:pPr>
      <w:r w:rsidRPr="004C172F">
        <w:rPr>
          <w:b/>
          <w:bCs/>
          <w:sz w:val="22"/>
          <w:szCs w:val="22"/>
        </w:rPr>
        <w:t>PREINSCRIPCIÓN</w:t>
      </w:r>
    </w:p>
    <w:p w:rsidR="007D7181" w:rsidRPr="004C172F" w:rsidRDefault="007D7181" w:rsidP="00E26CC0">
      <w:pPr>
        <w:rPr>
          <w:b/>
          <w:bCs/>
          <w:sz w:val="22"/>
          <w:szCs w:val="22"/>
        </w:rPr>
      </w:pPr>
      <w:r w:rsidRPr="004C172F">
        <w:rPr>
          <w:b/>
          <w:bCs/>
          <w:sz w:val="22"/>
          <w:szCs w:val="22"/>
        </w:rPr>
        <w:t xml:space="preserve">PREINSCRIPCIÓN: </w:t>
      </w:r>
      <w:r w:rsidRPr="004C172F">
        <w:rPr>
          <w:sz w:val="22"/>
          <w:szCs w:val="22"/>
        </w:rPr>
        <w:t xml:space="preserve">La preinscripción se realiza en línea a través de la página principal de la Comisión de Estudio, </w:t>
      </w:r>
      <w:r w:rsidRPr="004C172F">
        <w:rPr>
          <w:b/>
          <w:bCs/>
          <w:sz w:val="22"/>
          <w:szCs w:val="22"/>
        </w:rPr>
        <w:t>al menos un mes antes del comienzo de la reunión</w:t>
      </w:r>
      <w:r w:rsidRPr="004C172F">
        <w:rPr>
          <w:sz w:val="22"/>
          <w:szCs w:val="22"/>
        </w:rPr>
        <w:t>.</w:t>
      </w:r>
      <w:r w:rsidRPr="004C172F">
        <w:rPr>
          <w:b/>
          <w:bCs/>
          <w:sz w:val="22"/>
          <w:szCs w:val="22"/>
        </w:rPr>
        <w:t xml:space="preserve"> </w:t>
      </w:r>
      <w:r w:rsidRPr="004C172F">
        <w:rPr>
          <w:sz w:val="22"/>
          <w:szCs w:val="22"/>
        </w:rPr>
        <w:t>Además, y dentro del mismo plazo, se pide a los coordinadores que envíen por correo-e (</w:t>
      </w:r>
      <w:hyperlink r:id="rId33" w:history="1">
        <w:r w:rsidRPr="004C172F">
          <w:rPr>
            <w:color w:val="0000FF"/>
            <w:sz w:val="22"/>
            <w:szCs w:val="22"/>
            <w:u w:val="single"/>
          </w:rPr>
          <w:t>tsbreg@itu.int</w:t>
        </w:r>
      </w:hyperlink>
      <w:r w:rsidRPr="004C172F">
        <w:rPr>
          <w:sz w:val="22"/>
          <w:szCs w:val="22"/>
        </w:rPr>
        <w:t>), carta o fax la lista de personas autorizadas a representar a su organización, indicando los nombres del jefe y del jefe adjunto de la delegación.</w:t>
      </w:r>
    </w:p>
    <w:p w:rsidR="007D7181" w:rsidRPr="004C172F" w:rsidRDefault="007D7181" w:rsidP="00E26CC0">
      <w:pPr>
        <w:keepNext/>
        <w:keepLines/>
        <w:spacing w:before="240" w:after="280"/>
        <w:jc w:val="center"/>
        <w:textAlignment w:val="auto"/>
        <w:rPr>
          <w:rFonts w:ascii="Calibri" w:hAnsi="Calibri"/>
          <w:b/>
          <w:bCs/>
          <w:sz w:val="22"/>
          <w:szCs w:val="22"/>
        </w:rPr>
      </w:pPr>
      <w:r w:rsidRPr="004C172F">
        <w:rPr>
          <w:rFonts w:ascii="Calibri" w:hAnsi="Calibri"/>
          <w:b/>
          <w:bCs/>
          <w:sz w:val="22"/>
          <w:szCs w:val="22"/>
        </w:rPr>
        <w:t>VISITAS A GINEBRA: HOTELES, TRANSPORTE PÚBLICO Y VISADOS</w:t>
      </w:r>
    </w:p>
    <w:p w:rsidR="007D7181" w:rsidRPr="004C172F" w:rsidRDefault="007D7181" w:rsidP="00E26CC0">
      <w:pPr>
        <w:spacing w:before="320"/>
        <w:textAlignment w:val="auto"/>
        <w:rPr>
          <w:rFonts w:ascii="Calibri" w:hAnsi="Calibri"/>
          <w:sz w:val="22"/>
          <w:szCs w:val="22"/>
        </w:rPr>
      </w:pPr>
      <w:r w:rsidRPr="004C172F">
        <w:rPr>
          <w:rFonts w:ascii="Calibri" w:hAnsi="Calibri"/>
          <w:b/>
          <w:bCs/>
          <w:sz w:val="22"/>
          <w:szCs w:val="22"/>
        </w:rPr>
        <w:t>VISITAS A GINEBRA</w:t>
      </w:r>
      <w:r w:rsidRPr="004C172F">
        <w:rPr>
          <w:rFonts w:ascii="Calibri" w:hAnsi="Calibri"/>
          <w:sz w:val="22"/>
          <w:szCs w:val="22"/>
        </w:rPr>
        <w:t xml:space="preserve">: Los delegados que asistan a reuniones de la UIT en Ginebra pueden encontrar información práctica en: </w:t>
      </w:r>
      <w:hyperlink r:id="rId34" w:history="1">
        <w:r w:rsidRPr="004C172F">
          <w:rPr>
            <w:rFonts w:ascii="Calibri" w:hAnsi="Calibri"/>
            <w:color w:val="0000FF"/>
            <w:sz w:val="22"/>
            <w:szCs w:val="22"/>
            <w:u w:val="single"/>
          </w:rPr>
          <w:t>http://itu.int/en/delegates-corner/</w:t>
        </w:r>
      </w:hyperlink>
      <w:r w:rsidRPr="004C172F">
        <w:rPr>
          <w:rFonts w:ascii="Calibri" w:hAnsi="Calibri"/>
          <w:sz w:val="22"/>
          <w:szCs w:val="22"/>
        </w:rPr>
        <w:t>.</w:t>
      </w:r>
    </w:p>
    <w:p w:rsidR="007D7181" w:rsidRPr="004C172F" w:rsidRDefault="007D7181" w:rsidP="00E26CC0">
      <w:pPr>
        <w:textAlignment w:val="auto"/>
        <w:rPr>
          <w:rFonts w:ascii="Calibri" w:hAnsi="Calibri"/>
          <w:sz w:val="22"/>
          <w:szCs w:val="22"/>
        </w:rPr>
      </w:pPr>
      <w:r w:rsidRPr="004C172F">
        <w:rPr>
          <w:rFonts w:ascii="Calibri" w:hAnsi="Calibri"/>
          <w:b/>
          <w:bCs/>
          <w:sz w:val="22"/>
          <w:szCs w:val="22"/>
        </w:rPr>
        <w:t>DESCUENTOS PARA HOTELES</w:t>
      </w:r>
      <w:r w:rsidRPr="004C172F">
        <w:rPr>
          <w:rFonts w:ascii="Calibri" w:hAnsi="Calibri"/>
          <w:sz w:val="22"/>
          <w:szCs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4C172F">
          <w:rPr>
            <w:rFonts w:ascii="Calibri" w:hAnsi="Calibri"/>
            <w:color w:val="0000FF"/>
            <w:sz w:val="22"/>
            <w:szCs w:val="22"/>
            <w:u w:val="single"/>
          </w:rPr>
          <w:t>http://www.itu.int/travel/</w:t>
        </w:r>
      </w:hyperlink>
      <w:r w:rsidRPr="004C172F">
        <w:rPr>
          <w:rFonts w:ascii="Calibri" w:hAnsi="Calibri"/>
          <w:sz w:val="22"/>
          <w:szCs w:val="22"/>
        </w:rPr>
        <w:t>.</w:t>
      </w:r>
    </w:p>
    <w:p w:rsidR="007D7181" w:rsidRPr="004C172F" w:rsidRDefault="007D7181" w:rsidP="004A7B14">
      <w:pPr>
        <w:textAlignment w:val="auto"/>
        <w:rPr>
          <w:rFonts w:ascii="Calibri" w:hAnsi="Calibri"/>
          <w:sz w:val="22"/>
          <w:szCs w:val="22"/>
        </w:rPr>
      </w:pPr>
      <w:r w:rsidRPr="004C172F">
        <w:rPr>
          <w:rFonts w:ascii="Calibri" w:hAnsi="Calibri"/>
          <w:b/>
          <w:bCs/>
          <w:sz w:val="22"/>
          <w:szCs w:val="22"/>
        </w:rPr>
        <w:t>AYUDA PARA LA SOLICITUD DE VISADOS</w:t>
      </w:r>
      <w:r w:rsidRPr="004C172F">
        <w:rPr>
          <w:rFonts w:ascii="Calibri" w:hAnsi="Calibri"/>
          <w:sz w:val="22"/>
          <w:szCs w:val="22"/>
        </w:rPr>
        <w:t>: En su caso, los</w:t>
      </w:r>
      <w:r w:rsidRPr="004C172F">
        <w:rPr>
          <w:rFonts w:ascii="Calibri" w:hAnsi="Calibri"/>
          <w:b/>
          <w:bCs/>
          <w:sz w:val="22"/>
          <w:szCs w:val="22"/>
        </w:rPr>
        <w:t xml:space="preserve"> </w:t>
      </w:r>
      <w:r w:rsidRPr="004C172F">
        <w:rPr>
          <w:rFonts w:ascii="Calibri" w:hAnsi="Calibri"/>
          <w:sz w:val="22"/>
          <w:szCs w:val="22"/>
        </w:rPr>
        <w:t xml:space="preserve">visados deben solicitarse </w:t>
      </w:r>
      <w:r w:rsidRPr="004C172F">
        <w:rPr>
          <w:rFonts w:ascii="Calibri" w:hAnsi="Calibri"/>
          <w:b/>
          <w:bCs/>
          <w:sz w:val="22"/>
          <w:szCs w:val="22"/>
        </w:rPr>
        <w:t xml:space="preserve">al menos </w:t>
      </w:r>
      <w:r w:rsidR="004A7B14">
        <w:rPr>
          <w:rFonts w:ascii="Calibri" w:hAnsi="Calibri"/>
          <w:b/>
          <w:bCs/>
          <w:sz w:val="22"/>
          <w:szCs w:val="22"/>
        </w:rPr>
        <w:t>un mes</w:t>
      </w:r>
      <w:r w:rsidRPr="004C172F">
        <w:rPr>
          <w:rFonts w:ascii="Calibri" w:hAnsi="Calibri"/>
          <w:b/>
          <w:bCs/>
          <w:sz w:val="22"/>
          <w:szCs w:val="22"/>
        </w:rPr>
        <w:t xml:space="preserve"> antes de la fecha de llegada a Suiza</w:t>
      </w:r>
      <w:r w:rsidRPr="004C172F">
        <w:rPr>
          <w:rFonts w:ascii="Calibri" w:hAnsi="Calibri"/>
          <w:sz w:val="22"/>
          <w:szCs w:val="22"/>
        </w:rPr>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7D7181" w:rsidRPr="004C172F" w:rsidRDefault="007D7181" w:rsidP="00D84135">
      <w:pPr>
        <w:textAlignment w:val="auto"/>
        <w:rPr>
          <w:rFonts w:ascii="Calibri" w:hAnsi="Calibri"/>
          <w:szCs w:val="24"/>
        </w:rPr>
      </w:pPr>
      <w:r w:rsidRPr="004C172F">
        <w:rPr>
          <w:rFonts w:ascii="Calibri" w:hAnsi="Calibri"/>
          <w:sz w:val="22"/>
          <w:szCs w:val="22"/>
        </w:rPr>
        <w:t xml:space="preserve">Las solicitudes deben remitirse a la TSB con la indicación </w:t>
      </w:r>
      <w:r w:rsidRPr="004C172F">
        <w:rPr>
          <w:rFonts w:ascii="Calibri" w:hAnsi="Calibri"/>
          <w:b/>
          <w:bCs/>
          <w:sz w:val="22"/>
          <w:szCs w:val="22"/>
        </w:rPr>
        <w:t>"solicitud de visado</w:t>
      </w:r>
      <w:r w:rsidR="00D84135" w:rsidRPr="00D84135">
        <w:rPr>
          <w:rFonts w:ascii="Calibri" w:hAnsi="Calibri"/>
          <w:b/>
          <w:bCs/>
          <w:sz w:val="22"/>
          <w:szCs w:val="22"/>
        </w:rPr>
        <w:t>"</w:t>
      </w:r>
      <w:r w:rsidR="00D84135">
        <w:rPr>
          <w:rFonts w:ascii="Calibri" w:hAnsi="Calibri"/>
          <w:sz w:val="22"/>
          <w:szCs w:val="22"/>
        </w:rPr>
        <w:t xml:space="preserve"> </w:t>
      </w:r>
      <w:r w:rsidRPr="004C172F">
        <w:rPr>
          <w:rFonts w:ascii="Calibri" w:hAnsi="Calibri"/>
          <w:sz w:val="22"/>
          <w:szCs w:val="22"/>
        </w:rPr>
        <w:t>por correo-e (</w:t>
      </w:r>
      <w:hyperlink r:id="rId36" w:history="1">
        <w:r w:rsidRPr="004C172F">
          <w:rPr>
            <w:rFonts w:ascii="Calibri" w:hAnsi="Calibri"/>
            <w:color w:val="0000FF"/>
            <w:sz w:val="22"/>
            <w:szCs w:val="22"/>
            <w:u w:val="single"/>
          </w:rPr>
          <w:t>tsbreg@itu.int</w:t>
        </w:r>
      </w:hyperlink>
      <w:r w:rsidRPr="004C172F">
        <w:rPr>
          <w:rFonts w:ascii="Calibri" w:hAnsi="Calibri"/>
          <w:sz w:val="22"/>
          <w:szCs w:val="22"/>
        </w:rPr>
        <w:t xml:space="preserve">) o por fax (+41 22 730 5853). Puede consultarse una plantilla de solicitud </w:t>
      </w:r>
      <w:hyperlink r:id="rId37" w:history="1">
        <w:r w:rsidRPr="004C172F">
          <w:rPr>
            <w:rFonts w:ascii="Calibri" w:hAnsi="Calibri"/>
            <w:color w:val="0000FF"/>
            <w:sz w:val="22"/>
            <w:szCs w:val="22"/>
            <w:u w:val="single"/>
          </w:rPr>
          <w:t>aquí</w:t>
        </w:r>
      </w:hyperlink>
      <w:r w:rsidRPr="004C172F">
        <w:rPr>
          <w:rFonts w:ascii="Calibri" w:hAnsi="Calibri"/>
          <w:sz w:val="22"/>
          <w:szCs w:val="22"/>
        </w:rPr>
        <w:t>.</w:t>
      </w:r>
    </w:p>
    <w:p w:rsidR="007D7181" w:rsidRPr="004C172F" w:rsidRDefault="007D7181" w:rsidP="001F59D9">
      <w:pPr>
        <w:spacing w:before="60"/>
        <w:rPr>
          <w:b/>
          <w:bCs/>
        </w:rPr>
      </w:pPr>
      <w:r w:rsidRPr="004C172F">
        <w:rPr>
          <w:b/>
          <w:bCs/>
        </w:rPr>
        <w:br w:type="page"/>
      </w:r>
    </w:p>
    <w:p w:rsidR="00D9228F" w:rsidRDefault="007D7181" w:rsidP="008A2534">
      <w:pPr>
        <w:pStyle w:val="AnnexNo"/>
        <w:spacing w:before="120"/>
        <w:rPr>
          <w:lang w:val="es-ES_tradnl"/>
        </w:rPr>
      </w:pPr>
      <w:r w:rsidRPr="001640B7">
        <w:rPr>
          <w:lang w:val="es-ES_tradnl"/>
        </w:rPr>
        <w:lastRenderedPageBreak/>
        <w:t>ANEXO B</w:t>
      </w:r>
    </w:p>
    <w:p w:rsidR="008A2534" w:rsidRPr="00D9228F" w:rsidRDefault="007D7181" w:rsidP="00D9228F">
      <w:pPr>
        <w:pStyle w:val="AnnexNo"/>
        <w:spacing w:before="240"/>
        <w:rPr>
          <w:lang w:val="es-ES_tradnl"/>
        </w:rPr>
      </w:pPr>
      <w:r w:rsidRPr="00D9228F">
        <w:rPr>
          <w:lang w:val="es-ES_tradnl"/>
        </w:rPr>
        <w:t>(</w:t>
      </w:r>
      <w:proofErr w:type="gramStart"/>
      <w:r w:rsidR="008A2534" w:rsidRPr="00D9228F">
        <w:rPr>
          <w:caps w:val="0"/>
          <w:sz w:val="24"/>
          <w:szCs w:val="24"/>
          <w:lang w:val="es-ES_tradnl"/>
        </w:rPr>
        <w:t>a</w:t>
      </w:r>
      <w:proofErr w:type="gramEnd"/>
      <w:r w:rsidR="008A2534" w:rsidRPr="00D9228F">
        <w:rPr>
          <w:caps w:val="0"/>
          <w:sz w:val="24"/>
          <w:szCs w:val="24"/>
          <w:lang w:val="es-ES_tradnl"/>
        </w:rPr>
        <w:t xml:space="preserve"> la Carta Colectiva</w:t>
      </w:r>
      <w:r w:rsidR="008A2534" w:rsidRPr="00D9228F">
        <w:rPr>
          <w:sz w:val="24"/>
          <w:szCs w:val="24"/>
          <w:lang w:val="es-ES_tradnl"/>
        </w:rPr>
        <w:t xml:space="preserve"> </w:t>
      </w:r>
      <w:r w:rsidRPr="00D9228F">
        <w:rPr>
          <w:sz w:val="24"/>
          <w:szCs w:val="24"/>
          <w:lang w:val="es-ES_tradnl"/>
        </w:rPr>
        <w:t>TSB 2/11)</w:t>
      </w:r>
    </w:p>
    <w:p w:rsidR="007D7181" w:rsidRPr="008A2534" w:rsidRDefault="007D7181" w:rsidP="008A2534">
      <w:pPr>
        <w:pStyle w:val="AnnexNotitle"/>
        <w:spacing w:before="240"/>
        <w:rPr>
          <w:bCs/>
          <w:sz w:val="24"/>
          <w:szCs w:val="24"/>
        </w:rPr>
      </w:pPr>
      <w:r w:rsidRPr="001640B7">
        <w:rPr>
          <w:sz w:val="24"/>
          <w:szCs w:val="24"/>
        </w:rPr>
        <w:t xml:space="preserve">Proyecto de orden del día para el GT1/11 y el GT2/11 </w:t>
      </w:r>
      <w:r w:rsidR="008A2534" w:rsidRPr="001640B7">
        <w:rPr>
          <w:sz w:val="24"/>
          <w:szCs w:val="24"/>
        </w:rPr>
        <w:br/>
      </w:r>
      <w:r w:rsidRPr="001640B7">
        <w:rPr>
          <w:sz w:val="24"/>
          <w:szCs w:val="24"/>
        </w:rPr>
        <w:t xml:space="preserve">y proyecto de plan de gestión del tiempo </w:t>
      </w:r>
      <w:r w:rsidRPr="001640B7">
        <w:rPr>
          <w:sz w:val="24"/>
          <w:szCs w:val="24"/>
        </w:rPr>
        <w:br/>
        <w:t>Ginebra, 12-13 de julio de 2017</w:t>
      </w:r>
    </w:p>
    <w:p w:rsidR="007D7181" w:rsidRPr="004C172F" w:rsidRDefault="007D7181" w:rsidP="001F59D9">
      <w:pPr>
        <w:spacing w:before="240"/>
        <w:rPr>
          <w:b/>
          <w:bCs/>
        </w:rPr>
      </w:pPr>
      <w:r w:rsidRPr="004C172F">
        <w:rPr>
          <w:b/>
          <w:bCs/>
        </w:rPr>
        <w:t>Proyecto de orden del día para el GT1/11 y el GT2/11</w:t>
      </w:r>
    </w:p>
    <w:p w:rsidR="007D7181" w:rsidRDefault="004C172F" w:rsidP="004C172F">
      <w:pPr>
        <w:pStyle w:val="enumlev1"/>
      </w:pPr>
      <w:r>
        <w:t>1</w:t>
      </w:r>
      <w:r>
        <w:tab/>
      </w:r>
      <w:r w:rsidR="007D7181" w:rsidRPr="004C172F">
        <w:t>Observaciones iniciales</w:t>
      </w:r>
    </w:p>
    <w:p w:rsidR="007D7181" w:rsidRDefault="004C172F" w:rsidP="004C172F">
      <w:pPr>
        <w:pStyle w:val="enumlev1"/>
      </w:pPr>
      <w:r>
        <w:t>2</w:t>
      </w:r>
      <w:r>
        <w:tab/>
      </w:r>
      <w:r w:rsidR="007D7181" w:rsidRPr="004C172F">
        <w:t>Adopción del orden del día para las reuniones plenarias de los Grupos de Trabajo 1/11 y</w:t>
      </w:r>
      <w:r>
        <w:t> </w:t>
      </w:r>
      <w:r w:rsidR="007D7181" w:rsidRPr="004C172F">
        <w:t>2/11</w:t>
      </w:r>
    </w:p>
    <w:p w:rsidR="007D7181" w:rsidRDefault="004C172F" w:rsidP="004C172F">
      <w:pPr>
        <w:pStyle w:val="enumlev1"/>
      </w:pPr>
      <w:r>
        <w:t>3</w:t>
      </w:r>
      <w:r>
        <w:tab/>
        <w:t>Atribución de documentos</w:t>
      </w:r>
    </w:p>
    <w:p w:rsidR="007D7181" w:rsidRDefault="004C172F" w:rsidP="004C172F">
      <w:pPr>
        <w:pStyle w:val="enumlev1"/>
      </w:pPr>
      <w:r>
        <w:t>4</w:t>
      </w:r>
      <w:r>
        <w:tab/>
      </w:r>
      <w:r w:rsidR="007D7181" w:rsidRPr="004C172F">
        <w:t>Discusión de las contribuciones recibidas</w:t>
      </w:r>
    </w:p>
    <w:p w:rsidR="007D7181" w:rsidRDefault="004C172F" w:rsidP="004C172F">
      <w:pPr>
        <w:pStyle w:val="enumlev1"/>
      </w:pPr>
      <w:r>
        <w:t>5</w:t>
      </w:r>
      <w:r>
        <w:tab/>
      </w:r>
      <w:r w:rsidR="007D7181" w:rsidRPr="004C172F">
        <w:t>Examen y aprobación de los informes y productos de</w:t>
      </w:r>
      <w:r w:rsidR="000F6066">
        <w:t xml:space="preserve"> las reuniones de los Grupos de </w:t>
      </w:r>
      <w:r>
        <w:t>Relator</w:t>
      </w:r>
    </w:p>
    <w:p w:rsidR="007D7181" w:rsidRDefault="004C172F" w:rsidP="004C172F">
      <w:pPr>
        <w:pStyle w:val="enumlev1"/>
      </w:pPr>
      <w:r>
        <w:t>6</w:t>
      </w:r>
      <w:r>
        <w:tab/>
      </w:r>
      <w:r w:rsidR="007D7181" w:rsidRPr="004C172F">
        <w:t>Consentimiento de proyectos de Recomendación</w:t>
      </w:r>
    </w:p>
    <w:p w:rsidR="007D7181" w:rsidRDefault="004C172F" w:rsidP="004C172F">
      <w:pPr>
        <w:pStyle w:val="enumlev1"/>
      </w:pPr>
      <w:r>
        <w:t>7</w:t>
      </w:r>
      <w:r>
        <w:tab/>
      </w:r>
      <w:r w:rsidR="007D7181" w:rsidRPr="004C172F">
        <w:t>Acuerd</w:t>
      </w:r>
      <w:r>
        <w:t>o sobre nuevos temas de trabajo</w:t>
      </w:r>
    </w:p>
    <w:p w:rsidR="007D7181" w:rsidRDefault="004C172F" w:rsidP="004C172F">
      <w:pPr>
        <w:pStyle w:val="enumlev1"/>
      </w:pPr>
      <w:r>
        <w:t>8</w:t>
      </w:r>
      <w:r>
        <w:tab/>
      </w:r>
      <w:r w:rsidR="007D7181" w:rsidRPr="004C172F">
        <w:t>Acuerd</w:t>
      </w:r>
      <w:r>
        <w:t>o sobre las actividades futuras</w:t>
      </w:r>
    </w:p>
    <w:p w:rsidR="007D7181" w:rsidRDefault="004C172F" w:rsidP="004C172F">
      <w:pPr>
        <w:pStyle w:val="enumlev1"/>
      </w:pPr>
      <w:r>
        <w:t>9</w:t>
      </w:r>
      <w:r>
        <w:tab/>
      </w:r>
      <w:r w:rsidR="007D7181" w:rsidRPr="004C172F">
        <w:t xml:space="preserve">Aprobación de las declaraciones de coordinación salientes </w:t>
      </w:r>
    </w:p>
    <w:p w:rsidR="007D7181" w:rsidRDefault="004C172F" w:rsidP="004C172F">
      <w:pPr>
        <w:pStyle w:val="enumlev1"/>
      </w:pPr>
      <w:r>
        <w:t>10</w:t>
      </w:r>
      <w:r>
        <w:tab/>
      </w:r>
      <w:r w:rsidR="007D7181" w:rsidRPr="004C172F">
        <w:t>Programa de trabajo</w:t>
      </w:r>
    </w:p>
    <w:p w:rsidR="007D7181" w:rsidRDefault="004C172F" w:rsidP="004C172F">
      <w:pPr>
        <w:pStyle w:val="enumlev1"/>
      </w:pPr>
      <w:r>
        <w:t>11</w:t>
      </w:r>
      <w:r>
        <w:tab/>
      </w:r>
      <w:r w:rsidR="007D7181" w:rsidRPr="004C172F">
        <w:t>Futuras reuniones</w:t>
      </w:r>
    </w:p>
    <w:p w:rsidR="007D7181" w:rsidRDefault="004C172F" w:rsidP="004C172F">
      <w:pPr>
        <w:pStyle w:val="enumlev1"/>
      </w:pPr>
      <w:r>
        <w:t>12</w:t>
      </w:r>
      <w:r>
        <w:tab/>
      </w:r>
      <w:r w:rsidR="007D7181" w:rsidRPr="004C172F">
        <w:t>Otros asuntos</w:t>
      </w:r>
    </w:p>
    <w:p w:rsidR="007D7181" w:rsidRDefault="004C172F" w:rsidP="004C172F">
      <w:pPr>
        <w:pStyle w:val="enumlev1"/>
      </w:pPr>
      <w:r>
        <w:t>13</w:t>
      </w:r>
      <w:r>
        <w:tab/>
      </w:r>
      <w:r w:rsidR="007D7181" w:rsidRPr="004C172F">
        <w:t>Clausura de la reunión</w:t>
      </w:r>
    </w:p>
    <w:p w:rsidR="007D7181" w:rsidRPr="004C172F" w:rsidRDefault="007D7181" w:rsidP="0099241D">
      <w:pPr>
        <w:spacing w:before="360"/>
        <w:rPr>
          <w:b/>
          <w:bCs/>
        </w:rPr>
      </w:pPr>
      <w:r w:rsidRPr="004C172F">
        <w:rPr>
          <w:b/>
          <w:bCs/>
        </w:rPr>
        <w:t>Proyecto de plan de gestión del tiempo para los GT1/11 y 2/11</w:t>
      </w:r>
    </w:p>
    <w:p w:rsidR="007D7181" w:rsidRPr="004C172F" w:rsidRDefault="007D7181" w:rsidP="001F59D9"/>
    <w:tbl>
      <w:tblPr>
        <w:tblW w:w="60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02"/>
        <w:gridCol w:w="492"/>
        <w:gridCol w:w="452"/>
        <w:gridCol w:w="472"/>
        <w:gridCol w:w="454"/>
        <w:gridCol w:w="454"/>
        <w:gridCol w:w="454"/>
        <w:gridCol w:w="472"/>
        <w:gridCol w:w="490"/>
      </w:tblGrid>
      <w:tr w:rsidR="007D7181" w:rsidRPr="004C172F" w:rsidTr="00110FD3">
        <w:trPr>
          <w:cantSplit/>
          <w:trHeight w:hRule="exact" w:val="913"/>
          <w:tblHeader/>
          <w:jc w:val="center"/>
        </w:trPr>
        <w:tc>
          <w:tcPr>
            <w:tcW w:w="2302" w:type="dxa"/>
            <w:tcBorders>
              <w:top w:val="single" w:sz="18" w:space="0" w:color="FF0000"/>
              <w:left w:val="single" w:sz="18" w:space="0" w:color="FF0000"/>
              <w:bottom w:val="nil"/>
              <w:right w:val="single" w:sz="18" w:space="0" w:color="FF0000"/>
            </w:tcBorders>
            <w:hideMark/>
          </w:tcPr>
          <w:p w:rsidR="007D7181" w:rsidRPr="000F6066" w:rsidRDefault="007D7181" w:rsidP="001F59D9">
            <w:pPr>
              <w:widowControl w:val="0"/>
              <w:tabs>
                <w:tab w:val="left" w:pos="1331"/>
                <w:tab w:val="left" w:pos="1430"/>
              </w:tabs>
              <w:spacing w:line="276" w:lineRule="auto"/>
              <w:ind w:right="12"/>
              <w:jc w:val="center"/>
              <w:rPr>
                <w:b/>
                <w:bCs/>
                <w:i/>
                <w:szCs w:val="24"/>
              </w:rPr>
            </w:pPr>
            <w:r w:rsidRPr="000F6066">
              <w:rPr>
                <w:noProof/>
                <w:szCs w:val="24"/>
                <w:lang w:val="en-US" w:eastAsia="zh-CN"/>
              </w:rPr>
              <mc:AlternateContent>
                <mc:Choice Requires="wps">
                  <w:drawing>
                    <wp:anchor distT="0" distB="0" distL="114300" distR="114300" simplePos="0" relativeHeight="251659264" behindDoc="0" locked="1" layoutInCell="1" allowOverlap="1" wp14:anchorId="5A978321" wp14:editId="018E8047">
                      <wp:simplePos x="0" y="0"/>
                      <wp:positionH relativeFrom="column">
                        <wp:posOffset>0</wp:posOffset>
                      </wp:positionH>
                      <wp:positionV relativeFrom="paragraph">
                        <wp:posOffset>0</wp:posOffset>
                      </wp:positionV>
                      <wp:extent cx="635" cy="635"/>
                      <wp:effectExtent l="0" t="0" r="0" b="0"/>
                      <wp:wrapNone/>
                      <wp:docPr id="6" name="Freeform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7605" id="Freeform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71ZHj0FAABs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70" w:type="dxa"/>
            <w:gridSpan w:val="4"/>
            <w:tcBorders>
              <w:top w:val="single" w:sz="18" w:space="0" w:color="FF0000"/>
              <w:left w:val="single" w:sz="18" w:space="0" w:color="FF0000"/>
              <w:bottom w:val="single" w:sz="18" w:space="0" w:color="FF0000"/>
              <w:right w:val="single" w:sz="18" w:space="0" w:color="FF0000"/>
            </w:tcBorders>
          </w:tcPr>
          <w:p w:rsidR="007D7181" w:rsidRPr="000F6066" w:rsidRDefault="007D7181" w:rsidP="0099241D">
            <w:pPr>
              <w:widowControl w:val="0"/>
              <w:tabs>
                <w:tab w:val="clear" w:pos="1191"/>
                <w:tab w:val="left" w:pos="544"/>
                <w:tab w:val="left" w:pos="1430"/>
              </w:tabs>
              <w:spacing w:before="60" w:line="276" w:lineRule="auto"/>
              <w:jc w:val="center"/>
              <w:rPr>
                <w:b/>
                <w:bCs/>
                <w:color w:val="000000"/>
                <w:szCs w:val="24"/>
              </w:rPr>
            </w:pPr>
            <w:r w:rsidRPr="000F6066">
              <w:rPr>
                <w:b/>
                <w:bCs/>
                <w:color w:val="000000"/>
                <w:szCs w:val="24"/>
              </w:rPr>
              <w:t>12 de julio (Miércoles)</w:t>
            </w:r>
          </w:p>
        </w:tc>
        <w:tc>
          <w:tcPr>
            <w:tcW w:w="1870" w:type="dxa"/>
            <w:gridSpan w:val="4"/>
            <w:tcBorders>
              <w:top w:val="single" w:sz="18" w:space="0" w:color="FF0000"/>
              <w:left w:val="single" w:sz="18" w:space="0" w:color="FF0000"/>
              <w:bottom w:val="single" w:sz="18" w:space="0" w:color="FF0000"/>
              <w:right w:val="single" w:sz="18" w:space="0" w:color="FF0000"/>
            </w:tcBorders>
          </w:tcPr>
          <w:p w:rsidR="007D7181" w:rsidRPr="000F6066" w:rsidRDefault="007D7181" w:rsidP="0099241D">
            <w:pPr>
              <w:widowControl w:val="0"/>
              <w:tabs>
                <w:tab w:val="clear" w:pos="1191"/>
                <w:tab w:val="left" w:pos="544"/>
                <w:tab w:val="left" w:pos="1430"/>
              </w:tabs>
              <w:spacing w:before="60" w:line="276" w:lineRule="auto"/>
              <w:jc w:val="center"/>
              <w:rPr>
                <w:b/>
                <w:bCs/>
                <w:color w:val="000000"/>
                <w:szCs w:val="24"/>
              </w:rPr>
            </w:pPr>
            <w:r w:rsidRPr="000F6066">
              <w:rPr>
                <w:b/>
                <w:bCs/>
                <w:color w:val="000000"/>
                <w:szCs w:val="24"/>
              </w:rPr>
              <w:t>13 de julio (Jueves)</w:t>
            </w:r>
          </w:p>
        </w:tc>
      </w:tr>
      <w:tr w:rsidR="007D7181" w:rsidRPr="004C172F" w:rsidTr="00110FD3">
        <w:trPr>
          <w:cantSplit/>
          <w:trHeight w:hRule="exact" w:val="416"/>
          <w:tblHeader/>
          <w:jc w:val="center"/>
        </w:trPr>
        <w:tc>
          <w:tcPr>
            <w:tcW w:w="2302" w:type="dxa"/>
            <w:tcBorders>
              <w:top w:val="nil"/>
              <w:left w:val="single" w:sz="18" w:space="0" w:color="FF0000"/>
              <w:bottom w:val="single" w:sz="18" w:space="0" w:color="FF0000"/>
              <w:right w:val="single" w:sz="18" w:space="0" w:color="000000"/>
            </w:tcBorders>
            <w:hideMark/>
          </w:tcPr>
          <w:p w:rsidR="007D7181" w:rsidRPr="000F6066" w:rsidRDefault="007D7181" w:rsidP="001F59D9">
            <w:pPr>
              <w:widowControl w:val="0"/>
              <w:tabs>
                <w:tab w:val="left" w:pos="1331"/>
                <w:tab w:val="left" w:pos="1430"/>
              </w:tabs>
              <w:spacing w:before="60" w:line="276" w:lineRule="auto"/>
              <w:ind w:right="380"/>
              <w:jc w:val="center"/>
              <w:rPr>
                <w:b/>
                <w:bCs/>
                <w:i/>
                <w:szCs w:val="24"/>
              </w:rPr>
            </w:pPr>
            <w:r w:rsidRPr="000F6066">
              <w:rPr>
                <w:b/>
                <w:bCs/>
                <w:i/>
                <w:szCs w:val="24"/>
              </w:rPr>
              <w:t>Sesiones</w:t>
            </w:r>
          </w:p>
        </w:tc>
        <w:tc>
          <w:tcPr>
            <w:tcW w:w="492"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1</w:t>
            </w:r>
          </w:p>
        </w:tc>
        <w:tc>
          <w:tcPr>
            <w:tcW w:w="452"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2</w:t>
            </w:r>
          </w:p>
        </w:tc>
        <w:tc>
          <w:tcPr>
            <w:tcW w:w="472"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3</w:t>
            </w:r>
          </w:p>
        </w:tc>
        <w:tc>
          <w:tcPr>
            <w:tcW w:w="454"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4</w:t>
            </w:r>
          </w:p>
        </w:tc>
        <w:tc>
          <w:tcPr>
            <w:tcW w:w="454"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1</w:t>
            </w:r>
          </w:p>
        </w:tc>
        <w:tc>
          <w:tcPr>
            <w:tcW w:w="454"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2</w:t>
            </w:r>
          </w:p>
        </w:tc>
        <w:tc>
          <w:tcPr>
            <w:tcW w:w="472"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3</w:t>
            </w:r>
          </w:p>
        </w:tc>
        <w:tc>
          <w:tcPr>
            <w:tcW w:w="489" w:type="dxa"/>
            <w:tcBorders>
              <w:top w:val="single" w:sz="18" w:space="0" w:color="FF0000"/>
              <w:left w:val="single" w:sz="18" w:space="0" w:color="FF0000"/>
              <w:bottom w:val="single" w:sz="18" w:space="0" w:color="FF0000"/>
              <w:right w:val="single" w:sz="18" w:space="0" w:color="FF0000"/>
            </w:tcBorders>
          </w:tcPr>
          <w:p w:rsidR="007D7181" w:rsidRPr="000F6066" w:rsidRDefault="007D7181" w:rsidP="001F59D9">
            <w:pPr>
              <w:widowControl w:val="0"/>
              <w:tabs>
                <w:tab w:val="left" w:pos="737"/>
                <w:tab w:val="left" w:pos="1134"/>
                <w:tab w:val="left" w:pos="1430"/>
              </w:tabs>
              <w:spacing w:before="60" w:after="240" w:line="276" w:lineRule="auto"/>
              <w:jc w:val="center"/>
              <w:rPr>
                <w:b/>
                <w:bCs/>
                <w:i/>
                <w:szCs w:val="24"/>
              </w:rPr>
            </w:pPr>
            <w:r w:rsidRPr="000F6066">
              <w:rPr>
                <w:b/>
                <w:bCs/>
                <w:i/>
                <w:szCs w:val="24"/>
              </w:rPr>
              <w:t>4</w:t>
            </w:r>
          </w:p>
        </w:tc>
      </w:tr>
      <w:tr w:rsidR="007D7181" w:rsidRPr="004C172F" w:rsidTr="00110FD3">
        <w:trPr>
          <w:cantSplit/>
          <w:trHeight w:hRule="exact" w:val="618"/>
          <w:jc w:val="center"/>
        </w:trPr>
        <w:tc>
          <w:tcPr>
            <w:tcW w:w="2302" w:type="dxa"/>
            <w:tcBorders>
              <w:top w:val="single" w:sz="4" w:space="0" w:color="auto"/>
              <w:left w:val="single" w:sz="18" w:space="0" w:color="000000"/>
              <w:bottom w:val="single" w:sz="4" w:space="0" w:color="auto"/>
              <w:right w:val="single" w:sz="18" w:space="0" w:color="000000"/>
            </w:tcBorders>
            <w:vAlign w:val="center"/>
            <w:hideMark/>
          </w:tcPr>
          <w:p w:rsidR="007D7181" w:rsidRPr="000F6066" w:rsidRDefault="007D7181" w:rsidP="001F59D9">
            <w:pPr>
              <w:widowControl w:val="0"/>
              <w:tabs>
                <w:tab w:val="left" w:pos="1080"/>
                <w:tab w:val="left" w:pos="1430"/>
              </w:tabs>
              <w:spacing w:before="40" w:after="40"/>
              <w:rPr>
                <w:b/>
                <w:bCs/>
                <w:szCs w:val="24"/>
                <w:highlight w:val="yellow"/>
                <w:lang w:eastAsia="ja-JP"/>
              </w:rPr>
            </w:pPr>
            <w:r w:rsidRPr="000F6066">
              <w:rPr>
                <w:b/>
                <w:bCs/>
                <w:szCs w:val="24"/>
                <w:lang w:eastAsia="ja-JP"/>
              </w:rPr>
              <w:t>GT1</w:t>
            </w:r>
          </w:p>
        </w:tc>
        <w:tc>
          <w:tcPr>
            <w:tcW w:w="492" w:type="dxa"/>
            <w:tcBorders>
              <w:top w:val="single" w:sz="18" w:space="0" w:color="FF0000"/>
              <w:left w:val="single" w:sz="18" w:space="0" w:color="auto"/>
              <w:bottom w:val="single" w:sz="4" w:space="0" w:color="auto"/>
              <w:right w:val="single" w:sz="4" w:space="0" w:color="auto"/>
            </w:tcBorders>
            <w:shd w:val="clear" w:color="auto" w:fill="auto"/>
            <w:vAlign w:val="center"/>
          </w:tcPr>
          <w:p w:rsidR="007D7181" w:rsidRPr="000F6066" w:rsidRDefault="007D7181" w:rsidP="001F59D9">
            <w:pPr>
              <w:widowControl w:val="0"/>
              <w:tabs>
                <w:tab w:val="left" w:pos="737"/>
                <w:tab w:val="left" w:pos="1134"/>
                <w:tab w:val="left" w:pos="1430"/>
              </w:tabs>
              <w:spacing w:before="0" w:line="276" w:lineRule="auto"/>
              <w:rPr>
                <w:b/>
                <w:bCs/>
                <w:szCs w:val="24"/>
                <w:highlight w:val="yellow"/>
              </w:rPr>
            </w:pPr>
            <w:r w:rsidRPr="000F6066">
              <w:rPr>
                <w:b/>
                <w:bCs/>
                <w:szCs w:val="24"/>
              </w:rPr>
              <w:t>X</w:t>
            </w:r>
          </w:p>
        </w:tc>
        <w:tc>
          <w:tcPr>
            <w:tcW w:w="452" w:type="dxa"/>
            <w:tcBorders>
              <w:top w:val="single" w:sz="18" w:space="0" w:color="FF0000"/>
              <w:left w:val="single" w:sz="4" w:space="0" w:color="auto"/>
              <w:bottom w:val="single" w:sz="4" w:space="0" w:color="auto"/>
              <w:right w:val="single" w:sz="4" w:space="0" w:color="auto"/>
            </w:tcBorders>
            <w:vAlign w:val="center"/>
          </w:tcPr>
          <w:p w:rsidR="007D7181" w:rsidRPr="000F6066" w:rsidRDefault="007D7181" w:rsidP="001F59D9">
            <w:pPr>
              <w:widowControl w:val="0"/>
              <w:tabs>
                <w:tab w:val="left" w:pos="737"/>
                <w:tab w:val="left" w:pos="1080"/>
                <w:tab w:val="left" w:pos="1134"/>
                <w:tab w:val="left" w:pos="1430"/>
              </w:tabs>
              <w:spacing w:before="0" w:line="276" w:lineRule="auto"/>
              <w:rPr>
                <w:b/>
                <w:bCs/>
                <w:szCs w:val="24"/>
              </w:rPr>
            </w:pPr>
          </w:p>
        </w:tc>
        <w:tc>
          <w:tcPr>
            <w:tcW w:w="472" w:type="dxa"/>
            <w:tcBorders>
              <w:top w:val="single" w:sz="18" w:space="0" w:color="FF0000"/>
              <w:left w:val="single" w:sz="4" w:space="0" w:color="auto"/>
              <w:bottom w:val="single" w:sz="4" w:space="0" w:color="auto"/>
              <w:right w:val="single" w:sz="4" w:space="0" w:color="auto"/>
            </w:tcBorders>
            <w:vAlign w:val="center"/>
          </w:tcPr>
          <w:p w:rsidR="007D7181" w:rsidRPr="000F6066" w:rsidRDefault="007D7181" w:rsidP="001F59D9">
            <w:pPr>
              <w:widowControl w:val="0"/>
              <w:tabs>
                <w:tab w:val="left" w:pos="737"/>
                <w:tab w:val="left" w:pos="1080"/>
                <w:tab w:val="left" w:pos="1134"/>
                <w:tab w:val="left" w:pos="1430"/>
              </w:tabs>
              <w:spacing w:before="0" w:line="276" w:lineRule="auto"/>
              <w:rPr>
                <w:b/>
                <w:bCs/>
                <w:szCs w:val="24"/>
              </w:rPr>
            </w:pPr>
          </w:p>
        </w:tc>
        <w:tc>
          <w:tcPr>
            <w:tcW w:w="454" w:type="dxa"/>
            <w:tcBorders>
              <w:top w:val="single" w:sz="18" w:space="0" w:color="FF0000"/>
              <w:left w:val="single" w:sz="4" w:space="0" w:color="auto"/>
              <w:bottom w:val="single" w:sz="4" w:space="0" w:color="auto"/>
              <w:right w:val="single" w:sz="18" w:space="0" w:color="auto"/>
            </w:tcBorders>
            <w:vAlign w:val="center"/>
          </w:tcPr>
          <w:p w:rsidR="007D7181" w:rsidRPr="000F6066" w:rsidRDefault="007D7181" w:rsidP="001F59D9">
            <w:pPr>
              <w:tabs>
                <w:tab w:val="left" w:pos="737"/>
                <w:tab w:val="left" w:pos="1080"/>
                <w:tab w:val="left" w:pos="1134"/>
              </w:tabs>
              <w:spacing w:before="0"/>
              <w:rPr>
                <w:b/>
                <w:bCs/>
                <w:szCs w:val="24"/>
              </w:rPr>
            </w:pPr>
          </w:p>
        </w:tc>
        <w:tc>
          <w:tcPr>
            <w:tcW w:w="454" w:type="dxa"/>
            <w:tcBorders>
              <w:top w:val="single" w:sz="18" w:space="0" w:color="FF0000"/>
              <w:left w:val="single" w:sz="18" w:space="0" w:color="auto"/>
              <w:bottom w:val="single" w:sz="4" w:space="0" w:color="auto"/>
              <w:right w:val="single" w:sz="4" w:space="0" w:color="auto"/>
            </w:tcBorders>
          </w:tcPr>
          <w:p w:rsidR="007D7181" w:rsidRPr="000F6066" w:rsidRDefault="007D7181" w:rsidP="001F59D9">
            <w:pPr>
              <w:tabs>
                <w:tab w:val="left" w:pos="737"/>
                <w:tab w:val="left" w:pos="1080"/>
                <w:tab w:val="left" w:pos="1134"/>
              </w:tabs>
              <w:spacing w:before="0"/>
              <w:rPr>
                <w:b/>
                <w:bCs/>
                <w:szCs w:val="24"/>
              </w:rPr>
            </w:pPr>
          </w:p>
        </w:tc>
        <w:tc>
          <w:tcPr>
            <w:tcW w:w="454" w:type="dxa"/>
            <w:tcBorders>
              <w:top w:val="single" w:sz="18" w:space="0" w:color="FF0000"/>
              <w:left w:val="single" w:sz="4" w:space="0" w:color="auto"/>
              <w:bottom w:val="single" w:sz="4" w:space="0" w:color="auto"/>
              <w:right w:val="single" w:sz="4" w:space="0" w:color="auto"/>
            </w:tcBorders>
          </w:tcPr>
          <w:p w:rsidR="007D7181" w:rsidRPr="000F6066" w:rsidRDefault="007D7181" w:rsidP="001F59D9">
            <w:pPr>
              <w:tabs>
                <w:tab w:val="left" w:pos="737"/>
                <w:tab w:val="left" w:pos="1080"/>
                <w:tab w:val="left" w:pos="1134"/>
              </w:tabs>
              <w:spacing w:before="0"/>
              <w:rPr>
                <w:b/>
                <w:bCs/>
                <w:szCs w:val="24"/>
              </w:rPr>
            </w:pPr>
          </w:p>
        </w:tc>
        <w:tc>
          <w:tcPr>
            <w:tcW w:w="472" w:type="dxa"/>
            <w:tcBorders>
              <w:top w:val="single" w:sz="18" w:space="0" w:color="FF0000"/>
              <w:left w:val="single" w:sz="4" w:space="0" w:color="auto"/>
              <w:bottom w:val="single" w:sz="4" w:space="0" w:color="auto"/>
              <w:right w:val="single" w:sz="4" w:space="0" w:color="auto"/>
            </w:tcBorders>
          </w:tcPr>
          <w:p w:rsidR="007D7181" w:rsidRPr="000F6066" w:rsidRDefault="007D7181" w:rsidP="001F59D9">
            <w:pPr>
              <w:tabs>
                <w:tab w:val="left" w:pos="737"/>
                <w:tab w:val="left" w:pos="1080"/>
                <w:tab w:val="left" w:pos="1134"/>
              </w:tabs>
              <w:spacing w:before="0"/>
              <w:rPr>
                <w:b/>
                <w:bCs/>
                <w:szCs w:val="24"/>
              </w:rPr>
            </w:pPr>
          </w:p>
        </w:tc>
        <w:tc>
          <w:tcPr>
            <w:tcW w:w="489" w:type="dxa"/>
            <w:tcBorders>
              <w:top w:val="single" w:sz="18" w:space="0" w:color="FF0000"/>
              <w:left w:val="single" w:sz="4" w:space="0" w:color="auto"/>
              <w:bottom w:val="single" w:sz="4" w:space="0" w:color="auto"/>
              <w:right w:val="single" w:sz="18" w:space="0" w:color="auto"/>
            </w:tcBorders>
          </w:tcPr>
          <w:p w:rsidR="007D7181" w:rsidRPr="000F6066" w:rsidRDefault="007D7181" w:rsidP="001F59D9">
            <w:pPr>
              <w:tabs>
                <w:tab w:val="left" w:pos="737"/>
                <w:tab w:val="left" w:pos="1080"/>
                <w:tab w:val="left" w:pos="1134"/>
              </w:tabs>
              <w:spacing w:before="0"/>
              <w:rPr>
                <w:b/>
                <w:bCs/>
                <w:szCs w:val="24"/>
              </w:rPr>
            </w:pPr>
          </w:p>
        </w:tc>
      </w:tr>
      <w:tr w:rsidR="007D7181" w:rsidRPr="004C172F" w:rsidTr="00110FD3">
        <w:trPr>
          <w:cantSplit/>
          <w:trHeight w:hRule="exact" w:val="625"/>
          <w:jc w:val="center"/>
        </w:trPr>
        <w:tc>
          <w:tcPr>
            <w:tcW w:w="2302" w:type="dxa"/>
            <w:tcBorders>
              <w:top w:val="single" w:sz="4" w:space="0" w:color="auto"/>
              <w:left w:val="single" w:sz="18" w:space="0" w:color="000000"/>
              <w:bottom w:val="single" w:sz="4" w:space="0" w:color="auto"/>
              <w:right w:val="single" w:sz="18" w:space="0" w:color="000000"/>
            </w:tcBorders>
            <w:vAlign w:val="center"/>
          </w:tcPr>
          <w:p w:rsidR="007D7181" w:rsidRPr="000F6066" w:rsidRDefault="007D7181" w:rsidP="001F59D9">
            <w:pPr>
              <w:widowControl w:val="0"/>
              <w:tabs>
                <w:tab w:val="left" w:pos="1080"/>
                <w:tab w:val="left" w:pos="1430"/>
              </w:tabs>
              <w:spacing w:before="40" w:after="40"/>
              <w:rPr>
                <w:b/>
                <w:bCs/>
                <w:szCs w:val="24"/>
                <w:highlight w:val="yellow"/>
              </w:rPr>
            </w:pPr>
            <w:r w:rsidRPr="000F6066">
              <w:rPr>
                <w:b/>
                <w:bCs/>
                <w:szCs w:val="24"/>
              </w:rPr>
              <w:t>GT2</w:t>
            </w:r>
          </w:p>
        </w:tc>
        <w:tc>
          <w:tcPr>
            <w:tcW w:w="492" w:type="dxa"/>
            <w:tcBorders>
              <w:top w:val="single" w:sz="4" w:space="0" w:color="auto"/>
              <w:left w:val="single" w:sz="18" w:space="0" w:color="auto"/>
              <w:bottom w:val="single" w:sz="4" w:space="0" w:color="auto"/>
              <w:right w:val="single" w:sz="4" w:space="0" w:color="auto"/>
            </w:tcBorders>
            <w:vAlign w:val="center"/>
          </w:tcPr>
          <w:p w:rsidR="007D7181" w:rsidRPr="000F6066" w:rsidRDefault="007D7181" w:rsidP="001F59D9">
            <w:pPr>
              <w:widowControl w:val="0"/>
              <w:tabs>
                <w:tab w:val="left" w:pos="737"/>
                <w:tab w:val="left" w:pos="1134"/>
                <w:tab w:val="left" w:pos="1430"/>
              </w:tabs>
              <w:spacing w:before="0" w:line="276" w:lineRule="auto"/>
              <w:rPr>
                <w:b/>
                <w:bCs/>
                <w:szCs w:val="24"/>
              </w:rPr>
            </w:pPr>
          </w:p>
        </w:tc>
        <w:tc>
          <w:tcPr>
            <w:tcW w:w="452" w:type="dxa"/>
            <w:tcBorders>
              <w:top w:val="single" w:sz="4" w:space="0" w:color="auto"/>
              <w:left w:val="single" w:sz="4" w:space="0" w:color="auto"/>
              <w:bottom w:val="single" w:sz="4" w:space="0" w:color="auto"/>
              <w:right w:val="single" w:sz="4" w:space="0" w:color="auto"/>
            </w:tcBorders>
            <w:vAlign w:val="center"/>
          </w:tcPr>
          <w:p w:rsidR="007D7181" w:rsidRPr="000F6066" w:rsidRDefault="007D7181" w:rsidP="001F59D9">
            <w:pPr>
              <w:widowControl w:val="0"/>
              <w:tabs>
                <w:tab w:val="left" w:pos="737"/>
                <w:tab w:val="left" w:pos="1080"/>
                <w:tab w:val="left" w:pos="1134"/>
                <w:tab w:val="left" w:pos="1430"/>
              </w:tabs>
              <w:spacing w:before="0" w:line="276" w:lineRule="auto"/>
              <w:rPr>
                <w:b/>
                <w:bCs/>
                <w:szCs w:val="24"/>
              </w:rPr>
            </w:pPr>
          </w:p>
        </w:tc>
        <w:tc>
          <w:tcPr>
            <w:tcW w:w="472" w:type="dxa"/>
            <w:tcBorders>
              <w:top w:val="single" w:sz="4" w:space="0" w:color="auto"/>
              <w:left w:val="single" w:sz="4" w:space="0" w:color="auto"/>
              <w:bottom w:val="single" w:sz="4" w:space="0" w:color="auto"/>
              <w:right w:val="single" w:sz="4" w:space="0" w:color="auto"/>
            </w:tcBorders>
            <w:vAlign w:val="center"/>
          </w:tcPr>
          <w:p w:rsidR="007D7181" w:rsidRPr="000F6066" w:rsidRDefault="007D7181" w:rsidP="001F59D9">
            <w:pPr>
              <w:widowControl w:val="0"/>
              <w:tabs>
                <w:tab w:val="left" w:pos="737"/>
                <w:tab w:val="left" w:pos="1080"/>
                <w:tab w:val="left" w:pos="1134"/>
                <w:tab w:val="left" w:pos="1430"/>
              </w:tabs>
              <w:spacing w:before="0" w:line="276" w:lineRule="auto"/>
              <w:rPr>
                <w:b/>
                <w:bCs/>
                <w:szCs w:val="24"/>
              </w:rPr>
            </w:pPr>
          </w:p>
        </w:tc>
        <w:tc>
          <w:tcPr>
            <w:tcW w:w="454" w:type="dxa"/>
            <w:tcBorders>
              <w:top w:val="single" w:sz="4" w:space="0" w:color="auto"/>
              <w:left w:val="single" w:sz="4" w:space="0" w:color="auto"/>
              <w:bottom w:val="single" w:sz="4" w:space="0" w:color="auto"/>
              <w:right w:val="single" w:sz="18" w:space="0" w:color="auto"/>
            </w:tcBorders>
            <w:vAlign w:val="center"/>
          </w:tcPr>
          <w:p w:rsidR="007D7181" w:rsidRPr="000F6066" w:rsidRDefault="007D7181" w:rsidP="001F59D9">
            <w:pPr>
              <w:tabs>
                <w:tab w:val="left" w:pos="737"/>
                <w:tab w:val="left" w:pos="1080"/>
                <w:tab w:val="left" w:pos="1134"/>
              </w:tabs>
              <w:spacing w:before="0"/>
              <w:rPr>
                <w:b/>
                <w:bCs/>
                <w:szCs w:val="24"/>
              </w:rPr>
            </w:pPr>
          </w:p>
        </w:tc>
        <w:tc>
          <w:tcPr>
            <w:tcW w:w="454" w:type="dxa"/>
            <w:tcBorders>
              <w:top w:val="single" w:sz="4" w:space="0" w:color="auto"/>
              <w:left w:val="single" w:sz="18" w:space="0" w:color="auto"/>
              <w:bottom w:val="single" w:sz="4" w:space="0" w:color="auto"/>
              <w:right w:val="single" w:sz="4" w:space="0" w:color="auto"/>
            </w:tcBorders>
          </w:tcPr>
          <w:p w:rsidR="007D7181" w:rsidRPr="000F6066" w:rsidRDefault="007D7181" w:rsidP="001F59D9">
            <w:pPr>
              <w:tabs>
                <w:tab w:val="left" w:pos="737"/>
                <w:tab w:val="left" w:pos="1080"/>
                <w:tab w:val="left" w:pos="1134"/>
              </w:tabs>
              <w:spacing w:before="0"/>
              <w:rPr>
                <w:b/>
                <w:bCs/>
                <w:szCs w:val="24"/>
              </w:rPr>
            </w:pPr>
          </w:p>
        </w:tc>
        <w:tc>
          <w:tcPr>
            <w:tcW w:w="454" w:type="dxa"/>
            <w:tcBorders>
              <w:top w:val="single" w:sz="4" w:space="0" w:color="auto"/>
              <w:left w:val="single" w:sz="4" w:space="0" w:color="auto"/>
              <w:bottom w:val="single" w:sz="4" w:space="0" w:color="auto"/>
              <w:right w:val="single" w:sz="4" w:space="0" w:color="auto"/>
            </w:tcBorders>
          </w:tcPr>
          <w:p w:rsidR="007D7181" w:rsidRPr="000F6066" w:rsidRDefault="007D7181" w:rsidP="001F59D9">
            <w:pPr>
              <w:tabs>
                <w:tab w:val="left" w:pos="737"/>
                <w:tab w:val="left" w:pos="1080"/>
                <w:tab w:val="left" w:pos="1134"/>
              </w:tabs>
              <w:spacing w:before="0"/>
              <w:rPr>
                <w:b/>
                <w:bCs/>
                <w:szCs w:val="24"/>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D7181" w:rsidRPr="000F6066" w:rsidRDefault="007D7181" w:rsidP="001F59D9">
            <w:pPr>
              <w:tabs>
                <w:tab w:val="left" w:pos="737"/>
                <w:tab w:val="left" w:pos="1080"/>
                <w:tab w:val="left" w:pos="1134"/>
              </w:tabs>
              <w:spacing w:before="0"/>
              <w:rPr>
                <w:b/>
                <w:bCs/>
                <w:szCs w:val="24"/>
              </w:rPr>
            </w:pPr>
            <w:r w:rsidRPr="000F6066">
              <w:rPr>
                <w:b/>
                <w:bCs/>
                <w:szCs w:val="24"/>
              </w:rPr>
              <w:t>X</w:t>
            </w:r>
          </w:p>
        </w:tc>
        <w:tc>
          <w:tcPr>
            <w:tcW w:w="489" w:type="dxa"/>
            <w:tcBorders>
              <w:top w:val="single" w:sz="4" w:space="0" w:color="auto"/>
              <w:left w:val="single" w:sz="4" w:space="0" w:color="auto"/>
              <w:bottom w:val="single" w:sz="4" w:space="0" w:color="auto"/>
              <w:right w:val="single" w:sz="18" w:space="0" w:color="auto"/>
            </w:tcBorders>
          </w:tcPr>
          <w:p w:rsidR="007D7181" w:rsidRPr="000F6066" w:rsidRDefault="007D7181" w:rsidP="001F59D9">
            <w:pPr>
              <w:tabs>
                <w:tab w:val="left" w:pos="737"/>
                <w:tab w:val="left" w:pos="1080"/>
                <w:tab w:val="left" w:pos="1134"/>
              </w:tabs>
              <w:spacing w:before="0"/>
              <w:rPr>
                <w:b/>
                <w:bCs/>
                <w:szCs w:val="24"/>
              </w:rPr>
            </w:pPr>
          </w:p>
        </w:tc>
      </w:tr>
    </w:tbl>
    <w:p w:rsidR="007D7181" w:rsidRPr="000F6066" w:rsidRDefault="007D7181" w:rsidP="000F6066">
      <w:pPr>
        <w:ind w:firstLine="567"/>
        <w:jc w:val="center"/>
        <w:rPr>
          <w:rFonts w:eastAsia="SimSun"/>
          <w:b/>
          <w:bCs/>
          <w:i/>
          <w:iCs/>
          <w:szCs w:val="24"/>
        </w:rPr>
      </w:pPr>
      <w:r w:rsidRPr="000F6066">
        <w:rPr>
          <w:b/>
          <w:bCs/>
          <w:i/>
          <w:iCs/>
          <w:szCs w:val="24"/>
        </w:rPr>
        <w:t>Sesión 1: 09</w:t>
      </w:r>
      <w:r w:rsidR="000F6066" w:rsidRPr="000F6066">
        <w:rPr>
          <w:b/>
          <w:bCs/>
          <w:i/>
          <w:iCs/>
          <w:szCs w:val="24"/>
        </w:rPr>
        <w:t>.</w:t>
      </w:r>
      <w:r w:rsidRPr="000F6066">
        <w:rPr>
          <w:b/>
          <w:bCs/>
          <w:i/>
          <w:iCs/>
          <w:szCs w:val="24"/>
        </w:rPr>
        <w:t>30</w:t>
      </w:r>
      <w:r w:rsidR="000F6066">
        <w:rPr>
          <w:b/>
          <w:bCs/>
          <w:i/>
          <w:iCs/>
          <w:szCs w:val="24"/>
        </w:rPr>
        <w:t>-</w:t>
      </w:r>
      <w:r w:rsidRPr="000F6066">
        <w:rPr>
          <w:b/>
          <w:bCs/>
          <w:i/>
          <w:iCs/>
          <w:szCs w:val="24"/>
        </w:rPr>
        <w:t>10</w:t>
      </w:r>
      <w:r w:rsidR="000F6066">
        <w:rPr>
          <w:b/>
          <w:bCs/>
          <w:i/>
          <w:iCs/>
          <w:szCs w:val="24"/>
        </w:rPr>
        <w:t>.</w:t>
      </w:r>
      <w:r w:rsidRPr="000F6066">
        <w:rPr>
          <w:b/>
          <w:bCs/>
          <w:i/>
          <w:iCs/>
          <w:szCs w:val="24"/>
        </w:rPr>
        <w:t>45</w:t>
      </w:r>
      <w:r w:rsidR="000F6066" w:rsidRPr="000F6066">
        <w:rPr>
          <w:b/>
          <w:bCs/>
          <w:i/>
          <w:iCs/>
          <w:szCs w:val="24"/>
        </w:rPr>
        <w:t xml:space="preserve"> horas</w:t>
      </w:r>
      <w:r w:rsidR="000F6066">
        <w:rPr>
          <w:b/>
          <w:bCs/>
          <w:i/>
          <w:iCs/>
          <w:szCs w:val="24"/>
        </w:rPr>
        <w:t xml:space="preserve">; </w:t>
      </w:r>
      <w:r w:rsidRPr="000F6066">
        <w:rPr>
          <w:b/>
          <w:bCs/>
          <w:i/>
          <w:iCs/>
          <w:szCs w:val="24"/>
        </w:rPr>
        <w:t>Sesión 2: 11</w:t>
      </w:r>
      <w:r w:rsidR="000F6066">
        <w:rPr>
          <w:b/>
          <w:bCs/>
          <w:i/>
          <w:iCs/>
          <w:szCs w:val="24"/>
        </w:rPr>
        <w:t>.</w:t>
      </w:r>
      <w:r w:rsidRPr="000F6066">
        <w:rPr>
          <w:b/>
          <w:bCs/>
          <w:i/>
          <w:iCs/>
          <w:szCs w:val="24"/>
        </w:rPr>
        <w:t>15-12</w:t>
      </w:r>
      <w:r w:rsidR="000F6066">
        <w:rPr>
          <w:b/>
          <w:bCs/>
          <w:i/>
          <w:iCs/>
          <w:szCs w:val="24"/>
        </w:rPr>
        <w:t>.</w:t>
      </w:r>
      <w:r w:rsidRPr="000F6066">
        <w:rPr>
          <w:b/>
          <w:bCs/>
          <w:i/>
          <w:iCs/>
          <w:szCs w:val="24"/>
        </w:rPr>
        <w:t>30</w:t>
      </w:r>
      <w:r w:rsidR="000F6066" w:rsidRPr="000F6066">
        <w:rPr>
          <w:b/>
          <w:bCs/>
          <w:i/>
          <w:iCs/>
          <w:szCs w:val="24"/>
        </w:rPr>
        <w:t xml:space="preserve"> horas</w:t>
      </w:r>
      <w:r w:rsidRPr="000F6066">
        <w:rPr>
          <w:b/>
          <w:bCs/>
          <w:i/>
          <w:iCs/>
          <w:szCs w:val="24"/>
        </w:rPr>
        <w:t xml:space="preserve">; </w:t>
      </w:r>
      <w:r w:rsidR="000F6066">
        <w:rPr>
          <w:b/>
          <w:bCs/>
          <w:i/>
          <w:iCs/>
          <w:szCs w:val="24"/>
        </w:rPr>
        <w:br/>
      </w:r>
      <w:r w:rsidRPr="000F6066">
        <w:rPr>
          <w:b/>
          <w:bCs/>
          <w:i/>
          <w:iCs/>
          <w:szCs w:val="24"/>
        </w:rPr>
        <w:t>Sesión 3: 14</w:t>
      </w:r>
      <w:r w:rsidR="000F6066">
        <w:rPr>
          <w:b/>
          <w:bCs/>
          <w:i/>
          <w:iCs/>
          <w:szCs w:val="24"/>
        </w:rPr>
        <w:t>.</w:t>
      </w:r>
      <w:r w:rsidRPr="000F6066">
        <w:rPr>
          <w:b/>
          <w:bCs/>
          <w:i/>
          <w:iCs/>
          <w:szCs w:val="24"/>
        </w:rPr>
        <w:t>30-15</w:t>
      </w:r>
      <w:r w:rsidR="000F6066">
        <w:rPr>
          <w:b/>
          <w:bCs/>
          <w:i/>
          <w:iCs/>
          <w:szCs w:val="24"/>
        </w:rPr>
        <w:t>.</w:t>
      </w:r>
      <w:r w:rsidRPr="000F6066">
        <w:rPr>
          <w:b/>
          <w:bCs/>
          <w:i/>
          <w:iCs/>
          <w:szCs w:val="24"/>
        </w:rPr>
        <w:t>45</w:t>
      </w:r>
      <w:r w:rsidR="000F6066" w:rsidRPr="000F6066">
        <w:rPr>
          <w:b/>
          <w:bCs/>
          <w:i/>
          <w:iCs/>
          <w:szCs w:val="24"/>
        </w:rPr>
        <w:t xml:space="preserve"> horas</w:t>
      </w:r>
      <w:r w:rsidRPr="000F6066">
        <w:rPr>
          <w:b/>
          <w:bCs/>
          <w:i/>
          <w:iCs/>
          <w:szCs w:val="24"/>
        </w:rPr>
        <w:t>; Sesión 4: 16</w:t>
      </w:r>
      <w:r w:rsidR="000F6066">
        <w:rPr>
          <w:b/>
          <w:bCs/>
          <w:i/>
          <w:iCs/>
          <w:szCs w:val="24"/>
        </w:rPr>
        <w:t>.</w:t>
      </w:r>
      <w:r w:rsidRPr="000F6066">
        <w:rPr>
          <w:b/>
          <w:bCs/>
          <w:i/>
          <w:iCs/>
          <w:szCs w:val="24"/>
        </w:rPr>
        <w:t>15-17</w:t>
      </w:r>
      <w:r w:rsidR="000F6066">
        <w:rPr>
          <w:b/>
          <w:bCs/>
          <w:i/>
          <w:iCs/>
          <w:szCs w:val="24"/>
        </w:rPr>
        <w:t>.</w:t>
      </w:r>
      <w:r w:rsidRPr="000F6066">
        <w:rPr>
          <w:b/>
          <w:bCs/>
          <w:i/>
          <w:iCs/>
          <w:szCs w:val="24"/>
        </w:rPr>
        <w:t>30</w:t>
      </w:r>
      <w:r w:rsidR="000F6066" w:rsidRPr="000F6066">
        <w:rPr>
          <w:b/>
          <w:bCs/>
          <w:i/>
          <w:iCs/>
          <w:szCs w:val="24"/>
        </w:rPr>
        <w:t xml:space="preserve"> horas</w:t>
      </w:r>
    </w:p>
    <w:p w:rsidR="005E6719" w:rsidRPr="004C172F" w:rsidRDefault="005E6719" w:rsidP="0032202E">
      <w:pPr>
        <w:pStyle w:val="Reasons"/>
        <w:rPr>
          <w:lang w:val="es-ES_tradnl"/>
        </w:rPr>
      </w:pPr>
    </w:p>
    <w:p w:rsidR="005E6719" w:rsidRDefault="005E6719">
      <w:pPr>
        <w:jc w:val="center"/>
      </w:pPr>
      <w:r w:rsidRPr="004C172F">
        <w:t>______________</w:t>
      </w:r>
    </w:p>
    <w:p w:rsidR="00EB3CEB" w:rsidRPr="004C172F" w:rsidRDefault="00EB3CEB">
      <w:pPr>
        <w:jc w:val="center"/>
      </w:pPr>
    </w:p>
    <w:sectPr w:rsidR="00EB3CEB" w:rsidRPr="004C172F" w:rsidSect="007D7181">
      <w:headerReference w:type="even" r:id="rId38"/>
      <w:headerReference w:type="default" r:id="rId39"/>
      <w:footerReference w:type="first" r:id="rId4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81" w:rsidRDefault="007D7181">
      <w:r>
        <w:separator/>
      </w:r>
    </w:p>
  </w:endnote>
  <w:endnote w:type="continuationSeparator" w:id="0">
    <w:p w:rsidR="007D7181" w:rsidRDefault="007D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A2" w:rsidRPr="00C1498B" w:rsidRDefault="00C1498B" w:rsidP="00C1498B">
    <w:pPr>
      <w:pStyle w:val="Footer"/>
      <w:spacing w:before="120"/>
      <w:jc w:val="center"/>
    </w:pPr>
    <w:r w:rsidRPr="00CF23A2">
      <w:rPr>
        <w:rFonts w:ascii="Calibri" w:hAnsi="Calibri" w:cs="Calibri"/>
        <w:caps w:val="0"/>
        <w:color w:val="0070C0"/>
        <w:szCs w:val="18"/>
      </w:rPr>
      <w:t xml:space="preserve">International </w:t>
    </w:r>
    <w:proofErr w:type="spellStart"/>
    <w:r w:rsidRPr="00CF23A2">
      <w:rPr>
        <w:rFonts w:ascii="Calibri" w:hAnsi="Calibri" w:cs="Calibri"/>
        <w:caps w:val="0"/>
        <w:color w:val="0070C0"/>
        <w:szCs w:val="18"/>
      </w:rPr>
      <w:t>Telecommunication</w:t>
    </w:r>
    <w:proofErr w:type="spellEnd"/>
    <w:r w:rsidRPr="00CF23A2">
      <w:rPr>
        <w:rFonts w:ascii="Calibri" w:hAnsi="Calibri" w:cs="Calibri"/>
        <w:caps w:val="0"/>
        <w:color w:val="0070C0"/>
        <w:szCs w:val="18"/>
      </w:rPr>
      <w:t xml:space="preserve"> </w:t>
    </w:r>
    <w:proofErr w:type="spellStart"/>
    <w:r w:rsidRPr="00CF23A2">
      <w:rPr>
        <w:rFonts w:ascii="Calibri" w:hAnsi="Calibri" w:cs="Calibri"/>
        <w:caps w:val="0"/>
        <w:color w:val="0070C0"/>
        <w:szCs w:val="18"/>
      </w:rPr>
      <w:t>Union</w:t>
    </w:r>
    <w:proofErr w:type="spellEnd"/>
    <w:r w:rsidRPr="00CF23A2">
      <w:rPr>
        <w:rFonts w:ascii="Calibri" w:hAnsi="Calibri" w:cs="Calibri"/>
        <w:caps w:val="0"/>
        <w:color w:val="0070C0"/>
        <w:szCs w:val="18"/>
      </w:rPr>
      <w:t xml:space="preserve"> • Place des </w:t>
    </w:r>
    <w:proofErr w:type="spellStart"/>
    <w:r w:rsidRPr="00CF23A2">
      <w:rPr>
        <w:rFonts w:ascii="Calibri" w:hAnsi="Calibri" w:cs="Calibri"/>
        <w:caps w:val="0"/>
        <w:color w:val="0070C0"/>
        <w:szCs w:val="18"/>
      </w:rPr>
      <w:t>Nations</w:t>
    </w:r>
    <w:proofErr w:type="spellEnd"/>
    <w:r w:rsidRPr="00CF23A2">
      <w:rPr>
        <w:rFonts w:ascii="Calibri" w:hAnsi="Calibri" w:cs="Calibri"/>
        <w:caps w:val="0"/>
        <w:color w:val="0070C0"/>
        <w:szCs w:val="18"/>
      </w:rPr>
      <w:t xml:space="preserve"> </w:t>
    </w:r>
    <w:r w:rsidRPr="00CF23A2">
      <w:rPr>
        <w:rFonts w:ascii="Calibri" w:hAnsi="Calibri" w:cs="Calibri"/>
        <w:color w:val="0070C0"/>
        <w:szCs w:val="18"/>
      </w:rPr>
      <w:t>•</w:t>
    </w:r>
    <w:r w:rsidRPr="00CF23A2">
      <w:rPr>
        <w:rFonts w:ascii="Calibri" w:hAnsi="Calibri" w:cs="Calibri"/>
        <w:caps w:val="0"/>
        <w:color w:val="0070C0"/>
        <w:szCs w:val="18"/>
      </w:rPr>
      <w:t xml:space="preserve"> CH</w:t>
    </w:r>
    <w:r w:rsidRPr="00CF23A2">
      <w:rPr>
        <w:rFonts w:ascii="Calibri" w:hAnsi="Calibri" w:cs="Calibri"/>
        <w:caps w:val="0"/>
        <w:color w:val="0070C0"/>
        <w:szCs w:val="18"/>
      </w:rPr>
      <w:noBreakHyphen/>
      <w:t xml:space="preserve">1211 Geneva 20 </w:t>
    </w:r>
    <w:r w:rsidRPr="00CF23A2">
      <w:rPr>
        <w:rFonts w:ascii="Calibri" w:hAnsi="Calibri" w:cs="Calibri"/>
        <w:color w:val="0070C0"/>
        <w:szCs w:val="18"/>
      </w:rPr>
      <w:t>•</w:t>
    </w:r>
    <w:r w:rsidRPr="00CF23A2">
      <w:rPr>
        <w:rFonts w:ascii="Calibri" w:hAnsi="Calibri" w:cs="Calibri"/>
        <w:caps w:val="0"/>
        <w:color w:val="0070C0"/>
        <w:szCs w:val="18"/>
      </w:rPr>
      <w:t xml:space="preserve"> </w:t>
    </w:r>
    <w:proofErr w:type="spellStart"/>
    <w:r w:rsidRPr="00CF23A2">
      <w:rPr>
        <w:rFonts w:ascii="Calibri" w:hAnsi="Calibri" w:cs="Calibri"/>
        <w:caps w:val="0"/>
        <w:color w:val="0070C0"/>
        <w:szCs w:val="18"/>
      </w:rPr>
      <w:t>Switzerland</w:t>
    </w:r>
    <w:proofErr w:type="spellEnd"/>
    <w:r w:rsidRPr="00CF23A2">
      <w:rPr>
        <w:rFonts w:ascii="Calibri" w:hAnsi="Calibri" w:cs="Calibri"/>
        <w:caps w:val="0"/>
        <w:color w:val="0070C0"/>
        <w:szCs w:val="18"/>
      </w:rPr>
      <w:t xml:space="preserve"> </w:t>
    </w:r>
    <w:r w:rsidRPr="00CF23A2">
      <w:rPr>
        <w:rFonts w:ascii="Calibri" w:hAnsi="Calibri" w:cs="Calibri"/>
        <w:color w:val="0070C0"/>
        <w:szCs w:val="18"/>
      </w:rPr>
      <w:br/>
    </w:r>
    <w:r w:rsidRPr="00CF23A2">
      <w:rPr>
        <w:rFonts w:ascii="Calibri" w:hAnsi="Calibri" w:cs="Calibri"/>
        <w:caps w:val="0"/>
        <w:color w:val="0070C0"/>
        <w:szCs w:val="18"/>
      </w:rPr>
      <w:t>Tel:</w:t>
    </w:r>
    <w:r w:rsidRPr="00CF23A2">
      <w:rPr>
        <w:rFonts w:ascii="Calibri" w:hAnsi="Calibri" w:cs="Calibri"/>
        <w:color w:val="0070C0"/>
        <w:szCs w:val="18"/>
      </w:rPr>
      <w:t xml:space="preserve"> +41 22 730 5111 • </w:t>
    </w:r>
    <w:r w:rsidRPr="00CF23A2">
      <w:rPr>
        <w:rFonts w:ascii="Calibri" w:hAnsi="Calibri" w:cs="Calibri"/>
        <w:caps w:val="0"/>
        <w:color w:val="0070C0"/>
        <w:szCs w:val="18"/>
      </w:rPr>
      <w:t>Fax</w:t>
    </w:r>
    <w:r w:rsidRPr="00CF23A2">
      <w:rPr>
        <w:rFonts w:ascii="Calibri" w:hAnsi="Calibri" w:cs="Calibri"/>
        <w:color w:val="0070C0"/>
        <w:szCs w:val="18"/>
      </w:rPr>
      <w:t>: +41 22 733 7256 • E-</w:t>
    </w:r>
    <w:r w:rsidRPr="00CF23A2">
      <w:rPr>
        <w:rFonts w:ascii="Calibri" w:hAnsi="Calibri" w:cs="Calibri"/>
        <w:caps w:val="0"/>
        <w:color w:val="0070C0"/>
        <w:szCs w:val="18"/>
      </w:rPr>
      <w:t>mail</w:t>
    </w:r>
    <w:r w:rsidRPr="00CF23A2">
      <w:rPr>
        <w:rFonts w:ascii="Calibri" w:hAnsi="Calibri" w:cs="Calibri"/>
        <w:color w:val="0070C0"/>
        <w:szCs w:val="18"/>
      </w:rPr>
      <w:t xml:space="preserve">: </w:t>
    </w:r>
    <w:hyperlink r:id="rId1" w:history="1">
      <w:r w:rsidRPr="00CF23A2">
        <w:rPr>
          <w:rStyle w:val="Hyperlink"/>
          <w:rFonts w:ascii="Calibri" w:hAnsi="Calibri" w:cs="Calibri"/>
          <w:caps w:val="0"/>
          <w:color w:val="0070C0"/>
          <w:szCs w:val="18"/>
        </w:rPr>
        <w:t>itumail@itu.int</w:t>
      </w:r>
    </w:hyperlink>
    <w:r w:rsidRPr="00CF23A2">
      <w:rPr>
        <w:rFonts w:ascii="Calibri" w:hAnsi="Calibri" w:cs="Calibri"/>
        <w:caps w:val="0"/>
        <w:color w:val="0070C0"/>
        <w:szCs w:val="18"/>
      </w:rPr>
      <w:t xml:space="preserve"> • </w:t>
    </w:r>
    <w:hyperlink r:id="rId2" w:history="1">
      <w:r w:rsidRPr="00CF23A2">
        <w:rPr>
          <w:rStyle w:val="Hyperlink"/>
          <w:rFonts w:ascii="Calibri" w:hAnsi="Calibri" w:cs="Calibri"/>
          <w:caps w:val="0"/>
          <w:color w:val="0070C0"/>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81" w:rsidRDefault="007D7181">
      <w:r>
        <w:t>____________________</w:t>
      </w:r>
    </w:p>
  </w:footnote>
  <w:footnote w:type="continuationSeparator" w:id="0">
    <w:p w:rsidR="007D7181" w:rsidRDefault="007D7181">
      <w:r>
        <w:continuationSeparator/>
      </w:r>
    </w:p>
  </w:footnote>
  <w:footnote w:id="1">
    <w:p w:rsidR="006D753F" w:rsidRPr="00863581" w:rsidRDefault="006D753F" w:rsidP="00863581">
      <w:pPr>
        <w:pStyle w:val="FootnoteText"/>
        <w:rPr>
          <w:szCs w:val="24"/>
        </w:rPr>
      </w:pPr>
      <w:r w:rsidRPr="00D65E5C">
        <w:rPr>
          <w:rStyle w:val="FootnoteReference"/>
          <w:sz w:val="24"/>
          <w:szCs w:val="24"/>
        </w:rPr>
        <w:t>*</w:t>
      </w:r>
      <w:r w:rsidRPr="00863581">
        <w:rPr>
          <w:szCs w:val="24"/>
        </w:rPr>
        <w:tab/>
      </w:r>
      <w:r w:rsidR="00863581" w:rsidRPr="00863581">
        <w:rPr>
          <w:szCs w:val="24"/>
        </w:rPr>
        <w:t>En espera del refrendo del GANT</w:t>
      </w:r>
      <w:r w:rsidR="007A4B7B">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C8" w:rsidRPr="00AD5FE4" w:rsidRDefault="00511FEB">
    <w:pPr>
      <w:pStyle w:val="Header"/>
      <w:rPr>
        <w:sz w:val="18"/>
        <w:szCs w:val="18"/>
      </w:rPr>
    </w:pPr>
    <w:sdt>
      <w:sdtPr>
        <w:rPr>
          <w:sz w:val="18"/>
          <w:szCs w:val="18"/>
        </w:rPr>
        <w:id w:val="-2112810795"/>
        <w:docPartObj>
          <w:docPartGallery w:val="Page Numbers (Top of Page)"/>
          <w:docPartUnique/>
        </w:docPartObj>
      </w:sdtPr>
      <w:sdtEndPr>
        <w:rPr>
          <w:noProof/>
        </w:rPr>
      </w:sdtEndPr>
      <w:sdtContent>
        <w:r w:rsidR="00AD5FE4" w:rsidRPr="00AD5FE4">
          <w:rPr>
            <w:sz w:val="18"/>
            <w:szCs w:val="18"/>
          </w:rPr>
          <w:t xml:space="preserve">- </w:t>
        </w:r>
        <w:r w:rsidR="00CC0EC8" w:rsidRPr="00AD5FE4">
          <w:rPr>
            <w:sz w:val="18"/>
            <w:szCs w:val="18"/>
          </w:rPr>
          <w:fldChar w:fldCharType="begin"/>
        </w:r>
        <w:r w:rsidR="00CC0EC8" w:rsidRPr="00AD5FE4">
          <w:rPr>
            <w:sz w:val="18"/>
            <w:szCs w:val="18"/>
          </w:rPr>
          <w:instrText xml:space="preserve"> PAGE   \* MERGEFORMAT </w:instrText>
        </w:r>
        <w:r w:rsidR="00CC0EC8" w:rsidRPr="00AD5FE4">
          <w:rPr>
            <w:sz w:val="18"/>
            <w:szCs w:val="18"/>
          </w:rPr>
          <w:fldChar w:fldCharType="separate"/>
        </w:r>
        <w:r>
          <w:rPr>
            <w:noProof/>
            <w:sz w:val="18"/>
            <w:szCs w:val="18"/>
          </w:rPr>
          <w:t>4</w:t>
        </w:r>
        <w:r w:rsidR="00CC0EC8" w:rsidRPr="00AD5FE4">
          <w:rPr>
            <w:noProof/>
            <w:sz w:val="18"/>
            <w:szCs w:val="18"/>
          </w:rPr>
          <w:fldChar w:fldCharType="end"/>
        </w:r>
      </w:sdtContent>
    </w:sdt>
    <w:r w:rsidR="00AD5FE4" w:rsidRPr="00AD5FE4">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C8" w:rsidRPr="00CC0EC8" w:rsidRDefault="00C1498B">
    <w:pPr>
      <w:pStyle w:val="Header"/>
      <w:rPr>
        <w:sz w:val="18"/>
        <w:szCs w:val="18"/>
      </w:rPr>
    </w:pPr>
    <w:r>
      <w:t xml:space="preserve">- </w:t>
    </w:r>
    <w:sdt>
      <w:sdtPr>
        <w:id w:val="1419901106"/>
        <w:docPartObj>
          <w:docPartGallery w:val="Page Numbers (Top of Page)"/>
          <w:docPartUnique/>
        </w:docPartObj>
      </w:sdtPr>
      <w:sdtEndPr>
        <w:rPr>
          <w:noProof/>
          <w:sz w:val="18"/>
          <w:szCs w:val="18"/>
        </w:rPr>
      </w:sdtEndPr>
      <w:sdtContent>
        <w:r w:rsidR="00CC0EC8" w:rsidRPr="00CC0EC8">
          <w:rPr>
            <w:sz w:val="18"/>
            <w:szCs w:val="18"/>
          </w:rPr>
          <w:fldChar w:fldCharType="begin"/>
        </w:r>
        <w:r w:rsidR="00CC0EC8" w:rsidRPr="00CC0EC8">
          <w:rPr>
            <w:sz w:val="18"/>
            <w:szCs w:val="18"/>
          </w:rPr>
          <w:instrText xml:space="preserve"> PAGE   \* MERGEFORMAT </w:instrText>
        </w:r>
        <w:r w:rsidR="00CC0EC8" w:rsidRPr="00CC0EC8">
          <w:rPr>
            <w:sz w:val="18"/>
            <w:szCs w:val="18"/>
          </w:rPr>
          <w:fldChar w:fldCharType="separate"/>
        </w:r>
        <w:r w:rsidR="00511FEB">
          <w:rPr>
            <w:noProof/>
            <w:sz w:val="18"/>
            <w:szCs w:val="18"/>
          </w:rPr>
          <w:t>3</w:t>
        </w:r>
        <w:r w:rsidR="00CC0EC8" w:rsidRPr="00CC0EC8">
          <w:rPr>
            <w:noProof/>
            <w:sz w:val="18"/>
            <w:szCs w:val="18"/>
          </w:rPr>
          <w:fldChar w:fldCharType="end"/>
        </w:r>
        <w:r>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31300"/>
    <w:multiLevelType w:val="hybridMultilevel"/>
    <w:tmpl w:val="2F90066A"/>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B6254"/>
    <w:rsid w:val="000C375D"/>
    <w:rsid w:val="000C382F"/>
    <w:rsid w:val="000E5543"/>
    <w:rsid w:val="000F5BC7"/>
    <w:rsid w:val="000F6066"/>
    <w:rsid w:val="000F67AE"/>
    <w:rsid w:val="00101287"/>
    <w:rsid w:val="00110FD3"/>
    <w:rsid w:val="00114963"/>
    <w:rsid w:val="001173CC"/>
    <w:rsid w:val="00125B05"/>
    <w:rsid w:val="00126D02"/>
    <w:rsid w:val="001344C2"/>
    <w:rsid w:val="00136FC2"/>
    <w:rsid w:val="00141CB4"/>
    <w:rsid w:val="00160D57"/>
    <w:rsid w:val="001640B7"/>
    <w:rsid w:val="001671BC"/>
    <w:rsid w:val="001A105C"/>
    <w:rsid w:val="001A2905"/>
    <w:rsid w:val="001A54CC"/>
    <w:rsid w:val="001C2FAD"/>
    <w:rsid w:val="001D1BA9"/>
    <w:rsid w:val="001F0D48"/>
    <w:rsid w:val="002021BB"/>
    <w:rsid w:val="00203AED"/>
    <w:rsid w:val="00212668"/>
    <w:rsid w:val="00221865"/>
    <w:rsid w:val="00221C83"/>
    <w:rsid w:val="00257FB4"/>
    <w:rsid w:val="00271D3E"/>
    <w:rsid w:val="0027571F"/>
    <w:rsid w:val="002C1570"/>
    <w:rsid w:val="00303D62"/>
    <w:rsid w:val="00313DBB"/>
    <w:rsid w:val="00324783"/>
    <w:rsid w:val="00327BC9"/>
    <w:rsid w:val="003303A3"/>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A7B14"/>
    <w:rsid w:val="004C172F"/>
    <w:rsid w:val="004C1AD1"/>
    <w:rsid w:val="004C4144"/>
    <w:rsid w:val="004E26E4"/>
    <w:rsid w:val="004F0A81"/>
    <w:rsid w:val="004F5584"/>
    <w:rsid w:val="00505119"/>
    <w:rsid w:val="00511FEB"/>
    <w:rsid w:val="005267F7"/>
    <w:rsid w:val="00535F99"/>
    <w:rsid w:val="00545669"/>
    <w:rsid w:val="00555E45"/>
    <w:rsid w:val="00560EDA"/>
    <w:rsid w:val="00567B54"/>
    <w:rsid w:val="0057186B"/>
    <w:rsid w:val="005721BF"/>
    <w:rsid w:val="005827E3"/>
    <w:rsid w:val="00586B1D"/>
    <w:rsid w:val="005A32AD"/>
    <w:rsid w:val="005B4854"/>
    <w:rsid w:val="005B6711"/>
    <w:rsid w:val="005E6719"/>
    <w:rsid w:val="00607393"/>
    <w:rsid w:val="00622CE3"/>
    <w:rsid w:val="00635FA2"/>
    <w:rsid w:val="0064235A"/>
    <w:rsid w:val="00647213"/>
    <w:rsid w:val="00653A0E"/>
    <w:rsid w:val="00653B29"/>
    <w:rsid w:val="0067009C"/>
    <w:rsid w:val="006760CF"/>
    <w:rsid w:val="006969B4"/>
    <w:rsid w:val="006A0C05"/>
    <w:rsid w:val="006A335A"/>
    <w:rsid w:val="006B5061"/>
    <w:rsid w:val="006D753F"/>
    <w:rsid w:val="006E24F0"/>
    <w:rsid w:val="006F6581"/>
    <w:rsid w:val="007128A1"/>
    <w:rsid w:val="0071542C"/>
    <w:rsid w:val="00715D93"/>
    <w:rsid w:val="00720BA2"/>
    <w:rsid w:val="00772519"/>
    <w:rsid w:val="00781E2A"/>
    <w:rsid w:val="00786AA2"/>
    <w:rsid w:val="007A4B7B"/>
    <w:rsid w:val="007A6373"/>
    <w:rsid w:val="007B34FB"/>
    <w:rsid w:val="007D7181"/>
    <w:rsid w:val="008134A7"/>
    <w:rsid w:val="00823E22"/>
    <w:rsid w:val="008258C2"/>
    <w:rsid w:val="00833CCA"/>
    <w:rsid w:val="00846D89"/>
    <w:rsid w:val="008505BD"/>
    <w:rsid w:val="00850C78"/>
    <w:rsid w:val="00855B98"/>
    <w:rsid w:val="00863581"/>
    <w:rsid w:val="008A2534"/>
    <w:rsid w:val="008B5796"/>
    <w:rsid w:val="008C17AD"/>
    <w:rsid w:val="008D02CD"/>
    <w:rsid w:val="008F29BD"/>
    <w:rsid w:val="0091255A"/>
    <w:rsid w:val="00934054"/>
    <w:rsid w:val="0095172A"/>
    <w:rsid w:val="00963CD8"/>
    <w:rsid w:val="00975A06"/>
    <w:rsid w:val="00977230"/>
    <w:rsid w:val="009900B7"/>
    <w:rsid w:val="009D3E5C"/>
    <w:rsid w:val="009D4C42"/>
    <w:rsid w:val="009F0942"/>
    <w:rsid w:val="00A119A2"/>
    <w:rsid w:val="00A41330"/>
    <w:rsid w:val="00A42718"/>
    <w:rsid w:val="00A54E47"/>
    <w:rsid w:val="00A6120F"/>
    <w:rsid w:val="00A85283"/>
    <w:rsid w:val="00AA30D4"/>
    <w:rsid w:val="00AA3CF9"/>
    <w:rsid w:val="00AC5066"/>
    <w:rsid w:val="00AD1512"/>
    <w:rsid w:val="00AD5FE4"/>
    <w:rsid w:val="00AE7093"/>
    <w:rsid w:val="00AF276D"/>
    <w:rsid w:val="00B07A99"/>
    <w:rsid w:val="00B17920"/>
    <w:rsid w:val="00B321C3"/>
    <w:rsid w:val="00B422BC"/>
    <w:rsid w:val="00B43F77"/>
    <w:rsid w:val="00B44D9D"/>
    <w:rsid w:val="00B616C2"/>
    <w:rsid w:val="00B95F0A"/>
    <w:rsid w:val="00B96180"/>
    <w:rsid w:val="00BC172A"/>
    <w:rsid w:val="00C0097C"/>
    <w:rsid w:val="00C05882"/>
    <w:rsid w:val="00C1498B"/>
    <w:rsid w:val="00C17AC0"/>
    <w:rsid w:val="00C24BFC"/>
    <w:rsid w:val="00C31ED4"/>
    <w:rsid w:val="00C34772"/>
    <w:rsid w:val="00C36657"/>
    <w:rsid w:val="00C44C79"/>
    <w:rsid w:val="00C50A2D"/>
    <w:rsid w:val="00C71699"/>
    <w:rsid w:val="00C717E3"/>
    <w:rsid w:val="00CB3300"/>
    <w:rsid w:val="00CC0EC8"/>
    <w:rsid w:val="00CC1DE4"/>
    <w:rsid w:val="00D027A3"/>
    <w:rsid w:val="00D119EC"/>
    <w:rsid w:val="00D65E5C"/>
    <w:rsid w:val="00D84135"/>
    <w:rsid w:val="00D9228F"/>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3CEB"/>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7D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5E671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1/Pages/CASC.aspx"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s://www.itu.int/en/ITU-T/studygroups/Pages/templates.asp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en/ITU-T/studygroups/2017-2020/11/Pages/default.aspx" TargetMode="External"/><Relationship Id="rId34" Type="http://schemas.openxmlformats.org/officeDocument/2006/relationships/hyperlink" Target="http://itu.int/en/delegates-corne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SG13-COL-0002/en" TargetMode="External"/><Relationship Id="rId17" Type="http://schemas.openxmlformats.org/officeDocument/2006/relationships/hyperlink" Target="http://staging.itu.int/en/ITU-T/focusgroups/imt-2020/Pages/default.aspx" TargetMode="External"/><Relationship Id="rId25" Type="http://schemas.openxmlformats.org/officeDocument/2006/relationships/hyperlink" Target="http://itu.int/net/ITU-T/ddp/" TargetMode="External"/><Relationship Id="rId33" Type="http://schemas.openxmlformats.org/officeDocument/2006/relationships/hyperlink" Target="mailto:tsbreg@itu.in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http://itu.int/net/ITU-T/ddp/" TargetMode="External"/><Relationship Id="rId29" Type="http://schemas.openxmlformats.org/officeDocument/2006/relationships/hyperlink" Target="https://www.itu.int/en/about/Documents/itu-pla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11&amp;type=interim" TargetMode="External"/><Relationship Id="rId24" Type="http://schemas.openxmlformats.org/officeDocument/2006/relationships/image" Target="media/image2.jpeg"/><Relationship Id="rId32" Type="http://schemas.openxmlformats.org/officeDocument/2006/relationships/hyperlink" Target="mailto:servicedesk@itu.int" TargetMode="External"/><Relationship Id="rId37" Type="http://schemas.openxmlformats.org/officeDocument/2006/relationships/hyperlink" Target="http://itu.int/en/ITU-T/info/Documents/Visa-support-letter_MODEL.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itu.int/net/ITU-T/ddp/" TargetMode="External"/><Relationship Id="rId28" Type="http://schemas.openxmlformats.org/officeDocument/2006/relationships/hyperlink" Target="http://www.itu.int/ITU-T/edh/faqs-support.html" TargetMode="External"/><Relationship Id="rId36" Type="http://schemas.openxmlformats.org/officeDocument/2006/relationships/hyperlink" Target="mailto:tsbreg@itu.int" TargetMode="External"/><Relationship Id="rId10" Type="http://schemas.openxmlformats.org/officeDocument/2006/relationships/hyperlink" Target="http://itu.int/go/tsg11" TargetMode="External"/><Relationship Id="rId19" Type="http://schemas.openxmlformats.org/officeDocument/2006/relationships/hyperlink" Target="http://handle.itu.int/11.1002/apps/meeting-rooms" TargetMode="External"/><Relationship Id="rId31" Type="http://schemas.openxmlformats.org/officeDocument/2006/relationships/hyperlink" Target="http://itu.int/go/e-print"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itu.int/en/ITU-T/info/Documents/Visa-support-letter_MODEL.pdf"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4E89-A3C9-4315-9FA9-A2581A2F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1344</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10124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33</cp:revision>
  <cp:lastPrinted>2017-05-04T15:05:00Z</cp:lastPrinted>
  <dcterms:created xsi:type="dcterms:W3CDTF">2017-05-02T13:05:00Z</dcterms:created>
  <dcterms:modified xsi:type="dcterms:W3CDTF">2017-05-04T15:05:00Z</dcterms:modified>
</cp:coreProperties>
</file>