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4320E8AC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CF2AEDD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C977C8" wp14:editId="1E051A63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52B4949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8A7547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65FC54D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5639C2D0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08AF62F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4E1351E6" w14:textId="3172145B" w:rsidR="000305E1" w:rsidRPr="00B70109" w:rsidRDefault="000305E1" w:rsidP="00C87A03">
            <w:pPr>
              <w:pStyle w:val="Tabletext"/>
              <w:spacing w:before="240" w:after="120"/>
            </w:pPr>
            <w:r w:rsidRPr="00277129">
              <w:t xml:space="preserve">Geneva, </w:t>
            </w:r>
            <w:r w:rsidR="00277129" w:rsidRPr="00277129">
              <w:t>6</w:t>
            </w:r>
            <w:r w:rsidR="00A333AF" w:rsidRPr="00277129">
              <w:t xml:space="preserve"> October </w:t>
            </w:r>
            <w:r w:rsidR="00BC5712" w:rsidRPr="00277129">
              <w:t>2020</w:t>
            </w:r>
          </w:p>
        </w:tc>
      </w:tr>
      <w:tr w:rsidR="0038260B" w:rsidRPr="00B70109" w14:paraId="1B1B081B" w14:textId="77777777" w:rsidTr="00CE218B">
        <w:trPr>
          <w:cantSplit/>
          <w:trHeight w:val="746"/>
        </w:trPr>
        <w:tc>
          <w:tcPr>
            <w:tcW w:w="993" w:type="dxa"/>
          </w:tcPr>
          <w:p w14:paraId="00F392BD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1B5102BA" w14:textId="5A78E904" w:rsidR="0038260B" w:rsidRPr="00BC5712" w:rsidRDefault="0038260B" w:rsidP="00830DBC">
            <w:pPr>
              <w:pStyle w:val="Tabletext"/>
              <w:rPr>
                <w:b/>
              </w:rPr>
            </w:pPr>
            <w:r w:rsidRPr="00BC5712">
              <w:rPr>
                <w:b/>
              </w:rPr>
              <w:t xml:space="preserve">TSB Collective letter </w:t>
            </w:r>
            <w:r w:rsidR="00BC5712" w:rsidRPr="00BC5712">
              <w:rPr>
                <w:b/>
              </w:rPr>
              <w:t>3</w:t>
            </w:r>
            <w:r w:rsidR="00CF1D31" w:rsidRPr="00BC5712">
              <w:rPr>
                <w:b/>
              </w:rPr>
              <w:t>/</w:t>
            </w:r>
            <w:r w:rsidR="00BC5712" w:rsidRPr="00BC5712">
              <w:rPr>
                <w:b/>
              </w:rPr>
              <w:t>SG5RG-LATAM</w:t>
            </w:r>
          </w:p>
          <w:p w14:paraId="0DE2578A" w14:textId="7B2DCBDB" w:rsidR="00C87A03" w:rsidRPr="00BC5712" w:rsidRDefault="00C87A03" w:rsidP="00830DBC">
            <w:pPr>
              <w:pStyle w:val="Tabletext"/>
            </w:pPr>
            <w:r w:rsidRPr="00BC5712">
              <w:t>SG</w:t>
            </w:r>
            <w:r w:rsidR="00BC5712" w:rsidRPr="00BC5712">
              <w:t>5/RU</w:t>
            </w:r>
          </w:p>
        </w:tc>
        <w:tc>
          <w:tcPr>
            <w:tcW w:w="4678" w:type="dxa"/>
            <w:gridSpan w:val="2"/>
            <w:vMerge w:val="restart"/>
          </w:tcPr>
          <w:p w14:paraId="22CEB725" w14:textId="2B117733" w:rsidR="00FF6ECE" w:rsidRPr="00B70109" w:rsidRDefault="00FF6ECE" w:rsidP="00FF6EC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</w:t>
            </w:r>
            <w:r w:rsidR="006E42DB">
              <w:t>participating in SG5RG-</w:t>
            </w:r>
            <w:proofErr w:type="gramStart"/>
            <w:r w:rsidR="006E42DB">
              <w:t>LATAM</w:t>
            </w:r>
            <w:r w:rsidRPr="00B70109">
              <w:t>;</w:t>
            </w:r>
            <w:proofErr w:type="gramEnd"/>
            <w:r w:rsidRPr="00B70109">
              <w:t xml:space="preserve"> </w:t>
            </w:r>
          </w:p>
          <w:p w14:paraId="6F54D364" w14:textId="413FEA03" w:rsidR="00FF6ECE" w:rsidRPr="00B70109" w:rsidRDefault="00FF6ECE" w:rsidP="00FF6EC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</w:t>
            </w:r>
            <w:r w:rsidR="006E42DB">
              <w:t xml:space="preserve"> participating in SG5RG-</w:t>
            </w:r>
            <w:proofErr w:type="gramStart"/>
            <w:r w:rsidR="006E42DB">
              <w:t>LATAM</w:t>
            </w:r>
            <w:r w:rsidRPr="00B70109">
              <w:t>;</w:t>
            </w:r>
            <w:proofErr w:type="gramEnd"/>
          </w:p>
          <w:p w14:paraId="243E9213" w14:textId="6B7F9823" w:rsidR="00FF6ECE" w:rsidRPr="00B70109" w:rsidRDefault="00FF6ECE" w:rsidP="00FF6EC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>
              <w:t xml:space="preserve"> 5</w:t>
            </w:r>
            <w:r w:rsidR="006E42DB">
              <w:t xml:space="preserve"> participating in SG5RG-</w:t>
            </w:r>
            <w:proofErr w:type="gramStart"/>
            <w:r w:rsidR="006E42DB">
              <w:t>LATAM</w:t>
            </w:r>
            <w:r>
              <w:t>;</w:t>
            </w:r>
            <w:proofErr w:type="gramEnd"/>
          </w:p>
          <w:p w14:paraId="0F76A85D" w14:textId="24F2AF28" w:rsidR="00FF6ECE" w:rsidRDefault="00FF6ECE" w:rsidP="00FF6ECE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6E42DB">
              <w:t xml:space="preserve"> participating in SG5RG-</w:t>
            </w:r>
            <w:proofErr w:type="gramStart"/>
            <w:r w:rsidR="006E42DB">
              <w:t>LATAM</w:t>
            </w:r>
            <w:r>
              <w:t>;</w:t>
            </w:r>
            <w:proofErr w:type="gramEnd"/>
          </w:p>
          <w:p w14:paraId="24CE5837" w14:textId="5816B22C" w:rsidR="0038260B" w:rsidRPr="00B70109" w:rsidRDefault="00FF6ECE" w:rsidP="00FF6ECE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ITU </w:t>
            </w:r>
            <w:r w:rsidR="006E42DB">
              <w:t xml:space="preserve">Regional Office (Brasilia, Brazil) </w:t>
            </w:r>
          </w:p>
        </w:tc>
      </w:tr>
      <w:bookmarkEnd w:id="0"/>
      <w:tr w:rsidR="0038260B" w:rsidRPr="00B70109" w14:paraId="0D58CFE2" w14:textId="77777777" w:rsidTr="00CE218B">
        <w:trPr>
          <w:cantSplit/>
          <w:trHeight w:val="221"/>
        </w:trPr>
        <w:tc>
          <w:tcPr>
            <w:tcW w:w="993" w:type="dxa"/>
          </w:tcPr>
          <w:p w14:paraId="7712AA47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221B6805" w14:textId="16DE6B2B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BC5712">
              <w:t>5356</w:t>
            </w:r>
          </w:p>
        </w:tc>
        <w:tc>
          <w:tcPr>
            <w:tcW w:w="4678" w:type="dxa"/>
            <w:gridSpan w:val="2"/>
            <w:vMerge/>
          </w:tcPr>
          <w:p w14:paraId="107255F8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00D6F823" w14:textId="77777777" w:rsidTr="00CE218B">
        <w:trPr>
          <w:cantSplit/>
          <w:trHeight w:val="282"/>
        </w:trPr>
        <w:tc>
          <w:tcPr>
            <w:tcW w:w="993" w:type="dxa"/>
          </w:tcPr>
          <w:p w14:paraId="232BBAD7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5FAB8440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1FD634A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BC5712" w:rsidRPr="00B70109" w14:paraId="1FF2F5C2" w14:textId="77777777" w:rsidTr="00CE218B">
        <w:trPr>
          <w:cantSplit/>
          <w:trHeight w:val="376"/>
        </w:trPr>
        <w:tc>
          <w:tcPr>
            <w:tcW w:w="993" w:type="dxa"/>
          </w:tcPr>
          <w:p w14:paraId="51F9F98E" w14:textId="77777777" w:rsidR="00BC5712" w:rsidRPr="00B70109" w:rsidRDefault="00BC5712" w:rsidP="00BC5712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7DE7A82E" w14:textId="03AC5696" w:rsidR="00BC5712" w:rsidRPr="00B70109" w:rsidRDefault="005274FD" w:rsidP="00BC5712">
            <w:pPr>
              <w:pStyle w:val="Tabletext"/>
            </w:pPr>
            <w:hyperlink r:id="rId12" w:history="1">
              <w:r w:rsidR="00BC5712" w:rsidRPr="007822BA">
                <w:rPr>
                  <w:rStyle w:val="Hyperlink"/>
                </w:rPr>
                <w:t>tsbsg5@itu.int</w:t>
              </w:r>
            </w:hyperlink>
            <w:r w:rsidR="00BC5712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3B2BF215" w14:textId="77777777" w:rsidR="00BC5712" w:rsidRPr="00B70109" w:rsidRDefault="00BC5712" w:rsidP="00BC5712">
            <w:pPr>
              <w:pStyle w:val="Tabletext"/>
              <w:ind w:left="283" w:hanging="283"/>
            </w:pPr>
          </w:p>
        </w:tc>
      </w:tr>
      <w:tr w:rsidR="00BC5712" w:rsidRPr="00B70109" w14:paraId="5B9E2A2E" w14:textId="77777777" w:rsidTr="00277129">
        <w:trPr>
          <w:cantSplit/>
          <w:trHeight w:val="803"/>
        </w:trPr>
        <w:tc>
          <w:tcPr>
            <w:tcW w:w="993" w:type="dxa"/>
          </w:tcPr>
          <w:p w14:paraId="46CADD0E" w14:textId="77777777" w:rsidR="00BC5712" w:rsidRPr="00B70109" w:rsidRDefault="00BC5712" w:rsidP="00BC5712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6F8F4A29" w14:textId="5BD42325" w:rsidR="00BC5712" w:rsidRPr="00B70109" w:rsidRDefault="005274FD" w:rsidP="00BC5712">
            <w:pPr>
              <w:pStyle w:val="Tabletext"/>
            </w:pPr>
            <w:hyperlink r:id="rId13" w:history="1">
              <w:r w:rsidR="009E37F2" w:rsidRPr="00583F37">
                <w:rPr>
                  <w:rStyle w:val="Hyperlink"/>
                </w:rPr>
                <w:t>http://itu.int/go/tsg5</w:t>
              </w:r>
            </w:hyperlink>
          </w:p>
        </w:tc>
        <w:tc>
          <w:tcPr>
            <w:tcW w:w="4678" w:type="dxa"/>
            <w:gridSpan w:val="2"/>
            <w:vMerge/>
          </w:tcPr>
          <w:p w14:paraId="671CEC32" w14:textId="77777777" w:rsidR="00BC5712" w:rsidRPr="00B70109" w:rsidRDefault="00BC5712" w:rsidP="00BC5712">
            <w:pPr>
              <w:pStyle w:val="Tabletext"/>
            </w:pPr>
          </w:p>
        </w:tc>
      </w:tr>
      <w:tr w:rsidR="00951309" w:rsidRPr="00B70109" w14:paraId="78F423A3" w14:textId="77777777" w:rsidTr="00CE218B">
        <w:trPr>
          <w:cantSplit/>
          <w:trHeight w:val="80"/>
        </w:trPr>
        <w:tc>
          <w:tcPr>
            <w:tcW w:w="993" w:type="dxa"/>
          </w:tcPr>
          <w:p w14:paraId="5DC515C1" w14:textId="77777777" w:rsidR="00951309" w:rsidRPr="00B70109" w:rsidRDefault="00951309" w:rsidP="00A129C1">
            <w:pPr>
              <w:pStyle w:val="Tabletext"/>
            </w:pPr>
            <w:r w:rsidRPr="00277129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CE06E4B" w14:textId="7292F31D" w:rsidR="00951309" w:rsidRPr="00B70109" w:rsidRDefault="00BC5712" w:rsidP="00341B07">
            <w:pPr>
              <w:pStyle w:val="Tabletext"/>
            </w:pPr>
            <w:r w:rsidRPr="19927505">
              <w:rPr>
                <w:b/>
                <w:bCs/>
              </w:rPr>
              <w:t xml:space="preserve">Virtual meeting of </w:t>
            </w:r>
            <w:r w:rsidRPr="00593BBB">
              <w:rPr>
                <w:b/>
                <w:bCs/>
              </w:rPr>
              <w:t>ITU-T S</w:t>
            </w:r>
            <w:r w:rsidR="00BF6B7E">
              <w:rPr>
                <w:b/>
                <w:bCs/>
              </w:rPr>
              <w:t xml:space="preserve">tudy </w:t>
            </w:r>
            <w:r w:rsidRPr="00593BBB">
              <w:rPr>
                <w:b/>
                <w:bCs/>
              </w:rPr>
              <w:t>G</w:t>
            </w:r>
            <w:r w:rsidR="00BF6B7E">
              <w:rPr>
                <w:b/>
                <w:bCs/>
              </w:rPr>
              <w:t xml:space="preserve">roup </w:t>
            </w:r>
            <w:r w:rsidRPr="00593BB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 xml:space="preserve">Regional Group for </w:t>
            </w:r>
            <w:bookmarkStart w:id="1" w:name="_Hlk51918930"/>
            <w:r>
              <w:rPr>
                <w:b/>
                <w:bCs/>
              </w:rPr>
              <w:t xml:space="preserve">Latin America </w:t>
            </w:r>
            <w:r w:rsidRPr="00593BBB">
              <w:rPr>
                <w:b/>
                <w:bCs/>
              </w:rPr>
              <w:t>(SG5RG-</w:t>
            </w:r>
            <w:r>
              <w:rPr>
                <w:b/>
                <w:bCs/>
              </w:rPr>
              <w:t>LATAM</w:t>
            </w:r>
            <w:r w:rsidRPr="00593BBB">
              <w:rPr>
                <w:b/>
                <w:bCs/>
              </w:rPr>
              <w:t>)</w:t>
            </w:r>
            <w:bookmarkEnd w:id="1"/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  <w:t>on</w:t>
            </w:r>
            <w:r w:rsidRPr="199275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 November 2020</w:t>
            </w:r>
          </w:p>
        </w:tc>
      </w:tr>
    </w:tbl>
    <w:p w14:paraId="49080FBD" w14:textId="77777777" w:rsidR="000B46FB" w:rsidRPr="00B70109" w:rsidRDefault="000B46FB" w:rsidP="00CE218B">
      <w:pPr>
        <w:spacing w:before="240"/>
      </w:pPr>
      <w:bookmarkStart w:id="2" w:name="StartTyping_E"/>
      <w:bookmarkEnd w:id="2"/>
      <w:r w:rsidRPr="00B70109">
        <w:t>Dear Sir/Madam,</w:t>
      </w:r>
    </w:p>
    <w:p w14:paraId="6D7BCC5E" w14:textId="2A6E3BB9" w:rsidR="00860652" w:rsidRDefault="00BF6B7E" w:rsidP="00BF6B7E">
      <w:pPr>
        <w:jc w:val="both"/>
      </w:pPr>
      <w:r w:rsidRPr="00BF6B7E">
        <w:t xml:space="preserve">It is my pleasure to invite you to attend the </w:t>
      </w:r>
      <w:r w:rsidR="00860652">
        <w:t>third</w:t>
      </w:r>
      <w:r w:rsidRPr="00BF6B7E">
        <w:t xml:space="preserve"> meeting of ITU-T Study Group 5 Regional Group for Latin America (SG5RG-LATAM), which is planned to be run fully virtual </w:t>
      </w:r>
      <w:r w:rsidR="00860652">
        <w:t xml:space="preserve">on 10 November 2020 from </w:t>
      </w:r>
      <w:r w:rsidR="005E769E" w:rsidRPr="00884BE0">
        <w:t>2</w:t>
      </w:r>
      <w:r w:rsidR="00A333AF" w:rsidRPr="00884BE0">
        <w:t>0</w:t>
      </w:r>
      <w:r w:rsidR="005E769E" w:rsidRPr="00884BE0">
        <w:t>:00</w:t>
      </w:r>
      <w:r w:rsidR="00860652" w:rsidRPr="00884BE0">
        <w:t xml:space="preserve"> to </w:t>
      </w:r>
      <w:r w:rsidR="005E769E" w:rsidRPr="00884BE0">
        <w:t>23:00</w:t>
      </w:r>
      <w:r w:rsidR="00860652" w:rsidRPr="00884BE0">
        <w:t xml:space="preserve"> hours</w:t>
      </w:r>
      <w:r w:rsidR="00860652">
        <w:t xml:space="preserve"> (Geneva</w:t>
      </w:r>
      <w:r w:rsidR="00277129">
        <w:t> </w:t>
      </w:r>
      <w:r w:rsidR="00860652">
        <w:t xml:space="preserve">time). The meeting </w:t>
      </w:r>
      <w:r w:rsidR="006E42DB">
        <w:t xml:space="preserve">will </w:t>
      </w:r>
      <w:r w:rsidR="00860652">
        <w:t xml:space="preserve">be </w:t>
      </w:r>
      <w:r w:rsidR="00A333AF">
        <w:t>preceded</w:t>
      </w:r>
      <w:r w:rsidR="005E769E">
        <w:t xml:space="preserve"> </w:t>
      </w:r>
      <w:r w:rsidR="00860652">
        <w:t xml:space="preserve">by the </w:t>
      </w:r>
      <w:hyperlink r:id="rId14" w:history="1">
        <w:r w:rsidR="00860652" w:rsidRPr="00860652">
          <w:rPr>
            <w:rStyle w:val="Hyperlink"/>
          </w:rPr>
          <w:t>10</w:t>
        </w:r>
        <w:r w:rsidR="00860652" w:rsidRPr="00860652">
          <w:rPr>
            <w:rStyle w:val="Hyperlink"/>
            <w:vertAlign w:val="superscript"/>
          </w:rPr>
          <w:t>th</w:t>
        </w:r>
        <w:r w:rsidR="00860652" w:rsidRPr="00860652">
          <w:rPr>
            <w:rStyle w:val="Hyperlink"/>
          </w:rPr>
          <w:t xml:space="preserve"> International </w:t>
        </w:r>
        <w:r w:rsidR="006E42DB">
          <w:rPr>
            <w:rStyle w:val="Hyperlink"/>
          </w:rPr>
          <w:t>S</w:t>
        </w:r>
        <w:r w:rsidR="00860652" w:rsidRPr="00860652">
          <w:rPr>
            <w:rStyle w:val="Hyperlink"/>
          </w:rPr>
          <w:t xml:space="preserve">pectrum </w:t>
        </w:r>
        <w:r w:rsidR="006E42DB">
          <w:rPr>
            <w:rStyle w:val="Hyperlink"/>
          </w:rPr>
          <w:t>C</w:t>
        </w:r>
        <w:r w:rsidR="00860652" w:rsidRPr="00860652">
          <w:rPr>
            <w:rStyle w:val="Hyperlink"/>
          </w:rPr>
          <w:t>ongress</w:t>
        </w:r>
      </w:hyperlink>
      <w:r w:rsidR="00860652">
        <w:t xml:space="preserve"> which will be held on </w:t>
      </w:r>
      <w:r w:rsidR="00860652" w:rsidRPr="00277129">
        <w:t>9</w:t>
      </w:r>
      <w:r w:rsidR="00277129">
        <w:t> </w:t>
      </w:r>
      <w:r w:rsidR="00860652" w:rsidRPr="00277129">
        <w:t>November</w:t>
      </w:r>
      <w:r w:rsidR="00860652">
        <w:t xml:space="preserve"> 202</w:t>
      </w:r>
      <w:r w:rsidR="00860652" w:rsidRPr="006E42DB">
        <w:t>0</w:t>
      </w:r>
      <w:r w:rsidR="006E42DB" w:rsidRPr="006E42DB">
        <w:t xml:space="preserve">, </w:t>
      </w:r>
      <w:r w:rsidR="00860652" w:rsidRPr="00871B94">
        <w:t xml:space="preserve">organized by </w:t>
      </w:r>
      <w:r w:rsidR="006E42DB" w:rsidRPr="00871B94">
        <w:t>the National Spectrum Agency (</w:t>
      </w:r>
      <w:r w:rsidR="00860652" w:rsidRPr="00871B94">
        <w:t>ANE</w:t>
      </w:r>
      <w:r w:rsidR="006E42DB" w:rsidRPr="00871B94">
        <w:t>),</w:t>
      </w:r>
      <w:r w:rsidR="00860652" w:rsidRPr="00871B94">
        <w:t xml:space="preserve"> Colombia</w:t>
      </w:r>
      <w:r w:rsidR="006E42DB" w:rsidRPr="00871B94">
        <w:t>.</w:t>
      </w:r>
    </w:p>
    <w:p w14:paraId="25D9803D" w14:textId="726243DE" w:rsidR="00860652" w:rsidRDefault="00860652" w:rsidP="00860652">
      <w:pPr>
        <w:jc w:val="both"/>
      </w:pPr>
      <w:r>
        <w:t xml:space="preserve">The meeting will open at </w:t>
      </w:r>
      <w:r w:rsidR="005E769E">
        <w:t>2</w:t>
      </w:r>
      <w:r w:rsidR="001C4956">
        <w:t>0</w:t>
      </w:r>
      <w:r w:rsidR="005E769E">
        <w:t xml:space="preserve">:00 </w:t>
      </w:r>
      <w:r>
        <w:t xml:space="preserve">hours, Geneva time, using </w:t>
      </w:r>
      <w:hyperlink r:id="rId15">
        <w:proofErr w:type="spellStart"/>
        <w:r w:rsidRPr="19927505">
          <w:rPr>
            <w:rStyle w:val="Hyperlink"/>
          </w:rPr>
          <w:t>MyMeetings</w:t>
        </w:r>
        <w:proofErr w:type="spellEnd"/>
        <w:r w:rsidRPr="19927505">
          <w:rPr>
            <w:rStyle w:val="Hyperlink"/>
          </w:rPr>
          <w:t xml:space="preserve"> remote participation tool</w:t>
        </w:r>
      </w:hyperlink>
      <w:r>
        <w:t>.</w:t>
      </w:r>
      <w:r w:rsidRPr="00937146">
        <w:rPr>
          <w:lang w:val="en-US"/>
        </w:rPr>
        <w:t xml:space="preserve"> </w:t>
      </w:r>
      <w:r w:rsidRPr="439886B5">
        <w:rPr>
          <w:lang w:val="en-US"/>
        </w:rPr>
        <w:t>Delegates must register for the meeting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access the platform.</w:t>
      </w:r>
    </w:p>
    <w:p w14:paraId="3DBAC20B" w14:textId="24AA40F4" w:rsidR="00BF6B7E" w:rsidRDefault="00860652" w:rsidP="00FF6ECE">
      <w:pPr>
        <w:jc w:val="both"/>
      </w:pPr>
      <w:r w:rsidRPr="00860652">
        <w:t xml:space="preserve">Please note that no fellowships will be awarded, and the entire meeting will run in </w:t>
      </w:r>
      <w:r w:rsidR="006E42DB">
        <w:t>Spanish</w:t>
      </w:r>
      <w:r w:rsidR="006E42DB" w:rsidRPr="00860652">
        <w:t xml:space="preserve"> </w:t>
      </w:r>
      <w:r w:rsidRPr="00860652">
        <w:t>only with no interpretation.</w:t>
      </w:r>
    </w:p>
    <w:p w14:paraId="3DA2B03C" w14:textId="1D0B1CDE" w:rsidR="005E5AF7" w:rsidRDefault="005E5AF7" w:rsidP="005E5AF7">
      <w:pPr>
        <w:jc w:val="both"/>
      </w:pPr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 and Associates of the </w:t>
      </w:r>
      <w:r>
        <w:t xml:space="preserve">ITU-T Study Group 5 </w:t>
      </w:r>
      <w:r w:rsidRPr="005521F4">
        <w:t xml:space="preserve">in the region, in conformity with </w:t>
      </w:r>
      <w:r>
        <w:t xml:space="preserve">clause </w:t>
      </w:r>
      <w:r w:rsidRPr="005521F4">
        <w:t xml:space="preserve">2.3.3 of </w:t>
      </w:r>
      <w:r>
        <w:t>WTSA 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Pr="005521F4">
        <w:t>.</w:t>
      </w:r>
    </w:p>
    <w:p w14:paraId="41868090" w14:textId="77777777" w:rsidR="00A129C1" w:rsidRPr="00B70109" w:rsidRDefault="00A129C1" w:rsidP="00A129C1">
      <w:r w:rsidRPr="00B70109">
        <w:rPr>
          <w:b/>
          <w:bCs/>
        </w:rPr>
        <w:t>Key deadlines</w:t>
      </w:r>
      <w:r w:rsidRPr="00B7010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8404"/>
      </w:tblGrid>
      <w:tr w:rsidR="00BC398D" w:rsidRPr="00B70109" w14:paraId="77AB3F3A" w14:textId="77777777" w:rsidTr="00850D7F">
        <w:tc>
          <w:tcPr>
            <w:tcW w:w="1696" w:type="dxa"/>
            <w:shd w:val="clear" w:color="auto" w:fill="auto"/>
            <w:vAlign w:val="center"/>
          </w:tcPr>
          <w:p w14:paraId="22CE0542" w14:textId="75CE023C" w:rsidR="00BC398D" w:rsidRPr="00850D7F" w:rsidRDefault="00850D7F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850D7F">
              <w:rPr>
                <w:rFonts w:asciiTheme="minorHAnsi" w:hAnsiTheme="minorHAnsi"/>
                <w:szCs w:val="22"/>
              </w:rPr>
              <w:t>10 October 2020</w:t>
            </w:r>
          </w:p>
        </w:tc>
        <w:tc>
          <w:tcPr>
            <w:tcW w:w="7952" w:type="dxa"/>
            <w:shd w:val="clear" w:color="auto" w:fill="auto"/>
          </w:tcPr>
          <w:p w14:paraId="54AC7903" w14:textId="2AAAF036" w:rsidR="00BC398D" w:rsidRPr="00850D7F" w:rsidRDefault="00B027CC" w:rsidP="003D002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850D7F">
              <w:rPr>
                <w:rFonts w:asciiTheme="minorHAnsi" w:hAnsiTheme="minorHAnsi"/>
              </w:rPr>
              <w:t>-</w:t>
            </w:r>
            <w:r w:rsidRPr="00850D7F">
              <w:rPr>
                <w:rFonts w:asciiTheme="minorHAnsi" w:hAnsiTheme="minorHAnsi"/>
                <w:szCs w:val="22"/>
              </w:rPr>
              <w:tab/>
            </w:r>
            <w:r w:rsidR="00FF6ECE" w:rsidRPr="003A258F">
              <w:rPr>
                <w:rFonts w:asciiTheme="minorHAnsi" w:hAnsiTheme="minorHAnsi"/>
              </w:rPr>
              <w:t xml:space="preserve">Pre-registration </w:t>
            </w:r>
            <w:r w:rsidR="00010B0B" w:rsidRPr="00850D7F">
              <w:rPr>
                <w:rFonts w:asciiTheme="minorHAnsi" w:hAnsiTheme="minorHAnsi"/>
              </w:rPr>
              <w:t>(via the</w:t>
            </w:r>
            <w:r w:rsidR="00206F31" w:rsidRPr="00850D7F">
              <w:rPr>
                <w:rFonts w:asciiTheme="minorHAnsi" w:hAnsiTheme="minorHAnsi"/>
              </w:rPr>
              <w:t xml:space="preserve"> online registration form on </w:t>
            </w:r>
            <w:hyperlink r:id="rId16" w:history="1">
              <w:r w:rsidR="00FF6ECE" w:rsidRPr="00FF6ECE">
                <w:rPr>
                  <w:rStyle w:val="Hyperlink"/>
                  <w:rFonts w:asciiTheme="minorHAnsi" w:hAnsiTheme="minorHAnsi"/>
                </w:rPr>
                <w:t xml:space="preserve">SG5RG-LATAM </w:t>
              </w:r>
              <w:r w:rsidR="00FF6ECE">
                <w:rPr>
                  <w:rStyle w:val="Hyperlink"/>
                  <w:rFonts w:asciiTheme="minorHAnsi" w:hAnsiTheme="minorHAnsi"/>
                </w:rPr>
                <w:t>home</w:t>
              </w:r>
              <w:r w:rsidR="00FF6ECE" w:rsidRPr="00FF6ECE">
                <w:rPr>
                  <w:rStyle w:val="Hyperlink"/>
                  <w:rFonts w:asciiTheme="minorHAnsi" w:hAnsiTheme="minorHAnsi"/>
                </w:rPr>
                <w:t>page</w:t>
              </w:r>
            </w:hyperlink>
            <w:r w:rsidR="00FF6ECE" w:rsidRPr="00B70109">
              <w:rPr>
                <w:rFonts w:asciiTheme="minorHAnsi" w:hAnsiTheme="minorHAnsi"/>
              </w:rPr>
              <w:t>)</w:t>
            </w:r>
          </w:p>
        </w:tc>
      </w:tr>
      <w:tr w:rsidR="00BC398D" w:rsidRPr="00FF6ECE" w14:paraId="007BEDC5" w14:textId="77777777" w:rsidTr="00850D7F">
        <w:tc>
          <w:tcPr>
            <w:tcW w:w="1696" w:type="dxa"/>
            <w:shd w:val="clear" w:color="auto" w:fill="auto"/>
            <w:vAlign w:val="center"/>
          </w:tcPr>
          <w:p w14:paraId="7FA59DC9" w14:textId="4DA2FAF7" w:rsidR="00BC398D" w:rsidRPr="00850D7F" w:rsidRDefault="00850D7F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850D7F">
              <w:rPr>
                <w:rFonts w:asciiTheme="minorHAnsi" w:hAnsiTheme="minorHAnsi"/>
                <w:szCs w:val="22"/>
              </w:rPr>
              <w:t>28 October 2020</w:t>
            </w:r>
          </w:p>
        </w:tc>
        <w:tc>
          <w:tcPr>
            <w:tcW w:w="7952" w:type="dxa"/>
            <w:shd w:val="clear" w:color="auto" w:fill="auto"/>
          </w:tcPr>
          <w:p w14:paraId="0FA322D5" w14:textId="56C7AB97" w:rsidR="00BC398D" w:rsidRPr="00FF6ECE" w:rsidRDefault="00FF6ECE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  <w:r>
              <w:rPr>
                <w:rFonts w:asciiTheme="minorHAnsi" w:hAnsiTheme="minorHAnsi"/>
                <w:szCs w:val="22"/>
              </w:rPr>
              <w:tab/>
            </w:r>
            <w:r w:rsidRPr="008A3E12">
              <w:rPr>
                <w:rFonts w:asciiTheme="minorHAnsi" w:hAnsiTheme="minorHAnsi"/>
                <w:szCs w:val="22"/>
              </w:rPr>
              <w:t xml:space="preserve">Submit ITU-T Member Contributions (by e-mail to </w:t>
            </w:r>
            <w:hyperlink r:id="rId17" w:history="1">
              <w:r w:rsidRPr="008A3E12">
                <w:rPr>
                  <w:rStyle w:val="Hyperlink"/>
                  <w:rFonts w:asciiTheme="minorHAnsi" w:hAnsiTheme="minorHAnsi"/>
                  <w:szCs w:val="22"/>
                </w:rPr>
                <w:t>tsbsg5@itu.int</w:t>
              </w:r>
            </w:hyperlink>
            <w:r w:rsidRPr="008A3E12">
              <w:rPr>
                <w:rFonts w:asciiTheme="minorHAnsi" w:hAnsiTheme="minorHAnsi"/>
                <w:szCs w:val="22"/>
              </w:rPr>
              <w:t xml:space="preserve">)  </w:t>
            </w:r>
          </w:p>
        </w:tc>
      </w:tr>
    </w:tbl>
    <w:p w14:paraId="2D5D4E5F" w14:textId="1B8D581E" w:rsidR="001C0948" w:rsidRPr="00B70109" w:rsidRDefault="00A129C1" w:rsidP="00F063CE">
      <w:pPr>
        <w:jc w:val="both"/>
      </w:pPr>
      <w:r w:rsidRPr="00FF6ECE">
        <w:t xml:space="preserve">Practical meeting </w:t>
      </w:r>
      <w:r w:rsidR="00025A7B" w:rsidRPr="00FF6ECE">
        <w:t xml:space="preserve">information </w:t>
      </w:r>
      <w:r w:rsidRPr="00FF6ECE">
        <w:t xml:space="preserve">is set out in </w:t>
      </w:r>
      <w:r w:rsidRPr="00FF6ECE">
        <w:rPr>
          <w:b/>
          <w:bCs/>
        </w:rPr>
        <w:t>Annex A</w:t>
      </w:r>
      <w:r w:rsidR="001C0948" w:rsidRPr="00FF6ECE">
        <w:t>.</w:t>
      </w:r>
      <w:r w:rsidR="007A3B5D" w:rsidRPr="00FF6ECE">
        <w:t xml:space="preserve"> </w:t>
      </w:r>
      <w:r w:rsidR="00025A7B" w:rsidRPr="00FF6ECE">
        <w:t xml:space="preserve">A </w:t>
      </w:r>
      <w:r w:rsidR="001C0948" w:rsidRPr="00FF6ECE">
        <w:t>draft</w:t>
      </w:r>
      <w:r w:rsidR="00025A7B" w:rsidRPr="00FF6ECE">
        <w:t xml:space="preserve"> meeting</w:t>
      </w:r>
      <w:r w:rsidR="001C0948" w:rsidRPr="00FF6ECE">
        <w:t xml:space="preserve"> </w:t>
      </w:r>
      <w:r w:rsidR="00F07162" w:rsidRPr="00FF6ECE">
        <w:rPr>
          <w:b/>
          <w:bCs/>
        </w:rPr>
        <w:t>agenda</w:t>
      </w:r>
      <w:r w:rsidR="00FF6ECE" w:rsidRPr="00FF6ECE">
        <w:rPr>
          <w:b/>
          <w:bCs/>
        </w:rPr>
        <w:t xml:space="preserve"> </w:t>
      </w:r>
      <w:r w:rsidR="005E5AF7" w:rsidRPr="00FF6ECE">
        <w:t xml:space="preserve">prepared by </w:t>
      </w:r>
      <w:r w:rsidR="00850D7F" w:rsidRPr="00FF6ECE">
        <w:t>Mr Miguel Felipe ANZOLA ESPINOSA</w:t>
      </w:r>
      <w:r w:rsidR="00FF6ECE" w:rsidRPr="00FF6ECE">
        <w:t xml:space="preserve"> (Chairman of SG5RG-LATAM, ANE, </w:t>
      </w:r>
      <w:r w:rsidR="00FF6ECE" w:rsidRPr="00FF6ECE">
        <w:rPr>
          <w:rFonts w:ascii="Verdana" w:hAnsi="Verdana"/>
          <w:color w:val="000000"/>
          <w:sz w:val="18"/>
          <w:szCs w:val="18"/>
          <w:shd w:val="clear" w:color="auto" w:fill="FFFFFF"/>
        </w:rPr>
        <w:t>Colombia</w:t>
      </w:r>
      <w:r w:rsidR="00FF6ECE" w:rsidRPr="00FF6ECE">
        <w:t>)</w:t>
      </w:r>
      <w:r w:rsidR="001C0948" w:rsidRPr="00FF6ECE">
        <w:t xml:space="preserve">, </w:t>
      </w:r>
      <w:r w:rsidR="00F063CE">
        <w:t>is</w:t>
      </w:r>
      <w:r w:rsidRPr="00FF6ECE">
        <w:t xml:space="preserve"> </w:t>
      </w:r>
      <w:r w:rsidR="001C0948" w:rsidRPr="00FF6ECE">
        <w:t xml:space="preserve">set out in </w:t>
      </w:r>
      <w:r w:rsidR="001C0948" w:rsidRPr="00FF6ECE">
        <w:rPr>
          <w:b/>
          <w:bCs/>
        </w:rPr>
        <w:t xml:space="preserve">Annex </w:t>
      </w:r>
      <w:r w:rsidRPr="00FF6ECE">
        <w:rPr>
          <w:b/>
          <w:bCs/>
        </w:rPr>
        <w:t>B</w:t>
      </w:r>
      <w:r w:rsidR="001C0948" w:rsidRPr="00FF6ECE">
        <w:t>.</w:t>
      </w:r>
    </w:p>
    <w:p w14:paraId="6F946801" w14:textId="77777777"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5524027C" w14:textId="77777777" w:rsidTr="00FF6ECE">
        <w:trPr>
          <w:cantSplit/>
          <w:trHeight w:val="2073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94D7AD9" w14:textId="6773C075" w:rsidR="00BC5760" w:rsidRPr="00B70109" w:rsidRDefault="0057770B" w:rsidP="00277129">
            <w:pPr>
              <w:keepNext/>
              <w:keepLines/>
              <w:spacing w:before="480"/>
              <w:ind w:left="-110"/>
            </w:pPr>
            <w:r w:rsidRPr="00B70109">
              <w:t>Yours faithfully,</w:t>
            </w:r>
          </w:p>
          <w:p w14:paraId="7C6E7EFE" w14:textId="5EAB4003" w:rsidR="0057770B" w:rsidRPr="00B70109" w:rsidRDefault="005274FD" w:rsidP="00277129">
            <w:pPr>
              <w:keepNext/>
              <w:keepLines/>
              <w:spacing w:before="96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79AEB6" wp14:editId="61059D78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130175</wp:posOffset>
                  </wp:positionV>
                  <wp:extent cx="729084" cy="3079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84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0ABDE6" w14:textId="3A54DC03" w:rsidR="0057770B" w:rsidRPr="00B70109" w:rsidRDefault="00FF6ECE" w:rsidP="00491EEB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79A4A9FC" wp14:editId="3D1A2BE6">
                  <wp:extent cx="1188369" cy="1193470"/>
                  <wp:effectExtent l="0" t="0" r="0" b="6985"/>
                  <wp:docPr id="1" name="Picture 1" descr="cid:image002.png@01D30189.7AF1C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30189.7AF1C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78" cy="120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B70109">
              <w:rPr>
                <w:rFonts w:ascii="Calibri" w:eastAsia="SimSun" w:hAnsi="Calibri" w:cs="Arial"/>
                <w:sz w:val="16"/>
                <w:szCs w:val="16"/>
                <w:highlight w:val="yellow"/>
                <w:lang w:eastAsia="zh-CN"/>
              </w:rPr>
              <w:t xml:space="preserve"> </w:t>
            </w:r>
            <w:r w:rsidRPr="00E92F86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5RG-LATAM</w:t>
            </w:r>
          </w:p>
        </w:tc>
      </w:tr>
      <w:tr w:rsidR="0057770B" w:rsidRPr="00B70109" w14:paraId="1CF0DD79" w14:textId="77777777" w:rsidTr="00FF6ECE">
        <w:trPr>
          <w:cantSplit/>
          <w:trHeight w:val="427"/>
        </w:trPr>
        <w:tc>
          <w:tcPr>
            <w:tcW w:w="6663" w:type="dxa"/>
            <w:vMerge/>
          </w:tcPr>
          <w:p w14:paraId="61803865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35F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5F6D3A01" w14:textId="5BD9EA83" w:rsidR="00384E5D" w:rsidRPr="00B70109" w:rsidRDefault="0024485F" w:rsidP="00CE218B">
      <w:pPr>
        <w:spacing w:before="240"/>
      </w:pPr>
      <w:proofErr w:type="spellStart"/>
      <w:r w:rsidRPr="00FF6ECE">
        <w:rPr>
          <w:b/>
          <w:bCs/>
        </w:rPr>
        <w:t>Annexs</w:t>
      </w:r>
      <w:proofErr w:type="spellEnd"/>
      <w:r w:rsidRPr="00FF6ECE">
        <w:t xml:space="preserve">: </w:t>
      </w:r>
      <w:r w:rsidR="002A3D35" w:rsidRPr="00FF6ECE">
        <w:t>2</w:t>
      </w:r>
      <w:r w:rsidR="00384E5D" w:rsidRPr="00B70109">
        <w:br w:type="page"/>
      </w:r>
    </w:p>
    <w:p w14:paraId="7C572A67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7029CCB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7E91F6EA" w14:textId="1FE99768" w:rsidR="00FF6ECE" w:rsidRPr="00B70109" w:rsidRDefault="00FF6ECE" w:rsidP="00FF6ECE">
      <w:pPr>
        <w:spacing w:after="120"/>
        <w:jc w:val="both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 SUBMISSION AND ACCESS</w:t>
      </w:r>
      <w:r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szCs w:val="22"/>
          <w:lang w:eastAsia="zh-CN"/>
        </w:rPr>
        <w:t xml:space="preserve">Member contributions </w:t>
      </w:r>
      <w:r>
        <w:rPr>
          <w:rFonts w:eastAsia="SimSun"/>
          <w:szCs w:val="22"/>
          <w:lang w:eastAsia="zh-CN"/>
        </w:rPr>
        <w:t xml:space="preserve">and </w:t>
      </w:r>
      <w:r w:rsidRPr="00B70109">
        <w:rPr>
          <w:rFonts w:eastAsia="SimSun"/>
          <w:szCs w:val="22"/>
          <w:lang w:eastAsia="zh-CN"/>
        </w:rPr>
        <w:t>draft TDs should be submitted by e</w:t>
      </w:r>
      <w:r>
        <w:rPr>
          <w:rFonts w:eastAsia="SimSun"/>
          <w:szCs w:val="22"/>
          <w:lang w:eastAsia="zh-CN"/>
        </w:rPr>
        <w:t>-</w:t>
      </w:r>
      <w:r w:rsidRPr="00B70109">
        <w:rPr>
          <w:rFonts w:eastAsia="SimSun"/>
          <w:szCs w:val="22"/>
          <w:lang w:eastAsia="zh-CN"/>
        </w:rPr>
        <w:t>mail</w:t>
      </w:r>
      <w:r>
        <w:rPr>
          <w:rFonts w:eastAsia="SimSun"/>
          <w:szCs w:val="22"/>
          <w:lang w:eastAsia="zh-CN"/>
        </w:rPr>
        <w:t xml:space="preserve"> (</w:t>
      </w:r>
      <w:hyperlink r:id="rId21" w:history="1">
        <w:r w:rsidRPr="009A1E65">
          <w:rPr>
            <w:rStyle w:val="Hyperlink"/>
            <w:rFonts w:eastAsia="SimSun"/>
            <w:szCs w:val="22"/>
            <w:lang w:eastAsia="zh-CN"/>
          </w:rPr>
          <w:t>tsbsg5@itu.int</w:t>
        </w:r>
      </w:hyperlink>
      <w:r>
        <w:rPr>
          <w:rFonts w:eastAsia="SimSun"/>
          <w:szCs w:val="22"/>
          <w:lang w:eastAsia="zh-CN"/>
        </w:rPr>
        <w:t xml:space="preserve">) </w:t>
      </w:r>
      <w:r w:rsidRPr="00B70109">
        <w:rPr>
          <w:rFonts w:eastAsia="SimSun"/>
          <w:szCs w:val="22"/>
          <w:lang w:eastAsia="zh-CN"/>
        </w:rPr>
        <w:t xml:space="preserve">to the study group secretariat using the </w:t>
      </w:r>
      <w:hyperlink r:id="rId22" w:history="1">
        <w:r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Pr="00B70109">
        <w:rPr>
          <w:rFonts w:eastAsia="SimSun"/>
          <w:szCs w:val="22"/>
          <w:lang w:eastAsia="zh-CN"/>
        </w:rPr>
        <w:t>. Access to meeting documents is provided from the study group homepage, and is restricted to ITU-T Members</w:t>
      </w:r>
      <w:r>
        <w:rPr>
          <w:rFonts w:eastAsia="SimSun"/>
          <w:szCs w:val="22"/>
          <w:lang w:eastAsia="zh-CN"/>
        </w:rPr>
        <w:t xml:space="preserve"> who have an </w:t>
      </w:r>
      <w:hyperlink r:id="rId23" w:history="1">
        <w:r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>
        <w:rPr>
          <w:rFonts w:eastAsia="SimSun"/>
          <w:szCs w:val="22"/>
          <w:lang w:eastAsia="zh-CN"/>
        </w:rPr>
        <w:t xml:space="preserve"> with TIES access.</w:t>
      </w:r>
    </w:p>
    <w:p w14:paraId="644147FA" w14:textId="6E3E330B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45785" w:rsidRPr="0054154B">
        <w:rPr>
          <w:rFonts w:cstheme="majorBidi"/>
          <w:szCs w:val="22"/>
        </w:rPr>
        <w:t>In agreement with the Chairman of the Group, the working language of the meeting will be Spanish only.</w:t>
      </w:r>
    </w:p>
    <w:p w14:paraId="37733D3A" w14:textId="4F62BC84" w:rsidR="003D002E" w:rsidRDefault="003D002E" w:rsidP="003D002E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4">
        <w:r w:rsidR="49027495" w:rsidRPr="439886B5">
          <w:rPr>
            <w:rStyle w:val="Hyperlink"/>
            <w:lang w:val="en-US"/>
          </w:rPr>
          <w:t>MyMeetings</w:t>
        </w:r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>all sessions, including decisions-making sessions</w:t>
      </w:r>
      <w:r w:rsidR="00345785">
        <w:rPr>
          <w:lang w:val="en-US"/>
        </w:rPr>
        <w:t>.</w:t>
      </w:r>
      <w:r w:rsidRPr="439886B5">
        <w:rPr>
          <w:lang w:val="en-US"/>
        </w:rPr>
        <w:t xml:space="preserve">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 xml:space="preserve">not be delayed or interrupted because of a remote participant’s inability to connect, </w:t>
      </w:r>
      <w:proofErr w:type="gramStart"/>
      <w:r w:rsidRPr="439886B5">
        <w:rPr>
          <w:lang w:val="en-US"/>
        </w:rPr>
        <w:t>listen</w:t>
      </w:r>
      <w:proofErr w:type="gramEnd"/>
      <w:r w:rsidRPr="439886B5">
        <w:rPr>
          <w:lang w:val="en-US"/>
        </w:rPr>
        <w:t xml:space="preserve">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45F15895" w14:textId="1C69EB3A" w:rsidR="00384E5D" w:rsidRPr="00367D69" w:rsidRDefault="00367D69" w:rsidP="00367D69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367D69">
        <w:rPr>
          <w:b/>
          <w:bCs/>
          <w:szCs w:val="24"/>
        </w:rPr>
        <w:t>PRE-REGISTRATION, FELLOWSHIPS AND VISA SUPPORT</w:t>
      </w:r>
    </w:p>
    <w:p w14:paraId="56E028BD" w14:textId="1103CAEB" w:rsidR="00C87E56" w:rsidRDefault="00367D69" w:rsidP="00D442B4">
      <w:r>
        <w:rPr>
          <w:b/>
          <w:bCs/>
          <w:szCs w:val="22"/>
        </w:rPr>
        <w:t>PRE-REGISTRATION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>
        <w:rPr>
          <w:bCs/>
          <w:szCs w:val="22"/>
        </w:rPr>
        <w:t xml:space="preserve">Pre-registration is mandatory </w:t>
      </w:r>
      <w:r w:rsidR="00B027CC" w:rsidRPr="00B70109">
        <w:t xml:space="preserve">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5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6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3D002E">
        <w:t xml:space="preserve">.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7087C7FA" w14:textId="136A9AB9" w:rsidR="003D002E" w:rsidRDefault="003D002E" w:rsidP="003D002E">
      <w:pPr>
        <w:rPr>
          <w:b/>
          <w:bCs/>
        </w:rPr>
      </w:pPr>
      <w:r>
        <w:t>Registration is mandatory via the online registration form on the</w:t>
      </w:r>
      <w:r w:rsidR="0027530C">
        <w:t xml:space="preserve"> </w:t>
      </w:r>
      <w:hyperlink r:id="rId27" w:history="1">
        <w:r w:rsidR="00F063CE" w:rsidRPr="00FF6ECE">
          <w:rPr>
            <w:rStyle w:val="Hyperlink"/>
          </w:rPr>
          <w:t xml:space="preserve">SG5RG-LATAM </w:t>
        </w:r>
        <w:r w:rsidR="00F063CE">
          <w:rPr>
            <w:rStyle w:val="Hyperlink"/>
          </w:rPr>
          <w:t>home</w:t>
        </w:r>
        <w:r w:rsidR="00F063CE" w:rsidRPr="00FF6ECE">
          <w:rPr>
            <w:rStyle w:val="Hyperlink"/>
          </w:rPr>
          <w:t>page</w:t>
        </w:r>
      </w:hyperlink>
      <w:r>
        <w:t>. Without registration, delegates will not be able to access the</w:t>
      </w:r>
      <w:r w:rsidR="00A049A9">
        <w:t xml:space="preserve"> </w:t>
      </w:r>
      <w:hyperlink r:id="rId28" w:history="1">
        <w:r w:rsidR="00A049A9" w:rsidRPr="0027530C">
          <w:rPr>
            <w:rStyle w:val="Hyperlink"/>
          </w:rPr>
          <w:t xml:space="preserve">MyMeetings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50D8BDBE" w14:textId="4FCCB7FE" w:rsidR="00F063CE" w:rsidRPr="00A049A9" w:rsidRDefault="00F063CE" w:rsidP="00F063CE">
      <w:pPr>
        <w:jc w:val="both"/>
      </w:pPr>
      <w:r w:rsidRPr="00A049A9">
        <w:rPr>
          <w:b/>
          <w:bCs/>
        </w:rPr>
        <w:t>FELLOWSHIPS AND VISA SUPPORT</w:t>
      </w:r>
      <w:r>
        <w:t xml:space="preserve">: For virtual meetings, since there is no travel involved, no fellowships are provided, and visa support is not applicable. </w:t>
      </w:r>
    </w:p>
    <w:p w14:paraId="0BA7511A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2CDEF690" w14:textId="06A50E54" w:rsidR="00AE03A7" w:rsidRPr="00F42DE0" w:rsidRDefault="00D33EE4" w:rsidP="001C39A4">
      <w:pPr>
        <w:pStyle w:val="Annextitle"/>
        <w:rPr>
          <w:bCs/>
        </w:rPr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  <w:r w:rsidR="00F42DE0">
        <w:br/>
      </w:r>
      <w:r w:rsidR="00F063CE" w:rsidRPr="00F42DE0">
        <w:rPr>
          <w:bCs/>
        </w:rPr>
        <w:t>(SG5RG-LATAM, Virtual meeting, 10 November 2020)</w:t>
      </w: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663"/>
        <w:gridCol w:w="387"/>
        <w:gridCol w:w="7180"/>
        <w:gridCol w:w="1966"/>
      </w:tblGrid>
      <w:tr w:rsidR="00F063CE" w:rsidRPr="00AD6C8A" w14:paraId="2EC28548" w14:textId="77777777" w:rsidTr="00871B94">
        <w:trPr>
          <w:trHeight w:val="300"/>
          <w:tblHeader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F69C0DA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b/>
                <w:bCs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b/>
                <w:bCs/>
                <w:color w:val="000000"/>
                <w:szCs w:val="22"/>
                <w:lang w:val="en-US" w:eastAsia="zh-CN"/>
              </w:rPr>
              <w:t>No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27185CCA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b/>
                <w:bCs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b/>
                <w:bCs/>
                <w:color w:val="000000"/>
                <w:szCs w:val="22"/>
                <w:lang w:val="en-US" w:eastAsia="zh-CN"/>
              </w:rPr>
              <w:t xml:space="preserve">Draft Agenda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CAC72F1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b/>
                <w:bCs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b/>
                <w:bCs/>
                <w:color w:val="000000"/>
                <w:szCs w:val="22"/>
                <w:lang w:val="en-US" w:eastAsia="zh-CN"/>
              </w:rPr>
              <w:t>Documents</w:t>
            </w:r>
          </w:p>
        </w:tc>
      </w:tr>
      <w:tr w:rsidR="00F063CE" w:rsidRPr="00AD6C8A" w14:paraId="2E46673D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D33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B9C3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Opening of the meeting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79D" w14:textId="77777777" w:rsidR="00F063CE" w:rsidRPr="00AD6C8A" w:rsidRDefault="00F063CE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 </w:t>
            </w:r>
          </w:p>
        </w:tc>
      </w:tr>
      <w:tr w:rsidR="00F063CE" w:rsidRPr="00AD6C8A" w14:paraId="017C6B63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584A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2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F383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Adoption of the agenda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C042" w14:textId="77777777" w:rsidR="00F063CE" w:rsidRPr="00AD6C8A" w:rsidRDefault="00F063CE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F063CE" w:rsidRPr="00AD6C8A" w14:paraId="4B6064AA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6C6A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3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E1DE" w14:textId="19E6E9D3" w:rsidR="00F063CE" w:rsidRPr="00AD6C8A" w:rsidRDefault="00AD6C8A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R</w:t>
            </w:r>
            <w:r w:rsidR="00F063CE" w:rsidRPr="00AD6C8A">
              <w:rPr>
                <w:rFonts w:cstheme="minorHAnsi"/>
                <w:b w:val="0"/>
                <w:sz w:val="22"/>
                <w:szCs w:val="22"/>
              </w:rPr>
              <w:t>eport of the last</w:t>
            </w:r>
            <w:r w:rsidR="00345785" w:rsidRPr="00AD6C8A">
              <w:rPr>
                <w:rFonts w:cstheme="minorHAnsi"/>
                <w:b w:val="0"/>
                <w:sz w:val="22"/>
                <w:szCs w:val="22"/>
              </w:rPr>
              <w:t xml:space="preserve"> SG5RG-LATAM</w:t>
            </w:r>
            <w:r w:rsidR="00F063CE" w:rsidRPr="00AD6C8A">
              <w:rPr>
                <w:rFonts w:cstheme="minorHAnsi"/>
                <w:b w:val="0"/>
                <w:sz w:val="22"/>
                <w:szCs w:val="22"/>
              </w:rPr>
              <w:t xml:space="preserve"> meeting</w:t>
            </w:r>
            <w:r>
              <w:rPr>
                <w:rFonts w:cstheme="minorHAnsi"/>
                <w:b w:val="0"/>
                <w:sz w:val="22"/>
                <w:szCs w:val="22"/>
              </w:rPr>
              <w:t xml:space="preserve">, </w:t>
            </w:r>
            <w:r w:rsidR="00F063CE" w:rsidRPr="00AD6C8A">
              <w:rPr>
                <w:rFonts w:cstheme="minorHAnsi"/>
                <w:b w:val="0"/>
                <w:sz w:val="22"/>
                <w:szCs w:val="22"/>
              </w:rPr>
              <w:t>(Bogota, Colombia, 24 October 2018)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F24D" w14:textId="7EB79FF5" w:rsidR="00F063CE" w:rsidRPr="00AD6C8A" w:rsidRDefault="00F063CE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F063CE" w:rsidRPr="00AD6C8A" w14:paraId="70E31D0D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AECA" w14:textId="77777777" w:rsidR="00F063CE" w:rsidRPr="00AD6C8A" w:rsidDel="005C5D7F" w:rsidRDefault="00F063CE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4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5DD7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Allocation of documents (Contributions and TDs)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CE81" w14:textId="77777777" w:rsidR="00F063CE" w:rsidRPr="00AD6C8A" w:rsidRDefault="00F063CE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F063CE" w:rsidRPr="00AD6C8A" w14:paraId="49876677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7508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5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C90BF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Overview of ITU-T Study Group 5 (structure and working methods)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A4E2" w14:textId="77777777" w:rsidR="00F063CE" w:rsidRPr="00AD6C8A" w:rsidRDefault="00F063CE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345785" w:rsidRPr="00AD6C8A" w14:paraId="4B4A4DC6" w14:textId="77777777" w:rsidTr="00871B94">
        <w:trPr>
          <w:trHeight w:val="315"/>
          <w:jc w:val="center"/>
        </w:trPr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1547" w14:textId="55610A2A" w:rsidR="00345785" w:rsidRPr="00AD6C8A" w:rsidRDefault="00345785" w:rsidP="00871B94">
            <w:pPr>
              <w:spacing w:before="80"/>
              <w:jc w:val="right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5.1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2FF4F" w14:textId="0EF0B641" w:rsidR="00345785" w:rsidRPr="00AD6C8A" w:rsidRDefault="00345785" w:rsidP="00871B94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ITU-T SG5RG-LATAM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7496" w14:textId="77777777" w:rsidR="00345785" w:rsidRPr="00AD6C8A" w:rsidRDefault="00345785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345785" w:rsidRPr="00AD6C8A" w14:paraId="6752B8F4" w14:textId="77777777" w:rsidTr="00871B94">
        <w:trPr>
          <w:trHeight w:val="315"/>
          <w:jc w:val="center"/>
        </w:trPr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B4A3" w14:textId="3548D105" w:rsidR="00345785" w:rsidRPr="00AD6C8A" w:rsidRDefault="00345785" w:rsidP="00871B94">
            <w:pPr>
              <w:spacing w:before="80"/>
              <w:jc w:val="right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5.2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DCDFA" w14:textId="50E40047" w:rsidR="00345785" w:rsidRPr="00AD6C8A" w:rsidRDefault="00345785" w:rsidP="00871B94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ITU-T Working Methods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9BF5" w14:textId="77777777" w:rsidR="00345785" w:rsidRPr="00AD6C8A" w:rsidRDefault="00345785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F063CE" w:rsidRPr="00AD6C8A" w14:paraId="50611613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C070" w14:textId="77777777" w:rsidR="00F063CE" w:rsidRPr="00AD6C8A" w:rsidRDefault="00F063CE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6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8764" w14:textId="05730CF2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0" w:firstLine="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Overview of Outcomes of previous ITU-T SG5 meeting (</w:t>
            </w:r>
            <w:r w:rsidR="00345785" w:rsidRPr="00AD6C8A">
              <w:rPr>
                <w:rFonts w:cstheme="minorHAnsi"/>
                <w:b w:val="0"/>
                <w:sz w:val="22"/>
                <w:szCs w:val="22"/>
              </w:rPr>
              <w:t xml:space="preserve">virtual, </w:t>
            </w:r>
            <w:r w:rsidRPr="00AD6C8A">
              <w:rPr>
                <w:rFonts w:cstheme="minorHAnsi"/>
                <w:b w:val="0"/>
                <w:sz w:val="22"/>
                <w:szCs w:val="22"/>
              </w:rPr>
              <w:t>19-23 October</w:t>
            </w:r>
            <w:r w:rsidR="00AD6C8A">
              <w:rPr>
                <w:rFonts w:cstheme="minorHAnsi"/>
                <w:b w:val="0"/>
                <w:sz w:val="22"/>
                <w:szCs w:val="22"/>
              </w:rPr>
              <w:t xml:space="preserve"> </w:t>
            </w:r>
            <w:r w:rsidRPr="00AD6C8A">
              <w:rPr>
                <w:rFonts w:cstheme="minorHAnsi"/>
                <w:b w:val="0"/>
                <w:sz w:val="22"/>
                <w:szCs w:val="22"/>
              </w:rPr>
              <w:t>2020)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E716" w14:textId="77777777" w:rsidR="00F063CE" w:rsidRPr="00AD6C8A" w:rsidRDefault="00F063CE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345785" w:rsidRPr="00AD6C8A" w14:paraId="6B0F03EC" w14:textId="77777777" w:rsidTr="00345785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9DC7" w14:textId="3A167251" w:rsidR="00345785" w:rsidRPr="00AD6C8A" w:rsidRDefault="00345785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7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E9092" w14:textId="35360C9D" w:rsidR="00345785" w:rsidRPr="00AD6C8A" w:rsidRDefault="00345785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Outcomes of the TSAG meeting (September 2020) relevant to ITU-T SG5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EA23" w14:textId="77777777" w:rsidR="00345785" w:rsidRPr="00AD6C8A" w:rsidRDefault="00345785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345785" w:rsidRPr="00AD6C8A" w14:paraId="3A82932F" w14:textId="77777777" w:rsidTr="00345785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9E58" w14:textId="4920D38B" w:rsidR="00345785" w:rsidRPr="00AD6C8A" w:rsidRDefault="00345785" w:rsidP="00345785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8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90DB" w14:textId="092AC6FF" w:rsidR="00345785" w:rsidRPr="00AD6C8A" w:rsidRDefault="00345785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ind w:left="0" w:firstLine="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Overview of ITU-T Activities on Environment, Climate Change and Circular Economy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D0D6" w14:textId="77777777" w:rsidR="00345785" w:rsidRPr="00AD6C8A" w:rsidRDefault="00345785" w:rsidP="00345785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345785" w:rsidRPr="00AD6C8A" w14:paraId="508260F7" w14:textId="77777777" w:rsidTr="00345785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CC29" w14:textId="0B604A19" w:rsidR="00345785" w:rsidRPr="00AD6C8A" w:rsidRDefault="00345785" w:rsidP="00345785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9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17A9" w14:textId="4AD1FE0A" w:rsidR="00345785" w:rsidRPr="00AD6C8A" w:rsidRDefault="00345785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Promotion activities and bridging the standardization gap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9546" w14:textId="77777777" w:rsidR="00345785" w:rsidRPr="00AD6C8A" w:rsidRDefault="00345785" w:rsidP="00345785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F063CE" w:rsidRPr="00AD6C8A" w14:paraId="1DBFF3B4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C413" w14:textId="4AA4FD46" w:rsidR="00F063CE" w:rsidRPr="00AD6C8A" w:rsidRDefault="00345785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10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6D953" w14:textId="3695340E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  <w:lang w:val="en-US"/>
              </w:rPr>
            </w:pPr>
            <w:r w:rsidRPr="00AD6C8A">
              <w:rPr>
                <w:rFonts w:cstheme="minorHAnsi"/>
                <w:b w:val="0"/>
                <w:sz w:val="22"/>
                <w:szCs w:val="22"/>
                <w:lang w:val="en-US"/>
              </w:rPr>
              <w:t xml:space="preserve">Discussion on </w:t>
            </w:r>
            <w:r w:rsidR="00345785" w:rsidRPr="00AD6C8A">
              <w:rPr>
                <w:rFonts w:cstheme="minorHAnsi"/>
                <w:b w:val="0"/>
                <w:sz w:val="22"/>
                <w:szCs w:val="22"/>
                <w:lang w:val="en-US"/>
              </w:rPr>
              <w:t>received Contributions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4FD8" w14:textId="77777777" w:rsidR="00F063CE" w:rsidRPr="00AD6C8A" w:rsidRDefault="00F063CE" w:rsidP="00D826AC">
            <w:pPr>
              <w:spacing w:before="80"/>
              <w:rPr>
                <w:rFonts w:cstheme="minorHAnsi"/>
                <w:color w:val="000000"/>
                <w:szCs w:val="22"/>
                <w:lang w:val="en-US" w:eastAsia="zh-CN"/>
              </w:rPr>
            </w:pPr>
          </w:p>
        </w:tc>
      </w:tr>
      <w:tr w:rsidR="00F063CE" w:rsidRPr="00AD6C8A" w14:paraId="65739F63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EE09" w14:textId="14FADDD2" w:rsidR="00F063CE" w:rsidRPr="00AD6C8A" w:rsidRDefault="00AD6C8A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11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6872A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Work Programme of SG5RG-LATAM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436E" w14:textId="77777777" w:rsidR="00F063CE" w:rsidRPr="00AD6C8A" w:rsidRDefault="00F063CE" w:rsidP="00D826AC">
            <w:pPr>
              <w:spacing w:before="80"/>
              <w:rPr>
                <w:rFonts w:cstheme="minorHAnsi"/>
                <w:szCs w:val="22"/>
              </w:rPr>
            </w:pPr>
          </w:p>
        </w:tc>
      </w:tr>
      <w:tr w:rsidR="00F063CE" w:rsidRPr="00AD6C8A" w14:paraId="32E7BB8A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B28A" w14:textId="771C87DE" w:rsidR="00F063CE" w:rsidRPr="00AD6C8A" w:rsidRDefault="00AD6C8A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12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41C9F" w14:textId="720626D6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Discussion on ITU-T SG5RG-LATAM priorities</w:t>
            </w:r>
            <w:r w:rsidR="00345785" w:rsidRPr="00AD6C8A">
              <w:rPr>
                <w:rFonts w:cstheme="minorHAnsi"/>
                <w:b w:val="0"/>
                <w:sz w:val="22"/>
                <w:szCs w:val="22"/>
              </w:rPr>
              <w:t xml:space="preserve"> and WTSA-2020 preparations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B3FD" w14:textId="77777777" w:rsidR="00F063CE" w:rsidRPr="00AD6C8A" w:rsidRDefault="00F063CE" w:rsidP="00D826AC">
            <w:pPr>
              <w:spacing w:before="80"/>
              <w:rPr>
                <w:rFonts w:cstheme="minorHAnsi"/>
                <w:szCs w:val="22"/>
              </w:rPr>
            </w:pPr>
          </w:p>
        </w:tc>
      </w:tr>
      <w:tr w:rsidR="00F063CE" w:rsidRPr="00AD6C8A" w14:paraId="689F0D49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73AC" w14:textId="1C9553E6" w:rsidR="00F063CE" w:rsidRPr="00AD6C8A" w:rsidRDefault="00AD6C8A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13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C85D3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Preparation of the Draft Report of the SG5RG LATAM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9856" w14:textId="77777777" w:rsidR="00F063CE" w:rsidRPr="00AD6C8A" w:rsidRDefault="00F063CE" w:rsidP="00D826AC">
            <w:pPr>
              <w:spacing w:before="80"/>
              <w:rPr>
                <w:rFonts w:cstheme="minorHAnsi"/>
                <w:szCs w:val="22"/>
              </w:rPr>
            </w:pPr>
          </w:p>
        </w:tc>
      </w:tr>
      <w:tr w:rsidR="00F063CE" w:rsidRPr="00AD6C8A" w14:paraId="7549C246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8588" w14:textId="1B876702" w:rsidR="00F063CE" w:rsidRPr="00AD6C8A" w:rsidRDefault="00AD6C8A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14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8E58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Venue and date of the next SG5RG-LATAM meeting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9AEF" w14:textId="77777777" w:rsidR="00F063CE" w:rsidRPr="00AD6C8A" w:rsidRDefault="00F063CE" w:rsidP="00D826AC">
            <w:pPr>
              <w:spacing w:before="80"/>
              <w:rPr>
                <w:rFonts w:cstheme="minorHAnsi"/>
                <w:szCs w:val="22"/>
              </w:rPr>
            </w:pPr>
          </w:p>
        </w:tc>
      </w:tr>
      <w:tr w:rsidR="00F063CE" w:rsidRPr="00AD6C8A" w14:paraId="4AAEA8D1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F696" w14:textId="4AD4F3CD" w:rsidR="00F063CE" w:rsidRPr="00AD6C8A" w:rsidRDefault="00AD6C8A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15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69569" w14:textId="6699EE24" w:rsidR="00F063CE" w:rsidRPr="00AD6C8A" w:rsidRDefault="00345785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Any o</w:t>
            </w:r>
            <w:r w:rsidR="00F063CE" w:rsidRPr="00AD6C8A">
              <w:rPr>
                <w:rFonts w:cstheme="minorHAnsi"/>
                <w:b w:val="0"/>
                <w:sz w:val="22"/>
                <w:szCs w:val="22"/>
              </w:rPr>
              <w:t>ther business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AA79" w14:textId="77777777" w:rsidR="00F063CE" w:rsidRPr="00AD6C8A" w:rsidRDefault="00F063CE" w:rsidP="00D826AC">
            <w:pPr>
              <w:spacing w:before="80"/>
              <w:rPr>
                <w:rFonts w:cstheme="minorHAnsi"/>
                <w:szCs w:val="22"/>
              </w:rPr>
            </w:pPr>
          </w:p>
        </w:tc>
      </w:tr>
      <w:tr w:rsidR="00F063CE" w:rsidRPr="00AD6C8A" w14:paraId="66EEC6ED" w14:textId="77777777" w:rsidTr="00871B94">
        <w:trPr>
          <w:trHeight w:val="31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30FF" w14:textId="6D373A4A" w:rsidR="00F063CE" w:rsidRPr="00AD6C8A" w:rsidRDefault="00AD6C8A" w:rsidP="00D826AC">
            <w:pPr>
              <w:spacing w:before="80"/>
              <w:jc w:val="center"/>
              <w:rPr>
                <w:rFonts w:cstheme="minorHAnsi"/>
                <w:color w:val="000000"/>
                <w:szCs w:val="22"/>
                <w:lang w:val="en-US" w:eastAsia="zh-CN"/>
              </w:rPr>
            </w:pPr>
            <w:r w:rsidRPr="00AD6C8A">
              <w:rPr>
                <w:rFonts w:cstheme="minorHAnsi"/>
                <w:color w:val="000000"/>
                <w:szCs w:val="22"/>
                <w:lang w:val="en-US" w:eastAsia="zh-CN"/>
              </w:rPr>
              <w:t>16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5CA8" w14:textId="77777777" w:rsidR="00F063CE" w:rsidRPr="00AD6C8A" w:rsidRDefault="00F063CE" w:rsidP="00AD6C8A">
            <w:pPr>
              <w:pStyle w:val="Heading2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cstheme="minorHAnsi"/>
                <w:b w:val="0"/>
                <w:sz w:val="22"/>
                <w:szCs w:val="22"/>
              </w:rPr>
            </w:pPr>
            <w:r w:rsidRPr="00AD6C8A">
              <w:rPr>
                <w:rFonts w:cstheme="minorHAnsi"/>
                <w:b w:val="0"/>
                <w:sz w:val="22"/>
                <w:szCs w:val="22"/>
              </w:rPr>
              <w:t>Closure of the meeting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97D0" w14:textId="77777777" w:rsidR="00F063CE" w:rsidRPr="00AD6C8A" w:rsidRDefault="00F063CE" w:rsidP="00D826AC">
            <w:pPr>
              <w:spacing w:before="80"/>
              <w:rPr>
                <w:rFonts w:cstheme="minorHAnsi"/>
                <w:szCs w:val="22"/>
              </w:rPr>
            </w:pPr>
          </w:p>
        </w:tc>
      </w:tr>
    </w:tbl>
    <w:p w14:paraId="7100A395" w14:textId="7A93754F" w:rsidR="00977A25" w:rsidRPr="00B70109" w:rsidRDefault="00F063CE" w:rsidP="008C7E47">
      <w:pPr>
        <w:pStyle w:val="Normalaftertitle0"/>
        <w:tabs>
          <w:tab w:val="clear" w:pos="794"/>
          <w:tab w:val="clear" w:pos="1191"/>
          <w:tab w:val="clear" w:pos="1588"/>
          <w:tab w:val="clear" w:pos="1985"/>
        </w:tabs>
      </w:pPr>
      <w:r>
        <w:t>NOTE ‒</w:t>
      </w:r>
      <w:r w:rsidRPr="00B70109">
        <w:t xml:space="preserve"> Updates to the agenda can be found </w:t>
      </w:r>
      <w:r w:rsidRPr="00E16AEC">
        <w:t>in [</w:t>
      </w:r>
      <w:hyperlink r:id="rId29" w:history="1">
        <w:r w:rsidRPr="00E16AEC">
          <w:rPr>
            <w:rStyle w:val="Hyperlink"/>
          </w:rPr>
          <w:t>TD</w:t>
        </w:r>
        <w:r w:rsidR="00E16AEC" w:rsidRPr="00E16AEC">
          <w:rPr>
            <w:rStyle w:val="Hyperlink"/>
          </w:rPr>
          <w:t>55</w:t>
        </w:r>
        <w:r w:rsidRPr="00E16AEC">
          <w:rPr>
            <w:rStyle w:val="Hyperlink"/>
          </w:rPr>
          <w:t>/</w:t>
        </w:r>
        <w:r w:rsidR="00E16AEC" w:rsidRPr="00E16AEC">
          <w:rPr>
            <w:rStyle w:val="Hyperlink"/>
          </w:rPr>
          <w:t>PLEN</w:t>
        </w:r>
      </w:hyperlink>
      <w:r w:rsidRPr="00E16AEC">
        <w:t>].</w:t>
      </w:r>
    </w:p>
    <w:p w14:paraId="00B6AAF7" w14:textId="77777777" w:rsidR="00977A25" w:rsidRPr="00B70109" w:rsidRDefault="00977A25" w:rsidP="00F063CE">
      <w:pPr>
        <w:spacing w:before="240" w:after="120"/>
        <w:jc w:val="center"/>
      </w:pPr>
      <w:r w:rsidRPr="00B70109">
        <w:t>_____________________</w:t>
      </w:r>
    </w:p>
    <w:sectPr w:rsidR="00977A25" w:rsidRPr="00B70109" w:rsidSect="00D442B4">
      <w:headerReference w:type="default" r:id="rId30"/>
      <w:footerReference w:type="default" r:id="rId31"/>
      <w:footerReference w:type="first" r:id="rId32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323D7" w14:textId="77777777" w:rsidR="0005297F" w:rsidRDefault="0005297F">
      <w:r>
        <w:separator/>
      </w:r>
    </w:p>
  </w:endnote>
  <w:endnote w:type="continuationSeparator" w:id="0">
    <w:p w14:paraId="6A8AA5D8" w14:textId="77777777" w:rsidR="0005297F" w:rsidRDefault="0005297F">
      <w:r>
        <w:continuationSeparator/>
      </w:r>
    </w:p>
  </w:endnote>
  <w:endnote w:type="continuationNotice" w:id="1">
    <w:p w14:paraId="52793FB8" w14:textId="77777777" w:rsidR="0005297F" w:rsidRDefault="000529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ECE66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C0119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8F644" w14:textId="77777777" w:rsidR="0005297F" w:rsidRDefault="0005297F">
      <w:r>
        <w:t>____________________</w:t>
      </w:r>
    </w:p>
  </w:footnote>
  <w:footnote w:type="continuationSeparator" w:id="0">
    <w:p w14:paraId="036D0CB1" w14:textId="77777777" w:rsidR="0005297F" w:rsidRDefault="0005297F">
      <w:r>
        <w:continuationSeparator/>
      </w:r>
    </w:p>
  </w:footnote>
  <w:footnote w:type="continuationNotice" w:id="1">
    <w:p w14:paraId="734EEE76" w14:textId="77777777" w:rsidR="0005297F" w:rsidRDefault="000529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3156F" w14:textId="11F7EE1F" w:rsidR="00C740E1" w:rsidRDefault="005274FD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E16AEC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597A0EA0" w14:textId="6BAB6014" w:rsidR="00C740E1" w:rsidRPr="00C740E1" w:rsidRDefault="001850FC" w:rsidP="00453805">
    <w:pPr>
      <w:pStyle w:val="Header"/>
      <w:rPr>
        <w:lang w:val="en-US"/>
      </w:rPr>
    </w:pPr>
    <w:r w:rsidRPr="00FF6ECE">
      <w:rPr>
        <w:noProof/>
      </w:rPr>
      <w:t xml:space="preserve">Collective letter </w:t>
    </w:r>
    <w:r w:rsidR="00FF6ECE" w:rsidRPr="00FF6ECE">
      <w:rPr>
        <w:noProof/>
      </w:rPr>
      <w:t>3</w:t>
    </w:r>
    <w:r w:rsidR="008C7E47" w:rsidRPr="00FF6ECE">
      <w:rPr>
        <w:noProof/>
      </w:rPr>
      <w:t>/</w:t>
    </w:r>
    <w:r w:rsidR="00FF6ECE">
      <w:rPr>
        <w:noProof/>
      </w:rPr>
      <w:t>SG</w:t>
    </w:r>
    <w:r w:rsidR="00FF6ECE" w:rsidRPr="00FF6ECE">
      <w:rPr>
        <w:noProof/>
      </w:rPr>
      <w:t>5</w:t>
    </w:r>
    <w:r w:rsidR="00FF6ECE">
      <w:rPr>
        <w:noProof/>
      </w:rPr>
      <w:t>RG-LATAM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64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2167"/>
    <w:rsid w:val="0005297F"/>
    <w:rsid w:val="00053779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C4956"/>
    <w:rsid w:val="001D0985"/>
    <w:rsid w:val="001E2029"/>
    <w:rsid w:val="001E50C0"/>
    <w:rsid w:val="001F461B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530C"/>
    <w:rsid w:val="00277129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5785"/>
    <w:rsid w:val="0034610C"/>
    <w:rsid w:val="00350914"/>
    <w:rsid w:val="00351DA5"/>
    <w:rsid w:val="003614F8"/>
    <w:rsid w:val="00365034"/>
    <w:rsid w:val="00367D69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274FD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AF7"/>
    <w:rsid w:val="005E5C10"/>
    <w:rsid w:val="005E70E3"/>
    <w:rsid w:val="005E769E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6E42DB"/>
    <w:rsid w:val="00710D11"/>
    <w:rsid w:val="00713CDB"/>
    <w:rsid w:val="00737EA1"/>
    <w:rsid w:val="00754E83"/>
    <w:rsid w:val="0075739B"/>
    <w:rsid w:val="00764755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0D7F"/>
    <w:rsid w:val="00852F97"/>
    <w:rsid w:val="00855333"/>
    <w:rsid w:val="00857C67"/>
    <w:rsid w:val="00860652"/>
    <w:rsid w:val="00862CC9"/>
    <w:rsid w:val="00866900"/>
    <w:rsid w:val="00870336"/>
    <w:rsid w:val="00871B94"/>
    <w:rsid w:val="0087300D"/>
    <w:rsid w:val="0087539F"/>
    <w:rsid w:val="00875B05"/>
    <w:rsid w:val="008768C5"/>
    <w:rsid w:val="00881BA1"/>
    <w:rsid w:val="00884BE0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37F2"/>
    <w:rsid w:val="009E4F80"/>
    <w:rsid w:val="009F12DC"/>
    <w:rsid w:val="009F3E9B"/>
    <w:rsid w:val="009F6A52"/>
    <w:rsid w:val="00A014F8"/>
    <w:rsid w:val="00A015F3"/>
    <w:rsid w:val="00A049A9"/>
    <w:rsid w:val="00A11DCA"/>
    <w:rsid w:val="00A129C1"/>
    <w:rsid w:val="00A1765C"/>
    <w:rsid w:val="00A333AF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6C8A"/>
    <w:rsid w:val="00AD7192"/>
    <w:rsid w:val="00AE03A7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12"/>
    <w:rsid w:val="00BC5760"/>
    <w:rsid w:val="00BC7CCF"/>
    <w:rsid w:val="00BE1A8D"/>
    <w:rsid w:val="00BE3F36"/>
    <w:rsid w:val="00BE470B"/>
    <w:rsid w:val="00BF6B7E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E0115C"/>
    <w:rsid w:val="00E03A76"/>
    <w:rsid w:val="00E06CA9"/>
    <w:rsid w:val="00E16AEC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84DB2"/>
    <w:rsid w:val="00E93E5E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63CE"/>
    <w:rsid w:val="00F07162"/>
    <w:rsid w:val="00F37AB8"/>
    <w:rsid w:val="00F40852"/>
    <w:rsid w:val="00F42DE0"/>
    <w:rsid w:val="00F42EF2"/>
    <w:rsid w:val="00F443AE"/>
    <w:rsid w:val="00F54DF5"/>
    <w:rsid w:val="00F676CC"/>
    <w:rsid w:val="00F67C38"/>
    <w:rsid w:val="00F717FE"/>
    <w:rsid w:val="00F8385A"/>
    <w:rsid w:val="00F85826"/>
    <w:rsid w:val="00F97E64"/>
    <w:rsid w:val="00FA124A"/>
    <w:rsid w:val="00FA21D2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0FF6EC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23928E"/>
  <w15:docId w15:val="{1A6C1760-56B5-4E51-9A79-C392ADE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5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sbsg5@itu.in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mailto:tsbsg5@itu.int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05/sg5rglatam/Pages/default.aspx" TargetMode="External"/><Relationship Id="rId20" Type="http://schemas.openxmlformats.org/officeDocument/2006/relationships/image" Target="cid:image002.png@01D30189.7AF1CA50" TargetMode="External"/><Relationship Id="rId29" Type="http://schemas.openxmlformats.org/officeDocument/2006/relationships/hyperlink" Target="https://www.itu.int/md/T17-SG05RG.LATAM-201110-TD-PLEN-005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emote.itu.int/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remote.itu.int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ternationalspectrumcongress.gov.co/SitePages/index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en/ITU-T/studygroups/2017-2020/05/sg5rglatam/Pages/default.aspx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Local\Microsoft\Windows\INetCache\Content.Outlook\M79BDJPV\TSB_Collective_fully_virtua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64800ED6BC2A4BA0118D64671B2CE5" ma:contentTypeVersion="13" ma:contentTypeDescription="Crear nuevo documento." ma:contentTypeScope="" ma:versionID="9f6241b6f3058799724cbcbf9284b9af">
  <xsd:schema xmlns:xsd="http://www.w3.org/2001/XMLSchema" xmlns:xs="http://www.w3.org/2001/XMLSchema" xmlns:p="http://schemas.microsoft.com/office/2006/metadata/properties" xmlns:ns3="c81767e0-5efd-44dd-a124-c940c962d984" xmlns:ns4="fa10f543-98f3-4bc0-a9e1-66d53ccc7558" targetNamespace="http://schemas.microsoft.com/office/2006/metadata/properties" ma:root="true" ma:fieldsID="f082accf91061ca77e1e27643d8b79ca" ns3:_="" ns4:_="">
    <xsd:import namespace="c81767e0-5efd-44dd-a124-c940c962d984"/>
    <xsd:import namespace="fa10f543-98f3-4bc0-a9e1-66d53ccc75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767e0-5efd-44dd-a124-c940c962d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f543-98f3-4bc0-a9e1-66d53ccc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BC940-5752-45AC-9E7D-87FD9053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767e0-5efd-44dd-a124-c940c962d984"/>
    <ds:schemaRef ds:uri="fa10f543-98f3-4bc0-a9e1-66d53ccc7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97843-13C4-49BF-856D-5F4B886D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TSB_Collective_fully_virtual-E.dotx</Template>
  <TotalTime>9</TotalTime>
  <Pages>3</Pages>
  <Words>836</Words>
  <Characters>5638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Tahawi, Hiba</dc:creator>
  <cp:lastModifiedBy>Braud, Olivia</cp:lastModifiedBy>
  <cp:revision>7</cp:revision>
  <cp:lastPrinted>2020-10-06T08:46:00Z</cp:lastPrinted>
  <dcterms:created xsi:type="dcterms:W3CDTF">2020-10-05T09:07:00Z</dcterms:created>
  <dcterms:modified xsi:type="dcterms:W3CDTF">2020-10-06T08:47:00Z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0x010100B464800ED6BC2A4BA0118D64671B2CE5</vt:lpwstr>
  </property>
</Properties>
</file>