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44DA8" w14:paraId="361F8353" w14:textId="77777777" w:rsidTr="00427EA6">
        <w:trPr>
          <w:cantSplit/>
        </w:trPr>
        <w:tc>
          <w:tcPr>
            <w:tcW w:w="1418" w:type="dxa"/>
            <w:vAlign w:val="center"/>
          </w:tcPr>
          <w:p w14:paraId="30E03019" w14:textId="77777777" w:rsidR="00427EA6" w:rsidRPr="00144DA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44DA8">
              <w:rPr>
                <w:noProof/>
              </w:rPr>
              <w:drawing>
                <wp:inline distT="0" distB="0" distL="0" distR="0" wp14:anchorId="24433AED" wp14:editId="42386AB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A20135" w14:textId="77777777" w:rsidR="00427EA6" w:rsidRPr="00144DA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44DA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91504BB" w14:textId="77777777" w:rsidR="00427EA6" w:rsidRPr="00144DA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44DA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6632F6E" w14:textId="77777777" w:rsidR="00427EA6" w:rsidRPr="00144DA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1FDE45C" w14:textId="77777777" w:rsidR="002545AA" w:rsidRPr="00144DA8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2545AA" w:rsidRPr="00144DA8" w14:paraId="5D6B75B5" w14:textId="77777777" w:rsidTr="00710638">
        <w:trPr>
          <w:cantSplit/>
          <w:trHeight w:val="649"/>
        </w:trPr>
        <w:tc>
          <w:tcPr>
            <w:tcW w:w="1126" w:type="dxa"/>
          </w:tcPr>
          <w:p w14:paraId="342E9C20" w14:textId="77777777" w:rsidR="002545AA" w:rsidRPr="00144DA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14:paraId="7B285774" w14:textId="77777777" w:rsidR="002545AA" w:rsidRPr="00144DA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5B0098E" w14:textId="42010F39" w:rsidR="002545AA" w:rsidRPr="00144DA8" w:rsidRDefault="000A1423" w:rsidP="00144DA8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240"/>
              <w:ind w:left="57"/>
              <w:rPr>
                <w:bCs/>
              </w:rPr>
            </w:pPr>
            <w:r w:rsidRPr="00144DA8">
              <w:t xml:space="preserve">Ginebra, </w:t>
            </w:r>
            <w:r w:rsidR="00306C62" w:rsidRPr="00144DA8">
              <w:t>3</w:t>
            </w:r>
            <w:r w:rsidRPr="00144DA8">
              <w:t xml:space="preserve"> de </w:t>
            </w:r>
            <w:r w:rsidR="00306C62" w:rsidRPr="00144DA8">
              <w:t>febrero</w:t>
            </w:r>
            <w:r w:rsidRPr="00144DA8">
              <w:t xml:space="preserve"> de 202</w:t>
            </w:r>
            <w:r w:rsidR="00306C62" w:rsidRPr="00144DA8">
              <w:t>1</w:t>
            </w:r>
          </w:p>
        </w:tc>
      </w:tr>
      <w:tr w:rsidR="002545AA" w:rsidRPr="00144DA8" w14:paraId="1C0AC10A" w14:textId="77777777" w:rsidTr="00710638">
        <w:trPr>
          <w:cantSplit/>
          <w:trHeight w:val="649"/>
        </w:trPr>
        <w:tc>
          <w:tcPr>
            <w:tcW w:w="1126" w:type="dxa"/>
          </w:tcPr>
          <w:p w14:paraId="7E8F9AE2" w14:textId="77777777" w:rsidR="002545AA" w:rsidRPr="00144DA8" w:rsidRDefault="002545AA" w:rsidP="00757D2D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44DA8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3E4F823F" w14:textId="77777777" w:rsidR="009321D7" w:rsidRPr="009321D7" w:rsidRDefault="009321D7" w:rsidP="009321D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proofErr w:type="spellStart"/>
            <w:r w:rsidRPr="009321D7">
              <w:rPr>
                <w:b/>
              </w:rPr>
              <w:t>Addéndum</w:t>
            </w:r>
            <w:proofErr w:type="spellEnd"/>
            <w:r w:rsidRPr="009321D7">
              <w:rPr>
                <w:b/>
              </w:rPr>
              <w:t xml:space="preserve"> 1 a la</w:t>
            </w:r>
          </w:p>
          <w:p w14:paraId="6635D326" w14:textId="171502E9" w:rsidR="002545AA" w:rsidRPr="00144DA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44DA8">
              <w:rPr>
                <w:b/>
              </w:rPr>
              <w:t xml:space="preserve">Carta Colectiva TSB </w:t>
            </w:r>
            <w:r w:rsidR="000A1423" w:rsidRPr="00144DA8">
              <w:rPr>
                <w:b/>
                <w:szCs w:val="24"/>
              </w:rPr>
              <w:t>10</w:t>
            </w:r>
            <w:r w:rsidRPr="00144DA8">
              <w:rPr>
                <w:b/>
                <w:szCs w:val="24"/>
              </w:rPr>
              <w:t>/</w:t>
            </w:r>
            <w:r w:rsidR="000A1423" w:rsidRPr="00144DA8">
              <w:rPr>
                <w:b/>
                <w:szCs w:val="24"/>
              </w:rPr>
              <w:t>5</w:t>
            </w:r>
          </w:p>
          <w:p w14:paraId="39F24D2B" w14:textId="472048F9" w:rsidR="002545AA" w:rsidRPr="00144DA8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144DA8">
              <w:t>CE </w:t>
            </w:r>
            <w:r w:rsidR="000A1423" w:rsidRPr="00144DA8">
              <w:t>5</w:t>
            </w:r>
            <w:r w:rsidRPr="00144DA8">
              <w:t>/</w:t>
            </w:r>
            <w:bookmarkEnd w:id="0"/>
            <w:r w:rsidR="000A1423" w:rsidRPr="00144DA8">
              <w:t>RU</w:t>
            </w:r>
          </w:p>
        </w:tc>
        <w:tc>
          <w:tcPr>
            <w:tcW w:w="4762" w:type="dxa"/>
            <w:vMerge w:val="restart"/>
          </w:tcPr>
          <w:p w14:paraId="1F8747D6" w14:textId="77777777" w:rsidR="002545AA" w:rsidRPr="00144DA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44DA8">
              <w:rPr>
                <w:bCs/>
              </w:rPr>
              <w:t>A:</w:t>
            </w:r>
          </w:p>
          <w:p w14:paraId="2AAB10D6" w14:textId="77777777" w:rsidR="000A1423" w:rsidRPr="00144DA8" w:rsidRDefault="000A1423" w:rsidP="00961D70">
            <w:pPr>
              <w:tabs>
                <w:tab w:val="clear" w:pos="794"/>
                <w:tab w:val="left" w:pos="497"/>
              </w:tabs>
              <w:spacing w:before="0" w:after="40"/>
              <w:ind w:left="355" w:hanging="303"/>
            </w:pPr>
            <w:r w:rsidRPr="00144DA8">
              <w:t>–</w:t>
            </w:r>
            <w:r w:rsidRPr="00144DA8">
              <w:tab/>
              <w:t>las Administraciones de los Estados Miembros de la Unión;</w:t>
            </w:r>
          </w:p>
          <w:p w14:paraId="7FB19D28" w14:textId="77777777" w:rsidR="000A1423" w:rsidRPr="00144DA8" w:rsidRDefault="000A1423" w:rsidP="00961D70">
            <w:pPr>
              <w:tabs>
                <w:tab w:val="clear" w:pos="794"/>
                <w:tab w:val="left" w:pos="497"/>
              </w:tabs>
              <w:spacing w:before="0" w:after="40"/>
              <w:ind w:left="355" w:hanging="303"/>
            </w:pPr>
            <w:r w:rsidRPr="00144DA8">
              <w:t>–</w:t>
            </w:r>
            <w:r w:rsidRPr="00144DA8">
              <w:tab/>
              <w:t>los Miembros del Sector UIT</w:t>
            </w:r>
            <w:r w:rsidRPr="00144DA8">
              <w:noBreakHyphen/>
              <w:t>T;</w:t>
            </w:r>
          </w:p>
          <w:p w14:paraId="5BE7094E" w14:textId="77777777" w:rsidR="000A1423" w:rsidRPr="00144DA8" w:rsidRDefault="000A1423" w:rsidP="00961D70">
            <w:pPr>
              <w:tabs>
                <w:tab w:val="clear" w:pos="794"/>
                <w:tab w:val="left" w:pos="497"/>
              </w:tabs>
              <w:spacing w:before="0" w:after="40"/>
              <w:ind w:left="355" w:hanging="303"/>
            </w:pPr>
            <w:r w:rsidRPr="00144DA8">
              <w:t>–</w:t>
            </w:r>
            <w:r w:rsidRPr="00144DA8">
              <w:tab/>
              <w:t>los Asociados que participan en los trabajos de la Comisión de Estudio 5;</w:t>
            </w:r>
          </w:p>
          <w:p w14:paraId="4E5488A3" w14:textId="495CE641" w:rsidR="002545AA" w:rsidRPr="00144DA8" w:rsidRDefault="000A1423" w:rsidP="00961D70">
            <w:pPr>
              <w:tabs>
                <w:tab w:val="clear" w:pos="794"/>
                <w:tab w:val="left" w:pos="497"/>
              </w:tabs>
              <w:spacing w:before="0" w:after="40"/>
              <w:ind w:left="355" w:hanging="303"/>
              <w:rPr>
                <w:bCs/>
              </w:rPr>
            </w:pPr>
            <w:r w:rsidRPr="00144DA8">
              <w:t>–</w:t>
            </w:r>
            <w:r w:rsidRPr="00144DA8">
              <w:tab/>
              <w:t>las Instituciones Académicas de la UIT</w:t>
            </w:r>
          </w:p>
        </w:tc>
      </w:tr>
      <w:tr w:rsidR="002545AA" w:rsidRPr="00144DA8" w14:paraId="4105C3B0" w14:textId="77777777" w:rsidTr="00710638">
        <w:trPr>
          <w:cantSplit/>
          <w:trHeight w:val="390"/>
        </w:trPr>
        <w:tc>
          <w:tcPr>
            <w:tcW w:w="1126" w:type="dxa"/>
          </w:tcPr>
          <w:p w14:paraId="639C5EB8" w14:textId="77777777" w:rsidR="002545AA" w:rsidRPr="00144DA8" w:rsidRDefault="002545AA" w:rsidP="00757D2D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44DA8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00EA9AA1" w14:textId="2C70869A" w:rsidR="002545AA" w:rsidRPr="00144DA8" w:rsidRDefault="000A1423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44DA8">
              <w:t>+41 22 730 5356</w:t>
            </w:r>
          </w:p>
        </w:tc>
        <w:tc>
          <w:tcPr>
            <w:tcW w:w="4762" w:type="dxa"/>
            <w:vMerge/>
          </w:tcPr>
          <w:p w14:paraId="433AC78A" w14:textId="77777777" w:rsidR="002545AA" w:rsidRPr="00144DA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44DA8" w14:paraId="72080ABA" w14:textId="77777777" w:rsidTr="00710638">
        <w:trPr>
          <w:cantSplit/>
          <w:trHeight w:val="431"/>
        </w:trPr>
        <w:tc>
          <w:tcPr>
            <w:tcW w:w="1126" w:type="dxa"/>
          </w:tcPr>
          <w:p w14:paraId="153111FA" w14:textId="77777777" w:rsidR="002545AA" w:rsidRPr="00144DA8" w:rsidRDefault="002545AA" w:rsidP="00757D2D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44DA8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168B71E6" w14:textId="5CB6EA98" w:rsidR="002545AA" w:rsidRPr="00144DA8" w:rsidRDefault="000A1423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44DA8">
              <w:t>+41 22 730 5853</w:t>
            </w:r>
          </w:p>
        </w:tc>
        <w:tc>
          <w:tcPr>
            <w:tcW w:w="4762" w:type="dxa"/>
            <w:vMerge/>
          </w:tcPr>
          <w:p w14:paraId="7E9D425E" w14:textId="77777777" w:rsidR="002545AA" w:rsidRPr="00144DA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44DA8" w14:paraId="1CE52F8B" w14:textId="77777777" w:rsidTr="00710638">
        <w:trPr>
          <w:cantSplit/>
        </w:trPr>
        <w:tc>
          <w:tcPr>
            <w:tcW w:w="1126" w:type="dxa"/>
          </w:tcPr>
          <w:p w14:paraId="39908811" w14:textId="77777777" w:rsidR="002545AA" w:rsidRPr="00144DA8" w:rsidRDefault="002545AA" w:rsidP="00757D2D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44DA8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78C0CFCF" w14:textId="77D6F7B8" w:rsidR="002545AA" w:rsidRPr="00144DA8" w:rsidRDefault="00562B4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0A1423" w:rsidRPr="00144DA8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14:paraId="17F13E06" w14:textId="77777777" w:rsidR="002545AA" w:rsidRPr="00144DA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44DA8" w14:paraId="6D521914" w14:textId="77777777" w:rsidTr="00757D2D">
        <w:trPr>
          <w:cantSplit/>
          <w:trHeight w:val="407"/>
        </w:trPr>
        <w:tc>
          <w:tcPr>
            <w:tcW w:w="1126" w:type="dxa"/>
          </w:tcPr>
          <w:p w14:paraId="1F5DA64A" w14:textId="77777777" w:rsidR="002545AA" w:rsidRPr="00144DA8" w:rsidRDefault="002545AA" w:rsidP="00757D2D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44DA8">
              <w:rPr>
                <w:szCs w:val="24"/>
              </w:rPr>
              <w:t>Web:</w:t>
            </w:r>
          </w:p>
        </w:tc>
        <w:tc>
          <w:tcPr>
            <w:tcW w:w="3751" w:type="dxa"/>
          </w:tcPr>
          <w:p w14:paraId="66C12099" w14:textId="177A4327" w:rsidR="002545AA" w:rsidRPr="00144DA8" w:rsidRDefault="00562B4E" w:rsidP="00710638">
            <w:pPr>
              <w:spacing w:before="40" w:after="40"/>
              <w:ind w:left="57"/>
            </w:pPr>
            <w:hyperlink r:id="rId10" w:history="1">
              <w:r w:rsidR="00724FF9" w:rsidRPr="00144DA8">
                <w:rPr>
                  <w:rStyle w:val="Hyperlink"/>
                </w:rPr>
                <w:t>http://itu.int/go/tsg05</w:t>
              </w:r>
            </w:hyperlink>
          </w:p>
        </w:tc>
        <w:tc>
          <w:tcPr>
            <w:tcW w:w="4762" w:type="dxa"/>
            <w:vMerge/>
          </w:tcPr>
          <w:p w14:paraId="1A0C84DF" w14:textId="77777777" w:rsidR="002545AA" w:rsidRPr="00144DA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44DA8" w14:paraId="528191A0" w14:textId="77777777" w:rsidTr="00710638">
        <w:trPr>
          <w:cantSplit/>
        </w:trPr>
        <w:tc>
          <w:tcPr>
            <w:tcW w:w="1126" w:type="dxa"/>
          </w:tcPr>
          <w:p w14:paraId="01990BB5" w14:textId="77777777" w:rsidR="002545AA" w:rsidRPr="00144DA8" w:rsidRDefault="002545AA" w:rsidP="00144DA8">
            <w:pPr>
              <w:tabs>
                <w:tab w:val="left" w:pos="4111"/>
              </w:tabs>
              <w:spacing w:before="360" w:after="40"/>
              <w:ind w:left="57"/>
              <w:rPr>
                <w:b/>
                <w:bCs/>
                <w:szCs w:val="24"/>
              </w:rPr>
            </w:pPr>
            <w:r w:rsidRPr="00144DA8">
              <w:rPr>
                <w:b/>
                <w:bCs/>
                <w:szCs w:val="24"/>
              </w:rPr>
              <w:t>Asunto:</w:t>
            </w:r>
          </w:p>
        </w:tc>
        <w:tc>
          <w:tcPr>
            <w:tcW w:w="8513" w:type="dxa"/>
            <w:gridSpan w:val="2"/>
          </w:tcPr>
          <w:p w14:paraId="6762C08B" w14:textId="316D680A" w:rsidR="002545AA" w:rsidRPr="00144DA8" w:rsidRDefault="000A1423" w:rsidP="00144DA8">
            <w:pPr>
              <w:tabs>
                <w:tab w:val="left" w:pos="4111"/>
              </w:tabs>
              <w:spacing w:before="360" w:after="40"/>
              <w:ind w:left="57"/>
              <w:rPr>
                <w:b/>
                <w:bCs/>
              </w:rPr>
            </w:pPr>
            <w:r w:rsidRPr="00144DA8">
              <w:rPr>
                <w:b/>
                <w:bCs/>
                <w:szCs w:val="24"/>
              </w:rPr>
              <w:t>Reunión virtual de la Comisión de Estudio 5; 11-20 de mayo de 2021</w:t>
            </w:r>
          </w:p>
        </w:tc>
      </w:tr>
    </w:tbl>
    <w:p w14:paraId="4FBC9977" w14:textId="44DF5E8B" w:rsidR="002545AA" w:rsidRPr="00144DA8" w:rsidRDefault="002545AA" w:rsidP="00144DA8">
      <w:pPr>
        <w:pStyle w:val="Normalaftertitle0"/>
        <w:spacing w:before="600"/>
      </w:pPr>
      <w:bookmarkStart w:id="1" w:name="ditulogo"/>
      <w:bookmarkEnd w:id="1"/>
      <w:r w:rsidRPr="00144DA8">
        <w:t>Muy Señora mía/Muy Señor mío</w:t>
      </w:r>
      <w:r w:rsidR="00757D2D" w:rsidRPr="00144DA8">
        <w:t>,</w:t>
      </w:r>
    </w:p>
    <w:p w14:paraId="2C171EF8" w14:textId="4D6A8DBB" w:rsidR="002F6585" w:rsidRPr="00144DA8" w:rsidRDefault="00530627" w:rsidP="00144DA8">
      <w:pPr>
        <w:spacing w:before="240"/>
      </w:pPr>
      <w:r w:rsidRPr="00144DA8">
        <w:t>En relación</w:t>
      </w:r>
      <w:r w:rsidR="002F6585" w:rsidRPr="00144DA8">
        <w:t xml:space="preserve"> con la </w:t>
      </w:r>
      <w:hyperlink r:id="rId11" w:history="1">
        <w:r w:rsidR="002F6585" w:rsidRPr="00144DA8">
          <w:rPr>
            <w:rStyle w:val="Hyperlink"/>
          </w:rPr>
          <w:t>Carta colectiva 10/5</w:t>
        </w:r>
      </w:hyperlink>
      <w:r w:rsidR="002F6585" w:rsidRPr="00144DA8">
        <w:t xml:space="preserve"> de 16 de diciembre de 2020, </w:t>
      </w:r>
      <w:r w:rsidRPr="00144DA8">
        <w:t xml:space="preserve">le informamos de que el nuevo conjunto de Cuestiones de la Comisión de Estudio 5 del UIT-T ha sido aprobado por el GANT en su reunión </w:t>
      </w:r>
      <w:r w:rsidR="007E00F2" w:rsidRPr="00144DA8">
        <w:t xml:space="preserve">virtual </w:t>
      </w:r>
      <w:r w:rsidRPr="00144DA8">
        <w:t>del 11 al 18 de enero de 2021 (ref.</w:t>
      </w:r>
      <w:r w:rsidR="002F6585" w:rsidRPr="00144DA8">
        <w:t> </w:t>
      </w:r>
      <w:hyperlink r:id="rId12" w:history="1">
        <w:r w:rsidR="002F6585" w:rsidRPr="00144DA8">
          <w:rPr>
            <w:rStyle w:val="Hyperlink"/>
          </w:rPr>
          <w:t xml:space="preserve">Circular </w:t>
        </w:r>
        <w:r w:rsidRPr="00144DA8">
          <w:rPr>
            <w:rStyle w:val="Hyperlink"/>
          </w:rPr>
          <w:t xml:space="preserve">TSB </w:t>
        </w:r>
        <w:r w:rsidR="002F6585" w:rsidRPr="00144DA8">
          <w:rPr>
            <w:rStyle w:val="Hyperlink"/>
          </w:rPr>
          <w:t>295</w:t>
        </w:r>
      </w:hyperlink>
      <w:r w:rsidR="002F6585" w:rsidRPr="00144DA8">
        <w:t xml:space="preserve"> </w:t>
      </w:r>
      <w:r w:rsidRPr="00144DA8">
        <w:t xml:space="preserve">y </w:t>
      </w:r>
      <w:hyperlink r:id="rId13" w:history="1">
        <w:r w:rsidR="002F6585" w:rsidRPr="00144DA8">
          <w:rPr>
            <w:rStyle w:val="Hyperlink"/>
          </w:rPr>
          <w:t>TSAG-R14</w:t>
        </w:r>
      </w:hyperlink>
      <w:r w:rsidR="002F6585" w:rsidRPr="00144DA8">
        <w:t xml:space="preserve">). </w:t>
      </w:r>
    </w:p>
    <w:p w14:paraId="0E0BE37E" w14:textId="41DC6E0C" w:rsidR="002F6585" w:rsidRPr="00144DA8" w:rsidRDefault="00530627" w:rsidP="002F6585">
      <w:r w:rsidRPr="00144DA8">
        <w:t xml:space="preserve">En el </w:t>
      </w:r>
      <w:r w:rsidRPr="00144DA8">
        <w:rPr>
          <w:b/>
          <w:bCs/>
        </w:rPr>
        <w:t>Anexo A</w:t>
      </w:r>
      <w:r w:rsidRPr="00144DA8">
        <w:t xml:space="preserve"> figura la lista de Cuestiones aprobadas y su relación con el conjunto de Cuestiones anteriormente en vigor</w:t>
      </w:r>
      <w:r w:rsidR="002F6585" w:rsidRPr="00144DA8">
        <w:t>.</w:t>
      </w:r>
    </w:p>
    <w:p w14:paraId="7923129D" w14:textId="36ED4C9F" w:rsidR="002F6585" w:rsidRPr="00144DA8" w:rsidRDefault="00530627" w:rsidP="002F6585">
      <w:r w:rsidRPr="00144DA8">
        <w:t xml:space="preserve">Asimismo, le ruego </w:t>
      </w:r>
      <w:r w:rsidR="007E00F2" w:rsidRPr="00144DA8">
        <w:t xml:space="preserve">tome nota de </w:t>
      </w:r>
      <w:r w:rsidRPr="00144DA8">
        <w:t>que</w:t>
      </w:r>
      <w:r w:rsidR="002F6585" w:rsidRPr="00144DA8">
        <w:t>:</w:t>
      </w:r>
    </w:p>
    <w:p w14:paraId="518E19EE" w14:textId="68560EA9" w:rsidR="002F6585" w:rsidRPr="00144DA8" w:rsidRDefault="002F6585" w:rsidP="002F6585">
      <w:pPr>
        <w:pStyle w:val="enumlev1"/>
        <w:tabs>
          <w:tab w:val="clear" w:pos="1191"/>
        </w:tabs>
        <w:ind w:left="812" w:hanging="812"/>
      </w:pPr>
      <w:r w:rsidRPr="00144DA8">
        <w:t>–</w:t>
      </w:r>
      <w:r w:rsidRPr="00144DA8">
        <w:tab/>
      </w:r>
      <w:r w:rsidR="00530627" w:rsidRPr="00144DA8">
        <w:t>La sesión para los nuevos participantes en la CE</w:t>
      </w:r>
      <w:r w:rsidR="00144DA8">
        <w:t xml:space="preserve"> </w:t>
      </w:r>
      <w:r w:rsidR="00530627" w:rsidRPr="00144DA8">
        <w:t>5, que tendrá lugar virtualmente el 21 de abril de</w:t>
      </w:r>
      <w:r w:rsidR="00ED2512">
        <w:t> </w:t>
      </w:r>
      <w:r w:rsidR="00530627" w:rsidRPr="00144DA8">
        <w:t>2021 de 11</w:t>
      </w:r>
      <w:r w:rsidR="00BD21BC">
        <w:t>.</w:t>
      </w:r>
      <w:r w:rsidR="00530627" w:rsidRPr="00144DA8">
        <w:t>00 a 13</w:t>
      </w:r>
      <w:r w:rsidR="00BD21BC">
        <w:t>.</w:t>
      </w:r>
      <w:r w:rsidR="00530627" w:rsidRPr="00144DA8">
        <w:t>00 horas, hora de Ginebra, se celebrará junto con la de la Comisión de Estudio 20 del UIT-T. Sírvase inscribirse en</w:t>
      </w:r>
      <w:r w:rsidRPr="00144DA8">
        <w:t xml:space="preserve">: </w:t>
      </w:r>
      <w:hyperlink r:id="rId14" w:history="1">
        <w:r w:rsidRPr="00144DA8">
          <w:rPr>
            <w:rStyle w:val="Hyperlink"/>
          </w:rPr>
          <w:t>https://www.itu.int/net4/CRM/xreg/web/Registration.aspx?Event=C-00009285</w:t>
        </w:r>
      </w:hyperlink>
      <w:r w:rsidRPr="00144DA8">
        <w:t>.</w:t>
      </w:r>
    </w:p>
    <w:p w14:paraId="538593E7" w14:textId="0A77903A" w:rsidR="002F6585" w:rsidRPr="00144DA8" w:rsidRDefault="002F6585" w:rsidP="002F6585">
      <w:pPr>
        <w:pStyle w:val="enumlev1"/>
        <w:tabs>
          <w:tab w:val="clear" w:pos="1191"/>
        </w:tabs>
        <w:ind w:left="812" w:hanging="812"/>
      </w:pPr>
      <w:r w:rsidRPr="00144DA8">
        <w:t>–</w:t>
      </w:r>
      <w:r w:rsidRPr="00144DA8">
        <w:tab/>
      </w:r>
      <w:r w:rsidR="00A455E3" w:rsidRPr="00144DA8">
        <w:t xml:space="preserve">La sesión de formación práctica sobre </w:t>
      </w:r>
      <w:r w:rsidR="00144DA8">
        <w:t>"</w:t>
      </w:r>
      <w:r w:rsidR="00A455E3" w:rsidRPr="00144DA8">
        <w:t>reducción de la brecha de normalización (BSG)</w:t>
      </w:r>
      <w:r w:rsidR="00144DA8">
        <w:t>"</w:t>
      </w:r>
      <w:r w:rsidR="00A455E3" w:rsidRPr="00144DA8">
        <w:t xml:space="preserve"> para los delegados de los países en desarrollo tendrá lugar de forma virtual el 6 de mayo de 2021 de las</w:t>
      </w:r>
      <w:r w:rsidR="00ED2512">
        <w:t> </w:t>
      </w:r>
      <w:r w:rsidR="00A455E3" w:rsidRPr="00144DA8">
        <w:t>10</w:t>
      </w:r>
      <w:r w:rsidR="00BD21BC">
        <w:t>.</w:t>
      </w:r>
      <w:r w:rsidR="00A455E3" w:rsidRPr="00144DA8">
        <w:t>00 a las 12</w:t>
      </w:r>
      <w:r w:rsidR="00BD21BC">
        <w:t>.</w:t>
      </w:r>
      <w:r w:rsidR="00A455E3" w:rsidRPr="00144DA8">
        <w:t>00 horas, hora de Ginebra</w:t>
      </w:r>
      <w:r w:rsidRPr="00144DA8">
        <w:t>.</w:t>
      </w:r>
    </w:p>
    <w:p w14:paraId="4687F9F5" w14:textId="1D1937EC" w:rsidR="002F6585" w:rsidRPr="00144DA8" w:rsidRDefault="00A455E3" w:rsidP="002F6585">
      <w:pPr>
        <w:rPr>
          <w:rFonts w:ascii="Calibri" w:hAnsi="Calibri"/>
          <w:szCs w:val="24"/>
        </w:rPr>
      </w:pPr>
      <w:r w:rsidRPr="00144DA8">
        <w:rPr>
          <w:rFonts w:ascii="Calibri" w:hAnsi="Calibri"/>
          <w:szCs w:val="24"/>
        </w:rPr>
        <w:t>Por otra parte, obsérvese que las siguientes Recomendaciones sujetas al procedimiento de aprobación alternativo (AAP) recibieron comentarios durante la revisión adicional y se someterán a la aprobación de la Comisión de Estudio 5 del UIT-T en su próxima reunión (virtual, 11-20 de mayo de 2021</w:t>
      </w:r>
      <w:r w:rsidR="002F6585" w:rsidRPr="00144DA8">
        <w:rPr>
          <w:rFonts w:ascii="Calibri" w:hAnsi="Calibri"/>
          <w:szCs w:val="24"/>
        </w:rPr>
        <w:t>):</w:t>
      </w:r>
    </w:p>
    <w:p w14:paraId="698CFB33" w14:textId="5E69E31C" w:rsidR="00B85819" w:rsidRDefault="002F6585" w:rsidP="002F6585">
      <w:pPr>
        <w:pStyle w:val="enumlev1"/>
        <w:tabs>
          <w:tab w:val="clear" w:pos="1191"/>
        </w:tabs>
        <w:ind w:left="812" w:hanging="812"/>
        <w:rPr>
          <w:rFonts w:ascii="Calibri" w:hAnsi="Calibri"/>
          <w:szCs w:val="24"/>
        </w:rPr>
      </w:pPr>
      <w:r w:rsidRPr="00144DA8">
        <w:t>–</w:t>
      </w:r>
      <w:r w:rsidRPr="00144DA8">
        <w:tab/>
      </w:r>
      <w:r w:rsidR="00A455E3" w:rsidRPr="00144DA8">
        <w:rPr>
          <w:rFonts w:ascii="Calibri" w:hAnsi="Calibri"/>
          <w:b/>
          <w:bCs/>
          <w:szCs w:val="24"/>
        </w:rPr>
        <w:t>Proyecto de revisión de la Recomendación U</w:t>
      </w:r>
      <w:r w:rsidRPr="00144DA8">
        <w:rPr>
          <w:rFonts w:ascii="Calibri" w:hAnsi="Calibri"/>
          <w:b/>
          <w:bCs/>
          <w:szCs w:val="24"/>
        </w:rPr>
        <w:t>IT-T K.56</w:t>
      </w:r>
      <w:r w:rsidRPr="00144DA8">
        <w:rPr>
          <w:rFonts w:ascii="Calibri" w:hAnsi="Calibri"/>
          <w:szCs w:val="24"/>
        </w:rPr>
        <w:t xml:space="preserve">, </w:t>
      </w:r>
      <w:r w:rsidR="00A455E3" w:rsidRPr="00144DA8">
        <w:rPr>
          <w:rFonts w:ascii="Calibri" w:hAnsi="Calibri"/>
          <w:i/>
          <w:iCs/>
          <w:szCs w:val="24"/>
        </w:rPr>
        <w:t>Protección de las estaciones de base radioeléctricas contra las descargas del rayo</w:t>
      </w:r>
      <w:r w:rsidRPr="00144DA8">
        <w:rPr>
          <w:rFonts w:ascii="Calibri" w:hAnsi="Calibri"/>
          <w:i/>
          <w:iCs/>
          <w:szCs w:val="24"/>
        </w:rPr>
        <w:t xml:space="preserve"> </w:t>
      </w:r>
      <w:r w:rsidRPr="00144DA8">
        <w:rPr>
          <w:rFonts w:ascii="Calibri" w:hAnsi="Calibri"/>
          <w:szCs w:val="24"/>
        </w:rPr>
        <w:t>(</w:t>
      </w:r>
      <w:r w:rsidR="00A455E3" w:rsidRPr="00144DA8">
        <w:rPr>
          <w:rFonts w:ascii="Calibri" w:hAnsi="Calibri"/>
          <w:szCs w:val="24"/>
        </w:rPr>
        <w:t>véase</w:t>
      </w:r>
      <w:r w:rsidRPr="00144DA8">
        <w:rPr>
          <w:rFonts w:ascii="Calibri" w:hAnsi="Calibri"/>
          <w:szCs w:val="24"/>
        </w:rPr>
        <w:t> </w:t>
      </w:r>
      <w:hyperlink r:id="rId15" w:history="1">
        <w:r w:rsidRPr="00144DA8">
          <w:rPr>
            <w:rStyle w:val="Hyperlink"/>
            <w:rFonts w:ascii="Calibri" w:hAnsi="Calibri"/>
            <w:szCs w:val="24"/>
          </w:rPr>
          <w:t>SG5-TD1664</w:t>
        </w:r>
      </w:hyperlink>
      <w:r w:rsidRPr="00144DA8">
        <w:rPr>
          <w:rFonts w:ascii="Calibri" w:hAnsi="Calibri"/>
          <w:szCs w:val="24"/>
        </w:rPr>
        <w:t xml:space="preserve">); </w:t>
      </w:r>
      <w:r w:rsidR="00A455E3" w:rsidRPr="00144DA8">
        <w:rPr>
          <w:rFonts w:ascii="Calibri" w:hAnsi="Calibri"/>
          <w:szCs w:val="24"/>
        </w:rPr>
        <w:t>y</w:t>
      </w:r>
    </w:p>
    <w:p w14:paraId="1F3A9FEF" w14:textId="77777777" w:rsidR="00B85819" w:rsidRDefault="00B858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608DD381" w14:textId="2FFCFFB2" w:rsidR="002F6585" w:rsidRPr="00144DA8" w:rsidRDefault="002F6585" w:rsidP="002F6585">
      <w:pPr>
        <w:pStyle w:val="enumlev1"/>
        <w:tabs>
          <w:tab w:val="clear" w:pos="1191"/>
        </w:tabs>
        <w:ind w:left="812" w:hanging="812"/>
      </w:pPr>
      <w:r w:rsidRPr="00144DA8">
        <w:lastRenderedPageBreak/>
        <w:t>–</w:t>
      </w:r>
      <w:r w:rsidRPr="00144DA8">
        <w:tab/>
      </w:r>
      <w:r w:rsidR="00A455E3" w:rsidRPr="00144DA8">
        <w:rPr>
          <w:rFonts w:ascii="Calibri" w:hAnsi="Calibri"/>
          <w:b/>
          <w:bCs/>
          <w:szCs w:val="24"/>
        </w:rPr>
        <w:t xml:space="preserve">Proyecto de revisión de la Recomendación UIT-T </w:t>
      </w:r>
      <w:r w:rsidRPr="00144DA8">
        <w:rPr>
          <w:rFonts w:ascii="Calibri" w:hAnsi="Calibri"/>
          <w:b/>
          <w:bCs/>
          <w:szCs w:val="24"/>
        </w:rPr>
        <w:t>K.112</w:t>
      </w:r>
      <w:r w:rsidRPr="00144DA8">
        <w:rPr>
          <w:rFonts w:ascii="Calibri" w:hAnsi="Calibri"/>
          <w:szCs w:val="24"/>
        </w:rPr>
        <w:t>,</w:t>
      </w:r>
      <w:r w:rsidRPr="00144DA8">
        <w:rPr>
          <w:rFonts w:ascii="Calibri" w:hAnsi="Calibri"/>
          <w:b/>
          <w:bCs/>
          <w:szCs w:val="24"/>
        </w:rPr>
        <w:t xml:space="preserve"> </w:t>
      </w:r>
      <w:r w:rsidR="00A455E3" w:rsidRPr="00144DA8">
        <w:rPr>
          <w:rFonts w:ascii="Calibri" w:hAnsi="Calibri"/>
          <w:i/>
          <w:iCs/>
          <w:szCs w:val="24"/>
        </w:rPr>
        <w:t xml:space="preserve">protección contra el rayo, la puesta a tierra y la continuidad eléctrica de las estaciones base de radiocomunicaciones </w:t>
      </w:r>
      <w:r w:rsidRPr="00144DA8">
        <w:rPr>
          <w:rFonts w:ascii="Calibri" w:hAnsi="Calibri"/>
          <w:szCs w:val="24"/>
        </w:rPr>
        <w:t>(</w:t>
      </w:r>
      <w:r w:rsidR="00A455E3" w:rsidRPr="00144DA8">
        <w:rPr>
          <w:rFonts w:ascii="Calibri" w:hAnsi="Calibri"/>
          <w:szCs w:val="24"/>
        </w:rPr>
        <w:t>véase</w:t>
      </w:r>
      <w:r w:rsidRPr="00144DA8">
        <w:rPr>
          <w:rFonts w:ascii="Calibri" w:hAnsi="Calibri"/>
          <w:szCs w:val="24"/>
        </w:rPr>
        <w:t xml:space="preserve"> </w:t>
      </w:r>
      <w:hyperlink r:id="rId16" w:history="1">
        <w:r w:rsidRPr="00144DA8">
          <w:rPr>
            <w:rStyle w:val="Hyperlink"/>
            <w:rFonts w:ascii="Calibri" w:hAnsi="Calibri"/>
            <w:szCs w:val="24"/>
          </w:rPr>
          <w:t>SG5</w:t>
        </w:r>
        <w:r w:rsidRPr="00144DA8">
          <w:rPr>
            <w:rStyle w:val="Hyperlink"/>
            <w:rFonts w:ascii="Calibri" w:hAnsi="Calibri"/>
            <w:szCs w:val="24"/>
          </w:rPr>
          <w:noBreakHyphen/>
          <w:t>TD1665</w:t>
        </w:r>
      </w:hyperlink>
      <w:r w:rsidRPr="00144DA8">
        <w:rPr>
          <w:rFonts w:ascii="Calibri" w:hAnsi="Calibri"/>
          <w:szCs w:val="24"/>
        </w:rPr>
        <w:t>).</w:t>
      </w:r>
    </w:p>
    <w:p w14:paraId="2A72889C" w14:textId="77777777" w:rsidR="000A1423" w:rsidRPr="00144DA8" w:rsidRDefault="000A1423" w:rsidP="000A1423">
      <w:pPr>
        <w:rPr>
          <w:bCs/>
        </w:rPr>
      </w:pPr>
      <w:r w:rsidRPr="00144DA8">
        <w:rPr>
          <w:bCs/>
        </w:rPr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4"/>
      </w:tblGrid>
      <w:tr w:rsidR="000A1423" w:rsidRPr="005F3802" w14:paraId="64703B37" w14:textId="77777777" w:rsidTr="00621636">
        <w:trPr>
          <w:cantSplit/>
          <w:trHeight w:val="1955"/>
        </w:trPr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14:paraId="211F1EE5" w14:textId="3C9A3B66" w:rsidR="00562B4E" w:rsidRPr="00144DA8" w:rsidRDefault="000A1423" w:rsidP="00562B4E">
            <w:pPr>
              <w:ind w:left="-108"/>
            </w:pPr>
            <w:r w:rsidRPr="00144DA8">
              <w:t>Atentamente,</w:t>
            </w:r>
          </w:p>
          <w:p w14:paraId="2E68F93C" w14:textId="03E58CA7" w:rsidR="000A1423" w:rsidRPr="00144DA8" w:rsidRDefault="00562B4E" w:rsidP="00757D2D">
            <w:pPr>
              <w:spacing w:before="960"/>
              <w:ind w:left="-11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942334" wp14:editId="54843CE6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164465</wp:posOffset>
                  </wp:positionV>
                  <wp:extent cx="726106" cy="327025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6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423" w:rsidRPr="00144DA8">
              <w:t>Chaesub Lee</w:t>
            </w:r>
            <w:r w:rsidR="000A1423" w:rsidRPr="00144DA8">
              <w:br/>
            </w:r>
            <w:proofErr w:type="gramStart"/>
            <w:r w:rsidR="000A1423" w:rsidRPr="00144DA8">
              <w:t>Director</w:t>
            </w:r>
            <w:proofErr w:type="gramEnd"/>
            <w:r w:rsidR="000A1423" w:rsidRPr="00144DA8">
              <w:t xml:space="preserve"> de la Oficina de Normalización</w:t>
            </w:r>
            <w:r w:rsidR="000A1423" w:rsidRPr="00144DA8">
              <w:br/>
              <w:t>de las Telecomunicaciones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2E39E8" w14:textId="77777777" w:rsidR="000A1423" w:rsidRPr="00ED2512" w:rsidRDefault="000A1423" w:rsidP="00621636">
            <w:pPr>
              <w:spacing w:before="0"/>
              <w:ind w:left="113" w:right="113"/>
              <w:jc w:val="center"/>
              <w:rPr>
                <w:lang w:val="fr-FR"/>
              </w:rPr>
            </w:pPr>
            <w:r w:rsidRPr="00144DA8">
              <w:rPr>
                <w:noProof/>
                <w:sz w:val="16"/>
                <w:szCs w:val="16"/>
              </w:rPr>
              <w:drawing>
                <wp:inline distT="0" distB="0" distL="0" distR="0" wp14:anchorId="3EC515A1" wp14:editId="29DB9928">
                  <wp:extent cx="1076960" cy="1076960"/>
                  <wp:effectExtent l="0" t="0" r="8890" b="8890"/>
                  <wp:docPr id="50" name="Picture 50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60" r="9860"/>
                          <a:stretch/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512">
              <w:rPr>
                <w:rFonts w:ascii="Calibri" w:eastAsia="SimSun" w:hAnsi="Calibri" w:cs="Arial"/>
                <w:sz w:val="16"/>
                <w:szCs w:val="16"/>
                <w:lang w:val="fr-FR" w:eastAsia="zh-CN"/>
              </w:rPr>
              <w:t xml:space="preserve"> </w:t>
            </w:r>
            <w:r w:rsidRPr="00ED2512">
              <w:rPr>
                <w:rFonts w:ascii="Calibri" w:eastAsia="SimSun" w:hAnsi="Calibri" w:cs="Arial"/>
                <w:sz w:val="20"/>
                <w:lang w:val="fr-FR" w:eastAsia="zh-CN"/>
              </w:rPr>
              <w:t>CE 5 de la UIT-T</w:t>
            </w:r>
          </w:p>
        </w:tc>
      </w:tr>
      <w:tr w:rsidR="000A1423" w:rsidRPr="00144DA8" w14:paraId="67C42285" w14:textId="77777777" w:rsidTr="00621636">
        <w:trPr>
          <w:cantSplit/>
          <w:trHeight w:val="227"/>
        </w:trPr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409CA730" w14:textId="77777777" w:rsidR="000A1423" w:rsidRPr="00ED2512" w:rsidRDefault="000A1423" w:rsidP="00621636">
            <w:pPr>
              <w:spacing w:before="480"/>
              <w:rPr>
                <w:lang w:val="fr-FR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017" w14:textId="77777777" w:rsidR="000A1423" w:rsidRPr="00144DA8" w:rsidRDefault="000A1423" w:rsidP="00621636">
            <w:pPr>
              <w:spacing w:before="0" w:after="4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144DA8">
              <w:rPr>
                <w:noProof/>
                <w:sz w:val="20"/>
                <w:lang w:eastAsia="zh-CN"/>
              </w:rPr>
              <w:t>Última información sobre la reunión</w:t>
            </w:r>
          </w:p>
        </w:tc>
      </w:tr>
    </w:tbl>
    <w:p w14:paraId="6A6D454B" w14:textId="756E67DB" w:rsidR="000A1423" w:rsidRPr="00144DA8" w:rsidRDefault="000A1423" w:rsidP="00544B46">
      <w:pPr>
        <w:spacing w:before="600"/>
        <w:ind w:right="91"/>
        <w:rPr>
          <w:bCs/>
        </w:rPr>
      </w:pPr>
      <w:r w:rsidRPr="00144DA8">
        <w:rPr>
          <w:b/>
          <w:bCs/>
        </w:rPr>
        <w:t>Anexos</w:t>
      </w:r>
      <w:r w:rsidRPr="00144DA8">
        <w:rPr>
          <w:b/>
        </w:rPr>
        <w:t>:</w:t>
      </w:r>
      <w:r w:rsidRPr="00144DA8">
        <w:rPr>
          <w:bCs/>
        </w:rPr>
        <w:t xml:space="preserve"> </w:t>
      </w:r>
      <w:r w:rsidR="002F6585" w:rsidRPr="00144DA8">
        <w:rPr>
          <w:bCs/>
        </w:rPr>
        <w:t>1</w:t>
      </w:r>
    </w:p>
    <w:p w14:paraId="0B5CE7CB" w14:textId="77777777" w:rsidR="002545AA" w:rsidRPr="00144DA8" w:rsidRDefault="002545AA" w:rsidP="00961D70">
      <w:r w:rsidRPr="00144DA8">
        <w:br w:type="page"/>
      </w:r>
    </w:p>
    <w:p w14:paraId="7F994510" w14:textId="51B3BBB6" w:rsidR="000A1423" w:rsidRPr="00144DA8" w:rsidRDefault="000A1423" w:rsidP="00093F5F">
      <w:pPr>
        <w:pStyle w:val="AnnexNotitle"/>
      </w:pPr>
      <w:r w:rsidRPr="00144DA8">
        <w:rPr>
          <w:bCs/>
        </w:rPr>
        <w:lastRenderedPageBreak/>
        <w:t xml:space="preserve">Anexo </w:t>
      </w:r>
      <w:r w:rsidRPr="00144DA8">
        <w:rPr>
          <w:bCs/>
          <w:caps/>
        </w:rPr>
        <w:t>A</w:t>
      </w:r>
      <w:r w:rsidR="00093F5F" w:rsidRPr="00144DA8">
        <w:rPr>
          <w:bCs/>
          <w:caps/>
        </w:rPr>
        <w:br/>
      </w:r>
      <w:r w:rsidRPr="00144DA8">
        <w:rPr>
          <w:bCs/>
          <w:caps/>
        </w:rPr>
        <w:br/>
      </w:r>
      <w:r w:rsidR="00A455E3" w:rsidRPr="00144DA8">
        <w:t>Cuestiones en vigor de la CE</w:t>
      </w:r>
      <w:r w:rsidR="008F784E">
        <w:t xml:space="preserve"> </w:t>
      </w:r>
      <w:r w:rsidR="00A455E3" w:rsidRPr="00144DA8">
        <w:t>5 (refrendadas, a la izquierda) respecto de las anteriores (a la derecha)</w:t>
      </w:r>
    </w:p>
    <w:p w14:paraId="1A4A4CD7" w14:textId="77777777" w:rsidR="00A455E3" w:rsidRPr="00144DA8" w:rsidRDefault="00A455E3" w:rsidP="00A455E3">
      <w:pPr>
        <w:pStyle w:val="TableNotitle"/>
      </w:pPr>
      <w:r w:rsidRPr="00144DA8">
        <w:t>Cuadro 3 – Cuestiones relativas a la Comisión de Estudio 5 del UIT-T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2879"/>
        <w:gridCol w:w="1480"/>
        <w:gridCol w:w="994"/>
        <w:gridCol w:w="3269"/>
      </w:tblGrid>
      <w:tr w:rsidR="00A455E3" w:rsidRPr="00144DA8" w14:paraId="230CF794" w14:textId="77777777" w:rsidTr="00144DA8">
        <w:trPr>
          <w:trHeight w:val="615"/>
          <w:tblHeader/>
          <w:jc w:val="center"/>
        </w:trPr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7284BC" w14:textId="77777777" w:rsidR="00A455E3" w:rsidRPr="00144DA8" w:rsidRDefault="00A455E3" w:rsidP="00925277">
            <w:pPr>
              <w:pStyle w:val="Tablehead0"/>
              <w:rPr>
                <w:highlight w:val="lightGray"/>
              </w:rPr>
            </w:pPr>
            <w:bookmarkStart w:id="2" w:name="_Hlk62461250"/>
            <w:r w:rsidRPr="00144DA8">
              <w:t>Nuevo número</w:t>
            </w:r>
          </w:p>
        </w:tc>
        <w:tc>
          <w:tcPr>
            <w:tcW w:w="14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5AF5B7" w14:textId="77777777" w:rsidR="00A455E3" w:rsidRPr="00144DA8" w:rsidRDefault="00A455E3" w:rsidP="00925277">
            <w:pPr>
              <w:pStyle w:val="Tablehead0"/>
              <w:rPr>
                <w:highlight w:val="lightGray"/>
              </w:rPr>
            </w:pPr>
            <w:r w:rsidRPr="00144DA8">
              <w:t xml:space="preserve">Título actual de la Cuestión 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914A04" w14:textId="77777777" w:rsidR="00A455E3" w:rsidRPr="00144DA8" w:rsidRDefault="00A455E3" w:rsidP="00925277">
            <w:pPr>
              <w:pStyle w:val="Tablehead0"/>
              <w:rPr>
                <w:highlight w:val="lightGray"/>
              </w:rPr>
            </w:pPr>
            <w:r w:rsidRPr="00144DA8">
              <w:t>Situación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D161CD" w14:textId="77777777" w:rsidR="00A455E3" w:rsidRPr="00144DA8" w:rsidRDefault="00A455E3" w:rsidP="00925277">
            <w:pPr>
              <w:pStyle w:val="Tablehead0"/>
              <w:rPr>
                <w:highlight w:val="lightGray"/>
              </w:rPr>
            </w:pPr>
            <w:r w:rsidRPr="00144DA8">
              <w:t>Número anterior</w:t>
            </w:r>
          </w:p>
        </w:tc>
        <w:tc>
          <w:tcPr>
            <w:tcW w:w="17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A1FA52" w14:textId="77777777" w:rsidR="00A455E3" w:rsidRPr="00144DA8" w:rsidRDefault="00A455E3" w:rsidP="00925277">
            <w:pPr>
              <w:pStyle w:val="Tablehead0"/>
              <w:rPr>
                <w:rFonts w:cs="Calibri"/>
                <w:color w:val="800000"/>
                <w:highlight w:val="lightGray"/>
              </w:rPr>
            </w:pPr>
            <w:r w:rsidRPr="00144DA8">
              <w:t xml:space="preserve">Título anterior de la Cuestión </w:t>
            </w:r>
          </w:p>
        </w:tc>
      </w:tr>
      <w:tr w:rsidR="00A455E3" w:rsidRPr="00144DA8" w14:paraId="086D38DC" w14:textId="77777777" w:rsidTr="00144DA8">
        <w:trPr>
          <w:trHeight w:val="180"/>
          <w:jc w:val="center"/>
        </w:trPr>
        <w:tc>
          <w:tcPr>
            <w:tcW w:w="5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82AFCC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1/5</w:t>
            </w:r>
          </w:p>
        </w:tc>
        <w:tc>
          <w:tcPr>
            <w:tcW w:w="1498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79F0672" w14:textId="77777777" w:rsidR="00A455E3" w:rsidRPr="00144DA8" w:rsidRDefault="00A455E3" w:rsidP="00925277">
            <w:pPr>
              <w:pStyle w:val="Tabletext0"/>
            </w:pPr>
            <w:r w:rsidRPr="00144DA8">
              <w:t>Protección eléctrica, fiabilidad, seguridad y protección de los sistemas</w:t>
            </w:r>
            <w:r w:rsidRPr="00144DA8">
              <w:br/>
              <w:t>de TIC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C6F503" w14:textId="77777777" w:rsidR="00A455E3" w:rsidRPr="00144DA8" w:rsidRDefault="00A455E3" w:rsidP="00925277">
            <w:pPr>
              <w:pStyle w:val="Tabletext0"/>
            </w:pPr>
            <w:r w:rsidRPr="00144DA8">
              <w:t>Continuación de las Cuestiones 1/5 y 5/5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3DB27DBC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1/5</w:t>
            </w:r>
          </w:p>
        </w:tc>
        <w:tc>
          <w:tcPr>
            <w:tcW w:w="1701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38E62B4" w14:textId="77777777" w:rsidR="00A455E3" w:rsidRPr="00144DA8" w:rsidRDefault="00A455E3" w:rsidP="00925277">
            <w:pPr>
              <w:pStyle w:val="Tabletext0"/>
            </w:pPr>
            <w:r w:rsidRPr="00144DA8">
              <w:t>Protección de la infraestructura de las tecnologías de la información y la comunicación (TIC) contra las sobretensiones electromagnéticas</w:t>
            </w:r>
          </w:p>
        </w:tc>
      </w:tr>
      <w:tr w:rsidR="00A455E3" w:rsidRPr="00144DA8" w14:paraId="1940F70B" w14:textId="77777777" w:rsidTr="00144DA8">
        <w:trPr>
          <w:trHeight w:val="180"/>
          <w:jc w:val="center"/>
        </w:trPr>
        <w:tc>
          <w:tcPr>
            <w:tcW w:w="514" w:type="pct"/>
            <w:vMerge/>
          </w:tcPr>
          <w:p w14:paraId="612AFC81" w14:textId="77777777" w:rsidR="00A455E3" w:rsidRPr="00144DA8" w:rsidRDefault="00A455E3" w:rsidP="00925277">
            <w:pPr>
              <w:pStyle w:val="Tabletext0"/>
              <w:jc w:val="center"/>
            </w:pPr>
          </w:p>
        </w:tc>
        <w:tc>
          <w:tcPr>
            <w:tcW w:w="1498" w:type="pct"/>
            <w:vMerge/>
          </w:tcPr>
          <w:p w14:paraId="4925BDA0" w14:textId="77777777" w:rsidR="00A455E3" w:rsidRPr="00144DA8" w:rsidRDefault="00A455E3" w:rsidP="00925277">
            <w:pPr>
              <w:pStyle w:val="Tabletext0"/>
            </w:pPr>
          </w:p>
        </w:tc>
        <w:tc>
          <w:tcPr>
            <w:tcW w:w="770" w:type="pct"/>
            <w:vMerge/>
          </w:tcPr>
          <w:p w14:paraId="47E87805" w14:textId="77777777" w:rsidR="00A455E3" w:rsidRPr="00144DA8" w:rsidRDefault="00A455E3" w:rsidP="00925277">
            <w:pPr>
              <w:pStyle w:val="Tabletext0"/>
            </w:pPr>
          </w:p>
        </w:tc>
        <w:tc>
          <w:tcPr>
            <w:tcW w:w="517" w:type="pct"/>
            <w:shd w:val="clear" w:color="auto" w:fill="auto"/>
          </w:tcPr>
          <w:p w14:paraId="3C5129F0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5/5</w:t>
            </w:r>
          </w:p>
        </w:tc>
        <w:tc>
          <w:tcPr>
            <w:tcW w:w="1701" w:type="pct"/>
            <w:shd w:val="clear" w:color="auto" w:fill="auto"/>
          </w:tcPr>
          <w:p w14:paraId="10C2B907" w14:textId="77777777" w:rsidR="00A455E3" w:rsidRPr="00144DA8" w:rsidRDefault="00A455E3" w:rsidP="00925277">
            <w:pPr>
              <w:pStyle w:val="Tabletext0"/>
            </w:pPr>
            <w:r w:rsidRPr="00144DA8">
              <w:t>Seguridad y fiabilidad de los sistemas de tecnologías de la información y la comunicación (TIC) respecto de las radiaciones electromagnéticas y corpusculares</w:t>
            </w:r>
          </w:p>
        </w:tc>
      </w:tr>
      <w:tr w:rsidR="00A455E3" w:rsidRPr="00144DA8" w14:paraId="2D0849E8" w14:textId="77777777" w:rsidTr="00144DA8">
        <w:trPr>
          <w:jc w:val="center"/>
        </w:trPr>
        <w:tc>
          <w:tcPr>
            <w:tcW w:w="514" w:type="pct"/>
            <w:shd w:val="clear" w:color="auto" w:fill="auto"/>
          </w:tcPr>
          <w:p w14:paraId="6C522EFE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2/5</w:t>
            </w:r>
          </w:p>
        </w:tc>
        <w:tc>
          <w:tcPr>
            <w:tcW w:w="1498" w:type="pct"/>
            <w:shd w:val="clear" w:color="auto" w:fill="auto"/>
          </w:tcPr>
          <w:p w14:paraId="27E1C9D9" w14:textId="77777777" w:rsidR="00A455E3" w:rsidRPr="00144DA8" w:rsidRDefault="00A455E3" w:rsidP="00925277">
            <w:pPr>
              <w:pStyle w:val="Tabletext0"/>
            </w:pPr>
            <w:r w:rsidRPr="00144DA8">
              <w:t>Protección de equipos y dispositivos frente a rayos y otros fenómenos eléctricos</w:t>
            </w:r>
          </w:p>
        </w:tc>
        <w:tc>
          <w:tcPr>
            <w:tcW w:w="770" w:type="pct"/>
            <w:shd w:val="clear" w:color="auto" w:fill="auto"/>
          </w:tcPr>
          <w:p w14:paraId="1C09622D" w14:textId="77777777" w:rsidR="00A455E3" w:rsidRPr="00144DA8" w:rsidRDefault="00A455E3" w:rsidP="00925277">
            <w:pPr>
              <w:pStyle w:val="Tabletext0"/>
            </w:pPr>
            <w:r w:rsidRPr="00144DA8">
              <w:t>Continuación</w:t>
            </w:r>
          </w:p>
        </w:tc>
        <w:tc>
          <w:tcPr>
            <w:tcW w:w="517" w:type="pct"/>
            <w:shd w:val="clear" w:color="auto" w:fill="auto"/>
          </w:tcPr>
          <w:p w14:paraId="2F0811BE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2/5</w:t>
            </w:r>
          </w:p>
        </w:tc>
        <w:tc>
          <w:tcPr>
            <w:tcW w:w="1701" w:type="pct"/>
            <w:shd w:val="clear" w:color="auto" w:fill="auto"/>
          </w:tcPr>
          <w:p w14:paraId="639D851B" w14:textId="77777777" w:rsidR="00A455E3" w:rsidRPr="00144DA8" w:rsidRDefault="00A455E3" w:rsidP="00925277">
            <w:pPr>
              <w:pStyle w:val="Tabletext0"/>
            </w:pPr>
            <w:r w:rsidRPr="00144DA8">
              <w:t>Capacidad de resistencia de los equipos y componentes de protección</w:t>
            </w:r>
          </w:p>
        </w:tc>
      </w:tr>
      <w:tr w:rsidR="00A455E3" w:rsidRPr="00144DA8" w14:paraId="6860900A" w14:textId="77777777" w:rsidTr="00144DA8">
        <w:trPr>
          <w:trHeight w:val="1110"/>
          <w:jc w:val="center"/>
        </w:trPr>
        <w:tc>
          <w:tcPr>
            <w:tcW w:w="514" w:type="pct"/>
            <w:shd w:val="clear" w:color="auto" w:fill="auto"/>
          </w:tcPr>
          <w:p w14:paraId="32080EBE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3/5</w:t>
            </w:r>
          </w:p>
        </w:tc>
        <w:tc>
          <w:tcPr>
            <w:tcW w:w="1498" w:type="pct"/>
            <w:shd w:val="clear" w:color="auto" w:fill="auto"/>
          </w:tcPr>
          <w:p w14:paraId="7A2A511B" w14:textId="77777777" w:rsidR="00A455E3" w:rsidRPr="00144DA8" w:rsidRDefault="00A455E3" w:rsidP="00925277">
            <w:pPr>
              <w:pStyle w:val="Tabletext0"/>
            </w:pPr>
            <w:r w:rsidRPr="00144DA8">
              <w:t>Exposición de las personas a los campos electromagnéticos (CEM) de las tecnologías digitales</w:t>
            </w:r>
          </w:p>
        </w:tc>
        <w:tc>
          <w:tcPr>
            <w:tcW w:w="770" w:type="pct"/>
            <w:shd w:val="clear" w:color="auto" w:fill="auto"/>
          </w:tcPr>
          <w:p w14:paraId="447680F4" w14:textId="77777777" w:rsidR="00A455E3" w:rsidRPr="00144DA8" w:rsidRDefault="00A455E3" w:rsidP="00925277">
            <w:pPr>
              <w:pStyle w:val="Tabletext0"/>
            </w:pPr>
            <w:r w:rsidRPr="00144DA8">
              <w:t>Continuación</w:t>
            </w:r>
          </w:p>
        </w:tc>
        <w:tc>
          <w:tcPr>
            <w:tcW w:w="517" w:type="pct"/>
            <w:shd w:val="clear" w:color="auto" w:fill="auto"/>
          </w:tcPr>
          <w:p w14:paraId="113DEC22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3/5</w:t>
            </w:r>
          </w:p>
        </w:tc>
        <w:tc>
          <w:tcPr>
            <w:tcW w:w="1701" w:type="pct"/>
            <w:shd w:val="clear" w:color="auto" w:fill="auto"/>
          </w:tcPr>
          <w:p w14:paraId="0F987F83" w14:textId="77777777" w:rsidR="00A455E3" w:rsidRPr="00144DA8" w:rsidRDefault="00A455E3" w:rsidP="00925277">
            <w:pPr>
              <w:pStyle w:val="Tabletext0"/>
            </w:pPr>
            <w:r w:rsidRPr="00144DA8">
              <w:t>Exposición de las personas a los campos electromagnéticos (EMF) de las tecnologías de la información y la comunicación (TIC)</w:t>
            </w:r>
          </w:p>
        </w:tc>
      </w:tr>
      <w:tr w:rsidR="00A455E3" w:rsidRPr="00144DA8" w14:paraId="0591C356" w14:textId="77777777" w:rsidTr="00144DA8">
        <w:trPr>
          <w:jc w:val="center"/>
        </w:trPr>
        <w:tc>
          <w:tcPr>
            <w:tcW w:w="514" w:type="pct"/>
            <w:shd w:val="clear" w:color="auto" w:fill="auto"/>
          </w:tcPr>
          <w:p w14:paraId="5B82CC76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4/5</w:t>
            </w:r>
          </w:p>
        </w:tc>
        <w:tc>
          <w:tcPr>
            <w:tcW w:w="1498" w:type="pct"/>
            <w:shd w:val="clear" w:color="auto" w:fill="auto"/>
          </w:tcPr>
          <w:p w14:paraId="43EABC3C" w14:textId="77777777" w:rsidR="00A455E3" w:rsidRPr="00144DA8" w:rsidRDefault="00A455E3" w:rsidP="00925277">
            <w:pPr>
              <w:pStyle w:val="Tabletext0"/>
            </w:pPr>
            <w:r w:rsidRPr="00144DA8">
              <w:t>Aspectos de compatibilidad electromagnética (EMC) en el entorno de las TIC</w:t>
            </w:r>
          </w:p>
        </w:tc>
        <w:tc>
          <w:tcPr>
            <w:tcW w:w="770" w:type="pct"/>
            <w:shd w:val="clear" w:color="auto" w:fill="auto"/>
          </w:tcPr>
          <w:p w14:paraId="1F441CD2" w14:textId="77777777" w:rsidR="00A455E3" w:rsidRPr="00144DA8" w:rsidRDefault="00A455E3" w:rsidP="00925277">
            <w:pPr>
              <w:pStyle w:val="Tabletext0"/>
            </w:pPr>
            <w:r w:rsidRPr="00144DA8">
              <w:t>Continuación</w:t>
            </w:r>
          </w:p>
        </w:tc>
        <w:tc>
          <w:tcPr>
            <w:tcW w:w="517" w:type="pct"/>
            <w:shd w:val="clear" w:color="auto" w:fill="auto"/>
          </w:tcPr>
          <w:p w14:paraId="131261A9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4/5</w:t>
            </w:r>
          </w:p>
        </w:tc>
        <w:tc>
          <w:tcPr>
            <w:tcW w:w="1701" w:type="pct"/>
            <w:shd w:val="clear" w:color="auto" w:fill="auto"/>
          </w:tcPr>
          <w:p w14:paraId="43393ACE" w14:textId="77777777" w:rsidR="00A455E3" w:rsidRPr="00144DA8" w:rsidRDefault="00A455E3" w:rsidP="00925277">
            <w:pPr>
              <w:pStyle w:val="Tabletext0"/>
              <w:rPr>
                <w:rFonts w:cs="Calibri"/>
                <w:b/>
              </w:rPr>
            </w:pPr>
            <w:r w:rsidRPr="00144DA8">
              <w:t>Problemas de compatibilidad electromagnética (EMC) en el entorno de las telecomunicaciones</w:t>
            </w:r>
          </w:p>
        </w:tc>
      </w:tr>
      <w:tr w:rsidR="00A455E3" w:rsidRPr="00144DA8" w14:paraId="35ABD401" w14:textId="77777777" w:rsidTr="00144DA8">
        <w:trPr>
          <w:jc w:val="center"/>
        </w:trPr>
        <w:tc>
          <w:tcPr>
            <w:tcW w:w="514" w:type="pct"/>
            <w:shd w:val="clear" w:color="auto" w:fill="auto"/>
          </w:tcPr>
          <w:p w14:paraId="43FF6D32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6/5</w:t>
            </w:r>
          </w:p>
        </w:tc>
        <w:tc>
          <w:tcPr>
            <w:tcW w:w="1498" w:type="pct"/>
            <w:shd w:val="clear" w:color="auto" w:fill="auto"/>
          </w:tcPr>
          <w:p w14:paraId="390CDE6C" w14:textId="77777777" w:rsidR="00A455E3" w:rsidRPr="00144DA8" w:rsidRDefault="00A455E3" w:rsidP="00925277">
            <w:pPr>
              <w:pStyle w:val="Tabletext0"/>
            </w:pPr>
            <w:r w:rsidRPr="00144DA8">
              <w:t>Eficiencia medioambiental de las tecnologías digitales</w:t>
            </w:r>
          </w:p>
        </w:tc>
        <w:tc>
          <w:tcPr>
            <w:tcW w:w="770" w:type="pct"/>
            <w:shd w:val="clear" w:color="auto" w:fill="auto"/>
          </w:tcPr>
          <w:p w14:paraId="3DBDA51C" w14:textId="77777777" w:rsidR="00A455E3" w:rsidRPr="00144DA8" w:rsidRDefault="00A455E3" w:rsidP="00925277">
            <w:pPr>
              <w:pStyle w:val="Tabletext0"/>
            </w:pPr>
            <w:r w:rsidRPr="00144DA8">
              <w:t>Continuación de parte de la Cuestión 6/5</w:t>
            </w:r>
          </w:p>
        </w:tc>
        <w:tc>
          <w:tcPr>
            <w:tcW w:w="517" w:type="pct"/>
            <w:shd w:val="clear" w:color="auto" w:fill="auto"/>
          </w:tcPr>
          <w:p w14:paraId="2F73EEC7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6/5</w:t>
            </w:r>
          </w:p>
        </w:tc>
        <w:tc>
          <w:tcPr>
            <w:tcW w:w="1701" w:type="pct"/>
            <w:shd w:val="clear" w:color="auto" w:fill="auto"/>
          </w:tcPr>
          <w:p w14:paraId="0D9C0656" w14:textId="77777777" w:rsidR="00A455E3" w:rsidRPr="00144DA8" w:rsidRDefault="00A455E3" w:rsidP="00925277">
            <w:pPr>
              <w:pStyle w:val="Tabletext0"/>
              <w:rPr>
                <w:rFonts w:cs="Calibri"/>
                <w:b/>
              </w:rPr>
            </w:pPr>
            <w:r w:rsidRPr="00144DA8">
              <w:t>Fomento de la eficiencia energética y las energías inteligentes</w:t>
            </w:r>
          </w:p>
        </w:tc>
      </w:tr>
      <w:tr w:rsidR="00A455E3" w:rsidRPr="00144DA8" w14:paraId="6192BD98" w14:textId="77777777" w:rsidTr="00144DA8">
        <w:trPr>
          <w:trHeight w:val="1020"/>
          <w:jc w:val="center"/>
        </w:trPr>
        <w:tc>
          <w:tcPr>
            <w:tcW w:w="514" w:type="pct"/>
            <w:shd w:val="clear" w:color="auto" w:fill="auto"/>
          </w:tcPr>
          <w:p w14:paraId="1BF0FE23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7/5</w:t>
            </w:r>
          </w:p>
        </w:tc>
        <w:tc>
          <w:tcPr>
            <w:tcW w:w="1498" w:type="pct"/>
            <w:shd w:val="clear" w:color="auto" w:fill="auto"/>
          </w:tcPr>
          <w:p w14:paraId="07523B0B" w14:textId="77777777" w:rsidR="00A455E3" w:rsidRPr="00144DA8" w:rsidRDefault="00A455E3" w:rsidP="00925277">
            <w:pPr>
              <w:pStyle w:val="Tabletext0"/>
            </w:pPr>
            <w:r w:rsidRPr="00144DA8">
              <w:t>Residuos electrónicos, economía circular y gestión sostenible de las cadenas de suministro</w:t>
            </w:r>
          </w:p>
        </w:tc>
        <w:tc>
          <w:tcPr>
            <w:tcW w:w="770" w:type="pct"/>
            <w:shd w:val="clear" w:color="auto" w:fill="auto"/>
          </w:tcPr>
          <w:p w14:paraId="78AFBC8E" w14:textId="77777777" w:rsidR="00A455E3" w:rsidRPr="00144DA8" w:rsidRDefault="00A455E3" w:rsidP="00925277">
            <w:pPr>
              <w:pStyle w:val="Tabletext0"/>
            </w:pPr>
            <w:r w:rsidRPr="00144DA8">
              <w:t>Continuación</w:t>
            </w:r>
          </w:p>
        </w:tc>
        <w:tc>
          <w:tcPr>
            <w:tcW w:w="517" w:type="pct"/>
            <w:shd w:val="clear" w:color="auto" w:fill="auto"/>
          </w:tcPr>
          <w:p w14:paraId="08E19032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7/5</w:t>
            </w:r>
          </w:p>
        </w:tc>
        <w:tc>
          <w:tcPr>
            <w:tcW w:w="1701" w:type="pct"/>
            <w:shd w:val="clear" w:color="auto" w:fill="auto"/>
          </w:tcPr>
          <w:p w14:paraId="50658456" w14:textId="77777777" w:rsidR="00A455E3" w:rsidRPr="00144DA8" w:rsidRDefault="00A455E3" w:rsidP="00925277">
            <w:pPr>
              <w:pStyle w:val="Tabletext0"/>
            </w:pPr>
            <w:r w:rsidRPr="00144DA8">
              <w:t>Economía circular, incluidos los residuos-e</w:t>
            </w:r>
          </w:p>
        </w:tc>
      </w:tr>
      <w:tr w:rsidR="00A455E3" w:rsidRPr="00144DA8" w14:paraId="697F7CD4" w14:textId="77777777" w:rsidTr="00144DA8">
        <w:trPr>
          <w:trHeight w:val="255"/>
          <w:jc w:val="center"/>
        </w:trPr>
        <w:tc>
          <w:tcPr>
            <w:tcW w:w="514" w:type="pct"/>
            <w:shd w:val="clear" w:color="auto" w:fill="auto"/>
          </w:tcPr>
          <w:p w14:paraId="55804EB4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8/5</w:t>
            </w:r>
          </w:p>
        </w:tc>
        <w:tc>
          <w:tcPr>
            <w:tcW w:w="1498" w:type="pct"/>
            <w:shd w:val="clear" w:color="auto" w:fill="auto"/>
          </w:tcPr>
          <w:p w14:paraId="36582B1B" w14:textId="77777777" w:rsidR="00A455E3" w:rsidRPr="00144DA8" w:rsidRDefault="00A455E3" w:rsidP="00925277">
            <w:pPr>
              <w:pStyle w:val="Tabletext0"/>
            </w:pPr>
            <w:r w:rsidRPr="00144DA8">
              <w:t>Guías y terminología sobre el medio ambiente</w:t>
            </w:r>
          </w:p>
        </w:tc>
        <w:tc>
          <w:tcPr>
            <w:tcW w:w="770" w:type="pct"/>
            <w:shd w:val="clear" w:color="auto" w:fill="auto"/>
          </w:tcPr>
          <w:p w14:paraId="6F7A6ADF" w14:textId="77777777" w:rsidR="00A455E3" w:rsidRPr="00144DA8" w:rsidRDefault="00A455E3" w:rsidP="00925277">
            <w:pPr>
              <w:pStyle w:val="Tabletext0"/>
            </w:pPr>
            <w:r w:rsidRPr="00144DA8">
              <w:t>Continuación</w:t>
            </w:r>
          </w:p>
        </w:tc>
        <w:tc>
          <w:tcPr>
            <w:tcW w:w="517" w:type="pct"/>
            <w:shd w:val="clear" w:color="auto" w:fill="auto"/>
          </w:tcPr>
          <w:p w14:paraId="4662D277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8/5</w:t>
            </w:r>
          </w:p>
        </w:tc>
        <w:tc>
          <w:tcPr>
            <w:tcW w:w="1701" w:type="pct"/>
            <w:shd w:val="clear" w:color="auto" w:fill="auto"/>
          </w:tcPr>
          <w:p w14:paraId="5830F6F8" w14:textId="77777777" w:rsidR="00A455E3" w:rsidRPr="00144DA8" w:rsidRDefault="00A455E3" w:rsidP="00925277">
            <w:pPr>
              <w:pStyle w:val="Tabletext0"/>
              <w:rPr>
                <w:rFonts w:cs="Calibri"/>
                <w:b/>
              </w:rPr>
            </w:pPr>
            <w:r w:rsidRPr="00144DA8">
              <w:t>Guías y terminología sobre el medioambiente y el cambio climático</w:t>
            </w:r>
          </w:p>
        </w:tc>
      </w:tr>
      <w:tr w:rsidR="00A455E3" w:rsidRPr="00144DA8" w14:paraId="681FFFC6" w14:textId="77777777" w:rsidTr="00144DA8">
        <w:trPr>
          <w:trHeight w:val="255"/>
          <w:jc w:val="center"/>
        </w:trPr>
        <w:tc>
          <w:tcPr>
            <w:tcW w:w="514" w:type="pct"/>
            <w:shd w:val="clear" w:color="auto" w:fill="auto"/>
          </w:tcPr>
          <w:p w14:paraId="5AE4D111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9/5</w:t>
            </w:r>
          </w:p>
        </w:tc>
        <w:tc>
          <w:tcPr>
            <w:tcW w:w="1498" w:type="pct"/>
            <w:shd w:val="clear" w:color="auto" w:fill="auto"/>
          </w:tcPr>
          <w:p w14:paraId="17356347" w14:textId="77777777" w:rsidR="00A455E3" w:rsidRPr="00144DA8" w:rsidRDefault="00A455E3" w:rsidP="00925277">
            <w:pPr>
              <w:pStyle w:val="Tabletext0"/>
            </w:pPr>
            <w:r w:rsidRPr="00144DA8">
              <w:t>Cambio climático y evaluación de las tecnologías digitales en el marco de los Objetivos de Desarrollo Sostenible (ODS) y el Acuerdo de París</w:t>
            </w:r>
          </w:p>
        </w:tc>
        <w:tc>
          <w:tcPr>
            <w:tcW w:w="770" w:type="pct"/>
            <w:shd w:val="clear" w:color="auto" w:fill="auto"/>
          </w:tcPr>
          <w:p w14:paraId="762E560F" w14:textId="77777777" w:rsidR="00A455E3" w:rsidRPr="00144DA8" w:rsidRDefault="00A455E3" w:rsidP="00925277">
            <w:pPr>
              <w:pStyle w:val="Tabletext0"/>
            </w:pPr>
            <w:r w:rsidRPr="00144DA8">
              <w:t>Continuación de parte de la Cuestión 9/5</w:t>
            </w:r>
          </w:p>
        </w:tc>
        <w:tc>
          <w:tcPr>
            <w:tcW w:w="517" w:type="pct"/>
            <w:shd w:val="clear" w:color="auto" w:fill="auto"/>
          </w:tcPr>
          <w:p w14:paraId="6AA87149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9/5</w:t>
            </w:r>
          </w:p>
        </w:tc>
        <w:tc>
          <w:tcPr>
            <w:tcW w:w="1701" w:type="pct"/>
            <w:shd w:val="clear" w:color="auto" w:fill="auto"/>
          </w:tcPr>
          <w:p w14:paraId="5B0EF6D4" w14:textId="77777777" w:rsidR="00A455E3" w:rsidRPr="00144DA8" w:rsidRDefault="00A455E3" w:rsidP="00925277">
            <w:pPr>
              <w:pStyle w:val="Tabletext0"/>
              <w:rPr>
                <w:rFonts w:cs="Calibri"/>
                <w:b/>
              </w:rPr>
            </w:pPr>
            <w:r w:rsidRPr="00144DA8">
              <w:t>Cambio climático y evaluación de las tecnologías de la información y la comunicación (TIC) en el marco de los Objetivos de Desarrollo Sostenible (ODS)</w:t>
            </w:r>
          </w:p>
        </w:tc>
      </w:tr>
      <w:tr w:rsidR="00A455E3" w:rsidRPr="00144DA8" w14:paraId="649B598B" w14:textId="77777777" w:rsidTr="00144DA8">
        <w:trPr>
          <w:trHeight w:val="255"/>
          <w:jc w:val="center"/>
        </w:trPr>
        <w:tc>
          <w:tcPr>
            <w:tcW w:w="514" w:type="pct"/>
            <w:shd w:val="clear" w:color="auto" w:fill="auto"/>
          </w:tcPr>
          <w:p w14:paraId="2EA44A30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lastRenderedPageBreak/>
              <w:t>11/5</w:t>
            </w:r>
          </w:p>
        </w:tc>
        <w:tc>
          <w:tcPr>
            <w:tcW w:w="1498" w:type="pct"/>
            <w:shd w:val="clear" w:color="auto" w:fill="auto"/>
          </w:tcPr>
          <w:p w14:paraId="6FBEE58E" w14:textId="77777777" w:rsidR="00A455E3" w:rsidRPr="00144DA8" w:rsidRDefault="00A455E3" w:rsidP="00925277">
            <w:pPr>
              <w:pStyle w:val="Tabletext0"/>
            </w:pPr>
            <w:r w:rsidRPr="00144DA8">
              <w:t>Mitigación del cambio climático y soluciones energéticas inteligentes</w:t>
            </w:r>
          </w:p>
        </w:tc>
        <w:tc>
          <w:tcPr>
            <w:tcW w:w="770" w:type="pct"/>
            <w:shd w:val="clear" w:color="auto" w:fill="auto"/>
          </w:tcPr>
          <w:p w14:paraId="09797BCA" w14:textId="77777777" w:rsidR="00A455E3" w:rsidRPr="00144DA8" w:rsidRDefault="00A455E3" w:rsidP="00925277">
            <w:pPr>
              <w:pStyle w:val="Tabletext0"/>
            </w:pPr>
            <w:r w:rsidRPr="00144DA8">
              <w:t>Continuación de parte de la Cuestión 6/5</w:t>
            </w:r>
          </w:p>
        </w:tc>
        <w:tc>
          <w:tcPr>
            <w:tcW w:w="517" w:type="pct"/>
            <w:shd w:val="clear" w:color="auto" w:fill="auto"/>
          </w:tcPr>
          <w:p w14:paraId="148EA9F6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6/5</w:t>
            </w:r>
          </w:p>
        </w:tc>
        <w:tc>
          <w:tcPr>
            <w:tcW w:w="1701" w:type="pct"/>
            <w:shd w:val="clear" w:color="auto" w:fill="auto"/>
          </w:tcPr>
          <w:p w14:paraId="401AF0F9" w14:textId="77777777" w:rsidR="00A455E3" w:rsidRPr="00144DA8" w:rsidRDefault="00A455E3" w:rsidP="00925277">
            <w:pPr>
              <w:pStyle w:val="Tabletext0"/>
              <w:rPr>
                <w:rFonts w:cs="Calibri"/>
                <w:b/>
              </w:rPr>
            </w:pPr>
            <w:r w:rsidRPr="00144DA8">
              <w:t>Fomento de la eficiencia energética y las energías inteligentes</w:t>
            </w:r>
          </w:p>
        </w:tc>
      </w:tr>
      <w:tr w:rsidR="00A455E3" w:rsidRPr="00144DA8" w14:paraId="6309181F" w14:textId="77777777" w:rsidTr="00144DA8">
        <w:trPr>
          <w:trHeight w:val="255"/>
          <w:jc w:val="center"/>
        </w:trPr>
        <w:tc>
          <w:tcPr>
            <w:tcW w:w="514" w:type="pct"/>
            <w:vMerge w:val="restart"/>
            <w:shd w:val="clear" w:color="auto" w:fill="auto"/>
          </w:tcPr>
          <w:p w14:paraId="36C72893" w14:textId="77777777" w:rsidR="00A455E3" w:rsidRPr="00144DA8" w:rsidRDefault="00A455E3" w:rsidP="00925277">
            <w:pPr>
              <w:pStyle w:val="Tabletext0"/>
              <w:keepNext/>
              <w:keepLines/>
              <w:jc w:val="center"/>
            </w:pPr>
            <w:r w:rsidRPr="00144DA8">
              <w:t>12/5</w:t>
            </w:r>
          </w:p>
        </w:tc>
        <w:tc>
          <w:tcPr>
            <w:tcW w:w="1498" w:type="pct"/>
            <w:vMerge w:val="restart"/>
            <w:shd w:val="clear" w:color="auto" w:fill="auto"/>
          </w:tcPr>
          <w:p w14:paraId="116C6BA4" w14:textId="77777777" w:rsidR="00A455E3" w:rsidRPr="00144DA8" w:rsidRDefault="00A455E3" w:rsidP="00925277">
            <w:pPr>
              <w:pStyle w:val="Tabletext0"/>
              <w:keepNext/>
              <w:keepLines/>
            </w:pPr>
            <w:r w:rsidRPr="00144DA8">
              <w:t>Adaptación al cambio climático mediante tecnologías digitales sostenibles y resilientes</w:t>
            </w:r>
          </w:p>
        </w:tc>
        <w:tc>
          <w:tcPr>
            <w:tcW w:w="770" w:type="pct"/>
            <w:vMerge w:val="restart"/>
            <w:shd w:val="clear" w:color="auto" w:fill="auto"/>
          </w:tcPr>
          <w:p w14:paraId="076A3D10" w14:textId="77777777" w:rsidR="00A455E3" w:rsidRPr="00144DA8" w:rsidRDefault="00A455E3" w:rsidP="00925277">
            <w:pPr>
              <w:pStyle w:val="Tabletext0"/>
              <w:keepNext/>
              <w:keepLines/>
            </w:pPr>
            <w:r w:rsidRPr="00144DA8">
              <w:t>Continuación de parte de las Cuestiones 6/5 y 9/5</w:t>
            </w:r>
          </w:p>
        </w:tc>
        <w:tc>
          <w:tcPr>
            <w:tcW w:w="517" w:type="pct"/>
            <w:shd w:val="clear" w:color="auto" w:fill="auto"/>
          </w:tcPr>
          <w:p w14:paraId="11B5310F" w14:textId="77777777" w:rsidR="00A455E3" w:rsidRPr="00144DA8" w:rsidRDefault="00A455E3" w:rsidP="00925277">
            <w:pPr>
              <w:pStyle w:val="Tabletext0"/>
              <w:keepNext/>
              <w:keepLines/>
              <w:jc w:val="center"/>
            </w:pPr>
            <w:r w:rsidRPr="00144DA8">
              <w:t>6/5</w:t>
            </w:r>
          </w:p>
        </w:tc>
        <w:tc>
          <w:tcPr>
            <w:tcW w:w="1701" w:type="pct"/>
            <w:shd w:val="clear" w:color="auto" w:fill="auto"/>
          </w:tcPr>
          <w:p w14:paraId="6F27C04C" w14:textId="77777777" w:rsidR="00A455E3" w:rsidRPr="00144DA8" w:rsidRDefault="00A455E3" w:rsidP="00925277">
            <w:pPr>
              <w:pStyle w:val="Tabletext0"/>
              <w:keepNext/>
              <w:keepLines/>
              <w:rPr>
                <w:rFonts w:cs="Calibri"/>
                <w:b/>
              </w:rPr>
            </w:pPr>
            <w:r w:rsidRPr="00144DA8">
              <w:t>Fomento de la eficiencia energética y las energías inteligentes</w:t>
            </w:r>
          </w:p>
        </w:tc>
      </w:tr>
      <w:tr w:rsidR="00A455E3" w:rsidRPr="00144DA8" w14:paraId="5C80BCAA" w14:textId="77777777" w:rsidTr="00144DA8">
        <w:trPr>
          <w:trHeight w:val="255"/>
          <w:jc w:val="center"/>
        </w:trPr>
        <w:tc>
          <w:tcPr>
            <w:tcW w:w="514" w:type="pct"/>
            <w:vMerge/>
          </w:tcPr>
          <w:p w14:paraId="6EEF487B" w14:textId="77777777" w:rsidR="00A455E3" w:rsidRPr="00144DA8" w:rsidRDefault="00A455E3" w:rsidP="00925277">
            <w:pPr>
              <w:pStyle w:val="Tabletext0"/>
              <w:keepNext/>
              <w:keepLines/>
              <w:jc w:val="center"/>
            </w:pPr>
          </w:p>
        </w:tc>
        <w:tc>
          <w:tcPr>
            <w:tcW w:w="1498" w:type="pct"/>
            <w:vMerge/>
          </w:tcPr>
          <w:p w14:paraId="6CBC941C" w14:textId="77777777" w:rsidR="00A455E3" w:rsidRPr="00144DA8" w:rsidRDefault="00A455E3" w:rsidP="00925277">
            <w:pPr>
              <w:pStyle w:val="Tabletext0"/>
              <w:keepNext/>
              <w:keepLines/>
            </w:pPr>
          </w:p>
        </w:tc>
        <w:tc>
          <w:tcPr>
            <w:tcW w:w="770" w:type="pct"/>
            <w:vMerge/>
          </w:tcPr>
          <w:p w14:paraId="198AF913" w14:textId="77777777" w:rsidR="00A455E3" w:rsidRPr="00144DA8" w:rsidRDefault="00A455E3" w:rsidP="00925277">
            <w:pPr>
              <w:pStyle w:val="Tabletext0"/>
              <w:keepNext/>
              <w:keepLines/>
            </w:pPr>
          </w:p>
        </w:tc>
        <w:tc>
          <w:tcPr>
            <w:tcW w:w="517" w:type="pct"/>
            <w:shd w:val="clear" w:color="auto" w:fill="auto"/>
          </w:tcPr>
          <w:p w14:paraId="03820DF8" w14:textId="77777777" w:rsidR="00A455E3" w:rsidRPr="00144DA8" w:rsidRDefault="00A455E3" w:rsidP="00925277">
            <w:pPr>
              <w:pStyle w:val="Tabletext0"/>
              <w:keepNext/>
              <w:keepLines/>
              <w:jc w:val="center"/>
            </w:pPr>
            <w:r w:rsidRPr="00144DA8">
              <w:t>9/5</w:t>
            </w:r>
          </w:p>
        </w:tc>
        <w:tc>
          <w:tcPr>
            <w:tcW w:w="1701" w:type="pct"/>
            <w:shd w:val="clear" w:color="auto" w:fill="auto"/>
          </w:tcPr>
          <w:p w14:paraId="2F5EA22F" w14:textId="77777777" w:rsidR="00A455E3" w:rsidRPr="00144DA8" w:rsidRDefault="00A455E3" w:rsidP="00925277">
            <w:pPr>
              <w:pStyle w:val="Tabletext0"/>
              <w:keepNext/>
              <w:keepLines/>
            </w:pPr>
            <w:r w:rsidRPr="00144DA8">
              <w:t>Cambio climático y evaluación de las tecnologías de la información y la comunicación (TIC) en el marco de los Objetivos de Desarrollo Sostenible (ODS)</w:t>
            </w:r>
          </w:p>
        </w:tc>
      </w:tr>
      <w:tr w:rsidR="00A455E3" w:rsidRPr="00144DA8" w14:paraId="0AA74878" w14:textId="77777777" w:rsidTr="00144DA8">
        <w:trPr>
          <w:jc w:val="center"/>
        </w:trPr>
        <w:tc>
          <w:tcPr>
            <w:tcW w:w="514" w:type="pct"/>
            <w:shd w:val="clear" w:color="auto" w:fill="auto"/>
          </w:tcPr>
          <w:p w14:paraId="51D2AC8F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13/5</w:t>
            </w:r>
          </w:p>
        </w:tc>
        <w:tc>
          <w:tcPr>
            <w:tcW w:w="1498" w:type="pct"/>
            <w:shd w:val="clear" w:color="auto" w:fill="auto"/>
          </w:tcPr>
          <w:p w14:paraId="1A32CBE2" w14:textId="77777777" w:rsidR="00A455E3" w:rsidRPr="00144DA8" w:rsidRDefault="00A455E3" w:rsidP="00925277">
            <w:pPr>
              <w:pStyle w:val="Tabletext0"/>
            </w:pPr>
            <w:r w:rsidRPr="00144DA8">
              <w:t>Establecimiento de ciudades y comunidades circulares sostenibles</w:t>
            </w:r>
          </w:p>
        </w:tc>
        <w:tc>
          <w:tcPr>
            <w:tcW w:w="770" w:type="pct"/>
            <w:shd w:val="clear" w:color="auto" w:fill="auto"/>
          </w:tcPr>
          <w:p w14:paraId="29C46017" w14:textId="77777777" w:rsidR="00A455E3" w:rsidRPr="00144DA8" w:rsidRDefault="00A455E3" w:rsidP="00925277">
            <w:pPr>
              <w:pStyle w:val="Tabletext0"/>
            </w:pPr>
            <w:r w:rsidRPr="00144DA8">
              <w:t>Nueva</w:t>
            </w:r>
          </w:p>
        </w:tc>
        <w:tc>
          <w:tcPr>
            <w:tcW w:w="517" w:type="pct"/>
            <w:shd w:val="clear" w:color="auto" w:fill="auto"/>
          </w:tcPr>
          <w:p w14:paraId="6DA714AA" w14:textId="77777777" w:rsidR="00A455E3" w:rsidRPr="00144DA8" w:rsidRDefault="00A455E3" w:rsidP="00925277">
            <w:pPr>
              <w:pStyle w:val="Tabletext0"/>
              <w:jc w:val="center"/>
            </w:pPr>
            <w:r w:rsidRPr="00144DA8">
              <w:t>–</w:t>
            </w:r>
          </w:p>
        </w:tc>
        <w:tc>
          <w:tcPr>
            <w:tcW w:w="1701" w:type="pct"/>
            <w:shd w:val="clear" w:color="auto" w:fill="auto"/>
          </w:tcPr>
          <w:p w14:paraId="3DD0B472" w14:textId="77777777" w:rsidR="00A455E3" w:rsidRPr="00144DA8" w:rsidRDefault="00A455E3" w:rsidP="00925277">
            <w:pPr>
              <w:pStyle w:val="Tabletext0"/>
            </w:pPr>
            <w:r w:rsidRPr="00144DA8">
              <w:t>–</w:t>
            </w:r>
          </w:p>
        </w:tc>
      </w:tr>
      <w:bookmarkEnd w:id="2"/>
    </w:tbl>
    <w:p w14:paraId="35A84B3A" w14:textId="77777777" w:rsidR="00144DA8" w:rsidRPr="00144DA8" w:rsidRDefault="00144DA8" w:rsidP="00411C49">
      <w:pPr>
        <w:pStyle w:val="Reasons"/>
        <w:rPr>
          <w:lang w:val="es-ES_tradnl"/>
        </w:rPr>
      </w:pPr>
    </w:p>
    <w:p w14:paraId="145AB622" w14:textId="77777777" w:rsidR="00144DA8" w:rsidRPr="00144DA8" w:rsidRDefault="00144DA8">
      <w:pPr>
        <w:jc w:val="center"/>
      </w:pPr>
      <w:r w:rsidRPr="00144DA8">
        <w:t>______________</w:t>
      </w:r>
    </w:p>
    <w:sectPr w:rsidR="00144DA8" w:rsidRPr="00144DA8" w:rsidSect="002545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A482A" w14:textId="77777777" w:rsidR="006F7208" w:rsidRDefault="006F7208">
      <w:r>
        <w:separator/>
      </w:r>
    </w:p>
  </w:endnote>
  <w:endnote w:type="continuationSeparator" w:id="0">
    <w:p w14:paraId="0D8EA9C6" w14:textId="77777777" w:rsidR="006F7208" w:rsidRDefault="006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3DEA" w14:textId="77777777" w:rsidR="005F3802" w:rsidRDefault="005F3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50A5" w14:textId="3D538299" w:rsidR="006A6E05" w:rsidRPr="005F3802" w:rsidRDefault="006A6E05" w:rsidP="005F3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F3156" w14:textId="6A6A401D" w:rsidR="003D2BAB" w:rsidRPr="006A6E05" w:rsidRDefault="003D2BAB" w:rsidP="006A6E05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color w:val="0070C0"/>
        <w:sz w:val="18"/>
        <w:szCs w:val="18"/>
      </w:rPr>
    </w:pPr>
    <w:r w:rsidRPr="003D2BAB">
      <w:rPr>
        <w:color w:val="0070C0"/>
        <w:sz w:val="18"/>
        <w:szCs w:val="18"/>
      </w:rPr>
      <w:t xml:space="preserve">Unión Internacional de Telecomunicaciones • Place des </w:t>
    </w:r>
    <w:proofErr w:type="spellStart"/>
    <w:r w:rsidRPr="003D2BAB">
      <w:rPr>
        <w:color w:val="0070C0"/>
        <w:sz w:val="18"/>
        <w:szCs w:val="18"/>
      </w:rPr>
      <w:t>Nations</w:t>
    </w:r>
    <w:proofErr w:type="spellEnd"/>
    <w:r w:rsidRPr="003D2BAB">
      <w:rPr>
        <w:color w:val="0070C0"/>
        <w:sz w:val="18"/>
        <w:szCs w:val="18"/>
      </w:rPr>
      <w:t>, CH</w:t>
    </w:r>
    <w:r w:rsidRPr="003D2BAB">
      <w:rPr>
        <w:color w:val="0070C0"/>
        <w:sz w:val="18"/>
        <w:szCs w:val="18"/>
      </w:rPr>
      <w:noBreakHyphen/>
      <w:t xml:space="preserve">1211 Ginebra 20, Suiza </w:t>
    </w:r>
    <w:r w:rsidRPr="003D2BAB">
      <w:rPr>
        <w:color w:val="0070C0"/>
        <w:sz w:val="18"/>
        <w:szCs w:val="18"/>
      </w:rPr>
      <w:br/>
      <w:t xml:space="preserve">Tel.: +41 22 730 5111 • Fax: +41 22 733 7256 • Correo-e: </w:t>
    </w:r>
    <w:hyperlink r:id="rId1" w:history="1">
      <w:r w:rsidRPr="003D2BAB">
        <w:rPr>
          <w:color w:val="0070C0"/>
          <w:sz w:val="18"/>
          <w:szCs w:val="18"/>
        </w:rPr>
        <w:t>itumail@itu.int</w:t>
      </w:r>
    </w:hyperlink>
    <w:r w:rsidRPr="003D2BAB">
      <w:rPr>
        <w:color w:val="0070C0"/>
        <w:sz w:val="18"/>
        <w:szCs w:val="18"/>
      </w:rPr>
      <w:t xml:space="preserve"> • </w:t>
    </w:r>
    <w:hyperlink r:id="rId2" w:history="1">
      <w:r w:rsidRPr="003D2BAB">
        <w:rPr>
          <w:color w:val="0070C0"/>
          <w:sz w:val="18"/>
          <w:szCs w:val="18"/>
        </w:rPr>
        <w:t>www.itu.int</w:t>
      </w:r>
    </w:hyperlink>
    <w:r w:rsidRPr="003D2BAB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D43BB" w14:textId="77777777" w:rsidR="006F7208" w:rsidRDefault="006F7208">
      <w:r>
        <w:t>____________________</w:t>
      </w:r>
    </w:p>
  </w:footnote>
  <w:footnote w:type="continuationSeparator" w:id="0">
    <w:p w14:paraId="758FEC02" w14:textId="77777777" w:rsidR="006F7208" w:rsidRDefault="006F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B599395" w14:textId="63673785" w:rsidR="00141CB4" w:rsidRPr="00ED2512" w:rsidRDefault="00BC1FB8" w:rsidP="00BC1FB8">
        <w:pPr>
          <w:pStyle w:val="Header"/>
          <w:spacing w:after="240"/>
          <w:rPr>
            <w:b/>
            <w:bCs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7829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proofErr w:type="spellStart"/>
        <w:r w:rsidR="00ED2512" w:rsidRPr="00ED2512">
          <w:rPr>
            <w:sz w:val="18"/>
            <w:szCs w:val="18"/>
          </w:rPr>
          <w:t>Addéndum</w:t>
        </w:r>
        <w:proofErr w:type="spellEnd"/>
        <w:r w:rsidR="00ED2512" w:rsidRPr="00ED2512">
          <w:rPr>
            <w:sz w:val="18"/>
            <w:szCs w:val="18"/>
          </w:rPr>
          <w:t xml:space="preserve"> 1 a la Carta Colectiva TSB 10/5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3D2BD5" w14:textId="1082363F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7829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proofErr w:type="spellStart"/>
        <w:r w:rsidR="00ED2512" w:rsidRPr="00ED2512">
          <w:rPr>
            <w:sz w:val="18"/>
            <w:szCs w:val="18"/>
          </w:rPr>
          <w:t>Addéndum</w:t>
        </w:r>
        <w:proofErr w:type="spellEnd"/>
        <w:r w:rsidR="00ED2512" w:rsidRPr="00ED2512">
          <w:rPr>
            <w:sz w:val="18"/>
            <w:szCs w:val="18"/>
          </w:rPr>
          <w:t xml:space="preserve"> 1 a la Carta Colectiva TSB 10/5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258A" w14:textId="77777777" w:rsidR="005F3802" w:rsidRDefault="005F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EA4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D21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E23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60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4E7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6E6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D2C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AA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6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93F5F"/>
    <w:rsid w:val="000A1423"/>
    <w:rsid w:val="000A24B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44DA8"/>
    <w:rsid w:val="001671BC"/>
    <w:rsid w:val="001A2905"/>
    <w:rsid w:val="001A4E2A"/>
    <w:rsid w:val="001A54CC"/>
    <w:rsid w:val="001C2FAD"/>
    <w:rsid w:val="001D1BA9"/>
    <w:rsid w:val="001F0D48"/>
    <w:rsid w:val="002021BB"/>
    <w:rsid w:val="002055B1"/>
    <w:rsid w:val="00212668"/>
    <w:rsid w:val="00221C83"/>
    <w:rsid w:val="002545AA"/>
    <w:rsid w:val="00257FB4"/>
    <w:rsid w:val="00271D3E"/>
    <w:rsid w:val="0027571F"/>
    <w:rsid w:val="002C1570"/>
    <w:rsid w:val="002F6585"/>
    <w:rsid w:val="00303D62"/>
    <w:rsid w:val="00306C62"/>
    <w:rsid w:val="00313DBB"/>
    <w:rsid w:val="00324783"/>
    <w:rsid w:val="00327BC9"/>
    <w:rsid w:val="00335367"/>
    <w:rsid w:val="0033768F"/>
    <w:rsid w:val="00340554"/>
    <w:rsid w:val="00370C2D"/>
    <w:rsid w:val="003B60AA"/>
    <w:rsid w:val="003C00D3"/>
    <w:rsid w:val="003C2ECD"/>
    <w:rsid w:val="003C55BF"/>
    <w:rsid w:val="003D1E8D"/>
    <w:rsid w:val="003D2BAB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72595"/>
    <w:rsid w:val="00487829"/>
    <w:rsid w:val="004C1AD1"/>
    <w:rsid w:val="004C4144"/>
    <w:rsid w:val="004E26E4"/>
    <w:rsid w:val="004F0A81"/>
    <w:rsid w:val="004F5584"/>
    <w:rsid w:val="00505119"/>
    <w:rsid w:val="005267F7"/>
    <w:rsid w:val="00530627"/>
    <w:rsid w:val="00535F99"/>
    <w:rsid w:val="00544B46"/>
    <w:rsid w:val="00545669"/>
    <w:rsid w:val="00555E45"/>
    <w:rsid w:val="00560EDA"/>
    <w:rsid w:val="00562B4E"/>
    <w:rsid w:val="00567B54"/>
    <w:rsid w:val="0057186B"/>
    <w:rsid w:val="005827E3"/>
    <w:rsid w:val="00586B1D"/>
    <w:rsid w:val="005A3648"/>
    <w:rsid w:val="005B4854"/>
    <w:rsid w:val="005B6711"/>
    <w:rsid w:val="005E67CA"/>
    <w:rsid w:val="005E7E91"/>
    <w:rsid w:val="005F3802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A6E05"/>
    <w:rsid w:val="006B5061"/>
    <w:rsid w:val="006E24F0"/>
    <w:rsid w:val="006F6581"/>
    <w:rsid w:val="006F7208"/>
    <w:rsid w:val="00710638"/>
    <w:rsid w:val="007128A1"/>
    <w:rsid w:val="00715D93"/>
    <w:rsid w:val="00720BA2"/>
    <w:rsid w:val="00724FF9"/>
    <w:rsid w:val="00757D2D"/>
    <w:rsid w:val="00781E2A"/>
    <w:rsid w:val="007A6373"/>
    <w:rsid w:val="007B34FB"/>
    <w:rsid w:val="007E00F2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8F784E"/>
    <w:rsid w:val="0091255A"/>
    <w:rsid w:val="009321D7"/>
    <w:rsid w:val="00934054"/>
    <w:rsid w:val="0095172A"/>
    <w:rsid w:val="00961D70"/>
    <w:rsid w:val="00963CD8"/>
    <w:rsid w:val="00975A06"/>
    <w:rsid w:val="009900B7"/>
    <w:rsid w:val="009D3E5C"/>
    <w:rsid w:val="009D4C42"/>
    <w:rsid w:val="009D76F8"/>
    <w:rsid w:val="009F0942"/>
    <w:rsid w:val="009F15C8"/>
    <w:rsid w:val="009F5641"/>
    <w:rsid w:val="00A04249"/>
    <w:rsid w:val="00A119A2"/>
    <w:rsid w:val="00A2067C"/>
    <w:rsid w:val="00A41330"/>
    <w:rsid w:val="00A42718"/>
    <w:rsid w:val="00A455E3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728E3"/>
    <w:rsid w:val="00B85819"/>
    <w:rsid w:val="00B9301B"/>
    <w:rsid w:val="00B95F0A"/>
    <w:rsid w:val="00B96180"/>
    <w:rsid w:val="00BC172A"/>
    <w:rsid w:val="00BC1FB8"/>
    <w:rsid w:val="00BD21BC"/>
    <w:rsid w:val="00C0097C"/>
    <w:rsid w:val="00C05882"/>
    <w:rsid w:val="00C17AC0"/>
    <w:rsid w:val="00C24BFC"/>
    <w:rsid w:val="00C31ED4"/>
    <w:rsid w:val="00C34772"/>
    <w:rsid w:val="00C36657"/>
    <w:rsid w:val="00C44C79"/>
    <w:rsid w:val="00C46F7B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D2512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9E3B7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qFormat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59"/>
    <w:qFormat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42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A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0A1423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TabletextChar">
    <w:name w:val="Table_text Char"/>
    <w:link w:val="Tabletext0"/>
    <w:qFormat/>
    <w:locked/>
    <w:rsid w:val="00A455E3"/>
    <w:rPr>
      <w:rFonts w:asciiTheme="minorHAnsi" w:hAnsiTheme="minorHAnsi"/>
      <w:sz w:val="22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2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AG-R-0014/en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5-210511-TD-GEN-1665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10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5-210511-TD-GEN-1664/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tu.int/go/tsg0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4/CRM/xreg/web/Registration.aspx?Event=C-00009285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7838-2A65-4FC5-9F03-E584FCD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17</TotalTime>
  <Pages>4</Pages>
  <Words>794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5697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8</cp:revision>
  <cp:lastPrinted>2021-02-15T10:10:00Z</cp:lastPrinted>
  <dcterms:created xsi:type="dcterms:W3CDTF">2021-02-05T19:00:00Z</dcterms:created>
  <dcterms:modified xsi:type="dcterms:W3CDTF">2021-02-15T10:11:00Z</dcterms:modified>
</cp:coreProperties>
</file>