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170"/>
        <w:gridCol w:w="3833"/>
      </w:tblGrid>
      <w:tr w:rsidR="00631DD7" w:rsidRPr="008137E9" w:rsidTr="00E50DFE">
        <w:trPr>
          <w:cantSplit/>
          <w:jc w:val="center"/>
        </w:trPr>
        <w:tc>
          <w:tcPr>
            <w:tcW w:w="1133" w:type="dxa"/>
            <w:vMerge w:val="restart"/>
            <w:vAlign w:val="center"/>
          </w:tcPr>
          <w:p w:rsidR="00631DD7" w:rsidRPr="008137E9" w:rsidRDefault="00631DD7" w:rsidP="00F80CF6">
            <w:pPr>
              <w:jc w:val="center"/>
              <w:rPr>
                <w:sz w:val="20"/>
                <w:szCs w:val="20"/>
                <w:lang w:val="es-ES"/>
              </w:rPr>
            </w:pPr>
            <w:r w:rsidRPr="008137E9">
              <w:rPr>
                <w:noProof/>
                <w:sz w:val="20"/>
                <w:szCs w:val="20"/>
                <w:lang w:eastAsia="en-GB"/>
              </w:rPr>
              <w:drawing>
                <wp:inline distT="0" distB="0" distL="0" distR="0" wp14:anchorId="53F5B6FC" wp14:editId="1479D012">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9" w:type="dxa"/>
            <w:gridSpan w:val="4"/>
            <w:vMerge w:val="restart"/>
          </w:tcPr>
          <w:p w:rsidR="00631DD7" w:rsidRPr="008137E9" w:rsidRDefault="00631DD7" w:rsidP="00F80CF6">
            <w:pPr>
              <w:rPr>
                <w:sz w:val="16"/>
                <w:szCs w:val="16"/>
                <w:lang w:val="es-ES"/>
              </w:rPr>
            </w:pPr>
            <w:r w:rsidRPr="00CC5D4A">
              <w:rPr>
                <w:sz w:val="18"/>
                <w:szCs w:val="18"/>
                <w:lang w:val="es-ES"/>
              </w:rPr>
              <w:t>UNIÓN INTERNACIONAL DE TELECOMUNICACIONES</w:t>
            </w:r>
          </w:p>
          <w:p w:rsidR="00631DD7" w:rsidRPr="005C75AE" w:rsidRDefault="00631DD7" w:rsidP="00F80CF6">
            <w:pPr>
              <w:rPr>
                <w:b/>
                <w:bCs/>
                <w:sz w:val="26"/>
                <w:szCs w:val="26"/>
                <w:lang w:val="es-ES_tradnl"/>
              </w:rPr>
            </w:pPr>
            <w:r w:rsidRPr="005C75AE">
              <w:rPr>
                <w:b/>
                <w:bCs/>
                <w:sz w:val="26"/>
                <w:szCs w:val="26"/>
                <w:lang w:val="es-ES_tradnl"/>
              </w:rPr>
              <w:t>SECTOR DE NORMALIZACIÓN</w:t>
            </w:r>
            <w:r w:rsidRPr="005C75AE">
              <w:rPr>
                <w:b/>
                <w:bCs/>
                <w:sz w:val="26"/>
                <w:szCs w:val="26"/>
                <w:lang w:val="es-ES_tradnl"/>
              </w:rPr>
              <w:br/>
              <w:t>DE LAS TELECOMUNICACIONES</w:t>
            </w:r>
          </w:p>
          <w:p w:rsidR="00631DD7" w:rsidRPr="008137E9" w:rsidRDefault="00631DD7" w:rsidP="00F80CF6">
            <w:pPr>
              <w:rPr>
                <w:sz w:val="20"/>
                <w:szCs w:val="20"/>
                <w:lang w:val="es-ES"/>
              </w:rPr>
            </w:pPr>
            <w:r w:rsidRPr="008137E9">
              <w:rPr>
                <w:sz w:val="20"/>
                <w:szCs w:val="20"/>
                <w:lang w:val="es-ES"/>
              </w:rPr>
              <w:t>PERIODO DE ESTUDIOS 2017-2020</w:t>
            </w:r>
          </w:p>
        </w:tc>
        <w:tc>
          <w:tcPr>
            <w:tcW w:w="3833" w:type="dxa"/>
            <w:vAlign w:val="center"/>
          </w:tcPr>
          <w:p w:rsidR="00631DD7" w:rsidRPr="008137E9" w:rsidRDefault="00631DD7" w:rsidP="00CD2CCF">
            <w:pPr>
              <w:pStyle w:val="Docnumber"/>
              <w:rPr>
                <w:lang w:val="es-ES"/>
              </w:rPr>
            </w:pPr>
            <w:r w:rsidRPr="009000CA">
              <w:rPr>
                <w:lang w:val="es-ES_tradnl"/>
              </w:rPr>
              <w:t>SG</w:t>
            </w:r>
            <w:r w:rsidR="00CE092C">
              <w:rPr>
                <w:lang w:val="es-ES_tradnl"/>
              </w:rPr>
              <w:t>3</w:t>
            </w:r>
            <w:r w:rsidR="00E50DFE">
              <w:rPr>
                <w:lang w:val="es-ES_tradnl"/>
              </w:rPr>
              <w:t>-</w:t>
            </w:r>
            <w:r w:rsidRPr="009000CA">
              <w:rPr>
                <w:lang w:val="es-ES_tradnl"/>
              </w:rPr>
              <w:t>C</w:t>
            </w:r>
            <w:r w:rsidR="00CD2CCF">
              <w:rPr>
                <w:lang w:val="es-ES_tradnl"/>
              </w:rPr>
              <w:t>298</w:t>
            </w:r>
            <w:r w:rsidR="00E50DFE">
              <w:rPr>
                <w:lang w:val="es-ES_tradnl"/>
              </w:rPr>
              <w:t>-</w:t>
            </w:r>
            <w:r w:rsidRPr="009000CA">
              <w:rPr>
                <w:lang w:val="es-ES_tradnl"/>
              </w:rPr>
              <w:t>S</w:t>
            </w:r>
          </w:p>
        </w:tc>
      </w:tr>
      <w:tr w:rsidR="00631DD7" w:rsidRPr="008137E9" w:rsidTr="00E50DFE">
        <w:trPr>
          <w:cantSplit/>
          <w:jc w:val="center"/>
        </w:trPr>
        <w:tc>
          <w:tcPr>
            <w:tcW w:w="1133" w:type="dxa"/>
            <w:vMerge/>
          </w:tcPr>
          <w:p w:rsidR="00631DD7" w:rsidRPr="008137E9" w:rsidRDefault="00631DD7" w:rsidP="00F80CF6">
            <w:pPr>
              <w:rPr>
                <w:smallCaps/>
                <w:sz w:val="20"/>
                <w:lang w:val="es-ES"/>
              </w:rPr>
            </w:pPr>
          </w:p>
        </w:tc>
        <w:tc>
          <w:tcPr>
            <w:tcW w:w="4679" w:type="dxa"/>
            <w:gridSpan w:val="4"/>
            <w:vMerge/>
          </w:tcPr>
          <w:p w:rsidR="00631DD7" w:rsidRPr="008137E9" w:rsidRDefault="00631DD7" w:rsidP="00F80CF6">
            <w:pPr>
              <w:rPr>
                <w:smallCaps/>
                <w:sz w:val="20"/>
                <w:lang w:val="es-ES"/>
              </w:rPr>
            </w:pPr>
          </w:p>
        </w:tc>
        <w:tc>
          <w:tcPr>
            <w:tcW w:w="3833" w:type="dxa"/>
          </w:tcPr>
          <w:p w:rsidR="00631DD7" w:rsidRPr="008137E9" w:rsidRDefault="00631DD7" w:rsidP="00CD2CCF">
            <w:pPr>
              <w:jc w:val="right"/>
              <w:rPr>
                <w:b/>
                <w:bCs/>
                <w:sz w:val="28"/>
                <w:szCs w:val="28"/>
                <w:lang w:val="es-ES"/>
              </w:rPr>
            </w:pPr>
            <w:r w:rsidRPr="00BD46BE">
              <w:rPr>
                <w:b/>
                <w:bCs/>
                <w:sz w:val="28"/>
                <w:szCs w:val="28"/>
                <w:lang w:val="es-ES"/>
              </w:rPr>
              <w:t xml:space="preserve">COMISIÓN DE ESTUDIO </w:t>
            </w:r>
            <w:r w:rsidR="00CD2CCF">
              <w:rPr>
                <w:b/>
                <w:bCs/>
                <w:sz w:val="28"/>
                <w:szCs w:val="28"/>
                <w:lang w:val="es-ES"/>
              </w:rPr>
              <w:t>3</w:t>
            </w:r>
          </w:p>
        </w:tc>
      </w:tr>
      <w:tr w:rsidR="00631DD7" w:rsidRPr="008137E9" w:rsidTr="00E50DFE">
        <w:trPr>
          <w:cantSplit/>
          <w:jc w:val="center"/>
        </w:trPr>
        <w:tc>
          <w:tcPr>
            <w:tcW w:w="1133" w:type="dxa"/>
            <w:vMerge/>
            <w:tcBorders>
              <w:bottom w:val="single" w:sz="12" w:space="0" w:color="auto"/>
            </w:tcBorders>
          </w:tcPr>
          <w:p w:rsidR="00631DD7" w:rsidRPr="008137E9" w:rsidRDefault="00631DD7" w:rsidP="00F80CF6">
            <w:pPr>
              <w:rPr>
                <w:b/>
                <w:bCs/>
                <w:sz w:val="26"/>
                <w:lang w:val="es-ES"/>
              </w:rPr>
            </w:pPr>
          </w:p>
        </w:tc>
        <w:tc>
          <w:tcPr>
            <w:tcW w:w="4679" w:type="dxa"/>
            <w:gridSpan w:val="4"/>
            <w:vMerge/>
            <w:tcBorders>
              <w:bottom w:val="single" w:sz="12" w:space="0" w:color="auto"/>
            </w:tcBorders>
          </w:tcPr>
          <w:p w:rsidR="00631DD7" w:rsidRPr="008137E9" w:rsidRDefault="00631DD7" w:rsidP="00F80CF6">
            <w:pPr>
              <w:rPr>
                <w:b/>
                <w:bCs/>
                <w:sz w:val="26"/>
                <w:lang w:val="es-ES"/>
              </w:rPr>
            </w:pPr>
          </w:p>
        </w:tc>
        <w:tc>
          <w:tcPr>
            <w:tcW w:w="3833" w:type="dxa"/>
            <w:tcBorders>
              <w:bottom w:val="single" w:sz="12" w:space="0" w:color="auto"/>
            </w:tcBorders>
            <w:vAlign w:val="center"/>
          </w:tcPr>
          <w:p w:rsidR="00631DD7" w:rsidRPr="008137E9" w:rsidRDefault="00631DD7" w:rsidP="00F80CF6">
            <w:pPr>
              <w:jc w:val="right"/>
              <w:rPr>
                <w:b/>
                <w:bCs/>
                <w:sz w:val="28"/>
                <w:szCs w:val="28"/>
                <w:lang w:val="es-ES"/>
              </w:rPr>
            </w:pPr>
            <w:r w:rsidRPr="008137E9">
              <w:rPr>
                <w:b/>
                <w:bCs/>
                <w:sz w:val="28"/>
                <w:szCs w:val="28"/>
                <w:lang w:val="es-ES"/>
              </w:rPr>
              <w:t>Original: inglés</w:t>
            </w:r>
          </w:p>
        </w:tc>
      </w:tr>
      <w:tr w:rsidR="00631DD7" w:rsidRPr="00E50DFE" w:rsidTr="00F80CF6">
        <w:trPr>
          <w:cantSplit/>
          <w:jc w:val="center"/>
        </w:trPr>
        <w:tc>
          <w:tcPr>
            <w:tcW w:w="1666" w:type="dxa"/>
            <w:gridSpan w:val="2"/>
          </w:tcPr>
          <w:p w:rsidR="00631DD7" w:rsidRPr="008137E9" w:rsidRDefault="00631DD7" w:rsidP="00F80CF6">
            <w:pPr>
              <w:rPr>
                <w:b/>
                <w:bCs/>
                <w:lang w:val="es-ES"/>
              </w:rPr>
            </w:pPr>
            <w:r w:rsidRPr="008137E9">
              <w:rPr>
                <w:b/>
                <w:bCs/>
                <w:lang w:val="es-ES"/>
              </w:rPr>
              <w:t>Cuestión(es):</w:t>
            </w:r>
          </w:p>
        </w:tc>
        <w:tc>
          <w:tcPr>
            <w:tcW w:w="3864" w:type="dxa"/>
          </w:tcPr>
          <w:p w:rsidR="00631DD7" w:rsidRPr="008137E9" w:rsidRDefault="00CE092C" w:rsidP="00CE092C">
            <w:pPr>
              <w:rPr>
                <w:lang w:val="es-ES"/>
              </w:rPr>
            </w:pPr>
            <w:r>
              <w:rPr>
                <w:lang w:val="es-ES"/>
              </w:rPr>
              <w:t>12</w:t>
            </w:r>
            <w:r w:rsidR="00631DD7" w:rsidRPr="00137001">
              <w:rPr>
                <w:lang w:val="es-ES"/>
              </w:rPr>
              <w:t>/</w:t>
            </w:r>
            <w:r>
              <w:rPr>
                <w:lang w:val="es-ES"/>
              </w:rPr>
              <w:t>3</w:t>
            </w:r>
          </w:p>
        </w:tc>
        <w:tc>
          <w:tcPr>
            <w:tcW w:w="4115" w:type="dxa"/>
            <w:gridSpan w:val="3"/>
          </w:tcPr>
          <w:p w:rsidR="00631DD7" w:rsidRPr="008137E9" w:rsidRDefault="00631DD7" w:rsidP="00F80CF6">
            <w:pPr>
              <w:jc w:val="right"/>
              <w:rPr>
                <w:lang w:val="es-ES"/>
              </w:rPr>
            </w:pPr>
            <w:r w:rsidRPr="009000CA">
              <w:rPr>
                <w:lang w:val="es-ES"/>
              </w:rPr>
              <w:t>Ginebra, 23 de abril – 2 de mayo de 2019</w:t>
            </w:r>
          </w:p>
        </w:tc>
      </w:tr>
      <w:tr w:rsidR="00631DD7" w:rsidRPr="008137E9" w:rsidTr="00F80CF6">
        <w:trPr>
          <w:cantSplit/>
          <w:jc w:val="center"/>
        </w:trPr>
        <w:tc>
          <w:tcPr>
            <w:tcW w:w="9645" w:type="dxa"/>
            <w:gridSpan w:val="6"/>
          </w:tcPr>
          <w:p w:rsidR="00631DD7" w:rsidRPr="008137E9" w:rsidRDefault="00631DD7" w:rsidP="00F80CF6">
            <w:pPr>
              <w:jc w:val="center"/>
              <w:rPr>
                <w:b/>
                <w:bCs/>
                <w:lang w:val="es-ES"/>
              </w:rPr>
            </w:pPr>
            <w:r w:rsidRPr="00706BC4">
              <w:rPr>
                <w:b/>
                <w:bCs/>
                <w:lang w:val="es-ES"/>
              </w:rPr>
              <w:t>CONTRIBUCIÓN</w:t>
            </w:r>
          </w:p>
        </w:tc>
      </w:tr>
      <w:tr w:rsidR="00631DD7" w:rsidRPr="00CB35A0" w:rsidTr="00F80CF6">
        <w:trPr>
          <w:cantSplit/>
          <w:jc w:val="center"/>
        </w:trPr>
        <w:tc>
          <w:tcPr>
            <w:tcW w:w="1666" w:type="dxa"/>
            <w:gridSpan w:val="2"/>
          </w:tcPr>
          <w:p w:rsidR="00631DD7" w:rsidRPr="008137E9" w:rsidRDefault="00631DD7" w:rsidP="00F80CF6">
            <w:pPr>
              <w:rPr>
                <w:b/>
                <w:bCs/>
                <w:lang w:val="es-ES"/>
              </w:rPr>
            </w:pPr>
            <w:r w:rsidRPr="008137E9">
              <w:rPr>
                <w:b/>
                <w:bCs/>
                <w:lang w:val="es-ES"/>
              </w:rPr>
              <w:t>Origen:</w:t>
            </w:r>
          </w:p>
        </w:tc>
        <w:tc>
          <w:tcPr>
            <w:tcW w:w="7979" w:type="dxa"/>
            <w:gridSpan w:val="4"/>
          </w:tcPr>
          <w:p w:rsidR="00631DD7" w:rsidRPr="008137E9" w:rsidRDefault="00CD2CCF" w:rsidP="00631DD7">
            <w:pPr>
              <w:rPr>
                <w:lang w:val="es-ES"/>
              </w:rPr>
            </w:pPr>
            <w:r w:rsidRPr="00CD2CCF">
              <w:rPr>
                <w:lang w:val="es-ES"/>
              </w:rPr>
              <w:t>Estados Unidos de América</w:t>
            </w:r>
          </w:p>
        </w:tc>
      </w:tr>
      <w:tr w:rsidR="00631DD7" w:rsidRPr="00E50DFE" w:rsidTr="00F80CF6">
        <w:trPr>
          <w:cantSplit/>
          <w:jc w:val="center"/>
        </w:trPr>
        <w:tc>
          <w:tcPr>
            <w:tcW w:w="1666" w:type="dxa"/>
            <w:gridSpan w:val="2"/>
          </w:tcPr>
          <w:p w:rsidR="00631DD7" w:rsidRPr="008137E9" w:rsidRDefault="00631DD7" w:rsidP="00F80CF6">
            <w:pPr>
              <w:rPr>
                <w:lang w:val="es-ES"/>
              </w:rPr>
            </w:pPr>
            <w:r w:rsidRPr="008137E9">
              <w:rPr>
                <w:b/>
                <w:bCs/>
                <w:lang w:val="es-ES"/>
              </w:rPr>
              <w:t>Título:</w:t>
            </w:r>
          </w:p>
        </w:tc>
        <w:tc>
          <w:tcPr>
            <w:tcW w:w="7979" w:type="dxa"/>
            <w:gridSpan w:val="4"/>
          </w:tcPr>
          <w:p w:rsidR="00631DD7" w:rsidRPr="008137E9" w:rsidRDefault="00CD2CCF" w:rsidP="00CC5046">
            <w:pPr>
              <w:rPr>
                <w:lang w:val="es-ES"/>
              </w:rPr>
            </w:pPr>
            <w:r w:rsidRPr="00CD2CCF">
              <w:rPr>
                <w:lang w:val="es-ES"/>
              </w:rPr>
              <w:t xml:space="preserve">Evaluación del </w:t>
            </w:r>
            <w:r w:rsidR="00CC5046">
              <w:rPr>
                <w:lang w:val="es-ES"/>
              </w:rPr>
              <w:t>p</w:t>
            </w:r>
            <w:r w:rsidRPr="00CD2CCF">
              <w:rPr>
                <w:lang w:val="es-ES"/>
              </w:rPr>
              <w:t xml:space="preserve">rograma de </w:t>
            </w:r>
            <w:r w:rsidR="00CC5046">
              <w:rPr>
                <w:lang w:val="es-ES"/>
              </w:rPr>
              <w:t>t</w:t>
            </w:r>
            <w:r w:rsidRPr="00CD2CCF">
              <w:rPr>
                <w:lang w:val="es-ES"/>
              </w:rPr>
              <w:t>rabajo de la C12/3</w:t>
            </w:r>
          </w:p>
        </w:tc>
      </w:tr>
      <w:tr w:rsidR="00631DD7" w:rsidRPr="008137E9" w:rsidTr="00CB35A0">
        <w:trPr>
          <w:cantSplit/>
          <w:jc w:val="center"/>
        </w:trPr>
        <w:tc>
          <w:tcPr>
            <w:tcW w:w="1666" w:type="dxa"/>
            <w:gridSpan w:val="2"/>
            <w:tcBorders>
              <w:bottom w:val="single" w:sz="4" w:space="0" w:color="auto"/>
            </w:tcBorders>
          </w:tcPr>
          <w:p w:rsidR="00631DD7" w:rsidRPr="008137E9" w:rsidRDefault="00631DD7" w:rsidP="00F80CF6">
            <w:pPr>
              <w:rPr>
                <w:b/>
                <w:bCs/>
                <w:lang w:val="es-ES"/>
              </w:rPr>
            </w:pPr>
            <w:r w:rsidRPr="008137E9">
              <w:rPr>
                <w:b/>
                <w:bCs/>
                <w:lang w:val="es-ES"/>
              </w:rPr>
              <w:t>Objeto:</w:t>
            </w:r>
          </w:p>
        </w:tc>
        <w:tc>
          <w:tcPr>
            <w:tcW w:w="7979" w:type="dxa"/>
            <w:gridSpan w:val="4"/>
            <w:tcBorders>
              <w:bottom w:val="single" w:sz="4" w:space="0" w:color="auto"/>
            </w:tcBorders>
          </w:tcPr>
          <w:p w:rsidR="00631DD7" w:rsidRPr="008137E9" w:rsidRDefault="00631DD7" w:rsidP="00F80CF6">
            <w:pPr>
              <w:rPr>
                <w:lang w:val="es-ES"/>
              </w:rPr>
            </w:pPr>
            <w:r w:rsidRPr="009000CA">
              <w:rPr>
                <w:lang w:val="es-ES"/>
              </w:rPr>
              <w:t>Propuest</w:t>
            </w:r>
            <w:r>
              <w:rPr>
                <w:lang w:val="es-ES"/>
              </w:rPr>
              <w:t>a</w:t>
            </w:r>
          </w:p>
        </w:tc>
      </w:tr>
      <w:tr w:rsidR="00631DD7" w:rsidRPr="00E50DFE" w:rsidTr="00CB35A0">
        <w:trPr>
          <w:cantSplit/>
          <w:jc w:val="center"/>
        </w:trPr>
        <w:tc>
          <w:tcPr>
            <w:tcW w:w="1666" w:type="dxa"/>
            <w:gridSpan w:val="2"/>
            <w:tcBorders>
              <w:top w:val="single" w:sz="4" w:space="0" w:color="auto"/>
              <w:bottom w:val="single" w:sz="6" w:space="0" w:color="auto"/>
            </w:tcBorders>
          </w:tcPr>
          <w:p w:rsidR="00631DD7" w:rsidRPr="008137E9" w:rsidRDefault="00631DD7" w:rsidP="00F80CF6">
            <w:pPr>
              <w:rPr>
                <w:b/>
                <w:bCs/>
                <w:lang w:val="es-ES"/>
              </w:rPr>
            </w:pPr>
            <w:r w:rsidRPr="008137E9">
              <w:rPr>
                <w:b/>
                <w:bCs/>
                <w:lang w:val="es-ES"/>
              </w:rPr>
              <w:t>Contacto:</w:t>
            </w:r>
          </w:p>
        </w:tc>
        <w:tc>
          <w:tcPr>
            <w:tcW w:w="3976" w:type="dxa"/>
            <w:gridSpan w:val="2"/>
            <w:tcBorders>
              <w:top w:val="single" w:sz="4" w:space="0" w:color="auto"/>
              <w:bottom w:val="single" w:sz="6" w:space="0" w:color="auto"/>
            </w:tcBorders>
          </w:tcPr>
          <w:p w:rsidR="00631DD7" w:rsidRPr="00CD2CCF" w:rsidRDefault="00CD2CCF" w:rsidP="00CD2CCF">
            <w:pPr>
              <w:rPr>
                <w:lang w:val="es-ES"/>
              </w:rPr>
            </w:pPr>
            <w:r w:rsidRPr="00CD2CCF">
              <w:rPr>
                <w:lang w:val="es-ES" w:eastAsia="ko-KR"/>
              </w:rPr>
              <w:t>Paul B. Najarian</w:t>
            </w:r>
            <w:r w:rsidRPr="00CD2CCF">
              <w:rPr>
                <w:lang w:val="es-ES" w:eastAsia="ko-KR"/>
              </w:rPr>
              <w:br/>
              <w:t>U.S. Department of State</w:t>
            </w:r>
            <w:r w:rsidRPr="00CD2CCF">
              <w:rPr>
                <w:lang w:val="es-ES" w:eastAsia="ko-KR"/>
              </w:rPr>
              <w:br/>
              <w:t>Estados Unidos de América</w:t>
            </w:r>
          </w:p>
        </w:tc>
        <w:tc>
          <w:tcPr>
            <w:tcW w:w="4003" w:type="dxa"/>
            <w:gridSpan w:val="2"/>
            <w:tcBorders>
              <w:top w:val="single" w:sz="4" w:space="0" w:color="auto"/>
              <w:bottom w:val="single" w:sz="6" w:space="0" w:color="auto"/>
            </w:tcBorders>
          </w:tcPr>
          <w:p w:rsidR="00631DD7" w:rsidRPr="00137001" w:rsidRDefault="00CD2CCF" w:rsidP="00CD2CCF">
            <w:pPr>
              <w:rPr>
                <w:lang w:val="es-ES" w:eastAsia="ko-KR"/>
              </w:rPr>
            </w:pPr>
            <w:r w:rsidRPr="00CD2CCF">
              <w:rPr>
                <w:lang w:val="es-ES"/>
              </w:rPr>
              <w:t>Tel.: +1 (202) 647-7847</w:t>
            </w:r>
            <w:r>
              <w:rPr>
                <w:lang w:val="es-ES"/>
              </w:rPr>
              <w:br/>
            </w:r>
            <w:r w:rsidRPr="00CD2CCF">
              <w:rPr>
                <w:lang w:val="es-ES"/>
              </w:rPr>
              <w:t>Fax: +1 (202) 647-5957</w:t>
            </w:r>
            <w:r>
              <w:rPr>
                <w:lang w:val="es-ES"/>
              </w:rPr>
              <w:br/>
            </w:r>
            <w:r w:rsidR="00631DD7" w:rsidRPr="00631DD7">
              <w:rPr>
                <w:lang w:val="es-ES"/>
              </w:rPr>
              <w:t xml:space="preserve">Correo-e: </w:t>
            </w:r>
            <w:hyperlink r:id="rId8" w:history="1">
              <w:r w:rsidRPr="005E28CF">
                <w:rPr>
                  <w:rStyle w:val="Hyperlink"/>
                  <w:rFonts w:ascii="Times New Roman" w:hAnsi="Times New Roman"/>
                  <w:lang w:val="es-ES"/>
                </w:rPr>
                <w:t>najarianpb@state.gov</w:t>
              </w:r>
            </w:hyperlink>
          </w:p>
        </w:tc>
      </w:tr>
    </w:tbl>
    <w:p w:rsidR="00631DD7" w:rsidRPr="00031F33" w:rsidRDefault="00631DD7" w:rsidP="00631DD7">
      <w:pPr>
        <w:rPr>
          <w:lang w:val="es-ES"/>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CB35A0" w:rsidTr="00F80CF6">
        <w:trPr>
          <w:cantSplit/>
          <w:jc w:val="center"/>
        </w:trPr>
        <w:tc>
          <w:tcPr>
            <w:tcW w:w="1666" w:type="dxa"/>
          </w:tcPr>
          <w:p w:rsidR="00631DD7" w:rsidRPr="00CD2CCF" w:rsidRDefault="00631DD7" w:rsidP="00F80CF6">
            <w:pPr>
              <w:rPr>
                <w:b/>
                <w:bCs/>
                <w:lang w:val="es-ES"/>
              </w:rPr>
            </w:pPr>
            <w:r w:rsidRPr="00CD2CCF">
              <w:rPr>
                <w:b/>
                <w:bCs/>
                <w:lang w:val="es-ES"/>
              </w:rPr>
              <w:t>Palabras clave:</w:t>
            </w:r>
          </w:p>
        </w:tc>
        <w:tc>
          <w:tcPr>
            <w:tcW w:w="7979" w:type="dxa"/>
          </w:tcPr>
          <w:p w:rsidR="00631DD7" w:rsidRPr="00BD46BE" w:rsidRDefault="00CD2CCF" w:rsidP="00F80CF6">
            <w:pPr>
              <w:rPr>
                <w:lang w:val="es-ES"/>
              </w:rPr>
            </w:pPr>
            <w:r w:rsidRPr="00CD2CCF">
              <w:rPr>
                <w:lang w:val="es-ES"/>
              </w:rPr>
              <w:t>Servicios financieros móviles (SFM)</w:t>
            </w:r>
          </w:p>
        </w:tc>
      </w:tr>
      <w:tr w:rsidR="00631DD7" w:rsidRPr="00E50DFE" w:rsidTr="00F80CF6">
        <w:trPr>
          <w:cantSplit/>
          <w:trHeight w:val="1027"/>
          <w:jc w:val="center"/>
        </w:trPr>
        <w:tc>
          <w:tcPr>
            <w:tcW w:w="1666" w:type="dxa"/>
          </w:tcPr>
          <w:p w:rsidR="00631DD7" w:rsidRPr="008137E9" w:rsidRDefault="00631DD7" w:rsidP="00F80CF6">
            <w:pPr>
              <w:rPr>
                <w:b/>
                <w:bCs/>
                <w:lang w:val="es-ES"/>
              </w:rPr>
            </w:pPr>
            <w:r w:rsidRPr="008137E9">
              <w:rPr>
                <w:b/>
                <w:bCs/>
                <w:lang w:val="es-ES"/>
              </w:rPr>
              <w:t>Resumen:</w:t>
            </w:r>
          </w:p>
        </w:tc>
        <w:tc>
          <w:tcPr>
            <w:tcW w:w="7979" w:type="dxa"/>
          </w:tcPr>
          <w:p w:rsidR="00631DD7" w:rsidRPr="008137E9" w:rsidRDefault="00CD2CCF" w:rsidP="00526809">
            <w:pPr>
              <w:rPr>
                <w:lang w:val="es-ES"/>
              </w:rPr>
            </w:pPr>
            <w:r w:rsidRPr="00CD2CCF">
              <w:rPr>
                <w:lang w:val="es-ES_tradnl"/>
              </w:rPr>
              <w:t>Los Estados Unidos solicitan un examen/debate exhaustivo del programa de trabajo de la Cuestión 12/3 con el fin de comprender las metas y los objetivos de los temas de trabajo actuales y propuestos, y concentrarse en los temas de trabajo que son pertinentes para el sector de las telecomunicaciones/TIC.</w:t>
            </w:r>
          </w:p>
        </w:tc>
      </w:tr>
    </w:tbl>
    <w:p w:rsidR="00CD2CCF" w:rsidRPr="00CD2CCF" w:rsidRDefault="00CD2CCF" w:rsidP="00CD2CCF">
      <w:pPr>
        <w:pStyle w:val="Heading1"/>
        <w:rPr>
          <w:lang w:val="es-ES"/>
        </w:rPr>
      </w:pPr>
      <w:r w:rsidRPr="00CD2CCF">
        <w:rPr>
          <w:lang w:val="es-ES"/>
        </w:rPr>
        <w:t>1</w:t>
      </w:r>
      <w:r w:rsidRPr="00CD2CCF">
        <w:rPr>
          <w:lang w:val="es-ES"/>
        </w:rPr>
        <w:tab/>
        <w:t>Introducción</w:t>
      </w:r>
    </w:p>
    <w:p w:rsidR="00CD2CCF" w:rsidRPr="00CD2CCF" w:rsidRDefault="00CD2CCF" w:rsidP="00CD2CCF">
      <w:pPr>
        <w:rPr>
          <w:lang w:val="es-ES"/>
        </w:rPr>
      </w:pPr>
      <w:r w:rsidRPr="00CD2CCF">
        <w:rPr>
          <w:lang w:val="es-ES"/>
        </w:rPr>
        <w:t xml:space="preserve">En la AMNT-16, Estados Unidos refrendo la adopción de la </w:t>
      </w:r>
      <w:hyperlink r:id="rId9" w:history="1">
        <w:r w:rsidRPr="00CD2CCF">
          <w:rPr>
            <w:rStyle w:val="Hyperlink"/>
            <w:rFonts w:ascii="Times New Roman" w:hAnsi="Times New Roman"/>
            <w:lang w:val="es-ES"/>
          </w:rPr>
          <w:t>Resolución 89 (</w:t>
        </w:r>
        <w:proofErr w:type="spellStart"/>
        <w:r w:rsidRPr="00CD2CCF">
          <w:rPr>
            <w:rStyle w:val="Hyperlink"/>
            <w:rFonts w:ascii="Times New Roman" w:hAnsi="Times New Roman"/>
            <w:lang w:val="es-ES"/>
          </w:rPr>
          <w:t>Hammamet</w:t>
        </w:r>
        <w:proofErr w:type="spellEnd"/>
        <w:r w:rsidRPr="00CD2CCF">
          <w:rPr>
            <w:rStyle w:val="Hyperlink"/>
            <w:rFonts w:ascii="Times New Roman" w:hAnsi="Times New Roman"/>
            <w:lang w:val="es-ES"/>
          </w:rPr>
          <w:t>, 2016) – Promoción de la utilización de las tecnologías de la información y la comunicación para reducir la brecha de inclusión financiera</w:t>
        </w:r>
      </w:hyperlink>
      <w:r>
        <w:rPr>
          <w:lang w:val="es-ES"/>
        </w:rPr>
        <w:t xml:space="preserve">. </w:t>
      </w:r>
      <w:r w:rsidRPr="00CD2CCF">
        <w:rPr>
          <w:lang w:val="es-ES"/>
        </w:rPr>
        <w:t>En la Conferencia de Plenipotenciarios de 2018, Estados Unidos refrendó la adopción de la Res</w:t>
      </w:r>
      <w:r>
        <w:rPr>
          <w:lang w:val="es-ES"/>
        </w:rPr>
        <w:t>olución</w:t>
      </w:r>
      <w:r w:rsidRPr="00CD2CCF">
        <w:rPr>
          <w:lang w:val="es-ES"/>
        </w:rPr>
        <w:t xml:space="preserve"> 204 (Dubái, 2018) relativa a la </w:t>
      </w:r>
      <w:r>
        <w:rPr>
          <w:lang w:val="es-ES"/>
        </w:rPr>
        <w:t>"</w:t>
      </w:r>
      <w:r w:rsidRPr="00CD2CCF">
        <w:rPr>
          <w:lang w:val="es-ES"/>
        </w:rPr>
        <w:t>utilización de las TIC para reducir la brecha de la inclusión financiera</w:t>
      </w:r>
      <w:r>
        <w:rPr>
          <w:lang w:val="es-ES"/>
        </w:rPr>
        <w:t>".</w:t>
      </w:r>
    </w:p>
    <w:p w:rsidR="00CD2CCF" w:rsidRPr="00CD2CCF" w:rsidRDefault="00CD2CCF" w:rsidP="00CD2CCF">
      <w:pPr>
        <w:rPr>
          <w:lang w:val="es-ES"/>
        </w:rPr>
      </w:pPr>
      <w:r w:rsidRPr="00CD2CCF">
        <w:rPr>
          <w:lang w:val="es-ES"/>
        </w:rPr>
        <w:t>Ahora bien, la adopción de estas Resoluciones no confiere a la UIT, y en particular a la Comisión de Estudio 3 del UIT-T, la potestad de ampliar el alcance de su mandato a otros sectores diferentes al de las telecomunicaciones/TIC al investigar las necesidades de los servicios financieros móviles (SFM).</w:t>
      </w:r>
    </w:p>
    <w:p w:rsidR="00CD2CCF" w:rsidRPr="00CD2CCF" w:rsidRDefault="00CD2CCF" w:rsidP="00CD2CCF">
      <w:pPr>
        <w:pStyle w:val="Heading1"/>
        <w:rPr>
          <w:lang w:val="es-ES"/>
        </w:rPr>
      </w:pPr>
      <w:r w:rsidRPr="00CD2CCF">
        <w:rPr>
          <w:lang w:val="es-ES"/>
        </w:rPr>
        <w:t>2</w:t>
      </w:r>
      <w:r>
        <w:rPr>
          <w:lang w:val="es-ES"/>
        </w:rPr>
        <w:tab/>
      </w:r>
      <w:r w:rsidRPr="00CD2CCF">
        <w:rPr>
          <w:lang w:val="es-ES"/>
        </w:rPr>
        <w:t>Análisis</w:t>
      </w:r>
    </w:p>
    <w:p w:rsidR="00CD2CCF" w:rsidRPr="00CD2CCF" w:rsidRDefault="00CD2CCF" w:rsidP="00CD2CCF">
      <w:pPr>
        <w:rPr>
          <w:lang w:val="es-ES"/>
        </w:rPr>
      </w:pPr>
      <w:r w:rsidRPr="00CD2CCF">
        <w:rPr>
          <w:lang w:val="es-ES"/>
        </w:rPr>
        <w:t xml:space="preserve">El actual programa de trabajo de la </w:t>
      </w:r>
      <w:hyperlink r:id="rId10" w:history="1">
        <w:r w:rsidRPr="00CD2CCF">
          <w:rPr>
            <w:rStyle w:val="Hyperlink"/>
            <w:rFonts w:ascii="Times New Roman" w:hAnsi="Times New Roman"/>
            <w:lang w:val="es-ES"/>
          </w:rPr>
          <w:t>Cuestión 12/3</w:t>
        </w:r>
      </w:hyperlink>
      <w:r w:rsidRPr="00CD2CCF">
        <w:rPr>
          <w:lang w:val="es-ES"/>
        </w:rPr>
        <w:t xml:space="preserve"> titulada </w:t>
      </w:r>
      <w:r>
        <w:rPr>
          <w:lang w:val="es-ES"/>
        </w:rPr>
        <w:t>"</w:t>
      </w:r>
      <w:r w:rsidRPr="00CD2CCF">
        <w:rPr>
          <w:lang w:val="es-ES"/>
        </w:rPr>
        <w:t>Cuestiones tarifarias, económicas y políticas relativas a los servicios financieros móviles (SFM</w:t>
      </w:r>
      <w:r>
        <w:rPr>
          <w:lang w:val="es-ES"/>
        </w:rPr>
        <w:t>)</w:t>
      </w:r>
      <w:r w:rsidRPr="00CD2CCF">
        <w:rPr>
          <w:lang w:val="es-ES"/>
        </w:rPr>
        <w:t xml:space="preserve">" y sus correspondientes </w:t>
      </w:r>
      <w:hyperlink r:id="rId11" w:history="1">
        <w:r w:rsidRPr="00CD2CCF">
          <w:rPr>
            <w:rStyle w:val="Hyperlink"/>
            <w:rFonts w:ascii="Times New Roman" w:hAnsi="Times New Roman"/>
            <w:lang w:val="es-ES"/>
          </w:rPr>
          <w:t>temas de estudio</w:t>
        </w:r>
      </w:hyperlink>
      <w:r w:rsidRPr="00CD2CCF">
        <w:rPr>
          <w:lang w:val="es-ES"/>
        </w:rPr>
        <w:t xml:space="preserve"> se basan totalmente en los resultados del antiguo Grupo Temático sobre Servicios Financieros Digitales (</w:t>
      </w:r>
      <w:hyperlink r:id="rId12" w:history="1">
        <w:r w:rsidRPr="00CD2CCF">
          <w:rPr>
            <w:rStyle w:val="Hyperlink"/>
            <w:rFonts w:ascii="Times New Roman" w:hAnsi="Times New Roman"/>
            <w:lang w:val="es-ES"/>
          </w:rPr>
          <w:t>FG DFS</w:t>
        </w:r>
      </w:hyperlink>
      <w:r w:rsidRPr="00CD2CCF">
        <w:rPr>
          <w:lang w:val="es-ES"/>
        </w:rPr>
        <w:t>).</w:t>
      </w:r>
    </w:p>
    <w:p w:rsidR="00CD2CCF" w:rsidRPr="00CD2CCF" w:rsidRDefault="00CD2CCF" w:rsidP="00D77947">
      <w:pPr>
        <w:rPr>
          <w:lang w:val="es-ES"/>
        </w:rPr>
      </w:pPr>
      <w:r w:rsidRPr="00CD2CCF">
        <w:rPr>
          <w:lang w:val="es-ES"/>
        </w:rPr>
        <w:t xml:space="preserve">El FG DFS, que fue financiado por la Fundación Bill </w:t>
      </w:r>
      <w:r w:rsidR="00D01203">
        <w:rPr>
          <w:lang w:val="es-ES"/>
        </w:rPr>
        <w:t>y</w:t>
      </w:r>
      <w:r w:rsidRPr="00CD2CCF">
        <w:rPr>
          <w:lang w:val="es-ES"/>
        </w:rPr>
        <w:t xml:space="preserve"> Melinda Gates y en el que participaron expertos de muy diversos actores de los sectores financiero y de telecomunicaciones, formuló más de </w:t>
      </w:r>
      <w:hyperlink r:id="rId13" w:history="1">
        <w:r w:rsidRPr="00CD2CCF">
          <w:rPr>
            <w:rStyle w:val="Hyperlink"/>
            <w:rFonts w:ascii="Times New Roman" w:hAnsi="Times New Roman"/>
            <w:bCs/>
            <w:lang w:val="es-ES"/>
          </w:rPr>
          <w:t>85 recomendaciones políticas y 28 informes técnicos</w:t>
        </w:r>
      </w:hyperlink>
      <w:r w:rsidRPr="00CD2CCF">
        <w:rPr>
          <w:lang w:val="es-ES"/>
        </w:rPr>
        <w:t> para la aplicación de la estrategia de inclusión financiera digital y el fomento de lo</w:t>
      </w:r>
      <w:bookmarkStart w:id="0" w:name="_GoBack"/>
      <w:bookmarkEnd w:id="0"/>
      <w:r w:rsidRPr="00CD2CCF">
        <w:rPr>
          <w:lang w:val="es-ES"/>
        </w:rPr>
        <w:t>s SFM.</w:t>
      </w:r>
    </w:p>
    <w:p w:rsidR="00CD2CCF" w:rsidRPr="00CD2CCF" w:rsidRDefault="00CD2CCF" w:rsidP="00CD2CCF">
      <w:pPr>
        <w:keepNext/>
        <w:keepLines/>
        <w:rPr>
          <w:lang w:val="es-ES"/>
        </w:rPr>
      </w:pPr>
      <w:r w:rsidRPr="00CD2CCF">
        <w:rPr>
          <w:lang w:val="es-ES"/>
        </w:rPr>
        <w:lastRenderedPageBreak/>
        <w:t xml:space="preserve">El FG DFS formuló muchas recomendaciones políticas e informes técnicos (o partes de éstos) destinados al sector bancario/financiero y a los reguladores que están claramente fuera de la </w:t>
      </w:r>
      <w:r>
        <w:rPr>
          <w:lang w:val="es-ES"/>
        </w:rPr>
        <w:t xml:space="preserve">jurisdicción de la UIT. </w:t>
      </w:r>
      <w:r w:rsidRPr="00CD2CCF">
        <w:rPr>
          <w:lang w:val="es-ES"/>
        </w:rPr>
        <w:t>Tampoco están dirigidas a los destinatarios</w:t>
      </w:r>
      <w:r>
        <w:rPr>
          <w:lang w:val="es-ES"/>
        </w:rPr>
        <w:t xml:space="preserve"> de la UIT. </w:t>
      </w:r>
      <w:r w:rsidRPr="00CD2CCF">
        <w:rPr>
          <w:lang w:val="es-ES"/>
        </w:rPr>
        <w:t>Actualmente se está llevando a cabo una parte importante de esta labor a través de la Iniciativa Mundial para la Inclusión Financiera (</w:t>
      </w:r>
      <w:hyperlink r:id="rId14" w:history="1">
        <w:r w:rsidRPr="00CD2CCF">
          <w:rPr>
            <w:rStyle w:val="Hyperlink"/>
            <w:rFonts w:ascii="Times New Roman" w:hAnsi="Times New Roman"/>
            <w:bCs/>
            <w:lang w:val="es-ES"/>
          </w:rPr>
          <w:t>FIGI</w:t>
        </w:r>
      </w:hyperlink>
      <w:r w:rsidRPr="00CD2CCF">
        <w:rPr>
          <w:lang w:val="es-ES"/>
        </w:rPr>
        <w:t>), coorganizada por la UIT, que son los destinatarios más pertinentes.</w:t>
      </w:r>
    </w:p>
    <w:p w:rsidR="00CD2CCF" w:rsidRPr="00CD2CCF" w:rsidRDefault="00CD2CCF" w:rsidP="00CD2CCF">
      <w:pPr>
        <w:rPr>
          <w:lang w:val="es-ES"/>
        </w:rPr>
      </w:pPr>
      <w:r w:rsidRPr="00CD2CCF">
        <w:rPr>
          <w:lang w:val="es-ES"/>
        </w:rPr>
        <w:t>Si bien el GANT aprobó los resultados del FG DFS en su reunión de mayo de 2017, es evidente que no era la intención del GANT, ni la de los expertos del FG DFS, que cada resultado del FG DFS tuviera un texto del UIT-T correspondiente (ya sea Recomendación, Informe, etc.).</w:t>
      </w:r>
    </w:p>
    <w:p w:rsidR="00CD2CCF" w:rsidRPr="00CD2CCF" w:rsidRDefault="00CD2CCF" w:rsidP="00CD2CCF">
      <w:pPr>
        <w:rPr>
          <w:lang w:val="es-ES"/>
        </w:rPr>
      </w:pPr>
      <w:r w:rsidRPr="00CD2CCF">
        <w:rPr>
          <w:lang w:val="es-ES"/>
        </w:rPr>
        <w:t>De hecho, convertir los resultados de</w:t>
      </w:r>
      <w:r w:rsidR="00D01203">
        <w:rPr>
          <w:lang w:val="es-ES"/>
        </w:rPr>
        <w:t>l</w:t>
      </w:r>
      <w:r w:rsidRPr="00CD2CCF">
        <w:rPr>
          <w:lang w:val="es-ES"/>
        </w:rPr>
        <w:t xml:space="preserve"> FG DFS en un texto del UIT-T, con sujeción a modificaciones y revisiones adicionales al examen por homólogos de los expertos de</w:t>
      </w:r>
      <w:r w:rsidR="00D01203">
        <w:rPr>
          <w:lang w:val="es-ES"/>
        </w:rPr>
        <w:t>l</w:t>
      </w:r>
      <w:r w:rsidRPr="00CD2CCF">
        <w:rPr>
          <w:lang w:val="es-ES"/>
        </w:rPr>
        <w:t xml:space="preserve"> FG DFS, socavaría la credib</w:t>
      </w:r>
      <w:r>
        <w:rPr>
          <w:lang w:val="es-ES"/>
        </w:rPr>
        <w:t xml:space="preserve">ilidad de la labor del FG DFS. </w:t>
      </w:r>
      <w:r w:rsidRPr="00CD2CCF">
        <w:rPr>
          <w:lang w:val="es-ES"/>
        </w:rPr>
        <w:t xml:space="preserve">Por ese motivo, el Comité de Normalización del Vocabulario (SCV) ya ha señalado que es necesario editar el "Glosario de Servicios Financieros Digitales" que adoptamos sin cambios en la reunión del año pasado para que los términos y el formato sean coherentes con las normas del UIT-T, </w:t>
      </w:r>
      <w:hyperlink r:id="rId15" w:history="1">
        <w:r w:rsidRPr="00CD2CCF">
          <w:rPr>
            <w:rStyle w:val="Hyperlink"/>
            <w:rFonts w:ascii="Times New Roman" w:hAnsi="Times New Roman"/>
            <w:bCs/>
            <w:lang w:val="es-ES"/>
          </w:rPr>
          <w:t>SG3-TD137/GEN</w:t>
        </w:r>
      </w:hyperlink>
      <w:r w:rsidRPr="00CD2CCF">
        <w:rPr>
          <w:lang w:val="es-ES"/>
        </w:rPr>
        <w:t>.</w:t>
      </w:r>
    </w:p>
    <w:p w:rsidR="00CD2CCF" w:rsidRPr="00CD2CCF" w:rsidRDefault="00CD2CCF" w:rsidP="00CD2CCF">
      <w:pPr>
        <w:pStyle w:val="Heading1"/>
        <w:rPr>
          <w:lang w:val="es-ES"/>
        </w:rPr>
      </w:pPr>
      <w:r w:rsidRPr="00CD2CCF">
        <w:rPr>
          <w:lang w:val="es-ES"/>
        </w:rPr>
        <w:t>3</w:t>
      </w:r>
      <w:r>
        <w:rPr>
          <w:lang w:val="es-ES"/>
        </w:rPr>
        <w:tab/>
      </w:r>
      <w:r w:rsidRPr="00CD2CCF">
        <w:rPr>
          <w:lang w:val="es-ES"/>
        </w:rPr>
        <w:t>Propuesta</w:t>
      </w:r>
    </w:p>
    <w:p w:rsidR="00CD2CCF" w:rsidRPr="00CD2CCF" w:rsidRDefault="00CD2CCF" w:rsidP="00CD2CCF">
      <w:pPr>
        <w:rPr>
          <w:lang w:val="es-ES"/>
        </w:rPr>
      </w:pPr>
      <w:r w:rsidRPr="00CD2CCF">
        <w:rPr>
          <w:lang w:val="es-ES"/>
        </w:rPr>
        <w:t>En caso necesario, Estados Unidos no se opone a convertir los resultados del FG DFS en informes técnicos del UIT-T, siempre y cuando aborden las necesidades de los SFM y en respuesta a la Res</w:t>
      </w:r>
      <w:r>
        <w:rPr>
          <w:lang w:val="es-ES"/>
        </w:rPr>
        <w:t xml:space="preserve">olución </w:t>
      </w:r>
      <w:r w:rsidRPr="00CD2CCF">
        <w:rPr>
          <w:lang w:val="es-ES"/>
        </w:rPr>
        <w:t xml:space="preserve">89 (Hammamet, 2016) o </w:t>
      </w:r>
      <w:r w:rsidR="00D01203">
        <w:rPr>
          <w:lang w:val="es-ES"/>
        </w:rPr>
        <w:t xml:space="preserve">la </w:t>
      </w:r>
      <w:r w:rsidRPr="00CD2CCF">
        <w:rPr>
          <w:lang w:val="es-ES"/>
        </w:rPr>
        <w:t>Res</w:t>
      </w:r>
      <w:r>
        <w:rPr>
          <w:lang w:val="es-ES"/>
        </w:rPr>
        <w:t>olución</w:t>
      </w:r>
      <w:r w:rsidRPr="00CD2CCF">
        <w:rPr>
          <w:lang w:val="es-ES"/>
        </w:rPr>
        <w:t xml:space="preserve"> 204 (Dubái, 2018).</w:t>
      </w:r>
    </w:p>
    <w:p w:rsidR="00CD2CCF" w:rsidRPr="00CD2CCF" w:rsidRDefault="00963B8D" w:rsidP="00CD2CCF">
      <w:pPr>
        <w:rPr>
          <w:lang w:val="es-ES"/>
        </w:rPr>
      </w:pPr>
      <w:r>
        <w:rPr>
          <w:lang w:val="es-ES"/>
        </w:rPr>
        <w:t>En cambio, Estados Unido</w:t>
      </w:r>
      <w:r w:rsidR="00CD2CCF" w:rsidRPr="00CD2CCF">
        <w:rPr>
          <w:lang w:val="es-ES"/>
        </w:rPr>
        <w:t>s</w:t>
      </w:r>
      <w:r>
        <w:rPr>
          <w:lang w:val="es-ES"/>
        </w:rPr>
        <w:t xml:space="preserve"> </w:t>
      </w:r>
      <w:r w:rsidR="00CD2CCF" w:rsidRPr="00CD2CCF">
        <w:rPr>
          <w:lang w:val="es-ES"/>
        </w:rPr>
        <w:t>n</w:t>
      </w:r>
      <w:r>
        <w:rPr>
          <w:lang w:val="es-ES"/>
        </w:rPr>
        <w:t>o</w:t>
      </w:r>
      <w:r w:rsidR="00CD2CCF" w:rsidRPr="00CD2CCF">
        <w:rPr>
          <w:lang w:val="es-ES"/>
        </w:rPr>
        <w:t xml:space="preserve"> refrenda convertir los resultados del FG DFS en Recomendaciones UIT-T, a menos que dicha Recomendación ofrezca un </w:t>
      </w:r>
      <w:r w:rsidR="00CD2CCF">
        <w:rPr>
          <w:lang w:val="es-ES"/>
        </w:rPr>
        <w:t>"</w:t>
      </w:r>
      <w:r w:rsidR="00CD2CCF" w:rsidRPr="00CD2CCF">
        <w:rPr>
          <w:lang w:val="es-ES"/>
        </w:rPr>
        <w:t>valor añadido</w:t>
      </w:r>
      <w:r w:rsidR="00CD2CCF">
        <w:rPr>
          <w:lang w:val="es-ES"/>
        </w:rPr>
        <w:t>"</w:t>
      </w:r>
      <w:r w:rsidR="00CD2CCF" w:rsidRPr="00CD2CCF">
        <w:rPr>
          <w:lang w:val="es-ES"/>
        </w:rPr>
        <w:t xml:space="preserve"> al sector de las telecomunicaciones/TIC en cuanto a orientaciones específicas que no están comprendidas en el </w:t>
      </w:r>
      <w:r w:rsidR="00D01203" w:rsidRPr="00CD2CCF">
        <w:rPr>
          <w:lang w:val="es-ES"/>
        </w:rPr>
        <w:t xml:space="preserve">Informe </w:t>
      </w:r>
      <w:r w:rsidR="00CD2CCF" w:rsidRPr="00CD2CCF">
        <w:rPr>
          <w:lang w:val="es-ES"/>
        </w:rPr>
        <w:t>FG DFS.</w:t>
      </w:r>
    </w:p>
    <w:p w:rsidR="00CD2CCF" w:rsidRPr="00CD2CCF" w:rsidRDefault="00CD2CCF" w:rsidP="00CD2CCF">
      <w:pPr>
        <w:rPr>
          <w:lang w:val="es-ES"/>
        </w:rPr>
      </w:pPr>
      <w:r w:rsidRPr="00CD2CCF">
        <w:rPr>
          <w:lang w:val="es-ES"/>
        </w:rPr>
        <w:t>Asimismo, las Recomendaciones deben corresponder plenamente al mandato de la UIT, es decir, abordar las necesidades del sector de las telecomunicaciones/TIC, no del sector bancario/financiero</w:t>
      </w:r>
      <w:r>
        <w:rPr>
          <w:lang w:val="es-ES"/>
        </w:rPr>
        <w:t xml:space="preserve">. </w:t>
      </w:r>
      <w:r w:rsidRPr="00CD2CCF">
        <w:rPr>
          <w:lang w:val="es-ES"/>
        </w:rPr>
        <w:t>Las Recomendaciones no deben contener disposiciones relativas al sector bancario/financiero, al que no son de aplicación las Recomendaciones del UIT-T.</w:t>
      </w:r>
    </w:p>
    <w:p w:rsidR="00CD2CCF" w:rsidRPr="00CD2CCF" w:rsidRDefault="00CD2CCF" w:rsidP="00CD2CCF">
      <w:pPr>
        <w:rPr>
          <w:lang w:val="es-ES"/>
        </w:rPr>
      </w:pPr>
      <w:r w:rsidRPr="00CD2CCF">
        <w:rPr>
          <w:lang w:val="es-ES"/>
        </w:rPr>
        <w:t>Estados Unidos solicita un examen/debate exhaustivo del programa de trabajo de la Cuestión 12/3 con el fin de comprender las metas y los objetivos de cada uno de los temas de estudio actuales y propuestos en consonancia con esta propuesta.</w:t>
      </w:r>
    </w:p>
    <w:p w:rsidR="00CD2CCF" w:rsidRPr="00CD2CCF" w:rsidRDefault="00CD2CCF" w:rsidP="00CD2CCF">
      <w:pPr>
        <w:rPr>
          <w:lang w:val="es-ES"/>
        </w:rPr>
      </w:pPr>
      <w:r w:rsidRPr="00CD2CCF">
        <w:rPr>
          <w:lang w:val="es-ES"/>
        </w:rPr>
        <w:t xml:space="preserve">Estados Unidos agradece la labor </w:t>
      </w:r>
      <w:r>
        <w:rPr>
          <w:lang w:val="es-ES"/>
        </w:rPr>
        <w:t xml:space="preserve">realizada en la Cuestión 12/3. </w:t>
      </w:r>
      <w:r w:rsidRPr="00CD2CCF">
        <w:rPr>
          <w:lang w:val="es-ES"/>
        </w:rPr>
        <w:t>Sin embargo, esta labor debe demostrar un "valor añadido" respecto de los resultados de</w:t>
      </w:r>
      <w:r w:rsidR="00D01203">
        <w:rPr>
          <w:lang w:val="es-ES"/>
        </w:rPr>
        <w:t>l</w:t>
      </w:r>
      <w:r w:rsidRPr="00CD2CCF">
        <w:rPr>
          <w:lang w:val="es-ES"/>
        </w:rPr>
        <w:t xml:space="preserve"> FG DFS y debe ceñirse al mandato de la UIT de conformidad con las Resoluciones 89 (Hammamet, 2016) y 204 (Dubá</w:t>
      </w:r>
      <w:r w:rsidR="00D01203">
        <w:rPr>
          <w:lang w:val="es-ES"/>
        </w:rPr>
        <w:t>i, 2018).</w:t>
      </w:r>
    </w:p>
    <w:p w:rsidR="00CD2CCF" w:rsidRPr="00CD2CCF" w:rsidRDefault="00CD2CCF" w:rsidP="00CD2CCF">
      <w:pPr>
        <w:rPr>
          <w:lang w:val="es-ES"/>
        </w:rPr>
      </w:pPr>
      <w:r w:rsidRPr="00CD2CCF">
        <w:rPr>
          <w:lang w:val="es-ES"/>
        </w:rPr>
        <w:t>Estados Unidos solicita que esta contribución se ponga a disposición pública sin restricciones.</w:t>
      </w:r>
    </w:p>
    <w:p w:rsidR="00631DD7" w:rsidRPr="00631DD7" w:rsidRDefault="00631DD7" w:rsidP="00631DD7">
      <w:pPr>
        <w:rPr>
          <w:lang w:val="es-ES"/>
        </w:rPr>
      </w:pPr>
    </w:p>
    <w:p w:rsidR="00631DD7" w:rsidRPr="00CD2CCF" w:rsidRDefault="00631DD7">
      <w:pPr>
        <w:jc w:val="center"/>
        <w:rPr>
          <w:lang w:val="es-ES"/>
        </w:rPr>
      </w:pPr>
      <w:r w:rsidRPr="00CD2CCF">
        <w:rPr>
          <w:lang w:val="es-ES"/>
        </w:rPr>
        <w:t>______________</w:t>
      </w:r>
    </w:p>
    <w:sectPr w:rsidR="00631DD7" w:rsidRPr="00CD2CCF">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F3" w:rsidRDefault="00D650F3">
      <w:r>
        <w:separator/>
      </w:r>
    </w:p>
  </w:endnote>
  <w:endnote w:type="continuationSeparator" w:id="0">
    <w:p w:rsidR="00D650F3" w:rsidRDefault="00D6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F3" w:rsidRDefault="00D650F3">
      <w:r>
        <w:t>____________________</w:t>
      </w:r>
    </w:p>
  </w:footnote>
  <w:footnote w:type="continuationSeparator" w:id="0">
    <w:p w:rsidR="00D650F3" w:rsidRDefault="00D6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A0" w:rsidRPr="000E7A14" w:rsidRDefault="00CB35A0"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E50DFE">
      <w:rPr>
        <w:noProof/>
      </w:rPr>
      <w:t>2</w:t>
    </w:r>
    <w:r w:rsidRPr="000E7A14">
      <w:fldChar w:fldCharType="end"/>
    </w:r>
    <w:r w:rsidRPr="000E7A14">
      <w:t xml:space="preserve"> -</w:t>
    </w:r>
  </w:p>
  <w:p w:rsidR="00CB35A0" w:rsidRDefault="00CB35A0" w:rsidP="00CB35A0">
    <w:pPr>
      <w:pStyle w:val="Header"/>
      <w:spacing w:after="240"/>
    </w:pPr>
    <w:r w:rsidRPr="000E7A14">
      <w:fldChar w:fldCharType="begin"/>
    </w:r>
    <w:r w:rsidRPr="000E7A14">
      <w:instrText xml:space="preserve"> STYLEREF  Docnumber  </w:instrText>
    </w:r>
    <w:r w:rsidRPr="000E7A14">
      <w:fldChar w:fldCharType="separate"/>
    </w:r>
    <w:r w:rsidR="00E50DFE">
      <w:rPr>
        <w:noProof/>
      </w:rPr>
      <w:t>SG3-C298-S</w:t>
    </w:r>
    <w:r w:rsidRPr="000E7A1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F3"/>
    <w:rsid w:val="000D200E"/>
    <w:rsid w:val="00103412"/>
    <w:rsid w:val="003865B1"/>
    <w:rsid w:val="0041566A"/>
    <w:rsid w:val="004D5B4F"/>
    <w:rsid w:val="004E0A9C"/>
    <w:rsid w:val="00526809"/>
    <w:rsid w:val="00631DD7"/>
    <w:rsid w:val="009637F9"/>
    <w:rsid w:val="00963B8D"/>
    <w:rsid w:val="00A33F2A"/>
    <w:rsid w:val="00AA66EB"/>
    <w:rsid w:val="00AE396D"/>
    <w:rsid w:val="00B8550B"/>
    <w:rsid w:val="00CB35A0"/>
    <w:rsid w:val="00CC5046"/>
    <w:rsid w:val="00CD2CCF"/>
    <w:rsid w:val="00CE092C"/>
    <w:rsid w:val="00D01203"/>
    <w:rsid w:val="00D650F3"/>
    <w:rsid w:val="00D77947"/>
    <w:rsid w:val="00E50DFE"/>
    <w:rsid w:val="00E67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052BA7"/>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0F3"/>
    <w:pPr>
      <w:spacing w:before="120"/>
    </w:pPr>
    <w:rPr>
      <w:rFonts w:ascii="Times New Roman" w:eastAsiaTheme="minorEastAsia" w:hAnsi="Times New Roman"/>
      <w:sz w:val="24"/>
      <w:szCs w:val="24"/>
      <w:lang w:val="en-GB" w:eastAsia="ja-JP"/>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
    <w:basedOn w:val="DefaultParagraphFont"/>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semiHidden/>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jarianpb@state.gov" TargetMode="External"/><Relationship Id="rId13" Type="http://schemas.openxmlformats.org/officeDocument/2006/relationships/hyperlink" Target="https://www.itu.int/en/ITU-T/focusgroups/dfs/Pages/deliverab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en/ITU-T/focusgroups/dfs/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ITU-T/workprog/wp_search.aspx?sg=3&amp;q=12" TargetMode="External"/><Relationship Id="rId5" Type="http://schemas.openxmlformats.org/officeDocument/2006/relationships/footnotes" Target="footnotes.xml"/><Relationship Id="rId15" Type="http://schemas.openxmlformats.org/officeDocument/2006/relationships/hyperlink" Target="https://gcc01.safelinks.protection.outlook.com/?url=https%3A%2F%2Fwww.itu.int%2Fdms_inf%2Fitu-t%2Fmd%2F17%2Fsg03%2Ftd%2F190423%2FGEN%2FT17-SG03-190423-TD-GEN-0137!!MSW-E.docx&amp;data=02%7C01%7CCFrank%40ntia.gov%7C2c0ab2ab33ff4b12f1f808d6b77f0be4%7Cd6cff1bd67dd4ce8945dd07dc775672f%7C0%7C1%7C636898153625966961&amp;sdata=tpqbSxdxIc%2BKCmPOyBrSrRLWHANrBfX5HK0NbiITV8A%3D&amp;reserved=0" TargetMode="External"/><Relationship Id="rId10" Type="http://schemas.openxmlformats.org/officeDocument/2006/relationships/hyperlink" Target="https://www.itu.int/en/ITU-T/studygroups/2017-2020/03/Pages/q12.aspx" TargetMode="External"/><Relationship Id="rId4" Type="http://schemas.openxmlformats.org/officeDocument/2006/relationships/webSettings" Target="webSettings.xml"/><Relationship Id="rId9" Type="http://schemas.openxmlformats.org/officeDocument/2006/relationships/hyperlink" Target="https://www.itu.int/pub/T-RES-T.89-2016/es" TargetMode="External"/><Relationship Id="rId14" Type="http://schemas.openxmlformats.org/officeDocument/2006/relationships/hyperlink" Target="https://www.itu.int/en/ITU-T/extcoop/figisymposium/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8910-14F0-4283-BBB9-B66C1459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Template>
  <TotalTime>40</TotalTime>
  <Pages>2</Pages>
  <Words>794</Words>
  <Characters>5205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Author</cp:lastModifiedBy>
  <cp:revision>7</cp:revision>
  <cp:lastPrinted>2019-04-16T09:02:00Z</cp:lastPrinted>
  <dcterms:created xsi:type="dcterms:W3CDTF">2019-04-16T08:30:00Z</dcterms:created>
  <dcterms:modified xsi:type="dcterms:W3CDTF">2019-04-22T10:37:00Z</dcterms:modified>
</cp:coreProperties>
</file>