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143"/>
        <w:gridCol w:w="4252"/>
        <w:gridCol w:w="284"/>
        <w:gridCol w:w="3827"/>
      </w:tblGrid>
      <w:tr w:rsidR="001A2CAE" w:rsidRPr="00A86565" w:rsidTr="002923BC">
        <w:trPr>
          <w:cantSplit/>
        </w:trPr>
        <w:tc>
          <w:tcPr>
            <w:tcW w:w="1417" w:type="dxa"/>
            <w:vMerge w:val="restart"/>
          </w:tcPr>
          <w:p w:rsidR="001A2CAE" w:rsidRPr="00A86565" w:rsidRDefault="001A2CAE" w:rsidP="003E5CE0">
            <w:pPr>
              <w:rPr>
                <w:lang w:val="fr-CH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A86565">
              <w:rPr>
                <w:b/>
                <w:noProof/>
                <w:sz w:val="36"/>
                <w:lang w:val="en-GB" w:eastAsia="en-GB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gridSpan w:val="3"/>
          </w:tcPr>
          <w:p w:rsidR="001A2CAE" w:rsidRPr="00A86565" w:rsidRDefault="001A2CAE" w:rsidP="003E5CE0">
            <w:pPr>
              <w:rPr>
                <w:sz w:val="20"/>
                <w:lang w:val="fr-CH"/>
              </w:rPr>
            </w:pPr>
            <w:r w:rsidRPr="002923BC">
              <w:rPr>
                <w:sz w:val="16"/>
                <w:szCs w:val="16"/>
                <w:lang w:val="fr-CH"/>
              </w:rPr>
              <w:t>UNION INTERNATIONALE DES TÉLÉCOMMUNICATIONS</w:t>
            </w:r>
          </w:p>
        </w:tc>
        <w:tc>
          <w:tcPr>
            <w:tcW w:w="3827" w:type="dxa"/>
          </w:tcPr>
          <w:p w:rsidR="001A2CAE" w:rsidRPr="002923BC" w:rsidRDefault="00621E3E" w:rsidP="006B4990">
            <w:pPr>
              <w:jc w:val="right"/>
              <w:rPr>
                <w:b/>
                <w:bCs/>
                <w:sz w:val="32"/>
                <w:szCs w:val="24"/>
                <w:lang w:val="fr-CH"/>
              </w:rPr>
            </w:pPr>
            <w:r>
              <w:rPr>
                <w:b/>
                <w:bCs/>
                <w:sz w:val="32"/>
                <w:szCs w:val="24"/>
                <w:lang w:val="fr-CH" w:eastAsia="zh-CN"/>
              </w:rPr>
              <w:t>SG3-C</w:t>
            </w:r>
            <w:r w:rsidR="00BF2769">
              <w:rPr>
                <w:b/>
                <w:bCs/>
                <w:sz w:val="32"/>
                <w:szCs w:val="24"/>
                <w:lang w:val="fr-CH" w:eastAsia="zh-CN"/>
              </w:rPr>
              <w:t>2</w:t>
            </w:r>
            <w:r w:rsidR="006B4990">
              <w:rPr>
                <w:b/>
                <w:bCs/>
                <w:sz w:val="32"/>
                <w:szCs w:val="24"/>
                <w:lang w:val="fr-CH" w:eastAsia="zh-CN"/>
              </w:rPr>
              <w:t>98</w:t>
            </w:r>
            <w:r w:rsidR="00674C48">
              <w:rPr>
                <w:b/>
                <w:bCs/>
                <w:sz w:val="32"/>
                <w:szCs w:val="24"/>
                <w:lang w:val="fr-CH" w:eastAsia="zh-CN"/>
              </w:rPr>
              <w:t>-F</w:t>
            </w:r>
          </w:p>
        </w:tc>
      </w:tr>
      <w:tr w:rsidR="001A2CAE" w:rsidRPr="00A86565" w:rsidTr="002923BC">
        <w:trPr>
          <w:cantSplit/>
          <w:trHeight w:val="355"/>
        </w:trPr>
        <w:tc>
          <w:tcPr>
            <w:tcW w:w="1417" w:type="dxa"/>
            <w:vMerge/>
          </w:tcPr>
          <w:p w:rsidR="001A2CAE" w:rsidRPr="00A86565" w:rsidRDefault="001A2CAE" w:rsidP="003E5CE0">
            <w:pPr>
              <w:rPr>
                <w:lang w:val="fr-CH"/>
              </w:rPr>
            </w:pPr>
            <w:bookmarkStart w:id="3" w:name="ddate" w:colFirst="2" w:colLast="2"/>
            <w:bookmarkEnd w:id="1"/>
          </w:p>
        </w:tc>
        <w:tc>
          <w:tcPr>
            <w:tcW w:w="4679" w:type="dxa"/>
            <w:gridSpan w:val="3"/>
            <w:vMerge w:val="restart"/>
          </w:tcPr>
          <w:p w:rsidR="001A2CAE" w:rsidRPr="00A86565" w:rsidRDefault="001A2CAE" w:rsidP="003E5CE0">
            <w:pPr>
              <w:rPr>
                <w:b/>
                <w:bCs/>
                <w:sz w:val="26"/>
                <w:lang w:val="fr-CH"/>
              </w:rPr>
            </w:pPr>
            <w:r w:rsidRPr="00A86565">
              <w:rPr>
                <w:b/>
                <w:bCs/>
                <w:sz w:val="26"/>
                <w:lang w:val="fr-CH"/>
              </w:rPr>
              <w:t>SECTEUR DE LA NORMALISATION DES TÉLÉCOMMUNICATIONS</w:t>
            </w:r>
          </w:p>
          <w:p w:rsidR="001A2CAE" w:rsidRPr="00A86565" w:rsidRDefault="00AA2C77" w:rsidP="003E5CE0">
            <w:pPr>
              <w:rPr>
                <w:smallCaps/>
                <w:sz w:val="20"/>
                <w:lang w:val="fr-CH"/>
              </w:rPr>
            </w:pPr>
            <w:r>
              <w:rPr>
                <w:sz w:val="20"/>
                <w:lang w:val="fr-CH"/>
              </w:rPr>
              <w:t>PÉRIODE D</w:t>
            </w:r>
            <w:r w:rsidR="00621E3E">
              <w:rPr>
                <w:sz w:val="20"/>
                <w:lang w:val="fr-CH"/>
              </w:rPr>
              <w:t>'</w:t>
            </w:r>
            <w:r w:rsidR="001A2CAE" w:rsidRPr="00A86565">
              <w:rPr>
                <w:sz w:val="20"/>
                <w:lang w:val="fr-CH"/>
              </w:rPr>
              <w:t>ÉTUDES 2017-2020</w:t>
            </w:r>
          </w:p>
        </w:tc>
        <w:tc>
          <w:tcPr>
            <w:tcW w:w="3827" w:type="dxa"/>
          </w:tcPr>
          <w:p w:rsidR="001A2CAE" w:rsidRPr="009A546D" w:rsidRDefault="00621E3E" w:rsidP="00AC2B62">
            <w:pPr>
              <w:jc w:val="right"/>
              <w:rPr>
                <w:b/>
                <w:bCs/>
                <w:sz w:val="28"/>
                <w:lang w:val="fr-CH"/>
              </w:rPr>
            </w:pPr>
            <w:r>
              <w:rPr>
                <w:b/>
                <w:bCs/>
                <w:sz w:val="28"/>
                <w:lang w:val="fr-CH"/>
              </w:rPr>
              <w:t>COMMISSION D'ÉTUDES 3</w:t>
            </w:r>
          </w:p>
        </w:tc>
      </w:tr>
      <w:tr w:rsidR="001A2CAE" w:rsidRPr="00A86565" w:rsidTr="002923BC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1A2CAE" w:rsidRPr="00A86565" w:rsidRDefault="001A2CAE" w:rsidP="003E5CE0">
            <w:pPr>
              <w:rPr>
                <w:lang w:val="fr-CH"/>
              </w:rPr>
            </w:pPr>
            <w:bookmarkStart w:id="4" w:name="dorlang" w:colFirst="2" w:colLast="2"/>
            <w:bookmarkEnd w:id="3"/>
          </w:p>
        </w:tc>
        <w:tc>
          <w:tcPr>
            <w:tcW w:w="4679" w:type="dxa"/>
            <w:gridSpan w:val="3"/>
            <w:vMerge/>
            <w:tcBorders>
              <w:bottom w:val="single" w:sz="12" w:space="0" w:color="auto"/>
            </w:tcBorders>
          </w:tcPr>
          <w:p w:rsidR="001A2CAE" w:rsidRPr="00A86565" w:rsidRDefault="001A2CAE" w:rsidP="003E5CE0">
            <w:pPr>
              <w:rPr>
                <w:b/>
                <w:bCs/>
                <w:sz w:val="26"/>
                <w:lang w:val="fr-CH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vAlign w:val="center"/>
          </w:tcPr>
          <w:p w:rsidR="001A2CAE" w:rsidRPr="00A86565" w:rsidRDefault="001A2CAE" w:rsidP="003E5CE0">
            <w:pPr>
              <w:jc w:val="right"/>
              <w:rPr>
                <w:b/>
                <w:bCs/>
                <w:sz w:val="28"/>
                <w:lang w:val="fr-CH"/>
              </w:rPr>
            </w:pPr>
            <w:r w:rsidRPr="00A86565">
              <w:rPr>
                <w:b/>
                <w:bCs/>
                <w:sz w:val="28"/>
                <w:lang w:val="fr-CH"/>
              </w:rPr>
              <w:t>Original: anglais</w:t>
            </w:r>
          </w:p>
        </w:tc>
      </w:tr>
      <w:tr w:rsidR="001A2CAE" w:rsidRPr="00A86565" w:rsidTr="002923BC">
        <w:trPr>
          <w:cantSplit/>
          <w:trHeight w:val="357"/>
        </w:trPr>
        <w:tc>
          <w:tcPr>
            <w:tcW w:w="1560" w:type="dxa"/>
            <w:gridSpan w:val="2"/>
          </w:tcPr>
          <w:p w:rsidR="001A2CAE" w:rsidRPr="00A86565" w:rsidRDefault="001706ED" w:rsidP="003E5CE0">
            <w:pPr>
              <w:rPr>
                <w:b/>
                <w:bCs/>
                <w:lang w:val="fr-CH"/>
              </w:rPr>
            </w:pPr>
            <w:bookmarkStart w:id="5" w:name="dbluepink" w:colFirst="1" w:colLast="1"/>
            <w:bookmarkStart w:id="6" w:name="dmeeting" w:colFirst="2" w:colLast="2"/>
            <w:bookmarkEnd w:id="4"/>
            <w:r>
              <w:rPr>
                <w:b/>
                <w:bCs/>
                <w:lang w:val="fr-CH"/>
              </w:rPr>
              <w:t>Question</w:t>
            </w:r>
            <w:r w:rsidR="001A2CAE" w:rsidRPr="00A86565">
              <w:rPr>
                <w:b/>
                <w:bCs/>
                <w:lang w:val="fr-CH"/>
              </w:rPr>
              <w:t>:</w:t>
            </w:r>
          </w:p>
        </w:tc>
        <w:tc>
          <w:tcPr>
            <w:tcW w:w="4536" w:type="dxa"/>
            <w:gridSpan w:val="2"/>
          </w:tcPr>
          <w:p w:rsidR="001A2CAE" w:rsidRPr="00A86565" w:rsidRDefault="0004760D" w:rsidP="00BF2769">
            <w:pPr>
              <w:rPr>
                <w:highlight w:val="yellow"/>
                <w:lang w:val="fr-CH"/>
              </w:rPr>
            </w:pPr>
            <w:r>
              <w:rPr>
                <w:lang w:val="fr-CH"/>
              </w:rPr>
              <w:t>1</w:t>
            </w:r>
            <w:r w:rsidR="00BF2769">
              <w:rPr>
                <w:lang w:val="fr-CH"/>
              </w:rPr>
              <w:t>2</w:t>
            </w:r>
            <w:r w:rsidR="00621E3E" w:rsidRPr="00621E3E">
              <w:rPr>
                <w:lang w:val="fr-CH"/>
              </w:rPr>
              <w:t>/3</w:t>
            </w:r>
          </w:p>
        </w:tc>
        <w:tc>
          <w:tcPr>
            <w:tcW w:w="3827" w:type="dxa"/>
          </w:tcPr>
          <w:p w:rsidR="001A2CAE" w:rsidRPr="00A86565" w:rsidRDefault="00621E3E" w:rsidP="002923BC">
            <w:pPr>
              <w:jc w:val="right"/>
              <w:rPr>
                <w:lang w:val="fr-CH"/>
              </w:rPr>
            </w:pPr>
            <w:r>
              <w:rPr>
                <w:lang w:val="fr-CH"/>
              </w:rPr>
              <w:t>Genève, 23 avril – 2 mai 2019</w:t>
            </w:r>
          </w:p>
        </w:tc>
      </w:tr>
      <w:tr w:rsidR="001A2CAE" w:rsidRPr="00A86565" w:rsidTr="00756796">
        <w:trPr>
          <w:cantSplit/>
          <w:trHeight w:val="357"/>
        </w:trPr>
        <w:tc>
          <w:tcPr>
            <w:tcW w:w="9923" w:type="dxa"/>
            <w:gridSpan w:val="5"/>
          </w:tcPr>
          <w:p w:rsidR="001A2CAE" w:rsidRPr="00A86565" w:rsidRDefault="00621E3E" w:rsidP="003E5CE0">
            <w:pPr>
              <w:jc w:val="center"/>
              <w:rPr>
                <w:b/>
                <w:bCs/>
                <w:lang w:val="fr-CH"/>
              </w:rPr>
            </w:pPr>
            <w:bookmarkStart w:id="7" w:name="dtitle" w:colFirst="0" w:colLast="0"/>
            <w:bookmarkEnd w:id="5"/>
            <w:bookmarkEnd w:id="6"/>
            <w:r>
              <w:rPr>
                <w:b/>
                <w:bCs/>
                <w:lang w:val="fr-CH"/>
              </w:rPr>
              <w:t>CONTRIBUTION</w:t>
            </w:r>
          </w:p>
        </w:tc>
      </w:tr>
      <w:tr w:rsidR="00D929A9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D929A9" w:rsidRPr="00A86565" w:rsidRDefault="00D929A9" w:rsidP="00EC3FEA">
            <w:pPr>
              <w:rPr>
                <w:b/>
                <w:bCs/>
                <w:lang w:val="fr-CH"/>
              </w:rPr>
            </w:pPr>
            <w:bookmarkStart w:id="8" w:name="dsource" w:colFirst="1" w:colLast="1"/>
            <w:bookmarkEnd w:id="7"/>
            <w:r w:rsidRPr="00A86565">
              <w:rPr>
                <w:b/>
                <w:bCs/>
                <w:lang w:val="fr-CH"/>
              </w:rPr>
              <w:t>Origine:</w:t>
            </w:r>
          </w:p>
        </w:tc>
        <w:sdt>
          <w:sdtPr>
            <w:rPr>
              <w:lang w:val="fr-CH"/>
            </w:rPr>
            <w:alias w:val="DocumentSource"/>
            <w:tag w:val="DocumentSource"/>
            <w:id w:val="-1547363769"/>
            <w:placeholder>
              <w:docPart w:val="45801BD475604F68ADD0A94EB4A8C2C4"/>
            </w:placeholder>
            <w:text/>
          </w:sdtPr>
          <w:sdtEndPr/>
          <w:sdtContent>
            <w:tc>
              <w:tcPr>
                <w:tcW w:w="8363" w:type="dxa"/>
                <w:gridSpan w:val="3"/>
              </w:tcPr>
              <w:p w:rsidR="00D929A9" w:rsidRPr="00C41DC5" w:rsidRDefault="006B4990" w:rsidP="00EC3FEA">
                <w:r w:rsidRPr="006B4990">
                  <w:rPr>
                    <w:lang w:val="fr-CH"/>
                  </w:rPr>
                  <w:t>États-Unis d</w:t>
                </w:r>
                <w:r w:rsidR="00152C08">
                  <w:rPr>
                    <w:lang w:val="fr-CH"/>
                  </w:rPr>
                  <w:t>'</w:t>
                </w:r>
                <w:r w:rsidRPr="006B4990">
                  <w:rPr>
                    <w:lang w:val="fr-CH"/>
                  </w:rPr>
                  <w:t>Amérique</w:t>
                </w:r>
              </w:p>
            </w:tc>
          </w:sdtContent>
        </w:sdt>
      </w:tr>
      <w:tr w:rsidR="00D929A9" w:rsidRPr="00A86565" w:rsidTr="00756796">
        <w:trPr>
          <w:cantSplit/>
          <w:trHeight w:val="357"/>
        </w:trPr>
        <w:tc>
          <w:tcPr>
            <w:tcW w:w="1560" w:type="dxa"/>
            <w:gridSpan w:val="2"/>
          </w:tcPr>
          <w:p w:rsidR="00D929A9" w:rsidRPr="00A86565" w:rsidRDefault="00D929A9" w:rsidP="00EC3FEA">
            <w:pPr>
              <w:rPr>
                <w:b/>
                <w:bCs/>
                <w:lang w:val="fr-CH"/>
              </w:rPr>
            </w:pPr>
            <w:bookmarkStart w:id="9" w:name="dtitle1" w:colFirst="1" w:colLast="1"/>
            <w:bookmarkEnd w:id="8"/>
            <w:r w:rsidRPr="00A86565">
              <w:rPr>
                <w:b/>
                <w:bCs/>
                <w:lang w:val="fr-CH"/>
              </w:rPr>
              <w:t>Titre:</w:t>
            </w:r>
          </w:p>
        </w:tc>
        <w:tc>
          <w:tcPr>
            <w:tcW w:w="8363" w:type="dxa"/>
            <w:gridSpan w:val="3"/>
          </w:tcPr>
          <w:p w:rsidR="00D929A9" w:rsidRPr="00C41DC5" w:rsidRDefault="00F854B5" w:rsidP="00EC3FEA">
            <w:sdt>
              <w:sdtPr>
                <w:rPr>
                  <w:lang w:val="fr-CH"/>
                </w:rPr>
                <w:alias w:val="Title"/>
                <w:tag w:val="Title"/>
                <w:id w:val="1877968201"/>
                <w:placeholder>
                  <w:docPart w:val="84A2AF24C9B448BAA44C7C91E9914D51"/>
                </w:placeholder>
                <w:text/>
              </w:sdtPr>
              <w:sdtEndPr/>
              <w:sdtContent>
                <w:r w:rsidR="006B4990" w:rsidRPr="006B4990">
                  <w:rPr>
                    <w:lang w:val="fr-CH"/>
                  </w:rPr>
                  <w:t>Évaluation du programme de travail pour la Question 12/3</w:t>
                </w:r>
              </w:sdtContent>
            </w:sdt>
          </w:p>
        </w:tc>
      </w:tr>
      <w:tr w:rsidR="00D929A9" w:rsidRPr="00A86565" w:rsidTr="00756796">
        <w:trPr>
          <w:cantSplit/>
          <w:trHeight w:val="357"/>
        </w:trPr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D929A9" w:rsidRPr="00A86565" w:rsidRDefault="00D929A9" w:rsidP="00EC3FEA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Objet: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</w:tcBorders>
          </w:tcPr>
          <w:p w:rsidR="00D929A9" w:rsidRPr="00A86565" w:rsidRDefault="00D929A9" w:rsidP="00EC3FEA">
            <w:pPr>
              <w:rPr>
                <w:lang w:val="fr-CH"/>
              </w:rPr>
            </w:pPr>
            <w:bookmarkStart w:id="10" w:name="lt_pId019"/>
            <w:r w:rsidRPr="00C41DC5">
              <w:t>P</w:t>
            </w:r>
            <w:r w:rsidR="00D030DF">
              <w:t>rop</w:t>
            </w:r>
            <w:r w:rsidRPr="00C41DC5">
              <w:t xml:space="preserve">osition </w:t>
            </w:r>
            <w:bookmarkEnd w:id="10"/>
          </w:p>
        </w:tc>
      </w:tr>
      <w:tr w:rsidR="006B4990" w:rsidRPr="00756796" w:rsidTr="00C2460A">
        <w:tblPrEx>
          <w:jc w:val="center"/>
        </w:tblPrEx>
        <w:trPr>
          <w:cantSplit/>
          <w:jc w:val="center"/>
        </w:trPr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B4990" w:rsidRPr="00756796" w:rsidRDefault="006B4990" w:rsidP="006B499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textAlignment w:val="auto"/>
              <w:rPr>
                <w:rFonts w:eastAsia="SimSun"/>
                <w:b/>
                <w:bCs/>
                <w:szCs w:val="24"/>
                <w:lang w:val="fr-CH" w:eastAsia="ja-JP"/>
              </w:rPr>
            </w:pPr>
            <w:r>
              <w:rPr>
                <w:rFonts w:eastAsia="SimSun"/>
                <w:b/>
                <w:bCs/>
                <w:szCs w:val="24"/>
                <w:lang w:val="fr-CH" w:eastAsia="ja-JP"/>
              </w:rPr>
              <w:t>Contact: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6B4990" w:rsidRPr="008424C5" w:rsidRDefault="006B4990" w:rsidP="001C4779">
            <w:pPr>
              <w:spacing w:after="40"/>
              <w:rPr>
                <w:lang w:val="fr-CH"/>
              </w:rPr>
            </w:pPr>
            <w:r w:rsidRPr="008424C5">
              <w:rPr>
                <w:lang w:val="fr-CH"/>
              </w:rPr>
              <w:t xml:space="preserve">Paul B. </w:t>
            </w:r>
            <w:proofErr w:type="spellStart"/>
            <w:r w:rsidRPr="008424C5">
              <w:rPr>
                <w:lang w:val="fr-CH"/>
              </w:rPr>
              <w:t>Najarian</w:t>
            </w:r>
            <w:proofErr w:type="spellEnd"/>
            <w:r w:rsidRPr="008424C5">
              <w:rPr>
                <w:lang w:val="fr-CH"/>
              </w:rPr>
              <w:br/>
              <w:t>Département d</w:t>
            </w:r>
            <w:r w:rsidR="00152C08">
              <w:rPr>
                <w:lang w:val="fr-CH"/>
              </w:rPr>
              <w:t>'</w:t>
            </w:r>
            <w:r w:rsidRPr="008424C5">
              <w:rPr>
                <w:lang w:val="fr-CH"/>
              </w:rPr>
              <w:t xml:space="preserve">État des États-Unis </w:t>
            </w:r>
            <w:r w:rsidRPr="008424C5">
              <w:rPr>
                <w:lang w:val="fr-CH"/>
              </w:rPr>
              <w:br/>
            </w:r>
            <w:proofErr w:type="spellStart"/>
            <w:r w:rsidRPr="008424C5">
              <w:rPr>
                <w:lang w:val="fr-CH"/>
              </w:rPr>
              <w:t>États-Unis</w:t>
            </w:r>
            <w:proofErr w:type="spellEnd"/>
            <w:r w:rsidRPr="008424C5">
              <w:rPr>
                <w:lang w:val="fr-CH"/>
              </w:rPr>
              <w:t xml:space="preserve"> d</w:t>
            </w:r>
            <w:r w:rsidR="00152C08">
              <w:rPr>
                <w:lang w:val="fr-CH"/>
              </w:rPr>
              <w:t>'</w:t>
            </w:r>
            <w:r w:rsidRPr="008424C5">
              <w:rPr>
                <w:lang w:val="fr-CH"/>
              </w:rPr>
              <w:t>Amérique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B4990" w:rsidRPr="008424C5" w:rsidRDefault="006B4990" w:rsidP="006B4990">
            <w:pPr>
              <w:rPr>
                <w:lang w:val="fr-CH"/>
              </w:rPr>
            </w:pPr>
            <w:r w:rsidRPr="008424C5">
              <w:rPr>
                <w:lang w:val="fr-CH"/>
              </w:rPr>
              <w:t>Tél.: +1 (202) 647-7847</w:t>
            </w:r>
            <w:r w:rsidRPr="008424C5">
              <w:rPr>
                <w:lang w:val="fr-CH"/>
              </w:rPr>
              <w:br/>
              <w:t>Télécopie: +1 (202) 647-5957</w:t>
            </w:r>
            <w:r w:rsidRPr="008424C5">
              <w:rPr>
                <w:lang w:val="fr-CH"/>
              </w:rPr>
              <w:br/>
              <w:t xml:space="preserve">Courriel: </w:t>
            </w:r>
            <w:hyperlink r:id="rId9" w:history="1">
              <w:r w:rsidRPr="008424C5">
                <w:rPr>
                  <w:rStyle w:val="Hyperlink"/>
                  <w:lang w:val="fr-CH"/>
                </w:rPr>
                <w:t>najarianpb@state.gov</w:t>
              </w:r>
            </w:hyperlink>
          </w:p>
        </w:tc>
      </w:tr>
      <w:bookmarkEnd w:id="2"/>
      <w:bookmarkEnd w:id="9"/>
    </w:tbl>
    <w:p w:rsidR="00FA76C3" w:rsidRPr="00A86565" w:rsidRDefault="00FA76C3" w:rsidP="001C4779">
      <w:pPr>
        <w:spacing w:before="80"/>
        <w:rPr>
          <w:lang w:val="fr-CH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FA76C3" w:rsidRPr="00A86565" w:rsidTr="00274998">
        <w:trPr>
          <w:cantSplit/>
        </w:trPr>
        <w:tc>
          <w:tcPr>
            <w:tcW w:w="1560" w:type="dxa"/>
          </w:tcPr>
          <w:p w:rsidR="00FA76C3" w:rsidRPr="00A86565" w:rsidRDefault="00FA76C3" w:rsidP="003E5CE0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Mots clés:</w:t>
            </w:r>
          </w:p>
        </w:tc>
        <w:tc>
          <w:tcPr>
            <w:tcW w:w="8363" w:type="dxa"/>
          </w:tcPr>
          <w:p w:rsidR="00FA76C3" w:rsidRPr="00A86565" w:rsidRDefault="00F854B5" w:rsidP="00663564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44A11D927F2A48C2A2B9A9804FCA4A1E"/>
                </w:placeholder>
                <w:text/>
              </w:sdtPr>
              <w:sdtEndPr/>
              <w:sdtContent>
                <w:r w:rsidR="006B4990" w:rsidRPr="008424C5">
                  <w:rPr>
                    <w:lang w:val="fr-CH"/>
                  </w:rPr>
                  <w:t>Services financiers sur mobile (MFS)</w:t>
                </w:r>
              </w:sdtContent>
            </w:sdt>
          </w:p>
        </w:tc>
      </w:tr>
      <w:tr w:rsidR="00FA76C3" w:rsidRPr="00A86565" w:rsidTr="00274998">
        <w:trPr>
          <w:cantSplit/>
        </w:trPr>
        <w:tc>
          <w:tcPr>
            <w:tcW w:w="1560" w:type="dxa"/>
          </w:tcPr>
          <w:p w:rsidR="00FA76C3" w:rsidRPr="00A86565" w:rsidRDefault="005232FD" w:rsidP="003E5CE0">
            <w:pPr>
              <w:rPr>
                <w:b/>
                <w:bCs/>
                <w:lang w:val="fr-CH"/>
              </w:rPr>
            </w:pPr>
            <w:r w:rsidRPr="00A86565">
              <w:rPr>
                <w:b/>
                <w:bCs/>
                <w:lang w:val="fr-CH"/>
              </w:rPr>
              <w:t>Résumé</w:t>
            </w:r>
            <w:r w:rsidR="00FA76C3" w:rsidRPr="00A86565">
              <w:rPr>
                <w:b/>
                <w:bCs/>
                <w:lang w:val="fr-CH"/>
              </w:rPr>
              <w:t>:</w:t>
            </w:r>
          </w:p>
        </w:tc>
        <w:sdt>
          <w:sdtPr>
            <w:rPr>
              <w:rFonts w:eastAsiaTheme="minorEastAsia"/>
              <w:szCs w:val="24"/>
              <w:lang w:val="fr-CH" w:eastAsia="ja-JP"/>
            </w:rPr>
            <w:alias w:val="Abstract"/>
            <w:tag w:val="Abstract"/>
            <w:id w:val="-939903723"/>
            <w:placeholder>
              <w:docPart w:val="897CF17D4B624D3E845F74001D1BCDA0"/>
            </w:placeholder>
            <w:text w:multiLine="1"/>
          </w:sdtPr>
          <w:sdtEndPr/>
          <w:sdtContent>
            <w:tc>
              <w:tcPr>
                <w:tcW w:w="8363" w:type="dxa"/>
              </w:tcPr>
              <w:p w:rsidR="00FA76C3" w:rsidRPr="00A86565" w:rsidRDefault="006B4990" w:rsidP="006B4990">
                <w:pPr>
                  <w:rPr>
                    <w:lang w:val="fr-CH"/>
                  </w:rPr>
                </w:pPr>
                <w:r w:rsidRPr="006B4990">
                  <w:rPr>
                    <w:rFonts w:eastAsiaTheme="minorEastAsia"/>
                    <w:szCs w:val="24"/>
                    <w:lang w:val="fr-CH" w:eastAsia="ja-JP"/>
                  </w:rPr>
                  <w:t>Les États-Unis demandent, d</w:t>
                </w:r>
                <w:r w:rsidR="00152C08">
                  <w:rPr>
                    <w:rFonts w:eastAsiaTheme="minorEastAsia"/>
                    <w:szCs w:val="24"/>
                    <w:lang w:val="fr-CH" w:eastAsia="ja-JP"/>
                  </w:rPr>
                  <w:t>'</w:t>
                </w:r>
                <w:r w:rsidRPr="006B4990">
                  <w:rPr>
                    <w:rFonts w:eastAsiaTheme="minorEastAsia"/>
                    <w:szCs w:val="24"/>
                    <w:lang w:val="fr-CH" w:eastAsia="ja-JP"/>
                  </w:rPr>
                  <w:t>une part, de mener un examen et une discussion de fond sur le programme de travail pour la Question 12/3 en vue de comprendre les buts et les objectifs des sujets actuellement à l</w:t>
                </w:r>
                <w:r w:rsidR="00152C08">
                  <w:rPr>
                    <w:rFonts w:eastAsiaTheme="minorEastAsia"/>
                    <w:szCs w:val="24"/>
                    <w:lang w:val="fr-CH" w:eastAsia="ja-JP"/>
                  </w:rPr>
                  <w:t>'</w:t>
                </w:r>
                <w:r w:rsidRPr="006B4990">
                  <w:rPr>
                    <w:rFonts w:eastAsiaTheme="minorEastAsia"/>
                    <w:szCs w:val="24"/>
                    <w:lang w:val="fr-CH" w:eastAsia="ja-JP"/>
                  </w:rPr>
                  <w:t>étude et des sujets d</w:t>
                </w:r>
                <w:r w:rsidR="00152C08">
                  <w:rPr>
                    <w:rFonts w:eastAsiaTheme="minorEastAsia"/>
                    <w:szCs w:val="24"/>
                    <w:lang w:val="fr-CH" w:eastAsia="ja-JP"/>
                  </w:rPr>
                  <w:t>'</w:t>
                </w:r>
                <w:r w:rsidRPr="006B4990">
                  <w:rPr>
                    <w:rFonts w:eastAsiaTheme="minorEastAsia"/>
                    <w:szCs w:val="24"/>
                    <w:lang w:val="fr-CH" w:eastAsia="ja-JP"/>
                  </w:rPr>
                  <w:t>étude proposés, et d</w:t>
                </w:r>
                <w:r w:rsidR="00152C08">
                  <w:rPr>
                    <w:rFonts w:eastAsiaTheme="minorEastAsia"/>
                    <w:szCs w:val="24"/>
                    <w:lang w:val="fr-CH" w:eastAsia="ja-JP"/>
                  </w:rPr>
                  <w:t>'</w:t>
                </w:r>
                <w:r w:rsidRPr="006B4990">
                  <w:rPr>
                    <w:rFonts w:eastAsiaTheme="minorEastAsia"/>
                    <w:szCs w:val="24"/>
                    <w:lang w:val="fr-CH" w:eastAsia="ja-JP"/>
                  </w:rPr>
                  <w:t>autre part de cibler les efforts sur les sujets d</w:t>
                </w:r>
                <w:r w:rsidR="00152C08">
                  <w:rPr>
                    <w:rFonts w:eastAsiaTheme="minorEastAsia"/>
                    <w:szCs w:val="24"/>
                    <w:lang w:val="fr-CH" w:eastAsia="ja-JP"/>
                  </w:rPr>
                  <w:t>'</w:t>
                </w:r>
                <w:r w:rsidRPr="006B4990">
                  <w:rPr>
                    <w:rFonts w:eastAsiaTheme="minorEastAsia"/>
                    <w:szCs w:val="24"/>
                    <w:lang w:val="fr-CH" w:eastAsia="ja-JP"/>
                  </w:rPr>
                  <w:t>étude pertinents pour le secteur des télécommunications/TIC.</w:t>
                </w:r>
              </w:p>
            </w:tc>
          </w:sdtContent>
        </w:sdt>
      </w:tr>
    </w:tbl>
    <w:p w:rsidR="006B4990" w:rsidRPr="006B4990" w:rsidRDefault="00946F75" w:rsidP="00946F75">
      <w:pPr>
        <w:pStyle w:val="Heading1"/>
        <w:rPr>
          <w:lang w:val="fr-CH"/>
        </w:rPr>
      </w:pPr>
      <w:r>
        <w:rPr>
          <w:lang w:val="fr-CH"/>
        </w:rPr>
        <w:t>1</w:t>
      </w:r>
      <w:r>
        <w:rPr>
          <w:lang w:val="fr-CH"/>
        </w:rPr>
        <w:tab/>
      </w:r>
      <w:r w:rsidR="006B4990" w:rsidRPr="006B4990">
        <w:rPr>
          <w:lang w:val="fr-CH"/>
        </w:rPr>
        <w:t>Introduction</w:t>
      </w:r>
    </w:p>
    <w:p w:rsidR="006B4990" w:rsidRPr="006B4990" w:rsidRDefault="006B4990" w:rsidP="006B4990">
      <w:pPr>
        <w:rPr>
          <w:bCs/>
          <w:lang w:val="fr-CH"/>
        </w:rPr>
      </w:pPr>
      <w:r w:rsidRPr="006B4990">
        <w:rPr>
          <w:bCs/>
          <w:lang w:val="fr-CH"/>
        </w:rPr>
        <w:t>À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AMNT-16, les États-Unis ont appuyé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adoption de la </w:t>
      </w:r>
      <w:hyperlink r:id="rId10" w:history="1">
        <w:r w:rsidRPr="001C4779">
          <w:rPr>
            <w:rStyle w:val="Hyperlink"/>
            <w:rFonts w:ascii="Times New Roman" w:hAnsi="Times New Roman"/>
            <w:bCs/>
            <w:lang w:val="fr-CH"/>
          </w:rPr>
          <w:t xml:space="preserve">Résolution 89 (Hammamet, 2016) intitulée </w:t>
        </w:r>
        <w:r w:rsidR="00A05BC7" w:rsidRPr="001C4779">
          <w:rPr>
            <w:rStyle w:val="Hyperlink"/>
            <w:rFonts w:ascii="Times New Roman" w:hAnsi="Times New Roman"/>
            <w:bCs/>
            <w:lang w:val="fr-CH"/>
          </w:rPr>
          <w:t>"</w:t>
        </w:r>
        <w:r w:rsidRPr="001C4779">
          <w:rPr>
            <w:rStyle w:val="Hyperlink"/>
            <w:rFonts w:ascii="Times New Roman" w:hAnsi="Times New Roman"/>
            <w:bCs/>
            <w:lang w:val="fr-CH"/>
          </w:rPr>
          <w:t>Promouvoir l'utilisation des technologies de l'information et de la communication pour réduire les disparités en matière d'inclusion financière</w:t>
        </w:r>
        <w:r w:rsidR="00A05BC7" w:rsidRPr="001C4779">
          <w:rPr>
            <w:rStyle w:val="Hyperlink"/>
            <w:rFonts w:ascii="Times New Roman" w:hAnsi="Times New Roman"/>
            <w:bCs/>
            <w:lang w:val="fr-CH"/>
          </w:rPr>
          <w:t>"</w:t>
        </w:r>
      </w:hyperlink>
      <w:r w:rsidRPr="006B4990">
        <w:rPr>
          <w:bCs/>
          <w:lang w:val="fr-CH"/>
        </w:rPr>
        <w:t>. À la Con</w:t>
      </w:r>
      <w:r w:rsidR="001C4779">
        <w:rPr>
          <w:bCs/>
          <w:lang w:val="fr-CH"/>
        </w:rPr>
        <w:t>férence de plénipotentiaires de </w:t>
      </w:r>
      <w:r w:rsidRPr="006B4990">
        <w:rPr>
          <w:bCs/>
          <w:lang w:val="fr-CH"/>
        </w:rPr>
        <w:t>2018, les États-Unis ont appuyé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adoption de la Résolution 204 (Dubaï, 2018) intitulée : 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>Utilisation des technologies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information et de la communication pour réduire les disparités en matière d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inclusion financière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 xml:space="preserve">. </w:t>
      </w:r>
    </w:p>
    <w:p w:rsidR="006B4990" w:rsidRPr="006B4990" w:rsidRDefault="006B4990" w:rsidP="006B4990">
      <w:pPr>
        <w:rPr>
          <w:bCs/>
          <w:lang w:val="fr-CH"/>
        </w:rPr>
      </w:pPr>
      <w:r w:rsidRPr="006B4990">
        <w:rPr>
          <w:bCs/>
          <w:lang w:val="fr-CH"/>
        </w:rPr>
        <w:t>Toutefois,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adoption de ces Résolutions ne donne pas le droit à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UIT, et en particulier à la CE 3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UIT-T, d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étendre au-delà du secteur des télécommunications/TIC son domaine d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activité et son </w:t>
      </w:r>
      <w:proofErr w:type="gramStart"/>
      <w:r w:rsidRPr="006B4990">
        <w:rPr>
          <w:bCs/>
          <w:lang w:val="fr-CH"/>
        </w:rPr>
        <w:t>mandat</w:t>
      </w:r>
      <w:proofErr w:type="gramEnd"/>
      <w:r w:rsidRPr="006B4990">
        <w:rPr>
          <w:bCs/>
          <w:lang w:val="fr-CH"/>
        </w:rPr>
        <w:t xml:space="preserve"> visant à répondre aux besoins en matière de services </w:t>
      </w:r>
      <w:r w:rsidR="00D866B6">
        <w:rPr>
          <w:bCs/>
          <w:lang w:val="fr-CH"/>
        </w:rPr>
        <w:t>financiers sur mobile (</w:t>
      </w:r>
      <w:r w:rsidRPr="006B4990">
        <w:rPr>
          <w:bCs/>
          <w:lang w:val="fr-CH"/>
        </w:rPr>
        <w:t>MFS</w:t>
      </w:r>
      <w:r w:rsidR="00D866B6">
        <w:rPr>
          <w:bCs/>
          <w:lang w:val="fr-CH"/>
        </w:rPr>
        <w:t>)</w:t>
      </w:r>
      <w:r w:rsidRPr="006B4990">
        <w:rPr>
          <w:bCs/>
          <w:lang w:val="fr-CH"/>
        </w:rPr>
        <w:t xml:space="preserve">. </w:t>
      </w:r>
    </w:p>
    <w:p w:rsidR="006B4990" w:rsidRPr="006B4990" w:rsidRDefault="006B4990" w:rsidP="00946F75">
      <w:pPr>
        <w:pStyle w:val="Heading1"/>
        <w:rPr>
          <w:bCs/>
          <w:lang w:val="fr-CH"/>
        </w:rPr>
      </w:pPr>
      <w:r w:rsidRPr="006B4990">
        <w:rPr>
          <w:bCs/>
          <w:lang w:val="fr-CH"/>
        </w:rPr>
        <w:t>2</w:t>
      </w:r>
      <w:r w:rsidR="00A05BC7">
        <w:rPr>
          <w:bCs/>
          <w:lang w:val="fr-CH"/>
        </w:rPr>
        <w:tab/>
      </w:r>
      <w:r w:rsidRPr="00946F75">
        <w:rPr>
          <w:lang w:val="fr-CH"/>
        </w:rPr>
        <w:t>Examen</w:t>
      </w:r>
    </w:p>
    <w:p w:rsidR="006B4990" w:rsidRPr="006B4990" w:rsidRDefault="006B4990" w:rsidP="006B4990">
      <w:pPr>
        <w:rPr>
          <w:bCs/>
          <w:lang w:val="fr-CH"/>
        </w:rPr>
      </w:pPr>
      <w:r w:rsidRPr="006B4990">
        <w:rPr>
          <w:bCs/>
          <w:lang w:val="fr-CH"/>
        </w:rPr>
        <w:t>À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heure actuelle, le programme de travail pour la </w:t>
      </w:r>
      <w:hyperlink r:id="rId11" w:history="1">
        <w:r w:rsidRPr="001C4779">
          <w:rPr>
            <w:rStyle w:val="Hyperlink"/>
            <w:rFonts w:ascii="Times New Roman" w:hAnsi="Times New Roman"/>
            <w:bCs/>
            <w:lang w:val="fr-CH"/>
          </w:rPr>
          <w:t>Question 12/3</w:t>
        </w:r>
      </w:hyperlink>
      <w:r w:rsidRPr="006B4990">
        <w:rPr>
          <w:bCs/>
          <w:lang w:val="fr-CH"/>
        </w:rPr>
        <w:t xml:space="preserve"> sur les 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>Questions de tarification et questions économiques et politiques liées aux services financiers sur mobile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 xml:space="preserve"> et les </w:t>
      </w:r>
      <w:hyperlink r:id="rId12" w:history="1">
        <w:r w:rsidRPr="001C4779">
          <w:rPr>
            <w:rStyle w:val="Hyperlink"/>
            <w:rFonts w:ascii="Times New Roman" w:hAnsi="Times New Roman"/>
            <w:bCs/>
            <w:lang w:val="fr-CH"/>
          </w:rPr>
          <w:t>sujets d</w:t>
        </w:r>
        <w:r w:rsidR="00152C08" w:rsidRPr="001C4779">
          <w:rPr>
            <w:rStyle w:val="Hyperlink"/>
            <w:rFonts w:ascii="Times New Roman" w:hAnsi="Times New Roman"/>
            <w:bCs/>
            <w:lang w:val="fr-CH"/>
          </w:rPr>
          <w:t>'</w:t>
        </w:r>
        <w:r w:rsidRPr="001C4779">
          <w:rPr>
            <w:rStyle w:val="Hyperlink"/>
            <w:rFonts w:ascii="Times New Roman" w:hAnsi="Times New Roman"/>
            <w:bCs/>
            <w:lang w:val="fr-CH"/>
          </w:rPr>
          <w:t>étude</w:t>
        </w:r>
      </w:hyperlink>
      <w:r w:rsidRPr="006B4990">
        <w:rPr>
          <w:bCs/>
          <w:lang w:val="fr-CH"/>
        </w:rPr>
        <w:t xml:space="preserve"> associés sont intégralement basés sur les documents établis par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ancien Groupe spécialisé sur les services financiers numériques (FG-DFS).</w:t>
      </w:r>
    </w:p>
    <w:p w:rsidR="006B4990" w:rsidRPr="006B4990" w:rsidRDefault="006B4990" w:rsidP="00D866B6">
      <w:pPr>
        <w:rPr>
          <w:bCs/>
          <w:lang w:val="fr-CH"/>
        </w:rPr>
      </w:pPr>
      <w:r w:rsidRPr="006B4990">
        <w:rPr>
          <w:bCs/>
          <w:lang w:val="fr-CH"/>
        </w:rPr>
        <w:t>Le Groupe FG-DFS a été financé et soutenu par la Fondation Bill et Melinda Gates ainsi que par un large éventail d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experts issus de nombreux acteurs du secteur des télécommunications et du secteur financier. Il a publié plus de </w:t>
      </w:r>
      <w:hyperlink r:id="rId13" w:history="1">
        <w:r w:rsidRPr="001C4779">
          <w:rPr>
            <w:rStyle w:val="Hyperlink"/>
            <w:rFonts w:ascii="Times New Roman" w:hAnsi="Times New Roman"/>
            <w:bCs/>
            <w:lang w:val="fr-CH"/>
          </w:rPr>
          <w:t xml:space="preserve">85 </w:t>
        </w:r>
        <w:r w:rsidR="00D866B6" w:rsidRPr="001C4779">
          <w:rPr>
            <w:rStyle w:val="Hyperlink"/>
            <w:rFonts w:ascii="Times New Roman" w:hAnsi="Times New Roman"/>
            <w:bCs/>
            <w:lang w:val="fr-CH"/>
          </w:rPr>
          <w:t>r</w:t>
        </w:r>
        <w:r w:rsidRPr="001C4779">
          <w:rPr>
            <w:rStyle w:val="Hyperlink"/>
            <w:rFonts w:ascii="Times New Roman" w:hAnsi="Times New Roman"/>
            <w:bCs/>
            <w:lang w:val="fr-CH"/>
          </w:rPr>
          <w:t xml:space="preserve">ecommandations en matière de politiques et 28 </w:t>
        </w:r>
        <w:r w:rsidR="00D866B6" w:rsidRPr="001C4779">
          <w:rPr>
            <w:rStyle w:val="Hyperlink"/>
            <w:rFonts w:ascii="Times New Roman" w:hAnsi="Times New Roman"/>
            <w:bCs/>
            <w:lang w:val="fr-CH"/>
          </w:rPr>
          <w:t>r</w:t>
        </w:r>
        <w:r w:rsidRPr="001C4779">
          <w:rPr>
            <w:rStyle w:val="Hyperlink"/>
            <w:rFonts w:ascii="Times New Roman" w:hAnsi="Times New Roman"/>
            <w:bCs/>
            <w:lang w:val="fr-CH"/>
          </w:rPr>
          <w:t>apports techniques</w:t>
        </w:r>
      </w:hyperlink>
      <w:r w:rsidRPr="006B4990">
        <w:rPr>
          <w:bCs/>
          <w:lang w:val="fr-CH"/>
        </w:rPr>
        <w:t xml:space="preserve"> pour soutenir la mise en place d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une stratégie d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inclusion financière </w:t>
      </w:r>
      <w:r w:rsidR="00D866B6">
        <w:rPr>
          <w:bCs/>
          <w:lang w:val="fr-CH"/>
        </w:rPr>
        <w:t xml:space="preserve">numérique </w:t>
      </w:r>
      <w:r w:rsidRPr="006B4990">
        <w:rPr>
          <w:bCs/>
          <w:lang w:val="fr-CH"/>
        </w:rPr>
        <w:t xml:space="preserve">et la promotion des services MFS. </w:t>
      </w:r>
      <w:bookmarkStart w:id="11" w:name="_GoBack"/>
      <w:bookmarkEnd w:id="11"/>
    </w:p>
    <w:p w:rsidR="006B4990" w:rsidRPr="006B4990" w:rsidRDefault="006B4990" w:rsidP="00D866B6">
      <w:pPr>
        <w:rPr>
          <w:bCs/>
          <w:lang w:val="fr-CH"/>
        </w:rPr>
      </w:pPr>
      <w:r w:rsidRPr="006B4990">
        <w:rPr>
          <w:bCs/>
          <w:lang w:val="fr-CH"/>
        </w:rPr>
        <w:lastRenderedPageBreak/>
        <w:t xml:space="preserve">Un grand nombre de </w:t>
      </w:r>
      <w:r w:rsidR="00D866B6" w:rsidRPr="006B4990">
        <w:rPr>
          <w:bCs/>
          <w:lang w:val="fr-CH"/>
        </w:rPr>
        <w:t>r</w:t>
      </w:r>
      <w:r w:rsidRPr="006B4990">
        <w:rPr>
          <w:bCs/>
          <w:lang w:val="fr-CH"/>
        </w:rPr>
        <w:t xml:space="preserve">ecommandations en matière de politiques et de </w:t>
      </w:r>
      <w:r w:rsidR="00D866B6" w:rsidRPr="006B4990">
        <w:rPr>
          <w:bCs/>
          <w:lang w:val="fr-CH"/>
        </w:rPr>
        <w:t>r</w:t>
      </w:r>
      <w:r w:rsidRPr="006B4990">
        <w:rPr>
          <w:bCs/>
          <w:lang w:val="fr-CH"/>
        </w:rPr>
        <w:t>apports techniques (en tout ou en partie) publiés par le Groupe FG-DFS à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intention du secteur bancaire/financier et des organismes de réglementation ne relèvent clairement pas du domaine de compétence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UIT. Ils ne s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adressent pas non plus aux destinataires cibles des travaux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UIT. Une grande partie des travaux </w:t>
      </w:r>
      <w:r w:rsidR="00D866B6">
        <w:rPr>
          <w:bCs/>
          <w:lang w:val="fr-CH"/>
        </w:rPr>
        <w:t xml:space="preserve">en question </w:t>
      </w:r>
      <w:r w:rsidRPr="006B4990">
        <w:rPr>
          <w:bCs/>
          <w:lang w:val="fr-CH"/>
        </w:rPr>
        <w:t>sont menés actuellement dans le cadre de l'Initiative mondiale en faveur de l'inclusion financière (</w:t>
      </w:r>
      <w:hyperlink r:id="rId14" w:history="1">
        <w:r w:rsidRPr="001C4779">
          <w:rPr>
            <w:rStyle w:val="Hyperlink"/>
            <w:rFonts w:ascii="Times New Roman" w:hAnsi="Times New Roman"/>
            <w:bCs/>
            <w:lang w:val="fr-CH"/>
          </w:rPr>
          <w:t>FIGI</w:t>
        </w:r>
      </w:hyperlink>
      <w:r w:rsidRPr="006B4990">
        <w:rPr>
          <w:bCs/>
          <w:lang w:val="fr-CH"/>
        </w:rPr>
        <w:t>) –</w:t>
      </w:r>
      <w:r w:rsidR="00EC3C15">
        <w:rPr>
          <w:bCs/>
          <w:lang w:val="fr-CH"/>
        </w:rPr>
        <w:t xml:space="preserve"> </w:t>
      </w:r>
      <w:proofErr w:type="spellStart"/>
      <w:r w:rsidR="00EC3C15">
        <w:rPr>
          <w:bCs/>
          <w:lang w:val="fr-CH"/>
        </w:rPr>
        <w:t>co</w:t>
      </w:r>
      <w:r w:rsidRPr="006B4990">
        <w:rPr>
          <w:bCs/>
          <w:lang w:val="fr-CH"/>
        </w:rPr>
        <w:t>lancée</w:t>
      </w:r>
      <w:proofErr w:type="spellEnd"/>
      <w:r w:rsidRPr="006B4990">
        <w:rPr>
          <w:bCs/>
          <w:lang w:val="fr-CH"/>
        </w:rPr>
        <w:t xml:space="preserve"> par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 – qui représente un destinataire plus pertinent. </w:t>
      </w:r>
    </w:p>
    <w:p w:rsidR="006B4990" w:rsidRPr="006B4990" w:rsidRDefault="006B4990" w:rsidP="006B4990">
      <w:pPr>
        <w:rPr>
          <w:bCs/>
          <w:lang w:val="fr-CH"/>
        </w:rPr>
      </w:pPr>
      <w:r w:rsidRPr="006B4990">
        <w:rPr>
          <w:bCs/>
          <w:lang w:val="fr-CH"/>
        </w:rPr>
        <w:t>À sa réunion de mai 2017, le GCNT a approuvé les documents établis par le Groupe FG-DFS, mais il est clair que ni le GCNT, ni les experts du Groupe FG-DFS n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avaient pour objectif que chaque document établi par le Groupe FG-DFS devienne un texte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UIT-T (une </w:t>
      </w:r>
      <w:r w:rsidR="00E06D27" w:rsidRPr="006B4990">
        <w:rPr>
          <w:bCs/>
          <w:lang w:val="fr-CH"/>
        </w:rPr>
        <w:t>r</w:t>
      </w:r>
      <w:r w:rsidRPr="006B4990">
        <w:rPr>
          <w:bCs/>
          <w:lang w:val="fr-CH"/>
        </w:rPr>
        <w:t xml:space="preserve">ecommandation, un </w:t>
      </w:r>
      <w:r w:rsidR="00E06D27" w:rsidRPr="006B4990">
        <w:rPr>
          <w:bCs/>
          <w:lang w:val="fr-CH"/>
        </w:rPr>
        <w:t>r</w:t>
      </w:r>
      <w:r w:rsidRPr="006B4990">
        <w:rPr>
          <w:bCs/>
          <w:lang w:val="fr-CH"/>
        </w:rPr>
        <w:t>apport, etc.).</w:t>
      </w:r>
    </w:p>
    <w:p w:rsidR="006B4990" w:rsidRPr="006B4990" w:rsidRDefault="006B4990" w:rsidP="00D866B6">
      <w:pPr>
        <w:rPr>
          <w:bCs/>
          <w:lang w:val="fr-CH"/>
        </w:rPr>
      </w:pPr>
      <w:r w:rsidRPr="006B4990">
        <w:rPr>
          <w:bCs/>
          <w:lang w:val="fr-CH"/>
        </w:rPr>
        <w:t>De fait, convertir les documents établis par le Groupe FG-DFS en textes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UIT-T, sans que </w:t>
      </w:r>
      <w:r w:rsidR="00E06D27">
        <w:rPr>
          <w:bCs/>
          <w:lang w:val="fr-CH"/>
        </w:rPr>
        <w:t>les </w:t>
      </w:r>
      <w:r w:rsidRPr="006B4990">
        <w:rPr>
          <w:bCs/>
          <w:lang w:val="fr-CH"/>
        </w:rPr>
        <w:t>modifications et les révisions supplémentaires ne soient examinées par les</w:t>
      </w:r>
      <w:r w:rsidR="00E06D27">
        <w:rPr>
          <w:bCs/>
          <w:lang w:val="fr-CH"/>
        </w:rPr>
        <w:t xml:space="preserve"> experts du Groupe FG</w:t>
      </w:r>
      <w:r w:rsidR="00E06D27">
        <w:rPr>
          <w:bCs/>
          <w:lang w:val="fr-CH"/>
        </w:rPr>
        <w:noBreakHyphen/>
      </w:r>
      <w:r w:rsidRPr="006B4990">
        <w:rPr>
          <w:bCs/>
          <w:lang w:val="fr-CH"/>
        </w:rPr>
        <w:t xml:space="preserve">DFS, amoindrirait la crédibilité des travaux du Groupe FG-DFS. </w:t>
      </w:r>
      <w:r w:rsidR="00D866B6">
        <w:rPr>
          <w:bCs/>
          <w:lang w:val="fr-CH"/>
        </w:rPr>
        <w:t>Cela étant</w:t>
      </w:r>
      <w:r w:rsidRPr="006B4990">
        <w:rPr>
          <w:bCs/>
          <w:lang w:val="fr-CH"/>
        </w:rPr>
        <w:t xml:space="preserve">, le Comité de normalisation pour le vocabulaire (SCV) a déjà souligné que le 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>Glossaire sur les services financiers numériques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>, que nous avons adopté sans y apporter de changements à la réunion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année dernière, devrait être édité pour faire en sorte que le fond et la forme soient conformes aux normes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 (Document </w:t>
      </w:r>
      <w:hyperlink r:id="rId15" w:history="1">
        <w:r w:rsidRPr="001C4779">
          <w:rPr>
            <w:rStyle w:val="Hyperlink"/>
            <w:rFonts w:ascii="Times New Roman" w:hAnsi="Times New Roman"/>
            <w:bCs/>
            <w:lang w:val="fr-CH"/>
          </w:rPr>
          <w:t>SG3-TD137/GEN</w:t>
        </w:r>
      </w:hyperlink>
      <w:r w:rsidRPr="006B4990">
        <w:rPr>
          <w:bCs/>
          <w:lang w:val="fr-CH"/>
        </w:rPr>
        <w:t>).</w:t>
      </w:r>
    </w:p>
    <w:p w:rsidR="006B4990" w:rsidRPr="006B4990" w:rsidRDefault="006B4990" w:rsidP="00946F75">
      <w:pPr>
        <w:pStyle w:val="Heading1"/>
        <w:rPr>
          <w:bCs/>
          <w:lang w:val="fr-CH"/>
        </w:rPr>
      </w:pPr>
      <w:r w:rsidRPr="006B4990">
        <w:rPr>
          <w:bCs/>
          <w:lang w:val="fr-CH"/>
        </w:rPr>
        <w:t>3</w:t>
      </w:r>
      <w:r w:rsidR="00A05BC7">
        <w:rPr>
          <w:bCs/>
          <w:lang w:val="fr-CH"/>
        </w:rPr>
        <w:tab/>
      </w:r>
      <w:r w:rsidRPr="00946F75">
        <w:rPr>
          <w:lang w:val="fr-CH"/>
        </w:rPr>
        <w:t>Proposition</w:t>
      </w:r>
    </w:p>
    <w:p w:rsidR="006B4990" w:rsidRPr="006B4990" w:rsidRDefault="006B4990" w:rsidP="006B4990">
      <w:pPr>
        <w:rPr>
          <w:bCs/>
          <w:lang w:val="fr-CH"/>
        </w:rPr>
      </w:pPr>
      <w:r w:rsidRPr="006B4990">
        <w:rPr>
          <w:bCs/>
          <w:lang w:val="fr-CH"/>
        </w:rPr>
        <w:t>Les États-Unis ne s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opposent pas à ce que les documents produits par le Groupe FG-DFS soient convertis, si cela est nécessaire, en Rapports techniques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UIT-T, à condition qu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ils répondent aux besoins en matière de services MFS, conformément à la Résolution 89 (Hammamet, 2016) ou à la Résolution 204 (Dubaï, 2018). </w:t>
      </w:r>
    </w:p>
    <w:p w:rsidR="006B4990" w:rsidRPr="006B4990" w:rsidRDefault="006B4990" w:rsidP="005D2632">
      <w:pPr>
        <w:rPr>
          <w:bCs/>
          <w:lang w:val="fr-CH"/>
        </w:rPr>
      </w:pPr>
      <w:r w:rsidRPr="006B4990">
        <w:rPr>
          <w:bCs/>
          <w:lang w:val="fr-CH"/>
        </w:rPr>
        <w:t>Les États-Unis ne sont pas favorables à ce que les documents établis par le Groupe FG-DFS deviennent des Recommandations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UIT-T, à moins que de telles </w:t>
      </w:r>
      <w:r w:rsidR="00E06D27" w:rsidRPr="006B4990">
        <w:rPr>
          <w:bCs/>
          <w:lang w:val="fr-CH"/>
        </w:rPr>
        <w:t>r</w:t>
      </w:r>
      <w:r w:rsidRPr="006B4990">
        <w:rPr>
          <w:bCs/>
          <w:lang w:val="fr-CH"/>
        </w:rPr>
        <w:t>ecommandations n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apportent une 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>valeur ajoutée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 xml:space="preserve"> au secteur des télécommunications/TIC en termes de directives particulières qui ne seraient pas prévues à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>heure actuelle dans le</w:t>
      </w:r>
      <w:r w:rsidR="005D2632">
        <w:rPr>
          <w:bCs/>
          <w:lang w:val="fr-CH"/>
        </w:rPr>
        <w:t>s</w:t>
      </w:r>
      <w:r w:rsidRPr="006B4990">
        <w:rPr>
          <w:bCs/>
          <w:lang w:val="fr-CH"/>
        </w:rPr>
        <w:t xml:space="preserve"> </w:t>
      </w:r>
      <w:r w:rsidR="005D2632">
        <w:rPr>
          <w:bCs/>
          <w:lang w:val="fr-CH"/>
        </w:rPr>
        <w:t>r</w:t>
      </w:r>
      <w:r w:rsidRPr="006B4990">
        <w:rPr>
          <w:bCs/>
          <w:lang w:val="fr-CH"/>
        </w:rPr>
        <w:t>apport</w:t>
      </w:r>
      <w:r w:rsidR="005D2632">
        <w:rPr>
          <w:bCs/>
          <w:lang w:val="fr-CH"/>
        </w:rPr>
        <w:t>s</w:t>
      </w:r>
      <w:r w:rsidRPr="006B4990">
        <w:rPr>
          <w:bCs/>
          <w:lang w:val="fr-CH"/>
        </w:rPr>
        <w:t xml:space="preserve"> du Groupe FG-DFS.</w:t>
      </w:r>
    </w:p>
    <w:p w:rsidR="006B4990" w:rsidRPr="006B4990" w:rsidRDefault="006B4990" w:rsidP="005D2632">
      <w:pPr>
        <w:rPr>
          <w:bCs/>
          <w:lang w:val="fr-CH"/>
        </w:rPr>
      </w:pPr>
      <w:r w:rsidRPr="006B4990">
        <w:rPr>
          <w:bCs/>
          <w:lang w:val="fr-CH"/>
        </w:rPr>
        <w:t xml:space="preserve">De telles </w:t>
      </w:r>
      <w:r w:rsidR="005D2632">
        <w:rPr>
          <w:bCs/>
          <w:lang w:val="fr-CH"/>
        </w:rPr>
        <w:t>r</w:t>
      </w:r>
      <w:r w:rsidRPr="006B4990">
        <w:rPr>
          <w:bCs/>
          <w:lang w:val="fr-CH"/>
        </w:rPr>
        <w:t>ecommandations devraient relever entièrement du mandat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UIT, qui consiste à répondre aux besoins du secteur des télécommunications/TIC, et ne pas être liées au secteur bancaire/financier. Ces Recommandations ne devraient contenir aucune disposition concernant le secteur bancaire/financier, </w:t>
      </w:r>
      <w:r w:rsidR="005D2632">
        <w:rPr>
          <w:bCs/>
          <w:lang w:val="fr-CH"/>
        </w:rPr>
        <w:t xml:space="preserve">auquel on ne peut imposer l'application </w:t>
      </w:r>
      <w:r w:rsidRPr="006B4990">
        <w:rPr>
          <w:bCs/>
          <w:lang w:val="fr-CH"/>
        </w:rPr>
        <w:t>de Recommandations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UIT-T.  </w:t>
      </w:r>
    </w:p>
    <w:p w:rsidR="006B4990" w:rsidRPr="006B4990" w:rsidRDefault="006B4990" w:rsidP="005D2632">
      <w:pPr>
        <w:rPr>
          <w:bCs/>
          <w:lang w:val="fr-CH"/>
        </w:rPr>
      </w:pPr>
      <w:r w:rsidRPr="006B4990">
        <w:rPr>
          <w:bCs/>
          <w:lang w:val="fr-CH"/>
        </w:rPr>
        <w:t>Les États-Unis souhaitent qu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un examen et une discussion </w:t>
      </w:r>
      <w:r w:rsidR="005D2632">
        <w:rPr>
          <w:bCs/>
          <w:lang w:val="fr-CH"/>
        </w:rPr>
        <w:t>de fond</w:t>
      </w:r>
      <w:r w:rsidRPr="006B4990">
        <w:rPr>
          <w:bCs/>
          <w:lang w:val="fr-CH"/>
        </w:rPr>
        <w:t xml:space="preserve"> soient menés sur le programme de travail pour la Question 12/3, en vue de comprendre les buts et les objectifs de chacun des </w:t>
      </w:r>
      <w:r w:rsidRPr="006B4990">
        <w:rPr>
          <w:lang w:val="fr-CH"/>
        </w:rPr>
        <w:t>sujets actuellement à l</w:t>
      </w:r>
      <w:r w:rsidR="00152C08">
        <w:rPr>
          <w:lang w:val="fr-CH"/>
        </w:rPr>
        <w:t>'</w:t>
      </w:r>
      <w:r w:rsidRPr="006B4990">
        <w:rPr>
          <w:lang w:val="fr-CH"/>
        </w:rPr>
        <w:t>étude et des sujets d</w:t>
      </w:r>
      <w:r w:rsidR="00152C08">
        <w:rPr>
          <w:lang w:val="fr-CH"/>
        </w:rPr>
        <w:t>'</w:t>
      </w:r>
      <w:r w:rsidRPr="006B4990">
        <w:rPr>
          <w:lang w:val="fr-CH"/>
        </w:rPr>
        <w:t>étude proposés, compte tenu de la présente proposition.</w:t>
      </w:r>
    </w:p>
    <w:p w:rsidR="006B4990" w:rsidRPr="006B4990" w:rsidRDefault="006B4990" w:rsidP="006B4990">
      <w:pPr>
        <w:rPr>
          <w:bCs/>
          <w:lang w:val="fr-CH"/>
        </w:rPr>
      </w:pPr>
      <w:r w:rsidRPr="006B4990">
        <w:rPr>
          <w:bCs/>
          <w:lang w:val="fr-CH"/>
        </w:rPr>
        <w:t xml:space="preserve">Les États-Unis se félicitent des travaux menés sur la Questions 12/3. Toutefois, ces travaux doivent apporter une 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>valeur ajoutée</w:t>
      </w:r>
      <w:r w:rsidR="00A05BC7">
        <w:rPr>
          <w:bCs/>
          <w:lang w:val="fr-CH"/>
        </w:rPr>
        <w:t>"</w:t>
      </w:r>
      <w:r w:rsidRPr="006B4990">
        <w:rPr>
          <w:bCs/>
          <w:lang w:val="fr-CH"/>
        </w:rPr>
        <w:t xml:space="preserve"> par rapport aux documents établis par le Groupe FG-DFS, et ils doivent se limiter au domaine de compétence de l</w:t>
      </w:r>
      <w:r w:rsidR="00152C08">
        <w:rPr>
          <w:bCs/>
          <w:lang w:val="fr-CH"/>
        </w:rPr>
        <w:t>'</w:t>
      </w:r>
      <w:r w:rsidRPr="006B4990">
        <w:rPr>
          <w:bCs/>
          <w:lang w:val="fr-CH"/>
        </w:rPr>
        <w:t xml:space="preserve">UIT, conformément à la Résolution 89 (Hammamet, 2016) et à la Résolution 204 (Dubaï, 2018). </w:t>
      </w:r>
    </w:p>
    <w:p w:rsidR="006B4990" w:rsidRDefault="006B4990" w:rsidP="006B4990">
      <w:pPr>
        <w:rPr>
          <w:lang w:val="fr-CH"/>
        </w:rPr>
      </w:pPr>
      <w:r w:rsidRPr="006B4990">
        <w:rPr>
          <w:lang w:val="fr-CH"/>
        </w:rPr>
        <w:t>Les États-Unis demandent que la présente contribution soit accessible au public sans aucune restriction.</w:t>
      </w:r>
    </w:p>
    <w:p w:rsidR="00FB6A1D" w:rsidRPr="00621E3E" w:rsidRDefault="00FB6A1D" w:rsidP="006F1A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szCs w:val="24"/>
          <w:lang w:val="fr-CH" w:eastAsia="ja-JP"/>
        </w:rPr>
      </w:pPr>
    </w:p>
    <w:p w:rsidR="00CF2805" w:rsidRPr="00A86565" w:rsidRDefault="00CF2805" w:rsidP="00621E3E">
      <w:pPr>
        <w:jc w:val="center"/>
        <w:rPr>
          <w:lang w:val="fr-CH"/>
        </w:rPr>
      </w:pPr>
      <w:r w:rsidRPr="00A86565">
        <w:rPr>
          <w:lang w:val="fr-CH"/>
        </w:rPr>
        <w:t>______________</w:t>
      </w:r>
    </w:p>
    <w:sectPr w:rsidR="00CF2805" w:rsidRPr="00A86565" w:rsidSect="001A2CAE">
      <w:headerReference w:type="default" r:id="rId16"/>
      <w:footerReference w:type="even" r:id="rId17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3E" w:rsidRDefault="00621E3E">
      <w:r>
        <w:separator/>
      </w:r>
    </w:p>
  </w:endnote>
  <w:endnote w:type="continuationSeparator" w:id="0">
    <w:p w:rsidR="00621E3E" w:rsidRDefault="0062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B62" w:rsidRPr="008C1EA9" w:rsidRDefault="00FB6A1D">
    <w:pPr>
      <w:pStyle w:val="Footer"/>
      <w:rPr>
        <w:lang w:val="fr-CH"/>
      </w:rPr>
    </w:pPr>
    <w:r>
      <w:rPr>
        <w:lang w:val="fr-CH"/>
      </w:rPr>
      <w:fldChar w:fldCharType="begin"/>
    </w:r>
    <w:r>
      <w:rPr>
        <w:lang w:val="fr-CH"/>
      </w:rPr>
      <w:instrText xml:space="preserve"> FILENAME \p \* MERGEFORMAT </w:instrText>
    </w:r>
    <w:r>
      <w:rPr>
        <w:lang w:val="fr-CH"/>
      </w:rPr>
      <w:fldChar w:fldCharType="separate"/>
    </w:r>
    <w:r w:rsidR="001C4779">
      <w:rPr>
        <w:lang w:val="fr-CH"/>
      </w:rPr>
      <w:t>P:\FRA\ITU-T\COM-T\COM03\C\298F.docx</w:t>
    </w:r>
    <w:r>
      <w:rPr>
        <w:lang w:val="fr-CH"/>
      </w:rPr>
      <w:fldChar w:fldCharType="end"/>
    </w:r>
    <w:r w:rsidR="00AC2B62" w:rsidRPr="008C1EA9">
      <w:rPr>
        <w:lang w:val="fr-CH"/>
      </w:rPr>
      <w:tab/>
    </w:r>
    <w:r w:rsidR="00AC2B62">
      <w:fldChar w:fldCharType="begin"/>
    </w:r>
    <w:r w:rsidR="00AC2B62">
      <w:instrText xml:space="preserve"> savedate \@ dd.MM.yy </w:instrText>
    </w:r>
    <w:r w:rsidR="00AC2B62">
      <w:fldChar w:fldCharType="separate"/>
    </w:r>
    <w:r w:rsidR="00EC3FEA">
      <w:t>12.04.19</w:t>
    </w:r>
    <w:r w:rsidR="00AC2B62">
      <w:fldChar w:fldCharType="end"/>
    </w:r>
    <w:r w:rsidR="00AC2B62" w:rsidRPr="008C1EA9">
      <w:rPr>
        <w:lang w:val="fr-CH"/>
      </w:rPr>
      <w:tab/>
    </w:r>
    <w:r w:rsidR="00AC2B62">
      <w:fldChar w:fldCharType="begin"/>
    </w:r>
    <w:r w:rsidR="00AC2B62">
      <w:instrText xml:space="preserve"> printdate \@ dd.MM.yy </w:instrText>
    </w:r>
    <w:r w:rsidR="00AC2B62">
      <w:fldChar w:fldCharType="separate"/>
    </w:r>
    <w:r w:rsidR="001C4779">
      <w:t>12.04.19</w:t>
    </w:r>
    <w:r w:rsidR="00AC2B6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3E" w:rsidRDefault="00621E3E">
      <w:r>
        <w:t>____________________</w:t>
      </w:r>
    </w:p>
  </w:footnote>
  <w:footnote w:type="continuationSeparator" w:id="0">
    <w:p w:rsidR="00621E3E" w:rsidRDefault="0062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BC" w:rsidRDefault="002923BC" w:rsidP="002923B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854B5">
      <w:rPr>
        <w:noProof/>
      </w:rPr>
      <w:t>2</w:t>
    </w:r>
    <w:r>
      <w:fldChar w:fldCharType="end"/>
    </w:r>
  </w:p>
  <w:p w:rsidR="00AC2B62" w:rsidRPr="002923BC" w:rsidRDefault="002923BC" w:rsidP="00D064B1">
    <w:pPr>
      <w:pStyle w:val="Header"/>
      <w:spacing w:after="240"/>
    </w:pPr>
    <w:r>
      <w:t>SG</w:t>
    </w:r>
    <w:r w:rsidR="00997CE9">
      <w:t>3-C</w:t>
    </w:r>
    <w:r w:rsidR="003C0262">
      <w:t>29</w:t>
    </w:r>
    <w:r w:rsidR="00D064B1">
      <w:t>8</w:t>
    </w:r>
    <w:r>
      <w:t>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lvlText w:val="[%1]"/>
      <w:lvlJc w:val="left"/>
      <w:pPr>
        <w:tabs>
          <w:tab w:val="num" w:pos="1418"/>
        </w:tabs>
        <w:ind w:left="1418" w:hanging="1418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A03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D260C0"/>
    <w:multiLevelType w:val="hybridMultilevel"/>
    <w:tmpl w:val="AD04FC7C"/>
    <w:lvl w:ilvl="0" w:tplc="0C00DD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32580E" w:tentative="1">
      <w:start w:val="1"/>
      <w:numFmt w:val="lowerLetter"/>
      <w:lvlText w:val="%2."/>
      <w:lvlJc w:val="left"/>
      <w:pPr>
        <w:ind w:left="1440" w:hanging="360"/>
      </w:pPr>
    </w:lvl>
    <w:lvl w:ilvl="2" w:tplc="90383194" w:tentative="1">
      <w:start w:val="1"/>
      <w:numFmt w:val="lowerRoman"/>
      <w:lvlText w:val="%3."/>
      <w:lvlJc w:val="right"/>
      <w:pPr>
        <w:ind w:left="2160" w:hanging="180"/>
      </w:pPr>
    </w:lvl>
    <w:lvl w:ilvl="3" w:tplc="469C4C9A" w:tentative="1">
      <w:start w:val="1"/>
      <w:numFmt w:val="decimal"/>
      <w:lvlText w:val="%4."/>
      <w:lvlJc w:val="left"/>
      <w:pPr>
        <w:ind w:left="2880" w:hanging="360"/>
      </w:pPr>
    </w:lvl>
    <w:lvl w:ilvl="4" w:tplc="4058CEC6" w:tentative="1">
      <w:start w:val="1"/>
      <w:numFmt w:val="lowerLetter"/>
      <w:lvlText w:val="%5."/>
      <w:lvlJc w:val="left"/>
      <w:pPr>
        <w:ind w:left="3600" w:hanging="360"/>
      </w:pPr>
    </w:lvl>
    <w:lvl w:ilvl="5" w:tplc="06265C7A" w:tentative="1">
      <w:start w:val="1"/>
      <w:numFmt w:val="lowerRoman"/>
      <w:lvlText w:val="%6."/>
      <w:lvlJc w:val="right"/>
      <w:pPr>
        <w:ind w:left="4320" w:hanging="180"/>
      </w:pPr>
    </w:lvl>
    <w:lvl w:ilvl="6" w:tplc="313E68C8" w:tentative="1">
      <w:start w:val="1"/>
      <w:numFmt w:val="decimal"/>
      <w:lvlText w:val="%7."/>
      <w:lvlJc w:val="left"/>
      <w:pPr>
        <w:ind w:left="5040" w:hanging="360"/>
      </w:pPr>
    </w:lvl>
    <w:lvl w:ilvl="7" w:tplc="359CEC0A" w:tentative="1">
      <w:start w:val="1"/>
      <w:numFmt w:val="lowerLetter"/>
      <w:lvlText w:val="%8."/>
      <w:lvlJc w:val="left"/>
      <w:pPr>
        <w:ind w:left="5760" w:hanging="360"/>
      </w:pPr>
    </w:lvl>
    <w:lvl w:ilvl="8" w:tplc="D382C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4820"/>
    <w:multiLevelType w:val="multilevel"/>
    <w:tmpl w:val="0409001F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555E486B"/>
    <w:multiLevelType w:val="multilevel"/>
    <w:tmpl w:val="9D508614"/>
    <w:lvl w:ilvl="0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013ABE"/>
    <w:multiLevelType w:val="multilevel"/>
    <w:tmpl w:val="5C00DA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5E108D5"/>
    <w:multiLevelType w:val="hybridMultilevel"/>
    <w:tmpl w:val="F6DE37B2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3E"/>
    <w:rsid w:val="00011210"/>
    <w:rsid w:val="0002234A"/>
    <w:rsid w:val="000236FA"/>
    <w:rsid w:val="0004760D"/>
    <w:rsid w:val="000629E2"/>
    <w:rsid w:val="000A7B57"/>
    <w:rsid w:val="000D69D5"/>
    <w:rsid w:val="000E7BB1"/>
    <w:rsid w:val="0014207F"/>
    <w:rsid w:val="00152C08"/>
    <w:rsid w:val="00155033"/>
    <w:rsid w:val="00167192"/>
    <w:rsid w:val="001706ED"/>
    <w:rsid w:val="001924B6"/>
    <w:rsid w:val="00196B41"/>
    <w:rsid w:val="001A2CAE"/>
    <w:rsid w:val="001A61C1"/>
    <w:rsid w:val="001B4265"/>
    <w:rsid w:val="001C15F5"/>
    <w:rsid w:val="001C3346"/>
    <w:rsid w:val="001C4779"/>
    <w:rsid w:val="001C7FA9"/>
    <w:rsid w:val="001D141E"/>
    <w:rsid w:val="001D35B6"/>
    <w:rsid w:val="001F1CF4"/>
    <w:rsid w:val="001F7F35"/>
    <w:rsid w:val="002005AB"/>
    <w:rsid w:val="002036AC"/>
    <w:rsid w:val="00221EF5"/>
    <w:rsid w:val="002272B2"/>
    <w:rsid w:val="00243B8E"/>
    <w:rsid w:val="0024705C"/>
    <w:rsid w:val="00260B8F"/>
    <w:rsid w:val="002644BA"/>
    <w:rsid w:val="00264644"/>
    <w:rsid w:val="002712F7"/>
    <w:rsid w:val="00274998"/>
    <w:rsid w:val="00277D10"/>
    <w:rsid w:val="002923BC"/>
    <w:rsid w:val="002946C5"/>
    <w:rsid w:val="002A294B"/>
    <w:rsid w:val="002C797E"/>
    <w:rsid w:val="002E0C4F"/>
    <w:rsid w:val="002E50CB"/>
    <w:rsid w:val="003017D1"/>
    <w:rsid w:val="00311E3F"/>
    <w:rsid w:val="00321A27"/>
    <w:rsid w:val="00372185"/>
    <w:rsid w:val="00390287"/>
    <w:rsid w:val="003B1AFE"/>
    <w:rsid w:val="003C0262"/>
    <w:rsid w:val="003E2805"/>
    <w:rsid w:val="003E5CE0"/>
    <w:rsid w:val="004179C7"/>
    <w:rsid w:val="004331DC"/>
    <w:rsid w:val="004609CA"/>
    <w:rsid w:val="00485EA2"/>
    <w:rsid w:val="00492B58"/>
    <w:rsid w:val="004A711D"/>
    <w:rsid w:val="004C2DA2"/>
    <w:rsid w:val="004C319C"/>
    <w:rsid w:val="004C3534"/>
    <w:rsid w:val="004C41D8"/>
    <w:rsid w:val="005232FD"/>
    <w:rsid w:val="00537142"/>
    <w:rsid w:val="005D2632"/>
    <w:rsid w:val="005F050A"/>
    <w:rsid w:val="005F3EFF"/>
    <w:rsid w:val="00621E3E"/>
    <w:rsid w:val="00645D81"/>
    <w:rsid w:val="00661931"/>
    <w:rsid w:val="00663564"/>
    <w:rsid w:val="006703BA"/>
    <w:rsid w:val="00674C48"/>
    <w:rsid w:val="006B4990"/>
    <w:rsid w:val="006C10C6"/>
    <w:rsid w:val="006D033A"/>
    <w:rsid w:val="006E6EC4"/>
    <w:rsid w:val="006F1322"/>
    <w:rsid w:val="006F1AA1"/>
    <w:rsid w:val="00711F4C"/>
    <w:rsid w:val="00737DD2"/>
    <w:rsid w:val="00740E5B"/>
    <w:rsid w:val="00756796"/>
    <w:rsid w:val="00785423"/>
    <w:rsid w:val="007C6AE1"/>
    <w:rsid w:val="007D6E86"/>
    <w:rsid w:val="007F470E"/>
    <w:rsid w:val="00814054"/>
    <w:rsid w:val="0082711E"/>
    <w:rsid w:val="00827CDB"/>
    <w:rsid w:val="00873CDD"/>
    <w:rsid w:val="008804EE"/>
    <w:rsid w:val="008843D6"/>
    <w:rsid w:val="00894DA2"/>
    <w:rsid w:val="008C04EA"/>
    <w:rsid w:val="008C1EA9"/>
    <w:rsid w:val="008F38A5"/>
    <w:rsid w:val="008F4E69"/>
    <w:rsid w:val="008F5698"/>
    <w:rsid w:val="008F6425"/>
    <w:rsid w:val="00907563"/>
    <w:rsid w:val="009212A2"/>
    <w:rsid w:val="00923748"/>
    <w:rsid w:val="0092643D"/>
    <w:rsid w:val="00930F56"/>
    <w:rsid w:val="00944026"/>
    <w:rsid w:val="00946F75"/>
    <w:rsid w:val="00980BC3"/>
    <w:rsid w:val="00997CE9"/>
    <w:rsid w:val="009A546D"/>
    <w:rsid w:val="009A5CE0"/>
    <w:rsid w:val="009F2DCD"/>
    <w:rsid w:val="009F4439"/>
    <w:rsid w:val="00A05BC7"/>
    <w:rsid w:val="00A10A8A"/>
    <w:rsid w:val="00A25636"/>
    <w:rsid w:val="00A46659"/>
    <w:rsid w:val="00A65A3E"/>
    <w:rsid w:val="00A71C92"/>
    <w:rsid w:val="00A86565"/>
    <w:rsid w:val="00A87110"/>
    <w:rsid w:val="00A926D3"/>
    <w:rsid w:val="00A969B2"/>
    <w:rsid w:val="00AA2C77"/>
    <w:rsid w:val="00AB0CF1"/>
    <w:rsid w:val="00AC2B62"/>
    <w:rsid w:val="00AE494E"/>
    <w:rsid w:val="00AE6121"/>
    <w:rsid w:val="00AE69D9"/>
    <w:rsid w:val="00AF2D55"/>
    <w:rsid w:val="00AF2E33"/>
    <w:rsid w:val="00B10435"/>
    <w:rsid w:val="00B17D64"/>
    <w:rsid w:val="00B210F4"/>
    <w:rsid w:val="00B42129"/>
    <w:rsid w:val="00B46104"/>
    <w:rsid w:val="00B676F4"/>
    <w:rsid w:val="00B70DAD"/>
    <w:rsid w:val="00B82733"/>
    <w:rsid w:val="00B87A10"/>
    <w:rsid w:val="00BB13DC"/>
    <w:rsid w:val="00BB1D05"/>
    <w:rsid w:val="00BB6574"/>
    <w:rsid w:val="00BC4038"/>
    <w:rsid w:val="00BD0EE6"/>
    <w:rsid w:val="00BF2769"/>
    <w:rsid w:val="00BF4622"/>
    <w:rsid w:val="00C02C3C"/>
    <w:rsid w:val="00C14D7E"/>
    <w:rsid w:val="00C2460A"/>
    <w:rsid w:val="00C47BA9"/>
    <w:rsid w:val="00C677CD"/>
    <w:rsid w:val="00CA45DB"/>
    <w:rsid w:val="00CB22B0"/>
    <w:rsid w:val="00CB3521"/>
    <w:rsid w:val="00CE6C75"/>
    <w:rsid w:val="00CF2805"/>
    <w:rsid w:val="00D01783"/>
    <w:rsid w:val="00D01BB2"/>
    <w:rsid w:val="00D030DF"/>
    <w:rsid w:val="00D064B1"/>
    <w:rsid w:val="00D200BE"/>
    <w:rsid w:val="00D27983"/>
    <w:rsid w:val="00D66A72"/>
    <w:rsid w:val="00D866B6"/>
    <w:rsid w:val="00D87530"/>
    <w:rsid w:val="00D929A9"/>
    <w:rsid w:val="00DF0365"/>
    <w:rsid w:val="00E06D27"/>
    <w:rsid w:val="00E072F7"/>
    <w:rsid w:val="00E24948"/>
    <w:rsid w:val="00E70079"/>
    <w:rsid w:val="00E801CB"/>
    <w:rsid w:val="00E81757"/>
    <w:rsid w:val="00E8412C"/>
    <w:rsid w:val="00EC3C15"/>
    <w:rsid w:val="00EC3FEA"/>
    <w:rsid w:val="00F10474"/>
    <w:rsid w:val="00F11D5F"/>
    <w:rsid w:val="00F30C0F"/>
    <w:rsid w:val="00F528A6"/>
    <w:rsid w:val="00F67291"/>
    <w:rsid w:val="00F854B5"/>
    <w:rsid w:val="00F9638E"/>
    <w:rsid w:val="00FA0883"/>
    <w:rsid w:val="00FA76C3"/>
    <w:rsid w:val="00FB6A1D"/>
    <w:rsid w:val="00FC02D5"/>
    <w:rsid w:val="00FD5CD2"/>
    <w:rsid w:val="00FE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D6BC484"/>
  <w15:docId w15:val="{74ABDE37-16F0-4C6E-9DCB-BFA88AF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372185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AnnexNotitle">
    <w:name w:val="Annex_No &amp; title"/>
    <w:basedOn w:val="Normal"/>
    <w:next w:val="Normalaftertitle"/>
    <w:link w:val="AnnexNotitleChar"/>
    <w:qFormat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customStyle="1" w:styleId="AnnexNotitleChar">
    <w:name w:val="Annex_No &amp; title Char"/>
    <w:link w:val="AnnexNotitle"/>
    <w:locked/>
    <w:rsid w:val="00372185"/>
    <w:rPr>
      <w:rFonts w:ascii="Times New Roman" w:hAnsi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372185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qFormat/>
    <w:pPr>
      <w:keepLines/>
      <w:spacing w:before="240" w:after="120"/>
      <w:jc w:val="center"/>
    </w:pPr>
    <w:rPr>
      <w:b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link w:val="Tabletext"/>
    <w:locked/>
    <w:rsid w:val="00372185"/>
    <w:rPr>
      <w:rFonts w:ascii="Times New Roman" w:hAnsi="Times New Roman"/>
      <w:sz w:val="22"/>
      <w:lang w:val="fr-FR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372185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372185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372185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link w:val="HeadingbChar"/>
    <w:qFormat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372185"/>
    <w:rPr>
      <w:rFonts w:ascii="Times New Roman" w:hAnsi="Times New Roman"/>
      <w:b/>
      <w:sz w:val="24"/>
      <w:lang w:val="fr-FR"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qFormat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  <w:qFormat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PageNumber">
    <w:name w:val="page number"/>
    <w:basedOn w:val="DefaultParagraphFont"/>
  </w:style>
  <w:style w:type="paragraph" w:customStyle="1" w:styleId="QuestionNoBR">
    <w:name w:val="Question_No_BR"/>
    <w:basedOn w:val="RecNoBR"/>
    <w:next w:val="Question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72185"/>
    <w:rPr>
      <w:rFonts w:ascii="Times New Roman" w:hAnsi="Times New Roman"/>
      <w:lang w:val="fr-FR" w:eastAsia="en-US"/>
    </w:rPr>
  </w:style>
  <w:style w:type="character" w:styleId="Hyperlink">
    <w:name w:val="Hyperlink"/>
    <w:aliases w:val="超级链接,하이퍼링크2,Style 58,하이퍼링크21,超?级链"/>
    <w:basedOn w:val="DefaultParagraphFont"/>
    <w:qFormat/>
    <w:rsid w:val="00FA76C3"/>
    <w:rPr>
      <w:rFonts w:asciiTheme="majorBidi" w:hAnsiTheme="majorBidi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A76C3"/>
  </w:style>
  <w:style w:type="paragraph" w:styleId="TableofFigures">
    <w:name w:val="table of figures"/>
    <w:basedOn w:val="Normal"/>
    <w:next w:val="Normal"/>
    <w:uiPriority w:val="99"/>
    <w:rsid w:val="00372185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val="en-GB" w:eastAsia="ja-JP"/>
    </w:rPr>
  </w:style>
  <w:style w:type="paragraph" w:styleId="Caption">
    <w:name w:val="caption"/>
    <w:basedOn w:val="Normal"/>
    <w:next w:val="Normal"/>
    <w:semiHidden/>
    <w:unhideWhenUsed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1F497D" w:themeColor="text2"/>
      <w:sz w:val="18"/>
      <w:szCs w:val="18"/>
      <w:lang w:val="en-GB" w:eastAsia="ja-JP"/>
    </w:rPr>
  </w:style>
  <w:style w:type="character" w:styleId="Emphasis">
    <w:name w:val="Emphasis"/>
    <w:basedOn w:val="DefaultParagraphFont"/>
    <w:rsid w:val="00372185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372185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3721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rsid w:val="0037218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val="en-GB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72185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37218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val="en-GB" w:eastAsia="ja-JP"/>
    </w:rPr>
  </w:style>
  <w:style w:type="paragraph" w:styleId="NormalIndent">
    <w:name w:val="Normal Indent"/>
    <w:basedOn w:val="Normal"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134"/>
      <w:textAlignment w:val="auto"/>
    </w:pPr>
    <w:rPr>
      <w:rFonts w:eastAsiaTheme="minorEastAsia"/>
      <w:szCs w:val="24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3721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Theme="minorEastAsia" w:hAnsi="Tahoma" w:cs="Tahoma"/>
      <w:sz w:val="16"/>
      <w:szCs w:val="16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372185"/>
    <w:rPr>
      <w:rFonts w:ascii="Tahoma" w:eastAsiaTheme="minorEastAsia" w:hAnsi="Tahoma" w:cs="Tahoma"/>
      <w:sz w:val="16"/>
      <w:szCs w:val="16"/>
      <w:lang w:val="en-GB" w:eastAsia="ja-JP"/>
    </w:rPr>
  </w:style>
  <w:style w:type="paragraph" w:styleId="Revision">
    <w:name w:val="Revision"/>
    <w:uiPriority w:val="99"/>
    <w:semiHidden/>
    <w:rsid w:val="00372185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Reasons">
    <w:name w:val="Reasons"/>
    <w:basedOn w:val="Normal"/>
    <w:qFormat/>
    <w:rsid w:val="00372185"/>
    <w:pPr>
      <w:tabs>
        <w:tab w:val="clear" w:pos="794"/>
        <w:tab w:val="clear" w:pos="1191"/>
      </w:tabs>
      <w:overflowPunct/>
      <w:autoSpaceDE/>
      <w:autoSpaceDN/>
      <w:adjustRightInd/>
      <w:textAlignment w:val="auto"/>
    </w:pPr>
    <w:rPr>
      <w:rFonts w:eastAsiaTheme="minorEastAsia"/>
      <w:szCs w:val="24"/>
      <w:lang w:val="en-GB" w:eastAsia="ja-JP"/>
    </w:rPr>
  </w:style>
  <w:style w:type="table" w:styleId="TableGrid">
    <w:name w:val="Table Grid"/>
    <w:basedOn w:val="TableNormal"/>
    <w:rsid w:val="00372185"/>
    <w:rPr>
      <w:rFonts w:ascii="Times New Roman" w:eastAsiaTheme="minorEastAsia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List Paragraph Char Char,List Paragraph1,Bullets,list1,b1,Number_1,Normal Sentence,Colorful List - Accent 11,ListPar1,new,SGLText List Paragraph,List Paragraph2,List Paragraph11,Bullet 1,b1 + Justified,List Paragraph21,lp1"/>
    <w:basedOn w:val="Normal"/>
    <w:link w:val="ListParagraphChar"/>
    <w:uiPriority w:val="34"/>
    <w:qFormat/>
    <w:rsid w:val="00372185"/>
    <w:pPr>
      <w:ind w:left="720"/>
      <w:contextualSpacing/>
    </w:pPr>
    <w:rPr>
      <w:lang w:val="en-GB"/>
    </w:rPr>
  </w:style>
  <w:style w:type="paragraph" w:customStyle="1" w:styleId="a2">
    <w:name w:val="a2"/>
    <w:basedOn w:val="Heading2"/>
    <w:link w:val="a2Char"/>
    <w:qFormat/>
    <w:rsid w:val="00372185"/>
    <w:pPr>
      <w:keepLines w:val="0"/>
      <w:pageBreakBefore/>
      <w:numPr>
        <w:ilvl w:val="1"/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lang w:val="en-GB"/>
    </w:rPr>
  </w:style>
  <w:style w:type="character" w:customStyle="1" w:styleId="a2Char">
    <w:name w:val="a2 Char"/>
    <w:basedOn w:val="Heading2Char"/>
    <w:link w:val="a2"/>
    <w:rsid w:val="00372185"/>
    <w:rPr>
      <w:rFonts w:ascii="Times New Roman" w:hAnsi="Times New Roman"/>
      <w:b/>
      <w:sz w:val="24"/>
      <w:lang w:val="en-GB" w:eastAsia="en-US"/>
    </w:rPr>
  </w:style>
  <w:style w:type="character" w:customStyle="1" w:styleId="alt-edited">
    <w:name w:val="alt-edited"/>
    <w:basedOn w:val="DefaultParagraphFont"/>
    <w:rsid w:val="003E2805"/>
  </w:style>
  <w:style w:type="character" w:customStyle="1" w:styleId="ListParagraphChar">
    <w:name w:val="List Paragraph Char"/>
    <w:aliases w:val="Citation List Char,List Paragraph Char Char Char,List Paragraph1 Char,Bullets Char,list1 Char,b1 Char,Number_1 Char,Normal Sentence Char,Colorful List - Accent 11 Char,ListPar1 Char,new Char,SGLText List Paragraph Char,Bullet 1 Char"/>
    <w:link w:val="ListParagraph"/>
    <w:uiPriority w:val="34"/>
    <w:qFormat/>
    <w:rsid w:val="003C026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dfs/Pages/deliverables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sg=3&amp;q=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3/Pages/q12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c01.safelinks.protection.outlook.com/?url=https%3A%2F%2Fwww.itu.int%2Fdms_inf%2Fitu-t%2Fmd%2F17%2Fsg03%2Ftd%2F190423%2FGEN%2FT17-SG03-190423-TD-GEN-0137!!MSW-E.docx&amp;data=02%7C01%7CCFrank%40ntia.gov%7C2c0ab2ab33ff4b12f1f808d6b77f0be4%7Cd6cff1bd67dd4ce8945dd07dc775672f%7C0%7C1%7C636898153625966961&amp;sdata=tpqbSxdxIc%2BKCmPOyBrSrRLWHANrBfX5HK0NbiITV8A%3D&amp;reserved=0" TargetMode="External"/><Relationship Id="rId10" Type="http://schemas.openxmlformats.org/officeDocument/2006/relationships/hyperlink" Target="https://www.itu.int/pub/publications.aspx?lang=en&amp;parent=T-RES-T.89-2016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en/ITU-T/extcoop/figisymposium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ITU-T-RG-A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01BD475604F68ADD0A94EB4A8C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9E89B-8739-4CF9-896C-3CE59E71E68E}"/>
      </w:docPartPr>
      <w:docPartBody>
        <w:p w:rsidR="00754ADA" w:rsidRDefault="00AD684A" w:rsidP="00AD684A">
          <w:pPr>
            <w:pStyle w:val="45801BD475604F68ADD0A94EB4A8C2C4"/>
          </w:pPr>
          <w:r>
            <w:rPr>
              <w:rStyle w:val="Textedelespacerserv1"/>
              <w:highlight w:val="yellow"/>
            </w:rPr>
            <w:t>Insert source(s)</w:t>
          </w:r>
        </w:p>
      </w:docPartBody>
    </w:docPart>
    <w:docPart>
      <w:docPartPr>
        <w:name w:val="84A2AF24C9B448BAA44C7C91E9914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C806D-79F0-47BF-AA05-3726F80C6A95}"/>
      </w:docPartPr>
      <w:docPartBody>
        <w:p w:rsidR="00754ADA" w:rsidRDefault="00AD684A" w:rsidP="00AD684A">
          <w:pPr>
            <w:pStyle w:val="84A2AF24C9B448BAA44C7C91E9914D51"/>
          </w:pPr>
          <w:r>
            <w:rPr>
              <w:rStyle w:val="Textedelespacerserv1"/>
              <w:highlight w:val="yellow"/>
            </w:rPr>
            <w:t>Insert title (always in ENGLISH)</w:t>
          </w:r>
        </w:p>
      </w:docPartBody>
    </w:docPart>
    <w:docPart>
      <w:docPartPr>
        <w:name w:val="44A11D927F2A48C2A2B9A9804FCA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2F5C-DC73-44FF-8F8B-281C2BB0EA7F}"/>
      </w:docPartPr>
      <w:docPartBody>
        <w:p w:rsidR="00754ADA" w:rsidRDefault="00AD684A" w:rsidP="00AD684A">
          <w:pPr>
            <w:pStyle w:val="44A11D927F2A48C2A2B9A9804FCA4A1E"/>
          </w:pPr>
          <w:r>
            <w:rPr>
              <w:rStyle w:val="Textedelespacerserv1"/>
              <w:highlight w:val="yellow"/>
            </w:rPr>
            <w:t>Insert keywords separated by semicolon (;)</w:t>
          </w:r>
        </w:p>
      </w:docPartBody>
    </w:docPart>
    <w:docPart>
      <w:docPartPr>
        <w:name w:val="897CF17D4B624D3E845F74001D1B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E56C1-636A-4E02-A061-AF3F05BA41EF}"/>
      </w:docPartPr>
      <w:docPartBody>
        <w:p w:rsidR="00754ADA" w:rsidRDefault="00AD684A" w:rsidP="00AD684A">
          <w:pPr>
            <w:pStyle w:val="897CF17D4B624D3E845F74001D1BCDA0"/>
          </w:pPr>
          <w:r>
            <w:rPr>
              <w:rStyle w:val="Textedelespacerserv1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A"/>
    <w:rsid w:val="00754ADA"/>
    <w:rsid w:val="00AD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delespacerserv1">
    <w:name w:val="Texte de l'espace réservé1"/>
    <w:basedOn w:val="DefaultParagraphFont"/>
    <w:uiPriority w:val="99"/>
    <w:semiHidden/>
    <w:rsid w:val="00AD684A"/>
    <w:rPr>
      <w:rFonts w:ascii="Times New Roman" w:hAnsi="Times New Roman"/>
      <w:color w:val="808080"/>
    </w:rPr>
  </w:style>
  <w:style w:type="paragraph" w:customStyle="1" w:styleId="45801BD475604F68ADD0A94EB4A8C2C4">
    <w:name w:val="45801BD475604F68ADD0A94EB4A8C2C4"/>
    <w:rsid w:val="00AD684A"/>
  </w:style>
  <w:style w:type="paragraph" w:customStyle="1" w:styleId="84A2AF24C9B448BAA44C7C91E9914D51">
    <w:name w:val="84A2AF24C9B448BAA44C7C91E9914D51"/>
    <w:rsid w:val="00AD684A"/>
  </w:style>
  <w:style w:type="paragraph" w:customStyle="1" w:styleId="C0869F9FC5934DBEA22F7638EF14A4C0">
    <w:name w:val="C0869F9FC5934DBEA22F7638EF14A4C0"/>
    <w:rsid w:val="00AD684A"/>
  </w:style>
  <w:style w:type="paragraph" w:customStyle="1" w:styleId="09518996DF0E4E1687B2FAF7E02ADC6E">
    <w:name w:val="09518996DF0E4E1687B2FAF7E02ADC6E"/>
    <w:rsid w:val="00AD684A"/>
  </w:style>
  <w:style w:type="paragraph" w:customStyle="1" w:styleId="44A11D927F2A48C2A2B9A9804FCA4A1E">
    <w:name w:val="44A11D927F2A48C2A2B9A9804FCA4A1E"/>
    <w:rsid w:val="00AD684A"/>
  </w:style>
  <w:style w:type="paragraph" w:customStyle="1" w:styleId="897CF17D4B624D3E845F74001D1BCDA0">
    <w:name w:val="897CF17D4B624D3E845F74001D1BCDA0"/>
    <w:rsid w:val="00AD68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655F-6CFF-4987-91EF-47F2CBB8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PF_ITU-T-RG-AFR</Template>
  <TotalTime>37</TotalTime>
  <Pages>2</Pages>
  <Words>871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D'ÉTUDES 15 – CONTRIBUTION 001</vt:lpstr>
    </vt:vector>
  </TitlesOfParts>
  <Manager>ITU-T</Manager>
  <Company>International Telecommunication Union (ITU)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D'ÉTUDES 15 – CONTRIBUTION 001</dc:title>
  <dc:subject/>
  <dc:creator>Cormier-Ribout, Kevin</dc:creator>
  <cp:keywords/>
  <dc:description/>
  <cp:lastModifiedBy>Author</cp:lastModifiedBy>
  <cp:revision>17</cp:revision>
  <cp:lastPrinted>2019-04-12T13:39:00Z</cp:lastPrinted>
  <dcterms:created xsi:type="dcterms:W3CDTF">2019-04-12T13:27:00Z</dcterms:created>
  <dcterms:modified xsi:type="dcterms:W3CDTF">2019-04-22T10:36:00Z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15 – C 001 – F</vt:lpwstr>
  </property>
  <property fmtid="{D5CDD505-2E9C-101B-9397-08002B2CF9AE}" pid="3" name="Docdate">
    <vt:lpwstr>Juin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