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418"/>
        <w:gridCol w:w="4352"/>
        <w:gridCol w:w="467"/>
        <w:gridCol w:w="426"/>
        <w:gridCol w:w="3260"/>
      </w:tblGrid>
      <w:tr w:rsidR="001A2CAE" w:rsidRPr="00A86565" w:rsidTr="00AF1ED7">
        <w:trPr>
          <w:cantSplit/>
        </w:trPr>
        <w:tc>
          <w:tcPr>
            <w:tcW w:w="1418" w:type="dxa"/>
            <w:vMerge w:val="restart"/>
          </w:tcPr>
          <w:p w:rsidR="001A2CAE" w:rsidRPr="00A86565" w:rsidRDefault="001A2CAE" w:rsidP="003E5CE0">
            <w:pPr>
              <w:rPr>
                <w:lang w:val="fr-CH"/>
              </w:rPr>
            </w:pPr>
            <w:bookmarkStart w:id="0" w:name="InsertLogo"/>
            <w:bookmarkStart w:id="1" w:name="dnum" w:colFirst="2" w:colLast="2"/>
            <w:bookmarkStart w:id="2" w:name="dtableau"/>
            <w:bookmarkEnd w:id="0"/>
            <w:r w:rsidRPr="00A86565">
              <w:rPr>
                <w:b/>
                <w:noProof/>
                <w:sz w:val="36"/>
                <w:lang w:val="en-US"/>
              </w:rPr>
              <w:drawing>
                <wp:inline distT="0" distB="0" distL="0" distR="0">
                  <wp:extent cx="771525" cy="838200"/>
                  <wp:effectExtent l="1905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4819" w:type="dxa"/>
            <w:gridSpan w:val="2"/>
          </w:tcPr>
          <w:p w:rsidR="001A2CAE" w:rsidRPr="00AF1ED7" w:rsidRDefault="001A2CAE" w:rsidP="003E5CE0">
            <w:pPr>
              <w:rPr>
                <w:sz w:val="17"/>
                <w:szCs w:val="17"/>
                <w:lang w:val="fr-CH"/>
              </w:rPr>
            </w:pPr>
            <w:r w:rsidRPr="00AF1ED7">
              <w:rPr>
                <w:sz w:val="17"/>
                <w:szCs w:val="17"/>
                <w:lang w:val="fr-CH"/>
              </w:rPr>
              <w:t>UNION INTERNATIONALE DES TÉLÉCOMMUNICATIONS</w:t>
            </w:r>
          </w:p>
        </w:tc>
        <w:tc>
          <w:tcPr>
            <w:tcW w:w="3686" w:type="dxa"/>
            <w:gridSpan w:val="2"/>
          </w:tcPr>
          <w:p w:rsidR="001A2CAE" w:rsidRPr="009A546D" w:rsidRDefault="002005AB" w:rsidP="009F2141">
            <w:pPr>
              <w:jc w:val="right"/>
              <w:rPr>
                <w:b/>
                <w:bCs/>
                <w:sz w:val="28"/>
                <w:lang w:val="fr-CH"/>
              </w:rPr>
            </w:pPr>
            <w:r w:rsidRPr="009A546D">
              <w:rPr>
                <w:b/>
                <w:bCs/>
                <w:sz w:val="32"/>
                <w:szCs w:val="22"/>
                <w:lang w:val="fr-CH"/>
              </w:rPr>
              <w:t>SG</w:t>
            </w:r>
            <w:r w:rsidR="009F2141">
              <w:rPr>
                <w:b/>
                <w:bCs/>
                <w:sz w:val="32"/>
                <w:szCs w:val="22"/>
                <w:lang w:val="fr-CH"/>
              </w:rPr>
              <w:t>3</w:t>
            </w:r>
            <w:r w:rsidR="00661931" w:rsidRPr="009A546D">
              <w:rPr>
                <w:b/>
                <w:bCs/>
                <w:sz w:val="32"/>
                <w:szCs w:val="22"/>
                <w:lang w:val="fr-CH"/>
              </w:rPr>
              <w:t>-</w:t>
            </w:r>
            <w:r w:rsidR="001A2CAE" w:rsidRPr="009A546D">
              <w:rPr>
                <w:b/>
                <w:bCs/>
                <w:sz w:val="32"/>
                <w:szCs w:val="22"/>
                <w:lang w:val="fr-CH"/>
              </w:rPr>
              <w:t>C</w:t>
            </w:r>
            <w:r w:rsidR="009F2141">
              <w:rPr>
                <w:b/>
                <w:bCs/>
                <w:sz w:val="32"/>
                <w:szCs w:val="22"/>
                <w:lang w:val="fr-CH"/>
              </w:rPr>
              <w:t>196</w:t>
            </w:r>
            <w:r w:rsidR="00676155">
              <w:rPr>
                <w:b/>
                <w:bCs/>
                <w:sz w:val="32"/>
                <w:szCs w:val="22"/>
                <w:lang w:val="fr-CH"/>
              </w:rPr>
              <w:t>-F</w:t>
            </w:r>
          </w:p>
        </w:tc>
      </w:tr>
      <w:tr w:rsidR="001A2CAE" w:rsidRPr="009F2141" w:rsidTr="00AF1ED7">
        <w:trPr>
          <w:cantSplit/>
          <w:trHeight w:val="355"/>
        </w:trPr>
        <w:tc>
          <w:tcPr>
            <w:tcW w:w="1418" w:type="dxa"/>
            <w:vMerge/>
          </w:tcPr>
          <w:p w:rsidR="001A2CAE" w:rsidRPr="00A86565" w:rsidRDefault="001A2CAE" w:rsidP="003E5CE0">
            <w:pPr>
              <w:rPr>
                <w:lang w:val="fr-CH"/>
              </w:rPr>
            </w:pPr>
            <w:bookmarkStart w:id="3" w:name="ddate" w:colFirst="2" w:colLast="2"/>
            <w:bookmarkEnd w:id="1"/>
          </w:p>
        </w:tc>
        <w:tc>
          <w:tcPr>
            <w:tcW w:w="4819" w:type="dxa"/>
            <w:gridSpan w:val="2"/>
            <w:vMerge w:val="restart"/>
          </w:tcPr>
          <w:p w:rsidR="001A2CAE" w:rsidRPr="00A86565" w:rsidRDefault="001A2CAE" w:rsidP="003E5CE0">
            <w:pPr>
              <w:rPr>
                <w:b/>
                <w:bCs/>
                <w:sz w:val="26"/>
                <w:lang w:val="fr-CH"/>
              </w:rPr>
            </w:pPr>
            <w:r w:rsidRPr="00A86565">
              <w:rPr>
                <w:b/>
                <w:bCs/>
                <w:sz w:val="26"/>
                <w:lang w:val="fr-CH"/>
              </w:rPr>
              <w:t>SECTEUR DE LA NORMALISATION DES TÉLÉCOMMUNICATIONS</w:t>
            </w:r>
          </w:p>
          <w:p w:rsidR="001A2CAE" w:rsidRPr="00A86565" w:rsidRDefault="00AA2C77" w:rsidP="003E5CE0">
            <w:pPr>
              <w:rPr>
                <w:smallCaps/>
                <w:sz w:val="20"/>
                <w:lang w:val="fr-CH"/>
              </w:rPr>
            </w:pPr>
            <w:r>
              <w:rPr>
                <w:sz w:val="20"/>
                <w:lang w:val="fr-CH"/>
              </w:rPr>
              <w:t>PÉRIODE D'</w:t>
            </w:r>
            <w:r w:rsidR="001A2CAE" w:rsidRPr="00A86565">
              <w:rPr>
                <w:sz w:val="20"/>
                <w:lang w:val="fr-CH"/>
              </w:rPr>
              <w:t>ÉTUDES 2017-2020</w:t>
            </w:r>
          </w:p>
        </w:tc>
        <w:tc>
          <w:tcPr>
            <w:tcW w:w="3686" w:type="dxa"/>
            <w:gridSpan w:val="2"/>
          </w:tcPr>
          <w:p w:rsidR="001A2CAE" w:rsidRPr="009F2141" w:rsidRDefault="001A2CAE" w:rsidP="009F2141">
            <w:pPr>
              <w:jc w:val="right"/>
              <w:rPr>
                <w:b/>
                <w:bCs/>
                <w:sz w:val="27"/>
                <w:szCs w:val="27"/>
                <w:lang w:val="fr-CH"/>
              </w:rPr>
            </w:pPr>
            <w:r w:rsidRPr="009F2141">
              <w:rPr>
                <w:b/>
                <w:bCs/>
                <w:sz w:val="27"/>
                <w:szCs w:val="27"/>
                <w:lang w:val="fr-CH"/>
              </w:rPr>
              <w:t xml:space="preserve">COMMISSION D'ÉTUDES </w:t>
            </w:r>
            <w:r w:rsidR="009F2141" w:rsidRPr="009F2141">
              <w:rPr>
                <w:b/>
                <w:bCs/>
                <w:sz w:val="27"/>
                <w:szCs w:val="27"/>
                <w:lang w:val="fr-CH"/>
              </w:rPr>
              <w:t>3</w:t>
            </w:r>
          </w:p>
        </w:tc>
      </w:tr>
      <w:tr w:rsidR="001A2CAE" w:rsidRPr="00A86565" w:rsidTr="00AF1ED7">
        <w:trPr>
          <w:cantSplit/>
          <w:trHeight w:val="780"/>
        </w:trPr>
        <w:tc>
          <w:tcPr>
            <w:tcW w:w="1418" w:type="dxa"/>
            <w:vMerge/>
            <w:tcBorders>
              <w:bottom w:val="single" w:sz="12" w:space="0" w:color="auto"/>
            </w:tcBorders>
          </w:tcPr>
          <w:p w:rsidR="001A2CAE" w:rsidRPr="00A86565" w:rsidRDefault="001A2CAE" w:rsidP="003E5CE0">
            <w:pPr>
              <w:rPr>
                <w:lang w:val="fr-CH"/>
              </w:rPr>
            </w:pPr>
            <w:bookmarkStart w:id="4" w:name="dorlang" w:colFirst="2" w:colLast="2"/>
            <w:bookmarkEnd w:id="3"/>
          </w:p>
        </w:tc>
        <w:tc>
          <w:tcPr>
            <w:tcW w:w="4819" w:type="dxa"/>
            <w:gridSpan w:val="2"/>
            <w:vMerge/>
            <w:tcBorders>
              <w:bottom w:val="single" w:sz="12" w:space="0" w:color="auto"/>
            </w:tcBorders>
          </w:tcPr>
          <w:p w:rsidR="001A2CAE" w:rsidRPr="00A86565" w:rsidRDefault="001A2CAE" w:rsidP="003E5CE0">
            <w:pPr>
              <w:rPr>
                <w:b/>
                <w:bCs/>
                <w:sz w:val="26"/>
                <w:lang w:val="fr-CH"/>
              </w:rPr>
            </w:pPr>
          </w:p>
        </w:tc>
        <w:tc>
          <w:tcPr>
            <w:tcW w:w="3686" w:type="dxa"/>
            <w:gridSpan w:val="2"/>
            <w:tcBorders>
              <w:bottom w:val="single" w:sz="12" w:space="0" w:color="auto"/>
            </w:tcBorders>
            <w:vAlign w:val="center"/>
          </w:tcPr>
          <w:p w:rsidR="001A2CAE" w:rsidRPr="00A86565" w:rsidRDefault="001A2CAE" w:rsidP="003E5CE0">
            <w:pPr>
              <w:jc w:val="right"/>
              <w:rPr>
                <w:b/>
                <w:bCs/>
                <w:sz w:val="28"/>
                <w:lang w:val="fr-CH"/>
              </w:rPr>
            </w:pPr>
            <w:r w:rsidRPr="00A86565">
              <w:rPr>
                <w:b/>
                <w:bCs/>
                <w:sz w:val="28"/>
                <w:lang w:val="fr-CH"/>
              </w:rPr>
              <w:t>Original: anglais</w:t>
            </w:r>
          </w:p>
        </w:tc>
      </w:tr>
      <w:tr w:rsidR="001A2CAE" w:rsidRPr="00A86565" w:rsidTr="00676155">
        <w:trPr>
          <w:cantSplit/>
          <w:trHeight w:val="357"/>
        </w:trPr>
        <w:tc>
          <w:tcPr>
            <w:tcW w:w="1418" w:type="dxa"/>
          </w:tcPr>
          <w:p w:rsidR="001A2CAE" w:rsidRPr="00A86565" w:rsidRDefault="001A2CAE" w:rsidP="009F2141">
            <w:pPr>
              <w:rPr>
                <w:b/>
                <w:bCs/>
                <w:lang w:val="fr-CH"/>
              </w:rPr>
            </w:pPr>
            <w:bookmarkStart w:id="5" w:name="dbluepink" w:colFirst="1" w:colLast="1"/>
            <w:bookmarkStart w:id="6" w:name="dmeeting" w:colFirst="2" w:colLast="2"/>
            <w:bookmarkEnd w:id="4"/>
            <w:r w:rsidRPr="00A86565">
              <w:rPr>
                <w:b/>
                <w:bCs/>
                <w:lang w:val="fr-CH"/>
              </w:rPr>
              <w:t>Question:</w:t>
            </w:r>
          </w:p>
        </w:tc>
        <w:tc>
          <w:tcPr>
            <w:tcW w:w="5245" w:type="dxa"/>
            <w:gridSpan w:val="3"/>
          </w:tcPr>
          <w:p w:rsidR="001A2CAE" w:rsidRPr="00A86565" w:rsidRDefault="009F2141" w:rsidP="00AC2B62">
            <w:pPr>
              <w:rPr>
                <w:highlight w:val="yellow"/>
                <w:lang w:val="fr-CH"/>
              </w:rPr>
            </w:pPr>
            <w:r w:rsidRPr="00B7618C">
              <w:rPr>
                <w:lang w:val="fr-CH"/>
              </w:rPr>
              <w:t>7/3</w:t>
            </w:r>
          </w:p>
        </w:tc>
        <w:tc>
          <w:tcPr>
            <w:tcW w:w="3260" w:type="dxa"/>
          </w:tcPr>
          <w:p w:rsidR="001A2CAE" w:rsidRPr="00A86565" w:rsidRDefault="00265E6B" w:rsidP="009F2141">
            <w:pPr>
              <w:jc w:val="right"/>
              <w:rPr>
                <w:lang w:val="fr-CH"/>
              </w:rPr>
            </w:pPr>
            <w:sdt>
              <w:sdtPr>
                <w:alias w:val="Place"/>
                <w:tag w:val="Place"/>
                <w:id w:val="594904712"/>
                <w:placeholder>
                  <w:docPart w:val="86CD1D30E40645EA9F32782CBE5AA09C"/>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9F2141">
                  <w:t>Ge</w:t>
                </w:r>
                <w:r w:rsidR="009F2141" w:rsidRPr="001E0AA0">
                  <w:t>nève</w:t>
                </w:r>
              </w:sdtContent>
            </w:sdt>
            <w:r w:rsidR="009F2141" w:rsidRPr="001E0AA0">
              <w:t xml:space="preserve">, </w:t>
            </w:r>
            <w:sdt>
              <w:sdtPr>
                <w:alias w:val="When"/>
                <w:tag w:val="When"/>
                <w:id w:val="542724177"/>
                <w:placeholder>
                  <w:docPart w:val="D4E1FD996BA9415F8CCE3DA822011175"/>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9F2141" w:rsidRPr="001E0AA0">
                  <w:t>9</w:t>
                </w:r>
                <w:r w:rsidR="009F2141">
                  <w:t>-</w:t>
                </w:r>
                <w:r w:rsidR="009F2141" w:rsidRPr="001E0AA0">
                  <w:t>18 avril 2018</w:t>
                </w:r>
              </w:sdtContent>
            </w:sdt>
          </w:p>
        </w:tc>
      </w:tr>
      <w:tr w:rsidR="001A2CAE" w:rsidRPr="00A86565" w:rsidTr="00756796">
        <w:trPr>
          <w:cantSplit/>
          <w:trHeight w:val="357"/>
        </w:trPr>
        <w:tc>
          <w:tcPr>
            <w:tcW w:w="9923" w:type="dxa"/>
            <w:gridSpan w:val="5"/>
          </w:tcPr>
          <w:p w:rsidR="001A2CAE" w:rsidRPr="00A86565" w:rsidRDefault="008C1EA9" w:rsidP="003E5CE0">
            <w:pPr>
              <w:jc w:val="center"/>
              <w:rPr>
                <w:b/>
                <w:bCs/>
                <w:lang w:val="fr-CH"/>
              </w:rPr>
            </w:pPr>
            <w:bookmarkStart w:id="7" w:name="dtitle" w:colFirst="0" w:colLast="0"/>
            <w:bookmarkEnd w:id="5"/>
            <w:bookmarkEnd w:id="6"/>
            <w:r w:rsidRPr="00A86565">
              <w:rPr>
                <w:b/>
                <w:bCs/>
                <w:lang w:val="fr-CH"/>
              </w:rPr>
              <w:t>CONTRIBUTION</w:t>
            </w:r>
          </w:p>
        </w:tc>
      </w:tr>
      <w:tr w:rsidR="001A2CAE" w:rsidRPr="00A86565" w:rsidTr="00676155">
        <w:trPr>
          <w:cantSplit/>
          <w:trHeight w:val="357"/>
        </w:trPr>
        <w:tc>
          <w:tcPr>
            <w:tcW w:w="1418" w:type="dxa"/>
          </w:tcPr>
          <w:p w:rsidR="001A2CAE" w:rsidRPr="00A86565" w:rsidRDefault="001A2CAE" w:rsidP="003E5CE0">
            <w:pPr>
              <w:rPr>
                <w:b/>
                <w:bCs/>
                <w:lang w:val="fr-CH"/>
              </w:rPr>
            </w:pPr>
            <w:bookmarkStart w:id="8" w:name="dsource" w:colFirst="1" w:colLast="1"/>
            <w:bookmarkEnd w:id="7"/>
            <w:r w:rsidRPr="00A86565">
              <w:rPr>
                <w:b/>
                <w:bCs/>
                <w:lang w:val="fr-CH"/>
              </w:rPr>
              <w:t>Origine:</w:t>
            </w:r>
          </w:p>
        </w:tc>
        <w:sdt>
          <w:sdtPr>
            <w:alias w:val="DocumentSource"/>
            <w:tag w:val="DocumentSource"/>
            <w:id w:val="-1547363769"/>
            <w:placeholder>
              <w:docPart w:val="D4C45A05A0434C88A6EA7BFAED4B62F7"/>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505" w:type="dxa"/>
                <w:gridSpan w:val="4"/>
              </w:tcPr>
              <w:p w:rsidR="001A2CAE" w:rsidRPr="00A86565" w:rsidRDefault="00B7618C" w:rsidP="00B7618C">
                <w:pPr>
                  <w:rPr>
                    <w:lang w:val="fr-CH"/>
                  </w:rPr>
                </w:pPr>
                <w:r>
                  <w:t>E</w:t>
                </w:r>
                <w:r w:rsidR="009F2141" w:rsidRPr="001E0AA0">
                  <w:t>tats-Unis d</w:t>
                </w:r>
                <w:r w:rsidR="001B4E0C">
                  <w:t>'</w:t>
                </w:r>
                <w:r w:rsidR="009F2141" w:rsidRPr="001E0AA0">
                  <w:t>Amérique</w:t>
                </w:r>
              </w:p>
            </w:tc>
          </w:sdtContent>
        </w:sdt>
      </w:tr>
      <w:tr w:rsidR="001A2CAE" w:rsidRPr="00A86565" w:rsidTr="00676155">
        <w:trPr>
          <w:cantSplit/>
          <w:trHeight w:val="357"/>
        </w:trPr>
        <w:tc>
          <w:tcPr>
            <w:tcW w:w="1418" w:type="dxa"/>
          </w:tcPr>
          <w:p w:rsidR="001A2CAE" w:rsidRPr="00A86565" w:rsidRDefault="001A2CAE" w:rsidP="003E5CE0">
            <w:pPr>
              <w:spacing w:after="120"/>
              <w:rPr>
                <w:b/>
                <w:bCs/>
                <w:lang w:val="fr-CH"/>
              </w:rPr>
            </w:pPr>
            <w:bookmarkStart w:id="9" w:name="dtitle1" w:colFirst="1" w:colLast="1"/>
            <w:bookmarkEnd w:id="8"/>
            <w:r w:rsidRPr="00A86565">
              <w:rPr>
                <w:b/>
                <w:bCs/>
                <w:lang w:val="fr-CH"/>
              </w:rPr>
              <w:t>Titre:</w:t>
            </w:r>
          </w:p>
        </w:tc>
        <w:tc>
          <w:tcPr>
            <w:tcW w:w="8505" w:type="dxa"/>
            <w:gridSpan w:val="4"/>
          </w:tcPr>
          <w:p w:rsidR="009F2141" w:rsidRPr="00A86565" w:rsidRDefault="009F2141" w:rsidP="00B7618C">
            <w:pPr>
              <w:spacing w:after="120"/>
              <w:rPr>
                <w:lang w:val="fr-CH"/>
              </w:rPr>
            </w:pPr>
            <w:r>
              <w:rPr>
                <w:lang w:val="fr-CH"/>
              </w:rPr>
              <w:t xml:space="preserve">Points </w:t>
            </w:r>
            <w:r w:rsidRPr="001E0AA0">
              <w:t xml:space="preserve">de vue sur une proposition de travail dans le cadre </w:t>
            </w:r>
            <w:r w:rsidR="00B7618C">
              <w:t>du sujet d'étude</w:t>
            </w:r>
            <w:r w:rsidRPr="001E0AA0">
              <w:t xml:space="preserve"> D.M2M</w:t>
            </w:r>
            <w:r w:rsidR="00B7618C">
              <w:t>Roaming</w:t>
            </w:r>
          </w:p>
        </w:tc>
      </w:tr>
      <w:tr w:rsidR="001A2CAE" w:rsidRPr="00A86565" w:rsidTr="00676155">
        <w:trPr>
          <w:cantSplit/>
          <w:trHeight w:val="357"/>
        </w:trPr>
        <w:tc>
          <w:tcPr>
            <w:tcW w:w="1418" w:type="dxa"/>
            <w:tcBorders>
              <w:bottom w:val="single" w:sz="12" w:space="0" w:color="auto"/>
            </w:tcBorders>
          </w:tcPr>
          <w:p w:rsidR="001A2CAE" w:rsidRPr="00A86565" w:rsidRDefault="00FA76C3" w:rsidP="003E5CE0">
            <w:pPr>
              <w:spacing w:after="120"/>
              <w:rPr>
                <w:b/>
                <w:bCs/>
                <w:lang w:val="fr-CH"/>
              </w:rPr>
            </w:pPr>
            <w:r w:rsidRPr="00A86565">
              <w:rPr>
                <w:b/>
                <w:bCs/>
                <w:lang w:val="fr-CH"/>
              </w:rPr>
              <w:t>Objet:</w:t>
            </w:r>
          </w:p>
        </w:tc>
        <w:tc>
          <w:tcPr>
            <w:tcW w:w="8505" w:type="dxa"/>
            <w:gridSpan w:val="4"/>
            <w:tcBorders>
              <w:bottom w:val="single" w:sz="12" w:space="0" w:color="auto"/>
            </w:tcBorders>
          </w:tcPr>
          <w:p w:rsidR="001A2CAE" w:rsidRPr="00A86565" w:rsidRDefault="009F2141" w:rsidP="003E5CE0">
            <w:pPr>
              <w:spacing w:after="120"/>
              <w:rPr>
                <w:lang w:val="fr-CH"/>
              </w:rPr>
            </w:pPr>
            <w:r>
              <w:rPr>
                <w:lang w:val="fr-CH"/>
              </w:rPr>
              <w:t>Discussion</w:t>
            </w:r>
          </w:p>
        </w:tc>
      </w:tr>
      <w:tr w:rsidR="00756796" w:rsidRPr="00756796" w:rsidTr="00676155">
        <w:tblPrEx>
          <w:jc w:val="center"/>
        </w:tblPrEx>
        <w:trPr>
          <w:cantSplit/>
          <w:jc w:val="center"/>
        </w:trPr>
        <w:tc>
          <w:tcPr>
            <w:tcW w:w="1418" w:type="dxa"/>
            <w:tcBorders>
              <w:top w:val="single" w:sz="6" w:space="0" w:color="auto"/>
              <w:bottom w:val="single" w:sz="6" w:space="0" w:color="auto"/>
            </w:tcBorders>
          </w:tcPr>
          <w:p w:rsidR="00756796" w:rsidRPr="00756796" w:rsidRDefault="00756796" w:rsidP="00756796">
            <w:pPr>
              <w:tabs>
                <w:tab w:val="clear" w:pos="794"/>
                <w:tab w:val="clear" w:pos="1191"/>
                <w:tab w:val="clear" w:pos="1588"/>
                <w:tab w:val="clear" w:pos="1985"/>
              </w:tabs>
              <w:overflowPunct/>
              <w:autoSpaceDE/>
              <w:autoSpaceDN/>
              <w:adjustRightInd/>
              <w:textAlignment w:val="auto"/>
              <w:rPr>
                <w:rFonts w:eastAsia="SimSun"/>
                <w:b/>
                <w:bCs/>
                <w:szCs w:val="24"/>
                <w:lang w:val="fr-CH" w:eastAsia="ja-JP"/>
              </w:rPr>
            </w:pPr>
            <w:r w:rsidRPr="00756796">
              <w:rPr>
                <w:rFonts w:eastAsia="SimSun"/>
                <w:b/>
                <w:bCs/>
                <w:szCs w:val="24"/>
                <w:lang w:val="fr-CH" w:eastAsia="ja-JP"/>
              </w:rPr>
              <w:t>Contact:</w:t>
            </w:r>
          </w:p>
        </w:tc>
        <w:tc>
          <w:tcPr>
            <w:tcW w:w="4352" w:type="dxa"/>
            <w:tcBorders>
              <w:top w:val="single" w:sz="6" w:space="0" w:color="auto"/>
              <w:bottom w:val="single" w:sz="6" w:space="0" w:color="auto"/>
            </w:tcBorders>
          </w:tcPr>
          <w:p w:rsidR="00756796" w:rsidRPr="00756796" w:rsidRDefault="00265E6B" w:rsidP="00B7618C">
            <w:pPr>
              <w:tabs>
                <w:tab w:val="clear" w:pos="794"/>
                <w:tab w:val="clear" w:pos="1191"/>
                <w:tab w:val="clear" w:pos="1588"/>
                <w:tab w:val="clear" w:pos="1985"/>
              </w:tabs>
              <w:overflowPunct/>
              <w:autoSpaceDE/>
              <w:autoSpaceDN/>
              <w:adjustRightInd/>
              <w:spacing w:after="40"/>
              <w:textAlignment w:val="auto"/>
              <w:rPr>
                <w:rFonts w:eastAsia="SimSun"/>
                <w:szCs w:val="24"/>
                <w:highlight w:val="yellow"/>
                <w:lang w:val="fr-CH" w:eastAsia="ja-JP"/>
              </w:rPr>
            </w:pPr>
            <w:sdt>
              <w:sdtPr>
                <w:alias w:val="ContactNameOrgCountry"/>
                <w:tag w:val="ContactNameOrgCountry"/>
                <w:id w:val="-450624836"/>
                <w:placeholder>
                  <w:docPart w:val="3698CAFB7DBA47B09C3001B9CB57D6E0"/>
                </w:placeholder>
                <w:text w:multiLine="1"/>
              </w:sdtPr>
              <w:sdtEndPr/>
              <w:sdtContent>
                <w:r w:rsidR="009F2141" w:rsidRPr="001E0AA0">
                  <w:t>Paul B. Najarian</w:t>
                </w:r>
                <w:r w:rsidR="009F2141" w:rsidRPr="001E0AA0">
                  <w:br/>
                </w:r>
                <w:r w:rsidR="009F2141">
                  <w:t>U.S. Department of State</w:t>
                </w:r>
                <w:r w:rsidR="009F2141">
                  <w:br/>
                </w:r>
                <w:r w:rsidR="003E683A">
                  <w:t>E</w:t>
                </w:r>
                <w:r w:rsidR="009F2141">
                  <w:t>tats-</w:t>
                </w:r>
                <w:r w:rsidR="009F2141" w:rsidRPr="001E0AA0">
                  <w:t>Unis d</w:t>
                </w:r>
                <w:r w:rsidR="001B4E0C">
                  <w:t>'</w:t>
                </w:r>
                <w:r w:rsidR="009F2141" w:rsidRPr="001E0AA0">
                  <w:t>Amérique</w:t>
                </w:r>
              </w:sdtContent>
            </w:sdt>
          </w:p>
        </w:tc>
        <w:tc>
          <w:tcPr>
            <w:tcW w:w="4153" w:type="dxa"/>
            <w:gridSpan w:val="3"/>
            <w:tcBorders>
              <w:top w:val="single" w:sz="6" w:space="0" w:color="auto"/>
              <w:bottom w:val="single" w:sz="6" w:space="0" w:color="auto"/>
            </w:tcBorders>
          </w:tcPr>
          <w:p w:rsidR="00756796" w:rsidRPr="009A546D" w:rsidRDefault="009F2141" w:rsidP="00B7618C">
            <w:pPr>
              <w:tabs>
                <w:tab w:val="clear" w:pos="794"/>
                <w:tab w:val="clear" w:pos="1191"/>
                <w:tab w:val="clear" w:pos="1588"/>
                <w:tab w:val="clear" w:pos="1985"/>
              </w:tabs>
              <w:overflowPunct/>
              <w:autoSpaceDE/>
              <w:autoSpaceDN/>
              <w:adjustRightInd/>
              <w:textAlignment w:val="auto"/>
              <w:rPr>
                <w:rFonts w:eastAsia="SimSun"/>
                <w:szCs w:val="24"/>
                <w:lang w:val="fr-CH" w:eastAsia="ja-JP"/>
              </w:rPr>
            </w:pPr>
            <w:r w:rsidRPr="001E0AA0">
              <w:t>Tél</w:t>
            </w:r>
            <w:r w:rsidR="00AF1ED7">
              <w:t>.</w:t>
            </w:r>
            <w:r w:rsidRPr="001E0AA0">
              <w:t>: +1 (202) 647-7847</w:t>
            </w:r>
            <w:r w:rsidRPr="001E0AA0">
              <w:br/>
              <w:t>Fax: +1 (202) 647-5957</w:t>
            </w:r>
            <w:r w:rsidRPr="001E0AA0">
              <w:br/>
            </w:r>
            <w:r w:rsidR="00B7618C">
              <w:t>Courriel</w:t>
            </w:r>
            <w:r w:rsidRPr="001E0AA0">
              <w:t xml:space="preserve">: </w:t>
            </w:r>
            <w:hyperlink r:id="rId9" w:history="1">
              <w:r w:rsidRPr="001E0AA0">
                <w:rPr>
                  <w:rStyle w:val="Hyperlink"/>
                </w:rPr>
                <w:t>najarianpb@state.gov</w:t>
              </w:r>
            </w:hyperlink>
          </w:p>
        </w:tc>
      </w:tr>
      <w:tr w:rsidR="00756796" w:rsidRPr="00756796" w:rsidTr="00676155">
        <w:tblPrEx>
          <w:jc w:val="center"/>
        </w:tblPrEx>
        <w:trPr>
          <w:cantSplit/>
          <w:jc w:val="center"/>
        </w:trPr>
        <w:tc>
          <w:tcPr>
            <w:tcW w:w="1418" w:type="dxa"/>
            <w:tcBorders>
              <w:top w:val="single" w:sz="6" w:space="0" w:color="auto"/>
              <w:bottom w:val="single" w:sz="6" w:space="0" w:color="auto"/>
            </w:tcBorders>
          </w:tcPr>
          <w:p w:rsidR="00756796" w:rsidRPr="00756796" w:rsidRDefault="00756796" w:rsidP="00756796">
            <w:pPr>
              <w:tabs>
                <w:tab w:val="clear" w:pos="794"/>
                <w:tab w:val="clear" w:pos="1191"/>
                <w:tab w:val="clear" w:pos="1588"/>
                <w:tab w:val="clear" w:pos="1985"/>
              </w:tabs>
              <w:overflowPunct/>
              <w:autoSpaceDE/>
              <w:autoSpaceDN/>
              <w:adjustRightInd/>
              <w:textAlignment w:val="auto"/>
              <w:rPr>
                <w:rFonts w:eastAsia="SimSun"/>
                <w:b/>
                <w:bCs/>
                <w:szCs w:val="24"/>
                <w:lang w:val="fr-CH" w:eastAsia="ja-JP"/>
              </w:rPr>
            </w:pPr>
            <w:r w:rsidRPr="00756796">
              <w:rPr>
                <w:rFonts w:eastAsia="SimSun"/>
                <w:b/>
                <w:bCs/>
                <w:szCs w:val="24"/>
                <w:lang w:val="fr-CH" w:eastAsia="ja-JP"/>
              </w:rPr>
              <w:t>Contact:</w:t>
            </w:r>
          </w:p>
        </w:tc>
        <w:tc>
          <w:tcPr>
            <w:tcW w:w="4352" w:type="dxa"/>
            <w:tcBorders>
              <w:top w:val="single" w:sz="6" w:space="0" w:color="auto"/>
              <w:bottom w:val="single" w:sz="6" w:space="0" w:color="auto"/>
            </w:tcBorders>
          </w:tcPr>
          <w:p w:rsidR="00756796" w:rsidRPr="00756796" w:rsidRDefault="00265E6B" w:rsidP="00B7618C">
            <w:pPr>
              <w:tabs>
                <w:tab w:val="clear" w:pos="794"/>
                <w:tab w:val="clear" w:pos="1191"/>
                <w:tab w:val="clear" w:pos="1588"/>
                <w:tab w:val="clear" w:pos="1985"/>
              </w:tabs>
              <w:overflowPunct/>
              <w:autoSpaceDE/>
              <w:autoSpaceDN/>
              <w:adjustRightInd/>
              <w:spacing w:after="40"/>
              <w:textAlignment w:val="auto"/>
              <w:rPr>
                <w:rFonts w:eastAsia="SimSun"/>
                <w:szCs w:val="24"/>
                <w:highlight w:val="yellow"/>
                <w:lang w:val="fr-CH" w:eastAsia="ja-JP"/>
              </w:rPr>
            </w:pPr>
            <w:sdt>
              <w:sdtPr>
                <w:alias w:val="ContactNameOrgCountry"/>
                <w:tag w:val="ContactNameOrgCountry"/>
                <w:id w:val="997003386"/>
                <w:placeholder>
                  <w:docPart w:val="6EA94B46CB864896BA4E8AC039528FA7"/>
                </w:placeholder>
                <w:text w:multiLine="1"/>
              </w:sdtPr>
              <w:sdtEndPr/>
              <w:sdtContent>
                <w:r w:rsidR="009F2141" w:rsidRPr="001E0AA0">
                  <w:t>Ena Dekanic</w:t>
                </w:r>
                <w:r w:rsidR="009F2141" w:rsidRPr="001E0AA0">
                  <w:br/>
                  <w:t>Federal Communications Commission</w:t>
                </w:r>
                <w:r w:rsidR="009F2141" w:rsidRPr="001E0AA0">
                  <w:br/>
                </w:r>
                <w:r w:rsidR="003E683A">
                  <w:t>E</w:t>
                </w:r>
                <w:r w:rsidR="009F2141" w:rsidRPr="001E0AA0">
                  <w:t>tats-Unis d</w:t>
                </w:r>
                <w:r w:rsidR="001B4E0C">
                  <w:t>'</w:t>
                </w:r>
                <w:r w:rsidR="009F2141" w:rsidRPr="001E0AA0">
                  <w:t>Amérique</w:t>
                </w:r>
              </w:sdtContent>
            </w:sdt>
          </w:p>
        </w:tc>
        <w:tc>
          <w:tcPr>
            <w:tcW w:w="4153" w:type="dxa"/>
            <w:gridSpan w:val="3"/>
            <w:tcBorders>
              <w:top w:val="single" w:sz="6" w:space="0" w:color="auto"/>
              <w:bottom w:val="single" w:sz="6" w:space="0" w:color="auto"/>
            </w:tcBorders>
          </w:tcPr>
          <w:p w:rsidR="00756796" w:rsidRPr="009A546D" w:rsidRDefault="009F2141" w:rsidP="00B7618C">
            <w:pPr>
              <w:tabs>
                <w:tab w:val="clear" w:pos="794"/>
                <w:tab w:val="clear" w:pos="1191"/>
                <w:tab w:val="clear" w:pos="1588"/>
                <w:tab w:val="clear" w:pos="1985"/>
              </w:tabs>
              <w:overflowPunct/>
              <w:autoSpaceDE/>
              <w:autoSpaceDN/>
              <w:adjustRightInd/>
              <w:textAlignment w:val="auto"/>
              <w:rPr>
                <w:rFonts w:eastAsia="SimSun"/>
                <w:szCs w:val="24"/>
                <w:lang w:val="fr-CH" w:eastAsia="ja-JP"/>
              </w:rPr>
            </w:pPr>
            <w:r w:rsidRPr="001E0AA0">
              <w:t>Tél.: +1 (202) 418-3628</w:t>
            </w:r>
            <w:r w:rsidRPr="001E0AA0">
              <w:br/>
              <w:t>Fax: n/a</w:t>
            </w:r>
            <w:r w:rsidRPr="001E0AA0">
              <w:br/>
            </w:r>
            <w:r w:rsidR="00B7618C">
              <w:t>Courriel</w:t>
            </w:r>
            <w:r w:rsidRPr="001E0AA0">
              <w:t xml:space="preserve">: </w:t>
            </w:r>
            <w:hyperlink r:id="rId10" w:history="1">
              <w:r w:rsidRPr="001E0AA0">
                <w:rPr>
                  <w:rStyle w:val="Hyperlink"/>
                </w:rPr>
                <w:t>ena.dekanic@fcc.gov</w:t>
              </w:r>
            </w:hyperlink>
          </w:p>
        </w:tc>
      </w:tr>
      <w:bookmarkEnd w:id="2"/>
      <w:bookmarkEnd w:id="9"/>
    </w:tbl>
    <w:p w:rsidR="00FA76C3" w:rsidRPr="00A86565" w:rsidRDefault="00FA76C3" w:rsidP="003E5CE0">
      <w:pPr>
        <w:rPr>
          <w:lang w:val="fr-CH"/>
        </w:rPr>
      </w:pPr>
    </w:p>
    <w:tbl>
      <w:tblPr>
        <w:tblW w:w="9923" w:type="dxa"/>
        <w:tblLayout w:type="fixed"/>
        <w:tblCellMar>
          <w:left w:w="57" w:type="dxa"/>
          <w:right w:w="57" w:type="dxa"/>
        </w:tblCellMar>
        <w:tblLook w:val="0000" w:firstRow="0" w:lastRow="0" w:firstColumn="0" w:lastColumn="0" w:noHBand="0" w:noVBand="0"/>
      </w:tblPr>
      <w:tblGrid>
        <w:gridCol w:w="1418"/>
        <w:gridCol w:w="8505"/>
      </w:tblGrid>
      <w:tr w:rsidR="00FA76C3" w:rsidRPr="0091451F" w:rsidTr="00A40938">
        <w:trPr>
          <w:cantSplit/>
        </w:trPr>
        <w:tc>
          <w:tcPr>
            <w:tcW w:w="1418" w:type="dxa"/>
          </w:tcPr>
          <w:p w:rsidR="00FA76C3" w:rsidRPr="00A86565" w:rsidRDefault="00FA76C3" w:rsidP="003E5CE0">
            <w:pPr>
              <w:rPr>
                <w:b/>
                <w:bCs/>
                <w:lang w:val="fr-CH"/>
              </w:rPr>
            </w:pPr>
            <w:r w:rsidRPr="00A86565">
              <w:rPr>
                <w:b/>
                <w:bCs/>
                <w:lang w:val="fr-CH"/>
              </w:rPr>
              <w:t>Mots clés:</w:t>
            </w:r>
          </w:p>
        </w:tc>
        <w:tc>
          <w:tcPr>
            <w:tcW w:w="8505" w:type="dxa"/>
          </w:tcPr>
          <w:p w:rsidR="00FA76C3" w:rsidRPr="0091451F" w:rsidRDefault="009F2141" w:rsidP="0091451F">
            <w:pPr>
              <w:rPr>
                <w:lang w:val="en-GB"/>
              </w:rPr>
            </w:pPr>
            <w:r w:rsidRPr="0091451F">
              <w:rPr>
                <w:lang w:val="en-GB"/>
              </w:rPr>
              <w:t>D.M2M</w:t>
            </w:r>
            <w:r w:rsidR="006635A8" w:rsidRPr="0091451F">
              <w:rPr>
                <w:lang w:val="en-GB"/>
              </w:rPr>
              <w:t>Roaming</w:t>
            </w:r>
            <w:r w:rsidRPr="0091451F">
              <w:rPr>
                <w:lang w:val="en-GB"/>
              </w:rPr>
              <w:t>; D.IoT</w:t>
            </w:r>
            <w:r w:rsidR="0091451F" w:rsidRPr="0091451F">
              <w:rPr>
                <w:lang w:val="en-GB"/>
              </w:rPr>
              <w:t>Roaming</w:t>
            </w:r>
            <w:r w:rsidRPr="0091451F">
              <w:rPr>
                <w:lang w:val="en-GB"/>
              </w:rPr>
              <w:t>; D.IoT</w:t>
            </w:r>
            <w:r w:rsidR="0091451F" w:rsidRPr="0091451F">
              <w:rPr>
                <w:lang w:val="en-GB"/>
              </w:rPr>
              <w:t>policy</w:t>
            </w:r>
          </w:p>
        </w:tc>
      </w:tr>
      <w:tr w:rsidR="00FA76C3" w:rsidRPr="00A86565" w:rsidTr="00A40938">
        <w:trPr>
          <w:cantSplit/>
        </w:trPr>
        <w:tc>
          <w:tcPr>
            <w:tcW w:w="1418" w:type="dxa"/>
          </w:tcPr>
          <w:p w:rsidR="00FA76C3" w:rsidRPr="00A86565" w:rsidRDefault="005232FD" w:rsidP="003E5CE0">
            <w:pPr>
              <w:rPr>
                <w:b/>
                <w:bCs/>
                <w:lang w:val="fr-CH"/>
              </w:rPr>
            </w:pPr>
            <w:r w:rsidRPr="00A86565">
              <w:rPr>
                <w:b/>
                <w:bCs/>
                <w:lang w:val="fr-CH"/>
              </w:rPr>
              <w:t>Résumé</w:t>
            </w:r>
            <w:r w:rsidR="00FA76C3" w:rsidRPr="00A86565">
              <w:rPr>
                <w:b/>
                <w:bCs/>
                <w:lang w:val="fr-CH"/>
              </w:rPr>
              <w:t>:</w:t>
            </w:r>
          </w:p>
        </w:tc>
        <w:tc>
          <w:tcPr>
            <w:tcW w:w="8505" w:type="dxa"/>
          </w:tcPr>
          <w:p w:rsidR="00FA76C3" w:rsidRPr="00A86565" w:rsidRDefault="009F2141" w:rsidP="0091451F">
            <w:pPr>
              <w:rPr>
                <w:lang w:val="fr-CH"/>
              </w:rPr>
            </w:pPr>
            <w:r w:rsidRPr="001E0AA0">
              <w:t xml:space="preserve">Les </w:t>
            </w:r>
            <w:r w:rsidR="0091451F">
              <w:t>E</w:t>
            </w:r>
            <w:r w:rsidRPr="001E0AA0">
              <w:t>tats-Unis ne soutiennent pas un nouveau projet de recommandation portant sur l</w:t>
            </w:r>
            <w:r w:rsidR="001B4E0C">
              <w:t>'</w:t>
            </w:r>
            <w:r w:rsidRPr="001E0AA0">
              <w:t>itinérance M2M. Non seulement ce type de projet de recomm</w:t>
            </w:r>
            <w:r>
              <w:t>a</w:t>
            </w:r>
            <w:r w:rsidRPr="001E0AA0">
              <w:t>ndation n</w:t>
            </w:r>
            <w:r w:rsidR="001B4E0C">
              <w:t>'</w:t>
            </w:r>
            <w:r w:rsidRPr="001E0AA0">
              <w:t xml:space="preserve">est pas justifié, pour un certain nombre de raisons, mais il est particulièrement prématuré pour la </w:t>
            </w:r>
            <w:r>
              <w:t>Commission d'études </w:t>
            </w:r>
            <w:r w:rsidRPr="001E0AA0">
              <w:t xml:space="preserve">3 de l'UIT-T </w:t>
            </w:r>
            <w:r>
              <w:t>de suggérer la moindre marche à suivre avant qu</w:t>
            </w:r>
            <w:r w:rsidR="001B4E0C">
              <w:t>'</w:t>
            </w:r>
            <w:r>
              <w:t>une réunion électronique planifiée d</w:t>
            </w:r>
            <w:r w:rsidR="0091451F">
              <w:t>u</w:t>
            </w:r>
            <w:r>
              <w:t xml:space="preserve"> Groupe</w:t>
            </w:r>
            <w:r w:rsidR="0091451F">
              <w:t xml:space="preserve"> du</w:t>
            </w:r>
            <w:r>
              <w:t xml:space="preserve"> Rapporteur </w:t>
            </w:r>
            <w:r w:rsidR="0091451F">
              <w:t xml:space="preserve">pour </w:t>
            </w:r>
            <w:r>
              <w:t xml:space="preserve">la </w:t>
            </w:r>
            <w:r w:rsidR="0091451F">
              <w:t>Q</w:t>
            </w:r>
            <w:r>
              <w:t>uestion</w:t>
            </w:r>
            <w:r w:rsidR="0091451F">
              <w:t> </w:t>
            </w:r>
            <w:r>
              <w:t>7/3 n</w:t>
            </w:r>
            <w:r w:rsidR="001B4E0C">
              <w:t>'</w:t>
            </w:r>
            <w:r>
              <w:t>ait eu lieu.</w:t>
            </w:r>
          </w:p>
        </w:tc>
      </w:tr>
    </w:tbl>
    <w:p w:rsidR="009F2141" w:rsidRPr="001E0AA0" w:rsidRDefault="009F2141" w:rsidP="0091451F">
      <w:pPr>
        <w:pStyle w:val="Headingb"/>
      </w:pPr>
      <w:r w:rsidRPr="001E0AA0">
        <w:t>Introduction</w:t>
      </w:r>
    </w:p>
    <w:p w:rsidR="009F2141" w:rsidRPr="001E0AA0" w:rsidRDefault="009F2141" w:rsidP="00676155">
      <w:r>
        <w:t>Dans le cadre du sujet d</w:t>
      </w:r>
      <w:r w:rsidR="001B4E0C">
        <w:t>'</w:t>
      </w:r>
      <w:r>
        <w:t>étude</w:t>
      </w:r>
      <w:r w:rsidRPr="001E0AA0">
        <w:t xml:space="preserve"> </w:t>
      </w:r>
      <w:r w:rsidRPr="001E0AA0">
        <w:rPr>
          <w:i/>
        </w:rPr>
        <w:t>D.M2M</w:t>
      </w:r>
      <w:r w:rsidR="0091451F">
        <w:rPr>
          <w:i/>
        </w:rPr>
        <w:t>Roaming</w:t>
      </w:r>
      <w:r w:rsidRPr="001E0AA0">
        <w:t xml:space="preserve">, </w:t>
      </w:r>
      <w:r>
        <w:t xml:space="preserve">certains </w:t>
      </w:r>
      <w:r w:rsidR="00F44426">
        <w:t>E</w:t>
      </w:r>
      <w:r>
        <w:t>tats Membres ont proposé</w:t>
      </w:r>
      <w:r w:rsidRPr="001E0AA0">
        <w:t xml:space="preserve"> (</w:t>
      </w:r>
      <w:r w:rsidRPr="001E0AA0">
        <w:rPr>
          <w:i/>
        </w:rPr>
        <w:t>par ex</w:t>
      </w:r>
      <w:r w:rsidR="00F44426">
        <w:rPr>
          <w:i/>
        </w:rPr>
        <w:t>emple</w:t>
      </w:r>
      <w:r>
        <w:t xml:space="preserve">, C147, C148 et </w:t>
      </w:r>
      <w:r w:rsidRPr="001E0AA0">
        <w:t xml:space="preserve">C165) </w:t>
      </w:r>
      <w:r>
        <w:t>que la Commission d</w:t>
      </w:r>
      <w:r w:rsidR="001B4E0C">
        <w:t>'</w:t>
      </w:r>
      <w:r>
        <w:t>études 3 de l</w:t>
      </w:r>
      <w:r w:rsidR="001B4E0C">
        <w:t>'</w:t>
      </w:r>
      <w:r>
        <w:t>UIT-T mette au point des principes internationaux de comptabilité et de facturation et d</w:t>
      </w:r>
      <w:r w:rsidR="001B4E0C">
        <w:t>'</w:t>
      </w:r>
      <w:r>
        <w:t>autres directives réglementaires pour le</w:t>
      </w:r>
      <w:r w:rsidR="0091451F">
        <w:t>s communications</w:t>
      </w:r>
      <w:r w:rsidRPr="001E0AA0">
        <w:t xml:space="preserve"> M2M. </w:t>
      </w:r>
      <w:r w:rsidR="00F44426">
        <w:t xml:space="preserve">Les Contributions </w:t>
      </w:r>
      <w:r>
        <w:t xml:space="preserve">C147 et C165 proposent, notamment, un nouveau projet de </w:t>
      </w:r>
      <w:r w:rsidR="00F44426">
        <w:t xml:space="preserve">Recommandation </w:t>
      </w:r>
      <w:r>
        <w:t>UIT-T</w:t>
      </w:r>
      <w:r w:rsidRPr="001E0AA0">
        <w:t xml:space="preserve"> </w:t>
      </w:r>
      <w:r w:rsidR="00F44426">
        <w:rPr>
          <w:lang w:eastAsia="zh-CN"/>
        </w:rPr>
        <w:t>"</w:t>
      </w:r>
      <w:r w:rsidRPr="001E0AA0">
        <w:t>Lignes directrices relatives à l'itinérance permanente pour les dispositifs M2M</w:t>
      </w:r>
      <w:r w:rsidR="00F44426">
        <w:rPr>
          <w:lang w:eastAsia="zh-CN"/>
        </w:rPr>
        <w:t>"</w:t>
      </w:r>
      <w:r w:rsidRPr="001E0AA0">
        <w:rPr>
          <w:lang w:eastAsia="zh-CN"/>
        </w:rPr>
        <w:t>.</w:t>
      </w:r>
      <w:r w:rsidRPr="001E0AA0">
        <w:t xml:space="preserve"> </w:t>
      </w:r>
      <w:r>
        <w:t>Le M2M, ainsi que l</w:t>
      </w:r>
      <w:r w:rsidR="001B4E0C">
        <w:t>'</w:t>
      </w:r>
      <w:r>
        <w:t>itinérance, sont un sujet de négociations commerciales entre les prestataire</w:t>
      </w:r>
      <w:r w:rsidRPr="001E0AA0">
        <w:t>s.</w:t>
      </w:r>
      <w:r>
        <w:t xml:space="preserve"> C</w:t>
      </w:r>
      <w:r w:rsidR="001B4E0C">
        <w:t>'</w:t>
      </w:r>
      <w:r>
        <w:t xml:space="preserve">est la raison pour laquelle il est inutile de prévoir un nouveau projet de </w:t>
      </w:r>
      <w:r w:rsidR="00F44426">
        <w:t>R</w:t>
      </w:r>
      <w:r>
        <w:t>ecommandation, et qu</w:t>
      </w:r>
      <w:r w:rsidR="001B4E0C">
        <w:t>'</w:t>
      </w:r>
      <w:r>
        <w:t>il faut donc en rester là</w:t>
      </w:r>
      <w:r w:rsidRPr="001E0AA0">
        <w:t>.</w:t>
      </w:r>
      <w:r>
        <w:t xml:space="preserve"> Le rapport du </w:t>
      </w:r>
      <w:r w:rsidR="00F44426">
        <w:t>G</w:t>
      </w:r>
      <w:r>
        <w:t>roupe de travail 4/3 (Section 3.2.1) d</w:t>
      </w:r>
      <w:r w:rsidR="001B4E0C">
        <w:t>'</w:t>
      </w:r>
      <w:r>
        <w:t>avril 2017 fait état de plans visant à consolider neuf contributions antérieures relatives à l</w:t>
      </w:r>
      <w:r w:rsidR="001B4E0C">
        <w:t>'</w:t>
      </w:r>
      <w:r>
        <w:t>itinérance mobile internationale en un seul document, à utiliser comme élément de dépar</w:t>
      </w:r>
      <w:r w:rsidR="00F44426">
        <w:t>t d</w:t>
      </w:r>
      <w:r w:rsidR="001B4E0C">
        <w:t>'</w:t>
      </w:r>
      <w:r w:rsidR="00F44426">
        <w:t>une réunion électronique du</w:t>
      </w:r>
      <w:r>
        <w:t xml:space="preserve"> Groupe d</w:t>
      </w:r>
      <w:r w:rsidR="00F44426">
        <w:t>u</w:t>
      </w:r>
      <w:r>
        <w:t xml:space="preserve"> Rapporteur sur la </w:t>
      </w:r>
      <w:r w:rsidR="00F44426">
        <w:t>Q</w:t>
      </w:r>
      <w:r>
        <w:t>uestion</w:t>
      </w:r>
      <w:r w:rsidRPr="001E0AA0">
        <w:t xml:space="preserve"> 7/3; </w:t>
      </w:r>
      <w:r>
        <w:t>ces étapes n</w:t>
      </w:r>
      <w:r w:rsidR="001B4E0C">
        <w:t>'</w:t>
      </w:r>
      <w:r>
        <w:t>ont toutefois jamais eu lieu</w:t>
      </w:r>
      <w:r w:rsidRPr="001E0AA0">
        <w:t>.</w:t>
      </w:r>
      <w:r>
        <w:t xml:space="preserve"> Les </w:t>
      </w:r>
      <w:r w:rsidR="00F44426">
        <w:t>E</w:t>
      </w:r>
      <w:r w:rsidRPr="001E0AA0">
        <w:t>tats</w:t>
      </w:r>
      <w:r>
        <w:t xml:space="preserve">-Unis suggèrent que le </w:t>
      </w:r>
      <w:r w:rsidR="00F44426">
        <w:t>G</w:t>
      </w:r>
      <w:r>
        <w:t>roupe de travail 4/3 continue de discuter à ce sujet avant de suggérer la moindre marche à suivre</w:t>
      </w:r>
      <w:r w:rsidRPr="001E0AA0">
        <w:t>.</w:t>
      </w:r>
    </w:p>
    <w:p w:rsidR="009F2141" w:rsidRPr="001E0AA0" w:rsidRDefault="009F2141" w:rsidP="00AF1ED7">
      <w:r>
        <w:t xml:space="preserve">De plus, les </w:t>
      </w:r>
      <w:r w:rsidR="003E683A">
        <w:rPr>
          <w:lang w:eastAsia="zh-CN"/>
        </w:rPr>
        <w:t>E</w:t>
      </w:r>
      <w:r>
        <w:t>tats-Unis ne sont pas d</w:t>
      </w:r>
      <w:r w:rsidR="001B4E0C">
        <w:t>'</w:t>
      </w:r>
      <w:r>
        <w:t>accord avec l</w:t>
      </w:r>
      <w:r w:rsidR="001B4E0C">
        <w:t>'</w:t>
      </w:r>
      <w:r>
        <w:t>hypothèse des</w:t>
      </w:r>
      <w:r w:rsidR="00F44426">
        <w:t xml:space="preserve"> Contributions</w:t>
      </w:r>
      <w:r>
        <w:t xml:space="preserve"> C147 et C165, selon laquelle </w:t>
      </w:r>
      <w:r w:rsidR="003E683A">
        <w:rPr>
          <w:lang w:eastAsia="zh-CN"/>
        </w:rPr>
        <w:t>"</w:t>
      </w:r>
      <w:r>
        <w:rPr>
          <w:lang w:eastAsia="zh-CN"/>
        </w:rPr>
        <w:t>le développement de lignes directrices M2M uniformes, y compris pour la facturation, la comptabilité et les mécanismes d</w:t>
      </w:r>
      <w:r w:rsidR="001B4E0C">
        <w:rPr>
          <w:lang w:eastAsia="zh-CN"/>
        </w:rPr>
        <w:t>'</w:t>
      </w:r>
      <w:r>
        <w:rPr>
          <w:lang w:eastAsia="zh-CN"/>
        </w:rPr>
        <w:t>apurement des comptes est opportun et nécessaire</w:t>
      </w:r>
      <w:r w:rsidR="003E683A">
        <w:rPr>
          <w:lang w:eastAsia="zh-CN"/>
        </w:rPr>
        <w:t>"</w:t>
      </w:r>
      <w:r>
        <w:t xml:space="preserve">. </w:t>
      </w:r>
      <w:r w:rsidRPr="004821AC">
        <w:t xml:space="preserve">En fait, même </w:t>
      </w:r>
      <w:r w:rsidRPr="004821AC">
        <w:lastRenderedPageBreak/>
        <w:t>pour les services de télécommunication classiques, les opéra</w:t>
      </w:r>
      <w:r>
        <w:t>teurs ont, en grande partie, abandonné les principes de facturation et de comptabilité et s</w:t>
      </w:r>
      <w:r w:rsidR="001B4E0C">
        <w:t>'</w:t>
      </w:r>
      <w:r>
        <w:t>appuient, plutôt, sur des accords commerciaux basés sur le marché</w:t>
      </w:r>
      <w:r w:rsidRPr="001E0AA0">
        <w:rPr>
          <w:rStyle w:val="FootnoteReference"/>
        </w:rPr>
        <w:footnoteReference w:id="1"/>
      </w:r>
      <w:r w:rsidR="00AF1ED7">
        <w:t xml:space="preserve">. </w:t>
      </w:r>
      <w:r>
        <w:t>De même, les prestataires M2M utilisent des modèles commerciaux innovants qui s</w:t>
      </w:r>
      <w:r w:rsidR="001B4E0C">
        <w:t>'</w:t>
      </w:r>
      <w:r>
        <w:t>appuient sur des accords bilatéraux mutuellement bénéfiques pour développer la connectivité sans avoir besoin de réglementations comptables</w:t>
      </w:r>
      <w:r w:rsidRPr="001E0AA0">
        <w:t>.</w:t>
      </w:r>
    </w:p>
    <w:p w:rsidR="009F2141" w:rsidRPr="00E47C07" w:rsidRDefault="009F2141" w:rsidP="00676155">
      <w:r>
        <w:t>Dans l</w:t>
      </w:r>
      <w:r w:rsidR="001B4E0C">
        <w:t>'</w:t>
      </w:r>
      <w:r>
        <w:t>espoir que les modèles commerciaux continueront d</w:t>
      </w:r>
      <w:r w:rsidR="001B4E0C">
        <w:t>'</w:t>
      </w:r>
      <w:r>
        <w:t>évoluer proportionnellement à la croissance exponentielle de l</w:t>
      </w:r>
      <w:r w:rsidR="001B4E0C">
        <w:t>'</w:t>
      </w:r>
      <w:r>
        <w:t>écosystème M2M, le marché est le mieux placé pour mettre au point de nouvelles pratiques, par rapport au fait que les gouvernements imposent des principes classiques de comptabilité et de facturation</w:t>
      </w:r>
      <w:r w:rsidRPr="001E0AA0">
        <w:t>.</w:t>
      </w:r>
      <w:r>
        <w:t xml:space="preserve"> Il est prématuré pour la Commission d</w:t>
      </w:r>
      <w:r w:rsidR="001B4E0C">
        <w:t>'</w:t>
      </w:r>
      <w:r>
        <w:t>études 3 de l</w:t>
      </w:r>
      <w:r w:rsidR="001B4E0C">
        <w:t>'</w:t>
      </w:r>
      <w:r w:rsidR="00F44426">
        <w:t>UIT</w:t>
      </w:r>
      <w:r>
        <w:t>-T de suggérer une marche à suivre au sujet des structures de facturation M2M, notamment quand aucun défi spécifique du marché relatif à l</w:t>
      </w:r>
      <w:r w:rsidR="001B4E0C">
        <w:t>'</w:t>
      </w:r>
      <w:r>
        <w:t>itinérance M2M n</w:t>
      </w:r>
      <w:r w:rsidR="001B4E0C">
        <w:t>'</w:t>
      </w:r>
      <w:r>
        <w:t>a été identifié et quand les modèles commerciaux continuent de changer et d</w:t>
      </w:r>
      <w:r w:rsidR="001B4E0C">
        <w:t>'</w:t>
      </w:r>
      <w:r>
        <w:t>évoluer rapidement</w:t>
      </w:r>
      <w:r w:rsidRPr="001E0AA0">
        <w:t>.</w:t>
      </w:r>
      <w:r>
        <w:t xml:space="preserve"> </w:t>
      </w:r>
      <w:r w:rsidRPr="00E47C07">
        <w:t xml:space="preserve">En bref, les </w:t>
      </w:r>
      <w:r w:rsidR="003E683A">
        <w:t>E</w:t>
      </w:r>
      <w:r w:rsidRPr="00E47C07">
        <w:t>tats-Unis pensent que l</w:t>
      </w:r>
      <w:r w:rsidR="001B4E0C">
        <w:t>'</w:t>
      </w:r>
      <w:r w:rsidRPr="00E47C07">
        <w:t>application des principes de comptabilité et de facturation et d</w:t>
      </w:r>
      <w:r w:rsidR="001B4E0C">
        <w:t>'</w:t>
      </w:r>
      <w:r w:rsidRPr="00E47C07">
        <w:t>autre</w:t>
      </w:r>
      <w:r>
        <w:t>s mesures réglementaires proposé</w:t>
      </w:r>
      <w:r w:rsidRPr="00E47C07">
        <w:t>s dans le sujet d</w:t>
      </w:r>
      <w:r w:rsidR="001B4E0C">
        <w:t>'</w:t>
      </w:r>
      <w:r w:rsidRPr="00E47C07">
        <w:t xml:space="preserve">étude </w:t>
      </w:r>
      <w:r w:rsidRPr="00E47C07">
        <w:rPr>
          <w:i/>
        </w:rPr>
        <w:t>D.M2M</w:t>
      </w:r>
      <w:r w:rsidR="00F44426">
        <w:rPr>
          <w:i/>
        </w:rPr>
        <w:t>Roaming</w:t>
      </w:r>
      <w:r w:rsidRPr="00E47C07">
        <w:t xml:space="preserve"> </w:t>
      </w:r>
      <w:r>
        <w:t>est injustifiée, et plus propice à étouffer qu</w:t>
      </w:r>
      <w:r w:rsidR="001B4E0C">
        <w:t>'</w:t>
      </w:r>
      <w:r>
        <w:t>à promouvoir la croissance du</w:t>
      </w:r>
      <w:r w:rsidRPr="00E47C07">
        <w:t xml:space="preserve"> M2M.</w:t>
      </w:r>
      <w:r w:rsidRPr="001E0AA0">
        <w:rPr>
          <w:rStyle w:val="FootnoteReference"/>
        </w:rPr>
        <w:footnoteReference w:id="2"/>
      </w:r>
    </w:p>
    <w:p w:rsidR="009F2141" w:rsidRPr="001E0AA0" w:rsidRDefault="009F2141" w:rsidP="00756002">
      <w:r>
        <w:t>De plus, dans le but d</w:t>
      </w:r>
      <w:r w:rsidR="001B4E0C">
        <w:t>'</w:t>
      </w:r>
      <w:r>
        <w:t xml:space="preserve">éviter le dédoublement des efforts entre les secteurs, les </w:t>
      </w:r>
      <w:r w:rsidR="003E683A">
        <w:rPr>
          <w:lang w:eastAsia="zh-CN"/>
        </w:rPr>
        <w:t>E</w:t>
      </w:r>
      <w:r w:rsidRPr="00FE56F0">
        <w:t>t</w:t>
      </w:r>
      <w:r>
        <w:t>ats-Unis reconnaissent le travail considérable accompli par la Commission d</w:t>
      </w:r>
      <w:r w:rsidR="001B4E0C">
        <w:t>'</w:t>
      </w:r>
      <w:r>
        <w:t xml:space="preserve">études 2 de </w:t>
      </w:r>
      <w:r w:rsidR="00756002">
        <w:t>l'</w:t>
      </w:r>
      <w:r w:rsidR="00F44426">
        <w:t>UIT</w:t>
      </w:r>
      <w:r>
        <w:t xml:space="preserve">-D, </w:t>
      </w:r>
      <w:r w:rsidR="00F44426">
        <w:t>Q</w:t>
      </w:r>
      <w:r>
        <w:t>uestion </w:t>
      </w:r>
      <w:r w:rsidRPr="001E0AA0">
        <w:t>1/2 (</w:t>
      </w:r>
      <w:r>
        <w:t>Créer la société intelligente: les applications des TIC au service du développement socio-économique</w:t>
      </w:r>
      <w:r w:rsidRPr="001E0AA0">
        <w:t xml:space="preserve">) </w:t>
      </w:r>
      <w:r>
        <w:t>pendant le cycle d</w:t>
      </w:r>
      <w:r w:rsidR="001B4E0C">
        <w:t>'</w:t>
      </w:r>
      <w:r>
        <w:t>études </w:t>
      </w:r>
      <w:r w:rsidRPr="001E0AA0">
        <w:t>2015-2017.</w:t>
      </w:r>
      <w:r>
        <w:t xml:space="preserve"> Le rapport final </w:t>
      </w:r>
      <w:r w:rsidR="00F44426">
        <w:t>sur</w:t>
      </w:r>
      <w:r>
        <w:t xml:space="preserve"> la </w:t>
      </w:r>
      <w:r w:rsidR="00F44426">
        <w:t>Q</w:t>
      </w:r>
      <w:r>
        <w:t>uestion </w:t>
      </w:r>
      <w:r w:rsidRPr="001E0AA0">
        <w:t xml:space="preserve">1/2 </w:t>
      </w:r>
      <w:r>
        <w:t>contient un panel entier de meilleures pratiques visant à soutenir la croissance des villes intelligentes et de l</w:t>
      </w:r>
      <w:r w:rsidR="001B4E0C">
        <w:t>'</w:t>
      </w:r>
      <w:r>
        <w:t>IoT, au sens large, et aucune d</w:t>
      </w:r>
      <w:r w:rsidR="001B4E0C">
        <w:t>'</w:t>
      </w:r>
      <w:r>
        <w:t>entre-elles n</w:t>
      </w:r>
      <w:r w:rsidR="001B4E0C">
        <w:t>'</w:t>
      </w:r>
      <w:r>
        <w:t>a identifié un besoin de développer des structures internationales de facturation et de comptabilité ou d</w:t>
      </w:r>
      <w:r w:rsidR="001B4E0C">
        <w:t>'</w:t>
      </w:r>
      <w:r>
        <w:t>autres réglementations prescriptives</w:t>
      </w:r>
      <w:r w:rsidRPr="001E0AA0">
        <w:t>.</w:t>
      </w:r>
      <w:r>
        <w:t xml:space="preserve"> La Conférence mondiale de développement des télécommunications </w:t>
      </w:r>
      <w:r w:rsidR="00F44426">
        <w:t xml:space="preserve">de 2017 </w:t>
      </w:r>
      <w:r>
        <w:t>(CMDT</w:t>
      </w:r>
      <w:r w:rsidR="00F44426">
        <w:noBreakHyphen/>
      </w:r>
      <w:r>
        <w:t>17) de l</w:t>
      </w:r>
      <w:r w:rsidR="001B4E0C">
        <w:t>'</w:t>
      </w:r>
      <w:r>
        <w:t>UIT</w:t>
      </w:r>
      <w:r w:rsidRPr="001E0AA0">
        <w:t xml:space="preserve"> </w:t>
      </w:r>
      <w:r>
        <w:t xml:space="preserve">a approuvé la poursuite </w:t>
      </w:r>
      <w:r w:rsidR="00504BBF">
        <w:t>de l'étude</w:t>
      </w:r>
      <w:r>
        <w:t xml:space="preserve"> de la </w:t>
      </w:r>
      <w:r w:rsidR="00504BBF">
        <w:t>Q</w:t>
      </w:r>
      <w:r>
        <w:t>uestion 1/2, en ouvrant une voie pour que les parties intéressées participent à cet important dialogue</w:t>
      </w:r>
      <w:r w:rsidRPr="001E0AA0">
        <w:t>.</w:t>
      </w:r>
      <w:r>
        <w:t xml:space="preserve"> Toutes les </w:t>
      </w:r>
      <w:r w:rsidR="00756002">
        <w:t>"</w:t>
      </w:r>
      <w:r>
        <w:t>lignes directrices</w:t>
      </w:r>
      <w:r w:rsidR="00756002">
        <w:t>"</w:t>
      </w:r>
      <w:r>
        <w:t xml:space="preserve"> nationales pour le M2M seront étudiées, de manière plus appropriée, </w:t>
      </w:r>
      <w:r w:rsidR="00504BBF">
        <w:t xml:space="preserve">au sein de </w:t>
      </w:r>
      <w:r>
        <w:t>l</w:t>
      </w:r>
      <w:r w:rsidR="001B4E0C">
        <w:t>'</w:t>
      </w:r>
      <w:r>
        <w:t xml:space="preserve">UIT-D, et pas en tant que </w:t>
      </w:r>
      <w:r w:rsidR="00504BBF">
        <w:t>R</w:t>
      </w:r>
      <w:r>
        <w:t>ecommandation UIT-T</w:t>
      </w:r>
      <w:r w:rsidRPr="001E0AA0">
        <w:t xml:space="preserve">. </w:t>
      </w:r>
    </w:p>
    <w:p w:rsidR="009F2141" w:rsidRPr="001E0AA0" w:rsidRDefault="009F2141" w:rsidP="00504BBF">
      <w:pPr>
        <w:pStyle w:val="Headingb"/>
      </w:pPr>
      <w:r>
        <w:t>L</w:t>
      </w:r>
      <w:r w:rsidR="001B4E0C">
        <w:t>'</w:t>
      </w:r>
      <w:r>
        <w:t>écosystème</w:t>
      </w:r>
      <w:r w:rsidRPr="001E0AA0">
        <w:t xml:space="preserve"> M2M</w:t>
      </w:r>
    </w:p>
    <w:p w:rsidR="009F2141" w:rsidRPr="001E0AA0" w:rsidRDefault="009F2141" w:rsidP="00676155">
      <w:r>
        <w:t>La nature internationale de l</w:t>
      </w:r>
      <w:r w:rsidR="001B4E0C">
        <w:t>'</w:t>
      </w:r>
      <w:r>
        <w:t>écosystème M2M, associée à l</w:t>
      </w:r>
      <w:r w:rsidR="001B4E0C">
        <w:t>'</w:t>
      </w:r>
      <w:r>
        <w:t>augmentation de la mobilité des consommateurs, sa croissance exponentielle et la transformation technologique générale de la mise en réseau, dépendent toutes d</w:t>
      </w:r>
      <w:r w:rsidR="001B4E0C">
        <w:t>'</w:t>
      </w:r>
      <w:r>
        <w:t>une livraison dans le monde entier</w:t>
      </w:r>
      <w:r w:rsidRPr="001E0AA0">
        <w:t>.</w:t>
      </w:r>
      <w:r>
        <w:t xml:space="preserve"> Par conséquent, les nouveaux modèles commerciaux qui facilitent le développement innovant et transparent du M2M garantissent une approche réglementaire souple</w:t>
      </w:r>
      <w:r w:rsidRPr="001E0AA0">
        <w:t>.</w:t>
      </w:r>
      <w:r>
        <w:t xml:space="preserve"> Ces nouveaux modèles commerciaux diffèrent des modèles commerciaux plus classiques, aussi bien pour ce qui est de la nature de la connectivité sans fil apportée à l</w:t>
      </w:r>
      <w:r w:rsidR="001B4E0C">
        <w:t>'</w:t>
      </w:r>
      <w:r>
        <w:t>utilisateur final que pour l</w:t>
      </w:r>
      <w:r w:rsidR="001B4E0C">
        <w:t>'</w:t>
      </w:r>
      <w:r>
        <w:t>économie de la mise à disposition de cette connectivité</w:t>
      </w:r>
      <w:r w:rsidRPr="001E0AA0">
        <w:t xml:space="preserve"> </w:t>
      </w:r>
      <w:r w:rsidRPr="00DA43E1">
        <w:t xml:space="preserve">(par </w:t>
      </w:r>
      <w:r w:rsidRPr="00DA43E1">
        <w:lastRenderedPageBreak/>
        <w:t>ex</w:t>
      </w:r>
      <w:r w:rsidR="009611F4">
        <w:t>emple</w:t>
      </w:r>
      <w:r w:rsidRPr="00DA43E1">
        <w:t>, communication courte durée, capacité vocale limitée ou absente). Pour les appareils M2M,</w:t>
      </w:r>
      <w:r>
        <w:t xml:space="preserve"> les opérateurs de réseau mobile ne fournissent pas un service de communication directement aux utilisateurs finaux individuels</w:t>
      </w:r>
      <w:r w:rsidRPr="001E0AA0">
        <w:t>.</w:t>
      </w:r>
      <w:r>
        <w:t xml:space="preserve"> Les opérateurs de réseau mobile assurent, à la place, une connectivité sans fil aux fabricants (qui ne sont normalement pas des prestataires de communication</w:t>
      </w:r>
      <w:r w:rsidRPr="001E0AA0">
        <w:t>),</w:t>
      </w:r>
      <w:r>
        <w:t xml:space="preserve"> qui distribuent les produits sans fil aux utilisateurs finaux.</w:t>
      </w:r>
    </w:p>
    <w:p w:rsidR="009F2141" w:rsidRPr="001E0AA0" w:rsidRDefault="009F2141" w:rsidP="00370A13">
      <w:r>
        <w:t>Par conséquent, la connectivité sans fil M2M n</w:t>
      </w:r>
      <w:r w:rsidR="001B4E0C">
        <w:t>'</w:t>
      </w:r>
      <w:r>
        <w:t>est qu</w:t>
      </w:r>
      <w:r w:rsidR="001B4E0C">
        <w:t>'</w:t>
      </w:r>
      <w:r>
        <w:t>un composant auxiliaire du produit final à proprement parler. Les prestataires M2M ne facturent généralement pas l</w:t>
      </w:r>
      <w:r w:rsidR="001B4E0C">
        <w:t>'</w:t>
      </w:r>
      <w:r>
        <w:t>utilisateur final séparément pour la connectivité dans la mesure où le transport de données n</w:t>
      </w:r>
      <w:r w:rsidR="001B4E0C">
        <w:t>'</w:t>
      </w:r>
      <w:r>
        <w:t xml:space="preserve">est pas la caractéristique principale du produit dans son ensemble </w:t>
      </w:r>
      <w:r w:rsidRPr="00DA43E1">
        <w:t>(par ex</w:t>
      </w:r>
      <w:r w:rsidR="00370A13">
        <w:t>emple</w:t>
      </w:r>
      <w:r w:rsidRPr="00DA43E1">
        <w:t xml:space="preserve"> équipements</w:t>
      </w:r>
      <w:r>
        <w:t xml:space="preserve"> pour la cuisine, gestion de flotte</w:t>
      </w:r>
      <w:r w:rsidRPr="001E0AA0">
        <w:t xml:space="preserve">) </w:t>
      </w:r>
      <w:r>
        <w:t>fourni à l</w:t>
      </w:r>
      <w:r w:rsidR="001B4E0C">
        <w:t>'</w:t>
      </w:r>
      <w:r>
        <w:t>utilisateur final. Il est vrai donc que les utilisateurs finaux peuvent ne pas être conscients de la capacité M2M du produit</w:t>
      </w:r>
      <w:r w:rsidRPr="001E0AA0">
        <w:t xml:space="preserve">. </w:t>
      </w:r>
    </w:p>
    <w:p w:rsidR="009F2141" w:rsidRPr="001E0AA0" w:rsidRDefault="009F2141" w:rsidP="00F507D9">
      <w:r>
        <w:t>Pour développer, le M2M n</w:t>
      </w:r>
      <w:r w:rsidR="001B4E0C">
        <w:t>'</w:t>
      </w:r>
      <w:r>
        <w:t>assure pas une communication bilatérale ouverte. Plus particulièrement, les prestataires M2M n</w:t>
      </w:r>
      <w:r w:rsidR="001B4E0C">
        <w:t>'</w:t>
      </w:r>
      <w:r>
        <w:t>autorisent généralement pas les communications données, SMS ou vocales entre les humains qui ont la possibilité de communiquer avec tous les points finaux ou presque tous les points finaux d</w:t>
      </w:r>
      <w:r w:rsidR="001B4E0C">
        <w:t>'</w:t>
      </w:r>
      <w:r>
        <w:t>un réseau tel que le réseau téléphonique commuté (RTC) ou l</w:t>
      </w:r>
      <w:r w:rsidR="001B4E0C">
        <w:t>'</w:t>
      </w:r>
      <w:r>
        <w:t>Internet. Ainsi, un compteur intelligent M2M mesure essentiellement la consommation d</w:t>
      </w:r>
      <w:r w:rsidR="001B4E0C">
        <w:t>'</w:t>
      </w:r>
      <w:r>
        <w:t>électricité</w:t>
      </w:r>
      <w:r w:rsidRPr="001E0AA0">
        <w:t>;</w:t>
      </w:r>
      <w:r>
        <w:t xml:space="preserve"> la fonctionnalité M2M permet la livraison quasi en temps réel de ces informations de consommation à la compagnie d</w:t>
      </w:r>
      <w:r w:rsidR="001B4E0C">
        <w:t>'</w:t>
      </w:r>
      <w:r>
        <w:t>électricité</w:t>
      </w:r>
      <w:r w:rsidRPr="001E0AA0">
        <w:t>.</w:t>
      </w:r>
      <w:r>
        <w:t xml:space="preserve"> Chacun de ces éléments permet de faire diminuer le coût des affaires et les prix facturés aux consommateur</w:t>
      </w:r>
      <w:r w:rsidRPr="001E0AA0">
        <w:t xml:space="preserve">s. </w:t>
      </w:r>
      <w:r>
        <w:t>C</w:t>
      </w:r>
      <w:r w:rsidR="001B4E0C">
        <w:t>'</w:t>
      </w:r>
      <w:r>
        <w:t>est la raison pour laquelle les politiques M2M coopératives sont très différentes des modèles commerciaux classiques qui sous-tendaient les systèmes de télécommunication hérités du passé, tels que ceux sur lesquels étaient fondés les principes de comptabilité et de facturation</w:t>
      </w:r>
      <w:r w:rsidRPr="001E0AA0">
        <w:t xml:space="preserve">. </w:t>
      </w:r>
      <w:r>
        <w:t>L</w:t>
      </w:r>
      <w:r w:rsidR="001B4E0C">
        <w:t>'</w:t>
      </w:r>
      <w:r>
        <w:t>absence de cette capacité de communication ouverte est l</w:t>
      </w:r>
      <w:r w:rsidR="001B4E0C">
        <w:t>'</w:t>
      </w:r>
      <w:r>
        <w:t>un des principaux différenciateurs entre les services de télécommunication régulés traditionnels et le M2M</w:t>
      </w:r>
      <w:r w:rsidRPr="001E0AA0">
        <w:t>.</w:t>
      </w:r>
      <w:r>
        <w:t xml:space="preserve"> De plus, tel que mentionné ci-dessus, la plupart des opérateurs ont depuis longtemps arrêté d</w:t>
      </w:r>
      <w:r w:rsidR="001B4E0C">
        <w:t>'</w:t>
      </w:r>
      <w:r>
        <w:t>utiliser les principes de facturation et de comptabilité, même pour les services de communication bilatérale traditionnelle et s</w:t>
      </w:r>
      <w:r w:rsidR="001B4E0C">
        <w:t>'</w:t>
      </w:r>
      <w:r>
        <w:t>appuient, désormais, sur des accords commerciaux basés sur le marché</w:t>
      </w:r>
      <w:r w:rsidRPr="001E0AA0">
        <w:t xml:space="preserve">.  </w:t>
      </w:r>
    </w:p>
    <w:p w:rsidR="009F2141" w:rsidRPr="001E0AA0" w:rsidRDefault="009F2141" w:rsidP="00F507D9">
      <w:r>
        <w:t>De plus, dans l</w:t>
      </w:r>
      <w:r w:rsidR="001B4E0C">
        <w:t>'</w:t>
      </w:r>
      <w:r>
        <w:t>environnement M2M, les économies d</w:t>
      </w:r>
      <w:r w:rsidR="001B4E0C">
        <w:t>'</w:t>
      </w:r>
      <w:r>
        <w:t>échelle sont dans le meilleur intérêt du consommateur</w:t>
      </w:r>
      <w:r w:rsidRPr="001E0AA0">
        <w:t>:</w:t>
      </w:r>
    </w:p>
    <w:p w:rsidR="009F2141" w:rsidRPr="009F2141" w:rsidRDefault="00676155" w:rsidP="00370A13">
      <w:pPr>
        <w:pStyle w:val="enumlev1"/>
        <w:rPr>
          <w:lang w:val="fr-CH"/>
        </w:rPr>
      </w:pPr>
      <w:r w:rsidRPr="00676155">
        <w:rPr>
          <w:lang w:val="fr-CH"/>
        </w:rPr>
        <w:t>•</w:t>
      </w:r>
      <w:r>
        <w:rPr>
          <w:lang w:val="fr-CH"/>
        </w:rPr>
        <w:tab/>
      </w:r>
      <w:r w:rsidR="009F2141" w:rsidRPr="009F2141">
        <w:rPr>
          <w:lang w:val="fr-CH"/>
        </w:rPr>
        <w:t>Par rapport aux téléphones mobiles et aux tablettes, les appareils M2M ont une consommation généralement faible de données et une recette moyenne par abonné très basse (par ex</w:t>
      </w:r>
      <w:r w:rsidR="00370A13">
        <w:rPr>
          <w:lang w:val="fr-CH"/>
        </w:rPr>
        <w:t>emple</w:t>
      </w:r>
      <w:r w:rsidR="009F2141" w:rsidRPr="009F2141">
        <w:rPr>
          <w:lang w:val="fr-CH"/>
        </w:rPr>
        <w:t xml:space="preserve"> un compteur intelligent qui envoie quelques centaines d</w:t>
      </w:r>
      <w:r w:rsidR="001B4E0C">
        <w:rPr>
          <w:lang w:val="fr-CH"/>
        </w:rPr>
        <w:t>'</w:t>
      </w:r>
      <w:r w:rsidR="009F2141" w:rsidRPr="009F2141">
        <w:rPr>
          <w:lang w:val="fr-CH"/>
        </w:rPr>
        <w:t>octets de données par jour par rapport à un smartphone ou une tablette qui consomme plusieurs mégaoctets ou gigaoctets).</w:t>
      </w:r>
    </w:p>
    <w:p w:rsidR="009F2141" w:rsidRPr="009F2141" w:rsidRDefault="00676155" w:rsidP="00676155">
      <w:pPr>
        <w:pStyle w:val="enumlev1"/>
        <w:rPr>
          <w:lang w:val="fr-CH"/>
        </w:rPr>
      </w:pPr>
      <w:r w:rsidRPr="00676155">
        <w:rPr>
          <w:lang w:val="fr-CH"/>
        </w:rPr>
        <w:t>•</w:t>
      </w:r>
      <w:r>
        <w:rPr>
          <w:lang w:val="fr-CH"/>
        </w:rPr>
        <w:tab/>
      </w:r>
      <w:r w:rsidR="009F2141" w:rsidRPr="009F2141">
        <w:rPr>
          <w:lang w:val="fr-CH"/>
        </w:rPr>
        <w:t xml:space="preserve">Dans la mesure où leurs produits et leurs solutions ont généralement une recette moyenne par abonné très basse, les fabricants sont particulièrement sensibles aux coûts de développement et de déploiement, y compris les coûts imposés par les réglementations. </w:t>
      </w:r>
    </w:p>
    <w:p w:rsidR="009F2141" w:rsidRPr="009F2141" w:rsidRDefault="00676155" w:rsidP="00676155">
      <w:pPr>
        <w:pStyle w:val="enumlev1"/>
        <w:rPr>
          <w:lang w:val="fr-CH"/>
        </w:rPr>
      </w:pPr>
      <w:r w:rsidRPr="00676155">
        <w:rPr>
          <w:lang w:val="fr-CH"/>
        </w:rPr>
        <w:t>•</w:t>
      </w:r>
      <w:r>
        <w:rPr>
          <w:lang w:val="fr-CH"/>
        </w:rPr>
        <w:tab/>
      </w:r>
      <w:r w:rsidR="009F2141" w:rsidRPr="009F2141">
        <w:rPr>
          <w:lang w:val="fr-CH"/>
        </w:rPr>
        <w:t>Pour amortir efficacement leurs coûts, les prestataires M2M ont tendance à développer des produits standardisés dont la vie utile est longue et qui peuvent être vendus à d</w:t>
      </w:r>
      <w:r w:rsidR="001B4E0C">
        <w:rPr>
          <w:lang w:val="fr-CH"/>
        </w:rPr>
        <w:t>'</w:t>
      </w:r>
      <w:r w:rsidR="009F2141" w:rsidRPr="009F2141">
        <w:rPr>
          <w:lang w:val="fr-CH"/>
        </w:rPr>
        <w:t xml:space="preserve">importants volumes, à prix moindre, dans de nombreux pays.  </w:t>
      </w:r>
    </w:p>
    <w:p w:rsidR="009F2141" w:rsidRPr="001E0AA0" w:rsidRDefault="009F2141" w:rsidP="00182AFB">
      <w:r>
        <w:t>Tel qu</w:t>
      </w:r>
      <w:r w:rsidR="001B4E0C">
        <w:t>'</w:t>
      </w:r>
      <w:r>
        <w:t>indiqué ci-dessus, les modèles commerciaux pour le M2M présentent des défis uniques, qui sont déjà traités efficacement par les prestataires M2M, les fabricants d</w:t>
      </w:r>
      <w:r w:rsidR="001B4E0C">
        <w:t>'</w:t>
      </w:r>
      <w:r>
        <w:t>appareils et l</w:t>
      </w:r>
      <w:r w:rsidR="001B4E0C">
        <w:t>'</w:t>
      </w:r>
      <w:r>
        <w:t>industrie du sans fil dans différentes solutions commerciales, telles que l</w:t>
      </w:r>
      <w:r w:rsidR="001B4E0C">
        <w:t>'</w:t>
      </w:r>
      <w:r>
        <w:t>utilisation de l</w:t>
      </w:r>
      <w:r w:rsidR="001B4E0C">
        <w:t>'</w:t>
      </w:r>
      <w:r>
        <w:t>itinérance dite permanente</w:t>
      </w:r>
      <w:r w:rsidRPr="001E0AA0">
        <w:t>.</w:t>
      </w:r>
      <w:r>
        <w:t xml:space="preserve"> Il s</w:t>
      </w:r>
      <w:r w:rsidR="001B4E0C">
        <w:t>'</w:t>
      </w:r>
      <w:r>
        <w:t>agit là d</w:t>
      </w:r>
      <w:r w:rsidR="001B4E0C">
        <w:t>'</w:t>
      </w:r>
      <w:r>
        <w:t>un exemple seulement de la manière dont les solutions commerciales à l</w:t>
      </w:r>
      <w:r w:rsidR="001B4E0C">
        <w:t>'</w:t>
      </w:r>
      <w:r>
        <w:t>initiative de l</w:t>
      </w:r>
      <w:r w:rsidR="001B4E0C">
        <w:t>'</w:t>
      </w:r>
      <w:r>
        <w:t>industrie encouragent l</w:t>
      </w:r>
      <w:r w:rsidR="001B4E0C">
        <w:t>'</w:t>
      </w:r>
      <w:r>
        <w:t xml:space="preserve">innovation dans les appareils M2M et leur déploiement, à travers le monde, développant ainsi la connectivité et leur adoption </w:t>
      </w:r>
      <w:r w:rsidRPr="004A1272">
        <w:rPr>
          <w:i/>
        </w:rPr>
        <w:t>de manière économique</w:t>
      </w:r>
      <w:r>
        <w:t>.</w:t>
      </w:r>
    </w:p>
    <w:p w:rsidR="009F2141" w:rsidRPr="00E308F4" w:rsidRDefault="009F2141" w:rsidP="00F507D9">
      <w:pPr>
        <w:pStyle w:val="Headingb"/>
      </w:pPr>
      <w:r w:rsidRPr="00E308F4">
        <w:lastRenderedPageBreak/>
        <w:t>Fourniture par activation par voie her</w:t>
      </w:r>
      <w:r>
        <w:t>t</w:t>
      </w:r>
      <w:r w:rsidRPr="00E308F4">
        <w:t>zienne (OTA</w:t>
      </w:r>
      <w:r>
        <w:t>)</w:t>
      </w:r>
    </w:p>
    <w:p w:rsidR="009F2141" w:rsidRPr="00A56CE4" w:rsidRDefault="009F2141" w:rsidP="00370A13">
      <w:pPr>
        <w:rPr>
          <w:rFonts w:ascii="MS Shell Dlg 2" w:hAnsi="MS Shell Dlg 2" w:cs="MS Shell Dlg 2"/>
          <w:sz w:val="17"/>
          <w:szCs w:val="17"/>
          <w:lang w:eastAsia="zh-CN"/>
        </w:rPr>
      </w:pPr>
      <w:r>
        <w:t xml:space="preserve">La fourniture par activation par voie hertzienne (OTA) est déjà utilisée avec succès dans certains </w:t>
      </w:r>
      <w:r w:rsidRPr="00DA43E1">
        <w:t>secteurs (par ex</w:t>
      </w:r>
      <w:r w:rsidR="00370A13">
        <w:t>emple</w:t>
      </w:r>
      <w:r w:rsidRPr="00DA43E1">
        <w:t>,</w:t>
      </w:r>
      <w:r w:rsidRPr="001E0AA0">
        <w:t xml:space="preserve"> </w:t>
      </w:r>
      <w:r>
        <w:t>l</w:t>
      </w:r>
      <w:r w:rsidR="001B4E0C">
        <w:t>'</w:t>
      </w:r>
      <w:r>
        <w:t>automobile</w:t>
      </w:r>
      <w:r w:rsidRPr="001E0AA0">
        <w:t xml:space="preserve">). </w:t>
      </w:r>
      <w:r>
        <w:t xml:space="preserve">Selon les </w:t>
      </w:r>
      <w:r w:rsidR="003E683A">
        <w:rPr>
          <w:lang w:eastAsia="zh-CN"/>
        </w:rPr>
        <w:t>E</w:t>
      </w:r>
      <w:r>
        <w:t>tats-Unis, dans la mesure du possible, l</w:t>
      </w:r>
      <w:r w:rsidR="001B4E0C">
        <w:t>'</w:t>
      </w:r>
      <w:r>
        <w:t>OTA doit être proposée, mais pas imposée</w:t>
      </w:r>
      <w:r w:rsidRPr="001E0AA0">
        <w:t>.</w:t>
      </w:r>
      <w:r>
        <w:t xml:space="preserve"> Le secteur a fait de considérables progrès dans le développement et la promotion de la capacité OTA depuis la première publication de la spécification SIM intégrée GSMA</w:t>
      </w:r>
      <w:r w:rsidRPr="001E0AA0">
        <w:t>.</w:t>
      </w:r>
      <w:r>
        <w:t xml:space="preserve"> Les versions les plus récentes de la spécification, aujourd</w:t>
      </w:r>
      <w:r w:rsidR="001B4E0C">
        <w:t>'</w:t>
      </w:r>
      <w:r>
        <w:t>hui la version 3</w:t>
      </w:r>
      <w:r w:rsidRPr="001E0AA0">
        <w:t>.2</w:t>
      </w:r>
      <w:r w:rsidRPr="001E0AA0">
        <w:rPr>
          <w:rStyle w:val="FootnoteReference"/>
        </w:rPr>
        <w:footnoteReference w:id="3"/>
      </w:r>
      <w:r w:rsidR="00370A13">
        <w:t>,</w:t>
      </w:r>
      <w:r w:rsidRPr="001E0AA0">
        <w:t xml:space="preserve"> </w:t>
      </w:r>
      <w:r>
        <w:t>permettent de modifier les profils de différents MNO tout au long de la durée de vie du produit, éviten</w:t>
      </w:r>
      <w:bookmarkStart w:id="10" w:name="_GoBack"/>
      <w:bookmarkEnd w:id="10"/>
      <w:r>
        <w:t>t d</w:t>
      </w:r>
      <w:r w:rsidR="001B4E0C">
        <w:t>'</w:t>
      </w:r>
      <w:r>
        <w:t>être bloqués avec le MNO d</w:t>
      </w:r>
      <w:r w:rsidR="001B4E0C">
        <w:t>'</w:t>
      </w:r>
      <w:r>
        <w:t>origine et proposent plus d</w:t>
      </w:r>
      <w:r w:rsidR="001B4E0C">
        <w:t>'</w:t>
      </w:r>
      <w:r>
        <w:t>options aux utilisateurs finaux et aux prestataires sans nécessiter d</w:t>
      </w:r>
      <w:r w:rsidR="001B4E0C">
        <w:t>'</w:t>
      </w:r>
      <w:r>
        <w:t>intervention réglementaire</w:t>
      </w:r>
      <w:r w:rsidRPr="001E0AA0">
        <w:t>.</w:t>
      </w:r>
      <w:r>
        <w:t xml:space="preserve"> Il convient également de noter que l</w:t>
      </w:r>
      <w:r w:rsidR="001B4E0C">
        <w:t>'</w:t>
      </w:r>
      <w:r>
        <w:t>intégration d</w:t>
      </w:r>
      <w:r w:rsidR="001B4E0C">
        <w:t>'</w:t>
      </w:r>
      <w:r>
        <w:t>une capacité OTA ajoute inévitablement des coûts à une solution M2M</w:t>
      </w:r>
      <w:r w:rsidRPr="001E0AA0">
        <w:t>.</w:t>
      </w:r>
      <w:r>
        <w:t xml:space="preserve"> Si cela peut être justifié pour les produits à forte valeur tels que les voitures qui seront utilisées pendant de nombreuses années, cela peut se révéler peu économique pour un appareil M2M de moindre valeur, plus jetable, qui ne sera peut-être utilisé que pendant une courte période de temps</w:t>
      </w:r>
      <w:r w:rsidRPr="001E0AA0">
        <w:t>.</w:t>
      </w:r>
      <w:r>
        <w:t xml:space="preserve"> </w:t>
      </w:r>
      <w:r w:rsidRPr="00A56CE4">
        <w:t>C</w:t>
      </w:r>
      <w:r w:rsidR="001B4E0C">
        <w:t>'</w:t>
      </w:r>
      <w:r w:rsidRPr="00A56CE4">
        <w:t xml:space="preserve">est la raison pour laquelle les </w:t>
      </w:r>
      <w:r w:rsidR="003E683A">
        <w:rPr>
          <w:lang w:eastAsia="zh-CN"/>
        </w:rPr>
        <w:t>E</w:t>
      </w:r>
      <w:r w:rsidRPr="00A56CE4">
        <w:t>tats-Unis met</w:t>
      </w:r>
      <w:r>
        <w:t>tent</w:t>
      </w:r>
      <w:r w:rsidRPr="00A56CE4">
        <w:t xml:space="preserve"> en garde contre toute adoption éventuelle d</w:t>
      </w:r>
      <w:r w:rsidR="001B4E0C">
        <w:t>'</w:t>
      </w:r>
      <w:r w:rsidRPr="00A56CE4">
        <w:t xml:space="preserve">une approche de politique réglementaire </w:t>
      </w:r>
      <w:r w:rsidR="00370A13">
        <w:rPr>
          <w:lang w:eastAsia="zh-CN"/>
        </w:rPr>
        <w:t>"</w:t>
      </w:r>
      <w:r>
        <w:rPr>
          <w:lang w:eastAsia="zh-CN"/>
        </w:rPr>
        <w:t>universelle</w:t>
      </w:r>
      <w:r w:rsidR="00370A13">
        <w:rPr>
          <w:lang w:eastAsia="zh-CN"/>
        </w:rPr>
        <w:t>"</w:t>
      </w:r>
      <w:r w:rsidRPr="00A56CE4">
        <w:t xml:space="preserve"> </w:t>
      </w:r>
      <w:r>
        <w:t>de la commutation OTA, qui pourrait réduire la flexibilité d</w:t>
      </w:r>
      <w:r w:rsidR="001B4E0C">
        <w:t>'</w:t>
      </w:r>
      <w:r>
        <w:t>exploitation, empêcher l</w:t>
      </w:r>
      <w:r w:rsidR="001B4E0C">
        <w:t>'</w:t>
      </w:r>
      <w:r>
        <w:t>innovation et augmenter les coûts des nouvelles offres et des nouveaux modèles commerciaux</w:t>
      </w:r>
      <w:r w:rsidRPr="00A56CE4">
        <w:t xml:space="preserve">. </w:t>
      </w:r>
    </w:p>
    <w:p w:rsidR="009F2141" w:rsidRPr="001E0AA0" w:rsidRDefault="009F2141" w:rsidP="00F507D9">
      <w:pPr>
        <w:pStyle w:val="Headingb"/>
      </w:pPr>
      <w:r>
        <w:t>Enregistrement des prestataires M2M</w:t>
      </w:r>
      <w:r w:rsidRPr="001E0AA0">
        <w:t xml:space="preserve"> </w:t>
      </w:r>
    </w:p>
    <w:p w:rsidR="009F2141" w:rsidRPr="001E0AA0" w:rsidRDefault="009F2141" w:rsidP="00370A13">
      <w:r>
        <w:t>Du point de vue américain, l</w:t>
      </w:r>
      <w:r w:rsidR="001B4E0C">
        <w:t>'</w:t>
      </w:r>
      <w:r>
        <w:t>imposition de nouvelles exigences en matière de réglementation de l</w:t>
      </w:r>
      <w:r w:rsidR="001B4E0C">
        <w:t>'</w:t>
      </w:r>
      <w:r>
        <w:t>enregistrement et de conformité aux prestataires M2M n</w:t>
      </w:r>
      <w:r w:rsidR="001B4E0C">
        <w:t>'</w:t>
      </w:r>
      <w:r>
        <w:t>est pas garantie. Si elles étaient adoptées, de telles mesures étoufferaient le marché M2M émergent en faisant augmenter les coûts d</w:t>
      </w:r>
      <w:r w:rsidR="001B4E0C">
        <w:t>'</w:t>
      </w:r>
      <w:r>
        <w:t>exploitation ou en empêchant de nouveaux acteurs d</w:t>
      </w:r>
      <w:r w:rsidR="001B4E0C">
        <w:t>'</w:t>
      </w:r>
      <w:r>
        <w:t>entrer sur le marché, portant ainsi atteinte aux consommateurs en limitant l</w:t>
      </w:r>
      <w:r w:rsidR="001B4E0C">
        <w:t>'</w:t>
      </w:r>
      <w:r>
        <w:t>innovation et les offres de la concurrence</w:t>
      </w:r>
      <w:r w:rsidRPr="001E0AA0">
        <w:t xml:space="preserve">. </w:t>
      </w:r>
      <w:r>
        <w:t>Dans bien des cas, le prestataire M2M est un MNO ou un opérateur de réseau mobile virtuel</w:t>
      </w:r>
      <w:r w:rsidRPr="001E0AA0">
        <w:t xml:space="preserve"> (MVNO) </w:t>
      </w:r>
      <w:r>
        <w:t>ou reçoit sa connectivité sous-jacente d</w:t>
      </w:r>
      <w:r w:rsidR="001B4E0C">
        <w:t>'</w:t>
      </w:r>
      <w:r>
        <w:t xml:space="preserve">un MNO ou MVNO. La fourniture de la </w:t>
      </w:r>
      <w:r w:rsidRPr="00DA43E1">
        <w:t>connectivité (c</w:t>
      </w:r>
      <w:r w:rsidR="00370A13">
        <w:t>'est</w:t>
      </w:r>
      <w:r w:rsidR="00370A13">
        <w:noBreakHyphen/>
        <w:t>à</w:t>
      </w:r>
      <w:r w:rsidR="00370A13">
        <w:noBreakHyphen/>
        <w:t>dire</w:t>
      </w:r>
      <w:r w:rsidRPr="00DA43E1">
        <w:t xml:space="preserve"> le service de télécommunication) est ainsi </w:t>
      </w:r>
      <w:r>
        <w:t>réglementée</w:t>
      </w:r>
      <w:r w:rsidRPr="00DA43E1">
        <w:t xml:space="preserve"> par l</w:t>
      </w:r>
      <w:r w:rsidR="001B4E0C">
        <w:t>'</w:t>
      </w:r>
      <w:r w:rsidRPr="00DA43E1">
        <w:t>octroi de licences pour le M</w:t>
      </w:r>
      <w:r>
        <w:t>NO ou le MVNO; il convient de noter que la qualité de service, les exigences en matière de respect des lois et les autres mesures réglementaires sont également déjà traitées dans la licence réseau du MNO</w:t>
      </w:r>
      <w:r w:rsidRPr="001E0AA0">
        <w:t xml:space="preserve">.  </w:t>
      </w:r>
    </w:p>
    <w:p w:rsidR="009F2141" w:rsidRPr="001E0AA0" w:rsidRDefault="009F2141" w:rsidP="00F507D9">
      <w:pPr>
        <w:pStyle w:val="Headingb"/>
      </w:pPr>
      <w:r w:rsidRPr="001E0AA0">
        <w:t>Conclusion</w:t>
      </w:r>
    </w:p>
    <w:p w:rsidR="009F2141" w:rsidRPr="001E0AA0" w:rsidRDefault="009F2141" w:rsidP="00182AFB">
      <w:r>
        <w:t xml:space="preserve">Les </w:t>
      </w:r>
      <w:r w:rsidR="00182AFB">
        <w:rPr>
          <w:lang w:eastAsia="zh-CN"/>
        </w:rPr>
        <w:t>E</w:t>
      </w:r>
      <w:r>
        <w:t xml:space="preserve">tats-Unis </w:t>
      </w:r>
      <w:r w:rsidRPr="001E0AA0">
        <w:t>ne soutiennent pas un nouveau projet de recommandation portant sur l</w:t>
      </w:r>
      <w:r w:rsidR="001B4E0C">
        <w:t>'</w:t>
      </w:r>
      <w:r w:rsidRPr="001E0AA0">
        <w:t>itinérance M2M.</w:t>
      </w:r>
      <w:r>
        <w:t xml:space="preserve"> L</w:t>
      </w:r>
      <w:r w:rsidR="001B4E0C">
        <w:t>'</w:t>
      </w:r>
      <w:r>
        <w:t>écosystème M2M fonctionne déjà sans intervention réglementaire inutile et le M2M, partie déjà intégrante des flux de trafic internationaux d</w:t>
      </w:r>
      <w:r w:rsidR="001B4E0C">
        <w:t>'</w:t>
      </w:r>
      <w:r>
        <w:t>aujourd</w:t>
      </w:r>
      <w:r w:rsidR="001B4E0C">
        <w:t>'</w:t>
      </w:r>
      <w:r>
        <w:t>hui, apporte des avantages importants aux consommateurs et à tout le secteur dans le monde entier</w:t>
      </w:r>
      <w:r w:rsidRPr="001E0AA0">
        <w:t>.</w:t>
      </w:r>
      <w:r>
        <w:t xml:space="preserve"> Avec l</w:t>
      </w:r>
      <w:r w:rsidR="001B4E0C">
        <w:t>'</w:t>
      </w:r>
      <w:r>
        <w:t>accélération de la croissance du M2M dans le contexte des modèles commerciaux existants qui évoluent rapidement, tout nouveau projet de recommandation sur ce sujet se révélerait improductif</w:t>
      </w:r>
      <w:r w:rsidRPr="001E0AA0">
        <w:t>.</w:t>
      </w:r>
      <w:r>
        <w:t xml:space="preserve"> L</w:t>
      </w:r>
      <w:r w:rsidR="001B4E0C">
        <w:t>'</w:t>
      </w:r>
      <w:r>
        <w:t>imposition d</w:t>
      </w:r>
      <w:r w:rsidR="001B4E0C">
        <w:t>'</w:t>
      </w:r>
      <w:r>
        <w:t>une structure réglementaire descendante d</w:t>
      </w:r>
      <w:r w:rsidR="001B4E0C">
        <w:t>'</w:t>
      </w:r>
      <w:r>
        <w:t>une ère héritée aurait un impact négatif sur le déploiement international et ne ferait rien pour apporter les bénéfices escomptés aux consommateurs. Au contraire, ce type de structure endommagerait grandement les importants bénéfices potentiels que le M2M pourrait apporter</w:t>
      </w:r>
      <w:r w:rsidRPr="001E0AA0">
        <w:t xml:space="preserve">. </w:t>
      </w:r>
    </w:p>
    <w:p w:rsidR="009F2141" w:rsidRPr="001E0AA0" w:rsidRDefault="009F2141" w:rsidP="009F2141">
      <w:pPr>
        <w:spacing w:before="0"/>
        <w:contextualSpacing/>
      </w:pPr>
    </w:p>
    <w:p w:rsidR="00663564" w:rsidRPr="00663564" w:rsidRDefault="009F2141" w:rsidP="0097143A">
      <w:pPr>
        <w:tabs>
          <w:tab w:val="clear" w:pos="794"/>
          <w:tab w:val="clear" w:pos="1191"/>
          <w:tab w:val="clear" w:pos="1588"/>
          <w:tab w:val="clear" w:pos="1985"/>
        </w:tabs>
        <w:overflowPunct/>
        <w:autoSpaceDE/>
        <w:autoSpaceDN/>
        <w:adjustRightInd/>
        <w:textAlignment w:val="auto"/>
        <w:rPr>
          <w:rFonts w:eastAsia="SimSun"/>
          <w:szCs w:val="24"/>
          <w:lang w:val="fr-CH" w:eastAsia="ja-JP"/>
        </w:rPr>
      </w:pPr>
      <w:r w:rsidRPr="00AC3E52">
        <w:t xml:space="preserve">Les </w:t>
      </w:r>
      <w:r w:rsidR="00F507D9">
        <w:rPr>
          <w:lang w:eastAsia="zh-CN"/>
        </w:rPr>
        <w:t>E</w:t>
      </w:r>
      <w:r w:rsidRPr="00AC3E52">
        <w:t xml:space="preserve">tats-Unis demandent que cette contribution soit </w:t>
      </w:r>
      <w:r w:rsidR="0097143A">
        <w:t>mise à la disposition du public</w:t>
      </w:r>
      <w:r w:rsidRPr="00AC3E52">
        <w:t xml:space="preserve"> sans restriction.</w:t>
      </w:r>
    </w:p>
    <w:p w:rsidR="00CF2805" w:rsidRPr="00A86565" w:rsidRDefault="00CF2805" w:rsidP="00F56C1B">
      <w:pPr>
        <w:spacing w:before="0"/>
        <w:jc w:val="center"/>
        <w:rPr>
          <w:lang w:val="fr-CH"/>
        </w:rPr>
      </w:pPr>
      <w:r w:rsidRPr="00A86565">
        <w:rPr>
          <w:lang w:val="fr-CH"/>
        </w:rPr>
        <w:t>______________</w:t>
      </w:r>
    </w:p>
    <w:sectPr w:rsidR="00CF2805" w:rsidRPr="00A86565" w:rsidSect="001A2CAE">
      <w:headerReference w:type="default" r:id="rId11"/>
      <w:footerReference w:type="even" r:id="rId12"/>
      <w:pgSz w:w="11907" w:h="16834"/>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E6B" w:rsidRDefault="00265E6B">
      <w:r>
        <w:separator/>
      </w:r>
    </w:p>
  </w:endnote>
  <w:endnote w:type="continuationSeparator" w:id="0">
    <w:p w:rsidR="00265E6B" w:rsidRDefault="00265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B62" w:rsidRPr="008C1EA9" w:rsidRDefault="001B4E0C">
    <w:pPr>
      <w:pStyle w:val="Footer"/>
      <w:rPr>
        <w:lang w:val="fr-CH"/>
      </w:rPr>
    </w:pPr>
    <w:fldSimple w:instr=" FILENAME \p \* MERGEFORMAT ">
      <w:r w:rsidR="00F56C1B" w:rsidRPr="00F56C1B">
        <w:rPr>
          <w:lang w:val="fr-CH"/>
        </w:rPr>
        <w:t>P</w:t>
      </w:r>
      <w:r w:rsidR="00F56C1B">
        <w:t>:\FRA\ITU-T\COM-T\COM03\C\196F.docx</w:t>
      </w:r>
    </w:fldSimple>
    <w:r w:rsidR="00AC2B62" w:rsidRPr="008C1EA9">
      <w:rPr>
        <w:lang w:val="fr-CH"/>
      </w:rPr>
      <w:tab/>
    </w:r>
    <w:r w:rsidR="00AC2B62">
      <w:fldChar w:fldCharType="begin"/>
    </w:r>
    <w:r w:rsidR="00AC2B62">
      <w:instrText xml:space="preserve"> savedate \@ dd.MM.yy </w:instrText>
    </w:r>
    <w:r w:rsidR="00AC2B62">
      <w:fldChar w:fldCharType="separate"/>
    </w:r>
    <w:r w:rsidR="002766AA">
      <w:t>05.04.18</w:t>
    </w:r>
    <w:r w:rsidR="00AC2B62">
      <w:fldChar w:fldCharType="end"/>
    </w:r>
    <w:r w:rsidR="00AC2B62" w:rsidRPr="008C1EA9">
      <w:rPr>
        <w:lang w:val="fr-CH"/>
      </w:rPr>
      <w:tab/>
    </w:r>
    <w:r w:rsidR="00AC2B62">
      <w:fldChar w:fldCharType="begin"/>
    </w:r>
    <w:r w:rsidR="00AC2B62">
      <w:instrText xml:space="preserve"> printdate \@ dd.MM.yy </w:instrText>
    </w:r>
    <w:r w:rsidR="00AC2B62">
      <w:fldChar w:fldCharType="separate"/>
    </w:r>
    <w:r w:rsidR="00F56C1B">
      <w:t>05.04.18</w:t>
    </w:r>
    <w:r w:rsidR="00AC2B6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E6B" w:rsidRDefault="00265E6B">
      <w:r>
        <w:t>____________________</w:t>
      </w:r>
    </w:p>
  </w:footnote>
  <w:footnote w:type="continuationSeparator" w:id="0">
    <w:p w:rsidR="00265E6B" w:rsidRDefault="00265E6B">
      <w:r>
        <w:continuationSeparator/>
      </w:r>
    </w:p>
  </w:footnote>
  <w:footnote w:id="1">
    <w:p w:rsidR="009F2141" w:rsidRPr="0084336A" w:rsidRDefault="009F2141" w:rsidP="00370A13">
      <w:pPr>
        <w:pStyle w:val="FootnoteText"/>
      </w:pPr>
      <w:r w:rsidRPr="0084336A">
        <w:rPr>
          <w:rStyle w:val="FootnoteReference"/>
        </w:rPr>
        <w:footnoteRef/>
      </w:r>
      <w:r w:rsidR="003E683A">
        <w:tab/>
      </w:r>
      <w:r w:rsidRPr="0084336A">
        <w:t xml:space="preserve">Selon la Federal Communications Commission (FCC), en 2012 (dernière année pour laquelle des données sont disponibles), seulement 0,5% du trafic de télécommunication international entre les </w:t>
      </w:r>
      <w:r w:rsidR="003E683A">
        <w:rPr>
          <w:lang w:eastAsia="zh-CN"/>
        </w:rPr>
        <w:t>E</w:t>
      </w:r>
      <w:r w:rsidRPr="0084336A">
        <w:t xml:space="preserve">tats-Unis et des points étrangers </w:t>
      </w:r>
      <w:r>
        <w:t xml:space="preserve">a été </w:t>
      </w:r>
      <w:r w:rsidRPr="0084336A">
        <w:t>réglé dans le cadre d</w:t>
      </w:r>
      <w:r w:rsidR="001B4E0C">
        <w:t>'</w:t>
      </w:r>
      <w:r w:rsidRPr="0084336A">
        <w:t>accords de tarification comptabl</w:t>
      </w:r>
      <w:r w:rsidR="00370A13">
        <w:t>es classiques, par rapport à 86</w:t>
      </w:r>
      <w:r w:rsidRPr="0084336A">
        <w:t xml:space="preserve">% de ce type de trafic en 1998 – </w:t>
      </w:r>
      <w:r>
        <w:t xml:space="preserve">et ce, malgré le fait que pendant la même période, le nombre total de minutes facturées pour les appels internationaux aux </w:t>
      </w:r>
      <w:r w:rsidR="003E683A">
        <w:rPr>
          <w:lang w:eastAsia="zh-CN"/>
        </w:rPr>
        <w:t>E</w:t>
      </w:r>
      <w:r w:rsidRPr="0084336A">
        <w:t>tats</w:t>
      </w:r>
      <w:r>
        <w:t>-Unis soit passé de 24,2 milliards à 77,9 milliards, soit un taux de croissance annuel composé de 9,4</w:t>
      </w:r>
      <w:r w:rsidR="00504BBF">
        <w:t>%</w:t>
      </w:r>
      <w:r>
        <w:t>.</w:t>
      </w:r>
    </w:p>
  </w:footnote>
  <w:footnote w:id="2">
    <w:p w:rsidR="009F2141" w:rsidRPr="0084336A" w:rsidRDefault="009F2141" w:rsidP="009611F4">
      <w:pPr>
        <w:pStyle w:val="FootnoteText"/>
      </w:pPr>
      <w:r w:rsidRPr="0084336A">
        <w:rPr>
          <w:rStyle w:val="FootnoteReference"/>
        </w:rPr>
        <w:footnoteRef/>
      </w:r>
      <w:r w:rsidR="003E683A">
        <w:tab/>
      </w:r>
      <w:r>
        <w:t xml:space="preserve">Les </w:t>
      </w:r>
      <w:r w:rsidR="009611F4">
        <w:rPr>
          <w:lang w:eastAsia="zh-CN"/>
        </w:rPr>
        <w:t>E</w:t>
      </w:r>
      <w:r>
        <w:rPr>
          <w:lang w:eastAsia="zh-CN"/>
        </w:rPr>
        <w:t>tats-Unis</w:t>
      </w:r>
      <w:r>
        <w:t xml:space="preserve"> ont le même genre de préoccupations avec les sujets d</w:t>
      </w:r>
      <w:r w:rsidR="001B4E0C">
        <w:t>'</w:t>
      </w:r>
      <w:r>
        <w:t xml:space="preserve">études connexes – et qui font potentiellement double emploi – </w:t>
      </w:r>
      <w:r w:rsidRPr="00FC0D1E">
        <w:rPr>
          <w:i/>
        </w:rPr>
        <w:t>Itinérance</w:t>
      </w:r>
      <w:r>
        <w:t xml:space="preserve"> </w:t>
      </w:r>
      <w:r w:rsidRPr="0084336A">
        <w:rPr>
          <w:i/>
        </w:rPr>
        <w:t>D.IoT</w:t>
      </w:r>
      <w:r w:rsidRPr="0084336A">
        <w:t xml:space="preserve"> </w:t>
      </w:r>
      <w:r>
        <w:t>et</w:t>
      </w:r>
      <w:r w:rsidRPr="0084336A">
        <w:t xml:space="preserve"> </w:t>
      </w:r>
      <w:r w:rsidRPr="00FC0D1E">
        <w:rPr>
          <w:i/>
        </w:rPr>
        <w:t>Politique</w:t>
      </w:r>
      <w:r>
        <w:t xml:space="preserve"> </w:t>
      </w:r>
      <w:r w:rsidRPr="0084336A">
        <w:rPr>
          <w:i/>
        </w:rPr>
        <w:t>D.IoT</w:t>
      </w:r>
      <w:r w:rsidRPr="0084336A">
        <w:t xml:space="preserve">. </w:t>
      </w:r>
      <w:r w:rsidR="00504BBF">
        <w:t>A</w:t>
      </w:r>
      <w:r>
        <w:t xml:space="preserve"> l</w:t>
      </w:r>
      <w:r w:rsidR="001B4E0C">
        <w:t>'</w:t>
      </w:r>
      <w:r>
        <w:t xml:space="preserve">avenir, les </w:t>
      </w:r>
      <w:r w:rsidR="00504BBF">
        <w:rPr>
          <w:lang w:eastAsia="zh-CN"/>
        </w:rPr>
        <w:t>Etats</w:t>
      </w:r>
      <w:r w:rsidR="00504BBF">
        <w:rPr>
          <w:lang w:eastAsia="zh-CN"/>
        </w:rPr>
        <w:noBreakHyphen/>
      </w:r>
      <w:r>
        <w:rPr>
          <w:lang w:eastAsia="zh-CN"/>
        </w:rPr>
        <w:t>Unis</w:t>
      </w:r>
      <w:r>
        <w:t xml:space="preserve"> encouragent la Commission d</w:t>
      </w:r>
      <w:r w:rsidR="001B4E0C">
        <w:t>'</w:t>
      </w:r>
      <w:r>
        <w:t>études 3</w:t>
      </w:r>
      <w:r w:rsidRPr="0084336A">
        <w:t xml:space="preserve"> </w:t>
      </w:r>
      <w:r>
        <w:t xml:space="preserve">à étudier avec soin et à expliquer quand et comment utiliser les termes </w:t>
      </w:r>
      <w:r w:rsidR="00504BBF">
        <w:rPr>
          <w:lang w:eastAsia="zh-CN"/>
        </w:rPr>
        <w:t>"</w:t>
      </w:r>
      <w:r>
        <w:rPr>
          <w:lang w:eastAsia="zh-CN"/>
        </w:rPr>
        <w:t>M2M</w:t>
      </w:r>
      <w:r w:rsidR="00504BBF">
        <w:rPr>
          <w:lang w:eastAsia="zh-CN"/>
        </w:rPr>
        <w:t>"</w:t>
      </w:r>
      <w:r>
        <w:rPr>
          <w:lang w:eastAsia="zh-CN"/>
        </w:rPr>
        <w:t xml:space="preserve"> et </w:t>
      </w:r>
      <w:r w:rsidR="00504BBF">
        <w:rPr>
          <w:lang w:eastAsia="zh-CN"/>
        </w:rPr>
        <w:t>"</w:t>
      </w:r>
      <w:r>
        <w:rPr>
          <w:lang w:eastAsia="zh-CN"/>
        </w:rPr>
        <w:t>IoT</w:t>
      </w:r>
      <w:r w:rsidR="00504BBF">
        <w:rPr>
          <w:lang w:eastAsia="zh-CN"/>
        </w:rPr>
        <w:t>"</w:t>
      </w:r>
      <w:r>
        <w:rPr>
          <w:lang w:eastAsia="zh-CN"/>
        </w:rPr>
        <w:t>.</w:t>
      </w:r>
    </w:p>
  </w:footnote>
  <w:footnote w:id="3">
    <w:p w:rsidR="009F2141" w:rsidRPr="0084336A" w:rsidRDefault="009F2141" w:rsidP="00182AFB">
      <w:pPr>
        <w:pStyle w:val="FootnoteText"/>
      </w:pPr>
      <w:r w:rsidRPr="0084336A">
        <w:rPr>
          <w:rStyle w:val="FootnoteReference"/>
        </w:rPr>
        <w:footnoteRef/>
      </w:r>
      <w:r w:rsidR="003E683A">
        <w:tab/>
      </w:r>
      <w:r w:rsidRPr="0084336A">
        <w:t>GSMA</w:t>
      </w:r>
      <w:r>
        <w:t xml:space="preserve"> -</w:t>
      </w:r>
      <w:r w:rsidRPr="0084336A">
        <w:t xml:space="preserve"> Remote Provisioning Architecture for Embedded UICC </w:t>
      </w:r>
      <w:r>
        <w:t>(Architecture de préconfiguration distante pour UICC intégré) – Spécification technique</w:t>
      </w:r>
      <w:r w:rsidRPr="0084336A">
        <w:t>, V 3.2 (</w:t>
      </w:r>
      <w:r>
        <w:t xml:space="preserve">juin 2017). </w:t>
      </w:r>
      <w:r w:rsidRPr="00EF6901">
        <w:rPr>
          <w:i/>
        </w:rPr>
        <w:t>Voir</w:t>
      </w:r>
      <w:r w:rsidR="00182AFB">
        <w:rPr>
          <w:i/>
        </w:rPr>
        <w:t xml:space="preserve"> </w:t>
      </w:r>
      <w:hyperlink r:id="rId1" w:history="1">
        <w:r w:rsidRPr="0084336A">
          <w:rPr>
            <w:rStyle w:val="Hyperlink"/>
          </w:rPr>
          <w:t>https://www.gsma.com/newsroom/wp-content/uploads//SGP.02_v3.2_updated.pdf</w:t>
        </w:r>
      </w:hyperlink>
      <w:r w:rsidRPr="0084336A">
        <w:rPr>
          <w:rStyle w:val="Hyperlink"/>
        </w:rPr>
        <w:t xml:space="preserve">. </w:t>
      </w:r>
      <w:r w:rsidRPr="0084336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B62" w:rsidRPr="001A2CAE" w:rsidRDefault="00AC2B62" w:rsidP="001A2CAE">
    <w:pPr>
      <w:pStyle w:val="Header"/>
    </w:pPr>
    <w:r w:rsidRPr="001A2CAE">
      <w:t xml:space="preserve">- </w:t>
    </w:r>
    <w:r w:rsidRPr="001A2CAE">
      <w:fldChar w:fldCharType="begin"/>
    </w:r>
    <w:r w:rsidRPr="001A2CAE">
      <w:instrText xml:space="preserve"> PAGE  \* MERGEFORMAT </w:instrText>
    </w:r>
    <w:r w:rsidRPr="001A2CAE">
      <w:fldChar w:fldCharType="separate"/>
    </w:r>
    <w:r w:rsidR="002766AA">
      <w:rPr>
        <w:noProof/>
      </w:rPr>
      <w:t>4</w:t>
    </w:r>
    <w:r w:rsidRPr="001A2CAE">
      <w:fldChar w:fldCharType="end"/>
    </w:r>
    <w:r w:rsidRPr="001A2CAE">
      <w:t xml:space="preserve"> -</w:t>
    </w:r>
  </w:p>
  <w:p w:rsidR="00AC2B62" w:rsidRPr="001A2CAE" w:rsidRDefault="00AC2B62" w:rsidP="002C09A8">
    <w:pPr>
      <w:pStyle w:val="Header"/>
      <w:spacing w:after="240"/>
    </w:pPr>
    <w:r>
      <w:t>SG</w:t>
    </w:r>
    <w:r w:rsidR="002C09A8">
      <w:t>3</w:t>
    </w:r>
    <w:r>
      <w:t>-C</w:t>
    </w:r>
    <w:r w:rsidR="002C09A8">
      <w:t>196</w:t>
    </w:r>
    <w:r>
      <w:t>-F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27D4"/>
    <w:multiLevelType w:val="hybridMultilevel"/>
    <w:tmpl w:val="452641FE"/>
    <w:lvl w:ilvl="0" w:tplc="1F208C98">
      <w:start w:val="1"/>
      <w:numFmt w:val="decimal"/>
      <w:lvlText w:val="[%1]"/>
      <w:lvlJc w:val="left"/>
      <w:pPr>
        <w:tabs>
          <w:tab w:val="num" w:pos="1418"/>
        </w:tabs>
        <w:ind w:left="1418" w:hanging="1418"/>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DD716DF"/>
    <w:multiLevelType w:val="hybridMultilevel"/>
    <w:tmpl w:val="A406F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A79A0"/>
    <w:multiLevelType w:val="hybridMultilevel"/>
    <w:tmpl w:val="68480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EE4820"/>
    <w:multiLevelType w:val="multilevel"/>
    <w:tmpl w:val="0409001F"/>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555E486B"/>
    <w:multiLevelType w:val="multilevel"/>
    <w:tmpl w:val="9D508614"/>
    <w:lvl w:ilvl="0">
      <w:start w:val="7"/>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013ABE"/>
    <w:multiLevelType w:val="multilevel"/>
    <w:tmpl w:val="5C00DAD4"/>
    <w:lvl w:ilvl="0">
      <w:start w:val="1"/>
      <w:numFmt w:val="decimal"/>
      <w:lvlText w:val="%1"/>
      <w:lvlJc w:val="left"/>
      <w:pPr>
        <w:tabs>
          <w:tab w:val="num" w:pos="432"/>
        </w:tabs>
        <w:ind w:left="432" w:hanging="432"/>
      </w:pPr>
    </w:lvl>
    <w:lvl w:ilvl="1">
      <w:start w:val="1"/>
      <w:numFmt w:val="decimal"/>
      <w:pStyle w:val="a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75E108D5"/>
    <w:multiLevelType w:val="hybridMultilevel"/>
    <w:tmpl w:val="F6DE37B2"/>
    <w:lvl w:ilvl="0" w:tplc="EDA8DDF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CAE"/>
    <w:rsid w:val="00011210"/>
    <w:rsid w:val="0002234A"/>
    <w:rsid w:val="000236FA"/>
    <w:rsid w:val="000E7BB1"/>
    <w:rsid w:val="0014207F"/>
    <w:rsid w:val="00167192"/>
    <w:rsid w:val="00182AFB"/>
    <w:rsid w:val="00196B41"/>
    <w:rsid w:val="001A2CAE"/>
    <w:rsid w:val="001A61C1"/>
    <w:rsid w:val="001B4265"/>
    <w:rsid w:val="001B4E0C"/>
    <w:rsid w:val="001C15F5"/>
    <w:rsid w:val="001C7FA9"/>
    <w:rsid w:val="001D35B6"/>
    <w:rsid w:val="002005AB"/>
    <w:rsid w:val="00221EF5"/>
    <w:rsid w:val="002272B2"/>
    <w:rsid w:val="0024705C"/>
    <w:rsid w:val="00260B8F"/>
    <w:rsid w:val="00264644"/>
    <w:rsid w:val="00265E6B"/>
    <w:rsid w:val="002712F7"/>
    <w:rsid w:val="002766AA"/>
    <w:rsid w:val="00277D10"/>
    <w:rsid w:val="002946C5"/>
    <w:rsid w:val="002C09A8"/>
    <w:rsid w:val="002E0C4F"/>
    <w:rsid w:val="00311E3F"/>
    <w:rsid w:val="00321A27"/>
    <w:rsid w:val="00370A13"/>
    <w:rsid w:val="00372185"/>
    <w:rsid w:val="00390287"/>
    <w:rsid w:val="003B1AFE"/>
    <w:rsid w:val="003E5CE0"/>
    <w:rsid w:val="003E683A"/>
    <w:rsid w:val="004179C7"/>
    <w:rsid w:val="004331DC"/>
    <w:rsid w:val="004609CA"/>
    <w:rsid w:val="00485EA2"/>
    <w:rsid w:val="00492B58"/>
    <w:rsid w:val="004A711D"/>
    <w:rsid w:val="004C2DA2"/>
    <w:rsid w:val="004C319C"/>
    <w:rsid w:val="004C3534"/>
    <w:rsid w:val="004C41D8"/>
    <w:rsid w:val="00504BBF"/>
    <w:rsid w:val="005232FD"/>
    <w:rsid w:val="005F3EFF"/>
    <w:rsid w:val="00661931"/>
    <w:rsid w:val="00663564"/>
    <w:rsid w:val="006635A8"/>
    <w:rsid w:val="006703BA"/>
    <w:rsid w:val="00676155"/>
    <w:rsid w:val="006C10C6"/>
    <w:rsid w:val="006D033A"/>
    <w:rsid w:val="006E6EC4"/>
    <w:rsid w:val="006F1322"/>
    <w:rsid w:val="00740E5B"/>
    <w:rsid w:val="00756002"/>
    <w:rsid w:val="00756796"/>
    <w:rsid w:val="00785423"/>
    <w:rsid w:val="007C6AE1"/>
    <w:rsid w:val="007D6E86"/>
    <w:rsid w:val="007F470E"/>
    <w:rsid w:val="00814054"/>
    <w:rsid w:val="0082711E"/>
    <w:rsid w:val="00873CDD"/>
    <w:rsid w:val="008804EE"/>
    <w:rsid w:val="00894DA2"/>
    <w:rsid w:val="008C04EA"/>
    <w:rsid w:val="008C1EA9"/>
    <w:rsid w:val="008F38A5"/>
    <w:rsid w:val="008F4E69"/>
    <w:rsid w:val="008F5698"/>
    <w:rsid w:val="00907563"/>
    <w:rsid w:val="0091451F"/>
    <w:rsid w:val="009212A2"/>
    <w:rsid w:val="00923748"/>
    <w:rsid w:val="009611F4"/>
    <w:rsid w:val="0097143A"/>
    <w:rsid w:val="00980BC3"/>
    <w:rsid w:val="009A546D"/>
    <w:rsid w:val="009A5CE0"/>
    <w:rsid w:val="009F2141"/>
    <w:rsid w:val="009F2DCD"/>
    <w:rsid w:val="00A10A8A"/>
    <w:rsid w:val="00A25636"/>
    <w:rsid w:val="00A40938"/>
    <w:rsid w:val="00A46659"/>
    <w:rsid w:val="00A86565"/>
    <w:rsid w:val="00A87110"/>
    <w:rsid w:val="00A926D3"/>
    <w:rsid w:val="00A969B2"/>
    <w:rsid w:val="00AA2C77"/>
    <w:rsid w:val="00AB0CF1"/>
    <w:rsid w:val="00AC2B62"/>
    <w:rsid w:val="00AE494E"/>
    <w:rsid w:val="00AF1ED7"/>
    <w:rsid w:val="00AF2D55"/>
    <w:rsid w:val="00B10435"/>
    <w:rsid w:val="00B17D64"/>
    <w:rsid w:val="00B210F4"/>
    <w:rsid w:val="00B42129"/>
    <w:rsid w:val="00B6508D"/>
    <w:rsid w:val="00B676F4"/>
    <w:rsid w:val="00B70DAD"/>
    <w:rsid w:val="00B729F3"/>
    <w:rsid w:val="00B7618C"/>
    <w:rsid w:val="00B87A10"/>
    <w:rsid w:val="00BB13DC"/>
    <w:rsid w:val="00BB1D05"/>
    <w:rsid w:val="00BD0EE6"/>
    <w:rsid w:val="00C02C3C"/>
    <w:rsid w:val="00C14D7E"/>
    <w:rsid w:val="00C47BA9"/>
    <w:rsid w:val="00CA45DB"/>
    <w:rsid w:val="00CB22B0"/>
    <w:rsid w:val="00CB3521"/>
    <w:rsid w:val="00CE6C75"/>
    <w:rsid w:val="00CF2805"/>
    <w:rsid w:val="00D01BB2"/>
    <w:rsid w:val="00D200BE"/>
    <w:rsid w:val="00D27983"/>
    <w:rsid w:val="00DF0365"/>
    <w:rsid w:val="00E072F7"/>
    <w:rsid w:val="00E801CB"/>
    <w:rsid w:val="00E81757"/>
    <w:rsid w:val="00E8412C"/>
    <w:rsid w:val="00F10474"/>
    <w:rsid w:val="00F30C0F"/>
    <w:rsid w:val="00F44426"/>
    <w:rsid w:val="00F507D9"/>
    <w:rsid w:val="00F528A6"/>
    <w:rsid w:val="00F56C1B"/>
    <w:rsid w:val="00F67291"/>
    <w:rsid w:val="00FA76C3"/>
    <w:rsid w:val="00FC02D5"/>
    <w:rsid w:val="00FD5C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56CDEB"/>
  <w15:docId w15:val="{72B251EC-AD4A-410C-B246-58B3F36D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2185"/>
    <w:rPr>
      <w:rFonts w:ascii="Times New Roman" w:hAnsi="Times New Roman"/>
      <w:b/>
      <w:sz w:val="24"/>
      <w:lang w:val="fr-FR" w:eastAsia="en-US"/>
    </w:rPr>
  </w:style>
  <w:style w:type="character" w:customStyle="1" w:styleId="Heading2Char">
    <w:name w:val="Heading 2 Char"/>
    <w:basedOn w:val="DefaultParagraphFont"/>
    <w:link w:val="Heading2"/>
    <w:rsid w:val="00372185"/>
    <w:rPr>
      <w:rFonts w:ascii="Times New Roman" w:hAnsi="Times New Roman"/>
      <w:b/>
      <w:sz w:val="24"/>
      <w:lang w:val="fr-FR" w:eastAsia="en-US"/>
    </w:rPr>
  </w:style>
  <w:style w:type="character" w:customStyle="1" w:styleId="Heading3Char">
    <w:name w:val="Heading 3 Char"/>
    <w:basedOn w:val="DefaultParagraphFont"/>
    <w:link w:val="Heading3"/>
    <w:rsid w:val="00372185"/>
    <w:rPr>
      <w:rFonts w:ascii="Times New Roman" w:hAnsi="Times New Roman"/>
      <w:b/>
      <w:sz w:val="24"/>
      <w:lang w:val="fr-FR" w:eastAsia="en-US"/>
    </w:rPr>
  </w:style>
  <w:style w:type="character" w:customStyle="1" w:styleId="Heading4Char">
    <w:name w:val="Heading 4 Char"/>
    <w:basedOn w:val="DefaultParagraphFont"/>
    <w:link w:val="Heading4"/>
    <w:rsid w:val="00372185"/>
    <w:rPr>
      <w:rFonts w:ascii="Times New Roman" w:hAnsi="Times New Roman"/>
      <w:b/>
      <w:sz w:val="24"/>
      <w:lang w:val="fr-FR" w:eastAsia="en-US"/>
    </w:rPr>
  </w:style>
  <w:style w:type="character" w:customStyle="1" w:styleId="Heading5Char">
    <w:name w:val="Heading 5 Char"/>
    <w:basedOn w:val="DefaultParagraphFont"/>
    <w:link w:val="Heading5"/>
    <w:rsid w:val="00372185"/>
    <w:rPr>
      <w:rFonts w:ascii="Times New Roman" w:hAnsi="Times New Roman"/>
      <w:b/>
      <w:sz w:val="24"/>
      <w:lang w:val="fr-FR" w:eastAsia="en-US"/>
    </w:rPr>
  </w:style>
  <w:style w:type="character" w:customStyle="1" w:styleId="Heading6Char">
    <w:name w:val="Heading 6 Char"/>
    <w:basedOn w:val="DefaultParagraphFont"/>
    <w:link w:val="Heading6"/>
    <w:rsid w:val="00372185"/>
    <w:rPr>
      <w:rFonts w:ascii="Times New Roman" w:hAnsi="Times New Roman"/>
      <w:b/>
      <w:sz w:val="24"/>
      <w:lang w:val="fr-FR" w:eastAsia="en-US"/>
    </w:rPr>
  </w:style>
  <w:style w:type="character" w:customStyle="1" w:styleId="Heading7Char">
    <w:name w:val="Heading 7 Char"/>
    <w:basedOn w:val="DefaultParagraphFont"/>
    <w:link w:val="Heading7"/>
    <w:rsid w:val="00372185"/>
    <w:rPr>
      <w:rFonts w:ascii="Times New Roman" w:hAnsi="Times New Roman"/>
      <w:b/>
      <w:sz w:val="24"/>
      <w:lang w:val="fr-FR" w:eastAsia="en-US"/>
    </w:rPr>
  </w:style>
  <w:style w:type="character" w:customStyle="1" w:styleId="Heading8Char">
    <w:name w:val="Heading 8 Char"/>
    <w:basedOn w:val="DefaultParagraphFont"/>
    <w:link w:val="Heading8"/>
    <w:rsid w:val="00372185"/>
    <w:rPr>
      <w:rFonts w:ascii="Times New Roman" w:hAnsi="Times New Roman"/>
      <w:b/>
      <w:sz w:val="24"/>
      <w:lang w:val="fr-FR" w:eastAsia="en-US"/>
    </w:rPr>
  </w:style>
  <w:style w:type="character" w:customStyle="1" w:styleId="Heading9Char">
    <w:name w:val="Heading 9 Char"/>
    <w:basedOn w:val="DefaultParagraphFont"/>
    <w:link w:val="Heading9"/>
    <w:rsid w:val="00372185"/>
    <w:rPr>
      <w:rFonts w:ascii="Times New Roman" w:hAnsi="Times New Roman"/>
      <w:b/>
      <w:sz w:val="24"/>
      <w:lang w:val="fr-FR" w:eastAsia="en-US"/>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Normalaftertitle">
    <w:name w:val="Normal_after_title"/>
    <w:basedOn w:val="Normal"/>
    <w:next w:val="Normal"/>
    <w:pPr>
      <w:spacing w:before="360"/>
    </w:pPr>
  </w:style>
  <w:style w:type="character" w:customStyle="1" w:styleId="AnnexNotitleChar">
    <w:name w:val="Annex_No &amp; title Char"/>
    <w:link w:val="AnnexNotitle"/>
    <w:locked/>
    <w:rsid w:val="00372185"/>
    <w:rPr>
      <w:rFonts w:ascii="Times New Roman" w:hAnsi="Times New Roman"/>
      <w:b/>
      <w:sz w:val="28"/>
      <w:lang w:val="fr-FR" w:eastAsia="en-US"/>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locked/>
    <w:rsid w:val="00372185"/>
    <w:rPr>
      <w:rFonts w:ascii="Times New Roman" w:hAnsi="Times New Roman"/>
      <w:sz w:val="24"/>
      <w:lang w:val="fr-FR" w:eastAsia="en-US"/>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qFormat/>
    <w:pPr>
      <w:keepLines/>
      <w:spacing w:before="240" w:after="120"/>
      <w:jc w:val="center"/>
    </w:pPr>
    <w:rPr>
      <w:b/>
    </w:rPr>
  </w:style>
  <w:style w:type="paragraph" w:customStyle="1" w:styleId="TableNotitle">
    <w:name w:val="Table_No &amp; title"/>
    <w:basedOn w:val="Normal"/>
    <w:next w:val="Tablehead"/>
    <w:qFormat/>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locked/>
    <w:rsid w:val="00372185"/>
    <w:rPr>
      <w:rFonts w:ascii="Times New Roman" w:hAnsi="Times New Roman"/>
      <w:sz w:val="22"/>
      <w:lang w:val="fr-FR" w:eastAsia="en-US"/>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372185"/>
    <w:rPr>
      <w:rFonts w:ascii="Times New Roman" w:hAnsi="Times New Roman"/>
      <w:caps/>
      <w:noProof/>
      <w:sz w:val="16"/>
      <w:lang w:val="fr-FR"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o,Appel note de bas de p,Style 12,Style 124,Error-Fußnotenzeichen5,Error-Fußnotenzeichen6,Error-Fußnotenzeichen3,Style 13,fr,Style 3,FR,Style 17,Style 6,Footnote Reference/,Style 4,Footnote Reference1,Style 7,Style 34,Style 9"/>
    <w:basedOn w:val="DefaultParagraphFont"/>
    <w:uiPriority w:val="99"/>
    <w:rPr>
      <w:position w:val="6"/>
      <w:sz w:val="18"/>
    </w:rPr>
  </w:style>
  <w:style w:type="paragraph" w:styleId="FootnoteText">
    <w:name w:val="footnote text"/>
    <w:aliases w:val="footnote text,ft,Footnotes,Footnote ak,fn cafc,fn Char,footnote text Char,Footnotes Char,Footnote ak Char,Footnotes Char Char,Footnote Text Char Char,fn Char Char,footnote text Char Char Char Ch,Footnote Text Char1,f"/>
    <w:basedOn w:val="Note"/>
    <w:link w:val="FootnoteTextChar"/>
    <w:uiPriority w:val="99"/>
    <w:pPr>
      <w:keepLines/>
      <w:tabs>
        <w:tab w:val="left" w:pos="255"/>
      </w:tabs>
      <w:ind w:left="255" w:hanging="255"/>
    </w:pPr>
  </w:style>
  <w:style w:type="paragraph" w:customStyle="1" w:styleId="Note">
    <w:name w:val="Note"/>
    <w:basedOn w:val="Normal"/>
    <w:pPr>
      <w:spacing w:before="80"/>
    </w:pPr>
  </w:style>
  <w:style w:type="character" w:customStyle="1" w:styleId="FootnoteTextChar">
    <w:name w:val="Footnote Text Char"/>
    <w:aliases w:val="footnote text Char1,ft Char,Footnotes Char1,Footnote ak Char1,fn cafc Char,fn Char Char1,footnote text Char Char,Footnotes Char Char1,Footnote ak Char Char,Footnotes Char Char Char,Footnote Text Char Char Char,fn Char Char Char,f Char"/>
    <w:basedOn w:val="DefaultParagraphFont"/>
    <w:link w:val="FootnoteText"/>
    <w:uiPriority w:val="99"/>
    <w:rsid w:val="00372185"/>
    <w:rPr>
      <w:rFonts w:ascii="Times New Roman" w:hAnsi="Times New Roman"/>
      <w:sz w:val="24"/>
      <w:lang w:val="fr-FR" w:eastAsia="en-US"/>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372185"/>
    <w:rPr>
      <w:rFonts w:ascii="Times New Roman" w:hAnsi="Times New Roman"/>
      <w:sz w:val="18"/>
      <w:lang w:val="fr-FR" w:eastAsia="en-US"/>
    </w:rPr>
  </w:style>
  <w:style w:type="paragraph" w:customStyle="1" w:styleId="Headingb">
    <w:name w:val="Heading_b"/>
    <w:basedOn w:val="Normal"/>
    <w:next w:val="Normal"/>
    <w:link w:val="HeadingbChar"/>
    <w:qFormat/>
    <w:pPr>
      <w:keepNext/>
      <w:spacing w:before="160"/>
    </w:pPr>
    <w:rPr>
      <w:b/>
    </w:rPr>
  </w:style>
  <w:style w:type="character" w:customStyle="1" w:styleId="HeadingbChar">
    <w:name w:val="Heading_b Char"/>
    <w:link w:val="Headingb"/>
    <w:locked/>
    <w:rsid w:val="00372185"/>
    <w:rPr>
      <w:rFonts w:ascii="Times New Roman" w:hAnsi="Times New Roman"/>
      <w:b/>
      <w:sz w:val="24"/>
      <w:lang w:val="fr-FR" w:eastAsia="en-US"/>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qFormat/>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character" w:styleId="EndnoteReference">
    <w:name w:val="endnote reference"/>
    <w:basedOn w:val="DefaultParagraphFont"/>
    <w:rPr>
      <w:vertAlign w:val="superscript"/>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qFormat/>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RecNoBR">
    <w:name w:val="Rec_No_BR"/>
    <w:basedOn w:val="Normal"/>
    <w:next w:val="Rectitle"/>
    <w:pPr>
      <w:keepNext/>
      <w:keepLines/>
      <w:spacing w:before="480"/>
      <w:jc w:val="center"/>
    </w:pPr>
    <w:rPr>
      <w:caps/>
      <w:sz w:val="28"/>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pPr>
      <w:spacing w:before="80"/>
      <w:ind w:left="1531" w:hanging="851"/>
    </w:pPr>
  </w:style>
  <w:style w:type="paragraph" w:styleId="TOC3">
    <w:name w:val="toc 3"/>
    <w:basedOn w:val="TOC2"/>
    <w:uiPriority w:val="39"/>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PageNumber">
    <w:name w:val="page number"/>
    <w:basedOn w:val="DefaultParagraphFont"/>
  </w:style>
  <w:style w:type="paragraph" w:customStyle="1" w:styleId="QuestionNoBR">
    <w:name w:val="Question_No_BR"/>
    <w:basedOn w:val="RecNoBR"/>
    <w:next w:val="Questiontitle"/>
  </w:style>
  <w:style w:type="paragraph" w:customStyle="1" w:styleId="Reftitle">
    <w:name w:val="Ref_title"/>
    <w:basedOn w:val="Normal"/>
    <w:next w:val="Reftext"/>
    <w:pPr>
      <w:spacing w:before="480"/>
      <w:jc w:val="center"/>
    </w:pPr>
    <w:rPr>
      <w:b/>
    </w:rPr>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372185"/>
    <w:rPr>
      <w:rFonts w:ascii="Times New Roman" w:hAnsi="Times New Roman"/>
      <w:lang w:val="fr-FR" w:eastAsia="en-US"/>
    </w:rPr>
  </w:style>
  <w:style w:type="character" w:styleId="Hyperlink">
    <w:name w:val="Hyperlink"/>
    <w:basedOn w:val="DefaultParagraphFont"/>
    <w:rsid w:val="00FA76C3"/>
    <w:rPr>
      <w:rFonts w:asciiTheme="majorBidi" w:hAnsiTheme="majorBidi"/>
      <w:color w:val="0000FF"/>
      <w:u w:val="single"/>
    </w:rPr>
  </w:style>
  <w:style w:type="character" w:styleId="PlaceholderText">
    <w:name w:val="Placeholder Text"/>
    <w:basedOn w:val="DefaultParagraphFont"/>
    <w:uiPriority w:val="99"/>
    <w:semiHidden/>
    <w:rsid w:val="00FA76C3"/>
  </w:style>
  <w:style w:type="paragraph" w:styleId="TableofFigures">
    <w:name w:val="table of figures"/>
    <w:basedOn w:val="Normal"/>
    <w:next w:val="Normal"/>
    <w:uiPriority w:val="99"/>
    <w:rsid w:val="00372185"/>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val="en-GB" w:eastAsia="ja-JP"/>
    </w:rPr>
  </w:style>
  <w:style w:type="paragraph" w:styleId="Caption">
    <w:name w:val="caption"/>
    <w:basedOn w:val="Normal"/>
    <w:next w:val="Normal"/>
    <w:semiHidden/>
    <w:unhideWhenUsed/>
    <w:qFormat/>
    <w:rsid w:val="00372185"/>
    <w:pPr>
      <w:tabs>
        <w:tab w:val="clear" w:pos="794"/>
        <w:tab w:val="clear" w:pos="1191"/>
        <w:tab w:val="clear" w:pos="1588"/>
        <w:tab w:val="clear" w:pos="1985"/>
      </w:tabs>
      <w:overflowPunct/>
      <w:autoSpaceDE/>
      <w:autoSpaceDN/>
      <w:adjustRightInd/>
      <w:spacing w:before="0" w:after="200"/>
      <w:textAlignment w:val="auto"/>
    </w:pPr>
    <w:rPr>
      <w:rFonts w:eastAsiaTheme="minorEastAsia"/>
      <w:i/>
      <w:iCs/>
      <w:color w:val="1F497D" w:themeColor="text2"/>
      <w:sz w:val="18"/>
      <w:szCs w:val="18"/>
      <w:lang w:val="en-GB" w:eastAsia="ja-JP"/>
    </w:rPr>
  </w:style>
  <w:style w:type="character" w:styleId="Emphasis">
    <w:name w:val="Emphasis"/>
    <w:basedOn w:val="DefaultParagraphFont"/>
    <w:rsid w:val="00372185"/>
    <w:rPr>
      <w:i/>
      <w:iCs/>
    </w:rPr>
  </w:style>
  <w:style w:type="paragraph" w:styleId="Subtitle">
    <w:name w:val="Subtitle"/>
    <w:basedOn w:val="Normal"/>
    <w:next w:val="Normal"/>
    <w:link w:val="SubtitleChar"/>
    <w:qFormat/>
    <w:rsid w:val="00372185"/>
    <w:pPr>
      <w:numPr>
        <w:ilvl w:val="1"/>
      </w:numPr>
      <w:tabs>
        <w:tab w:val="clear" w:pos="794"/>
        <w:tab w:val="clear" w:pos="1191"/>
        <w:tab w:val="clear" w:pos="1588"/>
        <w:tab w:val="clear" w:pos="1985"/>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val="en-GB" w:eastAsia="ja-JP"/>
    </w:rPr>
  </w:style>
  <w:style w:type="character" w:customStyle="1" w:styleId="SubtitleChar">
    <w:name w:val="Subtitle Char"/>
    <w:basedOn w:val="DefaultParagraphFont"/>
    <w:link w:val="Subtitle"/>
    <w:rsid w:val="00372185"/>
    <w:rPr>
      <w:rFonts w:asciiTheme="minorHAnsi" w:eastAsiaTheme="minorEastAsia" w:hAnsiTheme="minorHAnsi" w:cstheme="minorBidi"/>
      <w:color w:val="5A5A5A" w:themeColor="text1" w:themeTint="A5"/>
      <w:spacing w:val="15"/>
      <w:sz w:val="22"/>
      <w:szCs w:val="22"/>
      <w:lang w:val="en-GB" w:eastAsia="ja-JP"/>
    </w:rPr>
  </w:style>
  <w:style w:type="character" w:styleId="Strong">
    <w:name w:val="Strong"/>
    <w:basedOn w:val="DefaultParagraphFont"/>
    <w:rsid w:val="00372185"/>
    <w:rPr>
      <w:b/>
      <w:bCs/>
    </w:rPr>
  </w:style>
  <w:style w:type="paragraph" w:styleId="Quote">
    <w:name w:val="Quote"/>
    <w:basedOn w:val="Normal"/>
    <w:next w:val="Normal"/>
    <w:link w:val="QuoteChar"/>
    <w:uiPriority w:val="29"/>
    <w:qFormat/>
    <w:rsid w:val="00372185"/>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eastAsiaTheme="minorEastAsia"/>
      <w:i/>
      <w:iCs/>
      <w:color w:val="404040" w:themeColor="text1" w:themeTint="BF"/>
      <w:szCs w:val="24"/>
      <w:lang w:val="en-GB" w:eastAsia="ja-JP"/>
    </w:rPr>
  </w:style>
  <w:style w:type="character" w:customStyle="1" w:styleId="QuoteChar">
    <w:name w:val="Quote Char"/>
    <w:basedOn w:val="DefaultParagraphFont"/>
    <w:link w:val="Quote"/>
    <w:uiPriority w:val="29"/>
    <w:rsid w:val="00372185"/>
    <w:rPr>
      <w:rFonts w:ascii="Times New Roman" w:eastAsiaTheme="minorEastAsia" w:hAnsi="Times New Roman"/>
      <w:i/>
      <w:iCs/>
      <w:color w:val="404040" w:themeColor="text1" w:themeTint="BF"/>
      <w:sz w:val="24"/>
      <w:szCs w:val="24"/>
      <w:lang w:val="en-GB" w:eastAsia="ja-JP"/>
    </w:rPr>
  </w:style>
  <w:style w:type="character" w:styleId="FollowedHyperlink">
    <w:name w:val="FollowedHyperlink"/>
    <w:basedOn w:val="DefaultParagraphFont"/>
    <w:semiHidden/>
    <w:unhideWhenUsed/>
    <w:rsid w:val="00372185"/>
    <w:rPr>
      <w:color w:val="800080" w:themeColor="followedHyperlink"/>
      <w:u w:val="single"/>
    </w:rPr>
  </w:style>
  <w:style w:type="paragraph" w:styleId="NormalWeb">
    <w:name w:val="Normal (Web)"/>
    <w:basedOn w:val="Normal"/>
    <w:uiPriority w:val="99"/>
    <w:semiHidden/>
    <w:unhideWhenUsed/>
    <w:rsid w:val="0037218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styleId="TOC9">
    <w:name w:val="toc 9"/>
    <w:basedOn w:val="Normal"/>
    <w:next w:val="Normal"/>
    <w:autoRedefine/>
    <w:uiPriority w:val="39"/>
    <w:unhideWhenUsed/>
    <w:rsid w:val="00372185"/>
    <w:pPr>
      <w:tabs>
        <w:tab w:val="clear" w:pos="794"/>
        <w:tab w:val="clear" w:pos="1191"/>
        <w:tab w:val="clear" w:pos="1588"/>
        <w:tab w:val="clear" w:pos="1985"/>
      </w:tabs>
      <w:overflowPunct/>
      <w:autoSpaceDE/>
      <w:autoSpaceDN/>
      <w:adjustRightInd/>
      <w:spacing w:before="0"/>
      <w:ind w:left="1920"/>
      <w:textAlignment w:val="auto"/>
    </w:pPr>
    <w:rPr>
      <w:rFonts w:eastAsia="SimSun"/>
      <w:szCs w:val="21"/>
      <w:lang w:val="en-GB" w:eastAsia="ja-JP"/>
    </w:rPr>
  </w:style>
  <w:style w:type="paragraph" w:styleId="NormalIndent">
    <w:name w:val="Normal Indent"/>
    <w:basedOn w:val="Normal"/>
    <w:unhideWhenUsed/>
    <w:rsid w:val="00372185"/>
    <w:pPr>
      <w:tabs>
        <w:tab w:val="clear" w:pos="794"/>
        <w:tab w:val="clear" w:pos="1191"/>
        <w:tab w:val="clear" w:pos="1588"/>
        <w:tab w:val="clear" w:pos="1985"/>
      </w:tabs>
      <w:overflowPunct/>
      <w:autoSpaceDE/>
      <w:autoSpaceDN/>
      <w:adjustRightInd/>
      <w:ind w:left="1134"/>
      <w:textAlignment w:val="auto"/>
    </w:pPr>
    <w:rPr>
      <w:rFonts w:eastAsiaTheme="minorEastAsia"/>
      <w:szCs w:val="24"/>
      <w:lang w:val="en-GB" w:eastAsia="ja-JP"/>
    </w:rPr>
  </w:style>
  <w:style w:type="paragraph" w:styleId="List">
    <w:name w:val="List"/>
    <w:basedOn w:val="Normal"/>
    <w:uiPriority w:val="99"/>
    <w:semiHidden/>
    <w:unhideWhenUsed/>
    <w:rsid w:val="00372185"/>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MS Mincho"/>
      <w:szCs w:val="24"/>
      <w:lang w:val="en-GB" w:eastAsia="ja-JP"/>
    </w:rPr>
  </w:style>
  <w:style w:type="paragraph" w:styleId="BalloonText">
    <w:name w:val="Balloon Text"/>
    <w:basedOn w:val="Normal"/>
    <w:link w:val="BalloonTextChar"/>
    <w:semiHidden/>
    <w:unhideWhenUsed/>
    <w:rsid w:val="00372185"/>
    <w:pPr>
      <w:tabs>
        <w:tab w:val="clear" w:pos="794"/>
        <w:tab w:val="clear" w:pos="1191"/>
        <w:tab w:val="clear" w:pos="1588"/>
        <w:tab w:val="clear" w:pos="1985"/>
      </w:tabs>
      <w:overflowPunct/>
      <w:autoSpaceDE/>
      <w:autoSpaceDN/>
      <w:adjustRightInd/>
      <w:spacing w:before="0"/>
      <w:textAlignment w:val="auto"/>
    </w:pPr>
    <w:rPr>
      <w:rFonts w:ascii="Tahoma" w:eastAsiaTheme="minorEastAsia" w:hAnsi="Tahoma" w:cs="Tahoma"/>
      <w:sz w:val="16"/>
      <w:szCs w:val="16"/>
      <w:lang w:val="en-GB" w:eastAsia="ja-JP"/>
    </w:rPr>
  </w:style>
  <w:style w:type="character" w:customStyle="1" w:styleId="BalloonTextChar">
    <w:name w:val="Balloon Text Char"/>
    <w:basedOn w:val="DefaultParagraphFont"/>
    <w:link w:val="BalloonText"/>
    <w:semiHidden/>
    <w:rsid w:val="00372185"/>
    <w:rPr>
      <w:rFonts w:ascii="Tahoma" w:eastAsiaTheme="minorEastAsia" w:hAnsi="Tahoma" w:cs="Tahoma"/>
      <w:sz w:val="16"/>
      <w:szCs w:val="16"/>
      <w:lang w:val="en-GB" w:eastAsia="ja-JP"/>
    </w:rPr>
  </w:style>
  <w:style w:type="paragraph" w:styleId="Revision">
    <w:name w:val="Revision"/>
    <w:uiPriority w:val="99"/>
    <w:semiHidden/>
    <w:rsid w:val="00372185"/>
    <w:rPr>
      <w:rFonts w:ascii="Times New Roman" w:eastAsia="SimSun" w:hAnsi="Times New Roman"/>
      <w:sz w:val="24"/>
      <w:szCs w:val="24"/>
      <w:lang w:val="en-GB" w:eastAsia="ja-JP"/>
    </w:rPr>
  </w:style>
  <w:style w:type="paragraph" w:customStyle="1" w:styleId="Reasons">
    <w:name w:val="Reasons"/>
    <w:basedOn w:val="Normal"/>
    <w:qFormat/>
    <w:rsid w:val="00372185"/>
    <w:pPr>
      <w:tabs>
        <w:tab w:val="clear" w:pos="794"/>
        <w:tab w:val="clear" w:pos="1191"/>
      </w:tabs>
      <w:overflowPunct/>
      <w:autoSpaceDE/>
      <w:autoSpaceDN/>
      <w:adjustRightInd/>
      <w:textAlignment w:val="auto"/>
    </w:pPr>
    <w:rPr>
      <w:rFonts w:eastAsiaTheme="minorEastAsia"/>
      <w:szCs w:val="24"/>
      <w:lang w:val="en-GB" w:eastAsia="ja-JP"/>
    </w:rPr>
  </w:style>
  <w:style w:type="table" w:styleId="TableGrid">
    <w:name w:val="Table Grid"/>
    <w:basedOn w:val="TableNormal"/>
    <w:rsid w:val="00372185"/>
    <w:rPr>
      <w:rFonts w:ascii="Times New Roman" w:eastAsiaTheme="minorEastAsia"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2185"/>
    <w:pPr>
      <w:ind w:left="720"/>
      <w:contextualSpacing/>
    </w:pPr>
    <w:rPr>
      <w:lang w:val="en-GB"/>
    </w:rPr>
  </w:style>
  <w:style w:type="paragraph" w:customStyle="1" w:styleId="a2">
    <w:name w:val="a2"/>
    <w:basedOn w:val="Heading2"/>
    <w:link w:val="a2Char"/>
    <w:qFormat/>
    <w:rsid w:val="00372185"/>
    <w:pPr>
      <w:keepLines w:val="0"/>
      <w:pageBreakBefore/>
      <w:numPr>
        <w:ilvl w:val="1"/>
        <w:numId w:val="1"/>
      </w:numPr>
      <w:tabs>
        <w:tab w:val="clear" w:pos="794"/>
        <w:tab w:val="clear" w:pos="1191"/>
        <w:tab w:val="clear" w:pos="1588"/>
        <w:tab w:val="clear" w:pos="1985"/>
      </w:tabs>
      <w:overflowPunct/>
      <w:autoSpaceDE/>
      <w:autoSpaceDN/>
      <w:adjustRightInd/>
      <w:spacing w:after="60"/>
      <w:textAlignment w:val="auto"/>
    </w:pPr>
    <w:rPr>
      <w:lang w:val="en-GB"/>
    </w:rPr>
  </w:style>
  <w:style w:type="character" w:customStyle="1" w:styleId="a2Char">
    <w:name w:val="a2 Char"/>
    <w:basedOn w:val="Heading2Char"/>
    <w:link w:val="a2"/>
    <w:rsid w:val="00372185"/>
    <w:rPr>
      <w:rFonts w:ascii="Times New Roman" w:hAnsi="Times New Roman"/>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407271">
      <w:bodyDiv w:val="1"/>
      <w:marLeft w:val="0"/>
      <w:marRight w:val="0"/>
      <w:marTop w:val="0"/>
      <w:marBottom w:val="0"/>
      <w:divBdr>
        <w:top w:val="none" w:sz="0" w:space="0" w:color="auto"/>
        <w:left w:val="none" w:sz="0" w:space="0" w:color="auto"/>
        <w:bottom w:val="none" w:sz="0" w:space="0" w:color="auto"/>
        <w:right w:val="none" w:sz="0" w:space="0" w:color="auto"/>
      </w:divBdr>
    </w:div>
    <w:div w:id="82092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na.dekanic@fcc.gov" TargetMode="External"/><Relationship Id="rId4" Type="http://schemas.openxmlformats.org/officeDocument/2006/relationships/settings" Target="settings.xml"/><Relationship Id="rId9" Type="http://schemas.openxmlformats.org/officeDocument/2006/relationships/hyperlink" Target="mailto:najarianpb@state.gov"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gsma.com/newsroom/wp-content/uploads//SGP.02_v3.2_updated.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neux\AppData\Roaming\Microsoft\Templates\POOL%20F%20-%20ITU\PF_TSB.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CD1D30E40645EA9F32782CBE5AA09C"/>
        <w:category>
          <w:name w:val="General"/>
          <w:gallery w:val="placeholder"/>
        </w:category>
        <w:types>
          <w:type w:val="bbPlcHdr"/>
        </w:types>
        <w:behaviors>
          <w:behavior w:val="content"/>
        </w:behaviors>
        <w:guid w:val="{8A2822CC-0ED3-41BA-9956-CEBD78105FD8}"/>
      </w:docPartPr>
      <w:docPartBody>
        <w:p w:rsidR="00786618" w:rsidRDefault="00673266" w:rsidP="00673266">
          <w:pPr>
            <w:pStyle w:val="86CD1D30E40645EA9F32782CBE5AA09C"/>
          </w:pPr>
          <w:r w:rsidRPr="00543D41">
            <w:rPr>
              <w:rStyle w:val="PlaceholderText"/>
              <w:highlight w:val="yellow"/>
            </w:rPr>
            <w:t>Place</w:t>
          </w:r>
        </w:p>
      </w:docPartBody>
    </w:docPart>
    <w:docPart>
      <w:docPartPr>
        <w:name w:val="D4E1FD996BA9415F8CCE3DA822011175"/>
        <w:category>
          <w:name w:val="General"/>
          <w:gallery w:val="placeholder"/>
        </w:category>
        <w:types>
          <w:type w:val="bbPlcHdr"/>
        </w:types>
        <w:behaviors>
          <w:behavior w:val="content"/>
        </w:behaviors>
        <w:guid w:val="{0844AC74-DDB4-4649-BE60-0D225C411944}"/>
      </w:docPartPr>
      <w:docPartBody>
        <w:p w:rsidR="00786618" w:rsidRDefault="00673266" w:rsidP="00673266">
          <w:pPr>
            <w:pStyle w:val="D4E1FD996BA9415F8CCE3DA822011175"/>
          </w:pPr>
          <w:r w:rsidRPr="00543D41">
            <w:rPr>
              <w:rStyle w:val="PlaceholderText"/>
              <w:highlight w:val="yellow"/>
            </w:rPr>
            <w:t>dd-dd mmm yyyy</w:t>
          </w:r>
        </w:p>
      </w:docPartBody>
    </w:docPart>
    <w:docPart>
      <w:docPartPr>
        <w:name w:val="D4C45A05A0434C88A6EA7BFAED4B62F7"/>
        <w:category>
          <w:name w:val="General"/>
          <w:gallery w:val="placeholder"/>
        </w:category>
        <w:types>
          <w:type w:val="bbPlcHdr"/>
        </w:types>
        <w:behaviors>
          <w:behavior w:val="content"/>
        </w:behaviors>
        <w:guid w:val="{41AC046B-E7CB-4839-8C85-B535DD694F9A}"/>
      </w:docPartPr>
      <w:docPartBody>
        <w:p w:rsidR="00786618" w:rsidRDefault="00673266" w:rsidP="00673266">
          <w:pPr>
            <w:pStyle w:val="D4C45A05A0434C88A6EA7BFAED4B62F7"/>
          </w:pPr>
          <w:r w:rsidRPr="00543D41">
            <w:rPr>
              <w:rStyle w:val="PlaceholderText"/>
              <w:highlight w:val="yellow"/>
            </w:rPr>
            <w:t>Insert source(s)</w:t>
          </w:r>
        </w:p>
      </w:docPartBody>
    </w:docPart>
    <w:docPart>
      <w:docPartPr>
        <w:name w:val="3698CAFB7DBA47B09C3001B9CB57D6E0"/>
        <w:category>
          <w:name w:val="General"/>
          <w:gallery w:val="placeholder"/>
        </w:category>
        <w:types>
          <w:type w:val="bbPlcHdr"/>
        </w:types>
        <w:behaviors>
          <w:behavior w:val="content"/>
        </w:behaviors>
        <w:guid w:val="{82329653-EF9D-43F2-B01C-54D3CB237DA8}"/>
      </w:docPartPr>
      <w:docPartBody>
        <w:p w:rsidR="00786618" w:rsidRDefault="00673266" w:rsidP="00673266">
          <w:pPr>
            <w:pStyle w:val="3698CAFB7DBA47B09C3001B9CB57D6E0"/>
          </w:pPr>
          <w:r w:rsidRPr="001229A4">
            <w:rPr>
              <w:rStyle w:val="PlaceholderText"/>
            </w:rPr>
            <w:t>Click here to enter text.</w:t>
          </w:r>
        </w:p>
      </w:docPartBody>
    </w:docPart>
    <w:docPart>
      <w:docPartPr>
        <w:name w:val="6EA94B46CB864896BA4E8AC039528FA7"/>
        <w:category>
          <w:name w:val="General"/>
          <w:gallery w:val="placeholder"/>
        </w:category>
        <w:types>
          <w:type w:val="bbPlcHdr"/>
        </w:types>
        <w:behaviors>
          <w:behavior w:val="content"/>
        </w:behaviors>
        <w:guid w:val="{DCF21C23-94C3-4825-A064-9FB134D8118F}"/>
      </w:docPartPr>
      <w:docPartBody>
        <w:p w:rsidR="00786618" w:rsidRDefault="00673266" w:rsidP="00673266">
          <w:pPr>
            <w:pStyle w:val="6EA94B46CB864896BA4E8AC039528FA7"/>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266"/>
    <w:rsid w:val="006649F1"/>
    <w:rsid w:val="00673266"/>
    <w:rsid w:val="0078661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3266"/>
    <w:rPr>
      <w:rFonts w:ascii="Times New Roman" w:hAnsi="Times New Roman"/>
      <w:color w:val="808080"/>
    </w:rPr>
  </w:style>
  <w:style w:type="paragraph" w:customStyle="1" w:styleId="86CD1D30E40645EA9F32782CBE5AA09C">
    <w:name w:val="86CD1D30E40645EA9F32782CBE5AA09C"/>
    <w:rsid w:val="00673266"/>
  </w:style>
  <w:style w:type="paragraph" w:customStyle="1" w:styleId="D4E1FD996BA9415F8CCE3DA822011175">
    <w:name w:val="D4E1FD996BA9415F8CCE3DA822011175"/>
    <w:rsid w:val="00673266"/>
  </w:style>
  <w:style w:type="paragraph" w:customStyle="1" w:styleId="D4C45A05A0434C88A6EA7BFAED4B62F7">
    <w:name w:val="D4C45A05A0434C88A6EA7BFAED4B62F7"/>
    <w:rsid w:val="00673266"/>
  </w:style>
  <w:style w:type="paragraph" w:customStyle="1" w:styleId="3B653B2A9AF746A2A2555ED2169073F9">
    <w:name w:val="3B653B2A9AF746A2A2555ED2169073F9"/>
    <w:rsid w:val="00673266"/>
  </w:style>
  <w:style w:type="paragraph" w:customStyle="1" w:styleId="D21CAD465161406195A17BC7AF8783FE">
    <w:name w:val="D21CAD465161406195A17BC7AF8783FE"/>
    <w:rsid w:val="00673266"/>
  </w:style>
  <w:style w:type="paragraph" w:customStyle="1" w:styleId="7252584616104946918217244CD4B9ED">
    <w:name w:val="7252584616104946918217244CD4B9ED"/>
    <w:rsid w:val="00673266"/>
  </w:style>
  <w:style w:type="paragraph" w:customStyle="1" w:styleId="3698CAFB7DBA47B09C3001B9CB57D6E0">
    <w:name w:val="3698CAFB7DBA47B09C3001B9CB57D6E0"/>
    <w:rsid w:val="00673266"/>
  </w:style>
  <w:style w:type="paragraph" w:customStyle="1" w:styleId="6EA94B46CB864896BA4E8AC039528FA7">
    <w:name w:val="6EA94B46CB864896BA4E8AC039528FA7"/>
    <w:rsid w:val="00673266"/>
  </w:style>
  <w:style w:type="paragraph" w:customStyle="1" w:styleId="0203C0AAA6024880B2BCC278C6A6BF35">
    <w:name w:val="0203C0AAA6024880B2BCC278C6A6BF35"/>
    <w:rsid w:val="00673266"/>
  </w:style>
  <w:style w:type="paragraph" w:customStyle="1" w:styleId="FDC8E5DE21B24B229A1E42100CC25DF6">
    <w:name w:val="FDC8E5DE21B24B229A1E42100CC25DF6"/>
    <w:rsid w:val="006732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91B81-D440-4960-B8A4-825DF254F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PF_TSB.dotm</Template>
  <TotalTime>93</TotalTime>
  <Pages>4</Pages>
  <Words>1993</Words>
  <Characters>11366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COMMISSION D'ÉTUDES 15 – CONTRIBUTION 001</vt:lpstr>
    </vt:vector>
  </TitlesOfParts>
  <Manager>ITU-T</Manager>
  <Company>International Telecommunication Union (ITU)</Company>
  <LinksUpToDate>false</LinksUpToDate>
  <CharactersWithSpaces>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D'ÉTUDES 15 – CONTRIBUTION 001</dc:title>
  <dc:subject/>
  <dc:creator>Geneux</dc:creator>
  <cp:keywords/>
  <dc:description/>
  <cp:lastModifiedBy>Author</cp:lastModifiedBy>
  <cp:revision>20</cp:revision>
  <cp:lastPrinted>2018-04-05T15:21:00Z</cp:lastPrinted>
  <dcterms:created xsi:type="dcterms:W3CDTF">2018-04-05T14:09:00Z</dcterms:created>
  <dcterms:modified xsi:type="dcterms:W3CDTF">2018-04-08T18:47:00Z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15 – C 001 – F</vt:lpwstr>
  </property>
  <property fmtid="{D5CDD505-2E9C-101B-9397-08002B2CF9AE}" pid="3" name="Docdate">
    <vt:lpwstr>Juin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