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3202"/>
        <w:gridCol w:w="827"/>
        <w:gridCol w:w="538"/>
        <w:gridCol w:w="3439"/>
      </w:tblGrid>
      <w:tr w:rsidR="008862C1" w:rsidRPr="008862C1" w:rsidTr="002557FD">
        <w:trPr>
          <w:cantSplit/>
          <w:jc w:val="center"/>
        </w:trPr>
        <w:tc>
          <w:tcPr>
            <w:tcW w:w="847" w:type="pct"/>
            <w:vMerge w:val="restar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rPr>
              <w:drawing>
                <wp:inline distT="0" distB="0" distL="0" distR="0" wp14:anchorId="4B95BE95" wp14:editId="4ABD323F">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3"/>
            <w:vAlign w:val="center"/>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bidi="ar-EG"/>
              </w:rPr>
              <w:t>الاتحـــاد</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الدولـــي</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للاتصـــالات</w:t>
            </w:r>
          </w:p>
        </w:tc>
        <w:tc>
          <w:tcPr>
            <w:tcW w:w="1784" w:type="pct"/>
            <w:vAlign w:val="center"/>
          </w:tcPr>
          <w:p w:rsidR="008862C1" w:rsidRPr="008862C1" w:rsidRDefault="008862C1" w:rsidP="007939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8862C1">
              <w:rPr>
                <w:rFonts w:eastAsiaTheme="minorEastAsia"/>
                <w:b/>
                <w:bCs/>
                <w:sz w:val="26"/>
                <w:szCs w:val="36"/>
                <w:lang w:val="en-GB" w:eastAsia="zh-CN" w:bidi="ar-SY"/>
              </w:rPr>
              <w:t>SG</w:t>
            </w:r>
            <w:r w:rsidR="00EA4B81">
              <w:rPr>
                <w:rFonts w:eastAsiaTheme="minorEastAsia"/>
                <w:b/>
                <w:bCs/>
                <w:sz w:val="26"/>
                <w:szCs w:val="36"/>
                <w:lang w:val="en-GB" w:eastAsia="zh-CN" w:bidi="ar-SY"/>
              </w:rPr>
              <w:t>3</w:t>
            </w:r>
            <w:r w:rsidRPr="008862C1">
              <w:rPr>
                <w:rFonts w:eastAsiaTheme="minorEastAsia"/>
                <w:b/>
                <w:bCs/>
                <w:sz w:val="26"/>
                <w:szCs w:val="36"/>
                <w:lang w:val="en-GB" w:eastAsia="zh-CN" w:bidi="ar-SY"/>
              </w:rPr>
              <w:noBreakHyphen/>
            </w:r>
            <w:r w:rsidR="009F1571">
              <w:rPr>
                <w:rFonts w:eastAsiaTheme="minorEastAsia"/>
                <w:b/>
                <w:bCs/>
                <w:sz w:val="26"/>
                <w:szCs w:val="36"/>
                <w:lang w:val="en-GB" w:eastAsia="zh-CN" w:bidi="ar-SY"/>
              </w:rPr>
              <w:t>C</w:t>
            </w:r>
            <w:r w:rsidR="00EA4B81">
              <w:rPr>
                <w:rFonts w:eastAsiaTheme="minorEastAsia"/>
                <w:b/>
                <w:bCs/>
                <w:sz w:val="26"/>
                <w:szCs w:val="36"/>
                <w:lang w:eastAsia="zh-CN" w:bidi="ar-SY"/>
              </w:rPr>
              <w:t>194</w:t>
            </w:r>
            <w:r w:rsidRPr="008862C1">
              <w:rPr>
                <w:rFonts w:eastAsiaTheme="minorEastAsia"/>
                <w:b/>
                <w:bCs/>
                <w:sz w:val="26"/>
                <w:szCs w:val="36"/>
                <w:lang w:val="en-GB" w:eastAsia="zh-CN" w:bidi="ar-SY"/>
              </w:rPr>
              <w:noBreakHyphen/>
            </w:r>
            <w:r w:rsidR="002866B4">
              <w:rPr>
                <w:rFonts w:eastAsiaTheme="minorEastAsia"/>
                <w:b/>
                <w:bCs/>
                <w:sz w:val="26"/>
                <w:szCs w:val="36"/>
                <w:lang w:val="en-GB" w:eastAsia="zh-CN" w:bidi="ar-SY"/>
              </w:rPr>
              <w:t>A</w:t>
            </w:r>
          </w:p>
        </w:tc>
      </w:tr>
      <w:tr w:rsidR="008862C1" w:rsidRPr="008862C1" w:rsidTr="002557FD">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369" w:type="pct"/>
            <w:gridSpan w:val="3"/>
            <w:vMerge w:val="restart"/>
            <w:vAlign w:val="bottom"/>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bidi="ar-EG"/>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8862C1" w:rsidP="00EA4B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bidi="ar-EG"/>
              </w:rPr>
            </w:pPr>
            <w:r w:rsidRPr="008862C1">
              <w:rPr>
                <w:rFonts w:eastAsiaTheme="minorEastAsia" w:hint="cs"/>
                <w:b/>
                <w:bCs/>
                <w:sz w:val="26"/>
                <w:szCs w:val="36"/>
                <w:rtl/>
                <w:lang w:eastAsia="zh-CN" w:bidi="ar-EG"/>
              </w:rPr>
              <w:t xml:space="preserve">لجنة الدراسات </w:t>
            </w:r>
            <w:r w:rsidR="00EA4B81">
              <w:rPr>
                <w:rFonts w:eastAsiaTheme="minorEastAsia"/>
                <w:b/>
                <w:bCs/>
                <w:sz w:val="26"/>
                <w:szCs w:val="36"/>
                <w:lang w:eastAsia="zh-CN" w:bidi="ar-EG"/>
              </w:rPr>
              <w:t>3</w:t>
            </w:r>
          </w:p>
        </w:tc>
      </w:tr>
      <w:tr w:rsidR="008862C1" w:rsidRPr="008862C1" w:rsidTr="002557FD">
        <w:trPr>
          <w:cantSplit/>
          <w:trHeight w:val="78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369" w:type="pct"/>
            <w:gridSpan w:val="3"/>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8862C1" w:rsidP="00EA4B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8862C1">
              <w:rPr>
                <w:rFonts w:eastAsiaTheme="minorEastAsia" w:hint="cs"/>
                <w:b/>
                <w:bCs/>
                <w:sz w:val="26"/>
                <w:szCs w:val="36"/>
                <w:rtl/>
                <w:lang w:eastAsia="zh-CN"/>
              </w:rPr>
              <w:t xml:space="preserve">الأصل: </w:t>
            </w:r>
            <w:r w:rsidR="00EA4B81">
              <w:rPr>
                <w:rFonts w:eastAsiaTheme="minorEastAsia" w:hint="cs"/>
                <w:b/>
                <w:bCs/>
                <w:sz w:val="26"/>
                <w:szCs w:val="36"/>
                <w:rtl/>
                <w:lang w:eastAsia="zh-CN"/>
              </w:rPr>
              <w:t>بالإنكليزية</w:t>
            </w:r>
          </w:p>
        </w:tc>
      </w:tr>
      <w:tr w:rsidR="003B2596" w:rsidRPr="008862C1" w:rsidTr="00632908">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hint="eastAsia"/>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1661" w:type="pct"/>
          </w:tcPr>
          <w:p w:rsidR="008862C1" w:rsidRPr="008862C1" w:rsidRDefault="00EA4B81" w:rsidP="00EA4B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Pr>
                <w:rFonts w:eastAsiaTheme="minorEastAsia"/>
                <w:lang w:eastAsia="zh-CN" w:bidi="ar-SY"/>
              </w:rPr>
              <w:t>11</w:t>
            </w:r>
            <w:r w:rsidR="008862C1" w:rsidRPr="008862C1">
              <w:rPr>
                <w:rFonts w:eastAsiaTheme="minorEastAsia"/>
                <w:lang w:eastAsia="zh-CN" w:bidi="ar-SY"/>
              </w:rPr>
              <w:t>/</w:t>
            </w:r>
            <w:r>
              <w:rPr>
                <w:rFonts w:eastAsiaTheme="minorEastAsia"/>
                <w:lang w:eastAsia="zh-CN" w:bidi="ar-SY"/>
              </w:rPr>
              <w:t>3</w:t>
            </w:r>
          </w:p>
        </w:tc>
        <w:tc>
          <w:tcPr>
            <w:tcW w:w="2492" w:type="pct"/>
            <w:gridSpan w:val="3"/>
          </w:tcPr>
          <w:p w:rsidR="008862C1" w:rsidRPr="008862C1" w:rsidRDefault="008862C1" w:rsidP="00EA4B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r>
              <w:rPr>
                <w:rFonts w:eastAsiaTheme="minorEastAsia" w:hint="cs"/>
                <w:rtl/>
                <w:lang w:val="en-GB" w:eastAsia="zh-CN" w:bidi="ar-SY"/>
              </w:rPr>
              <w:t xml:space="preserve">جنيف، </w:t>
            </w:r>
            <w:r w:rsidR="00EA4B81">
              <w:rPr>
                <w:rFonts w:eastAsiaTheme="minorEastAsia"/>
                <w:lang w:eastAsia="zh-CN" w:bidi="ar-SY"/>
              </w:rPr>
              <w:t>18-9</w:t>
            </w:r>
            <w:r>
              <w:rPr>
                <w:rFonts w:eastAsiaTheme="minorEastAsia" w:hint="cs"/>
                <w:rtl/>
                <w:lang w:eastAsia="zh-CN" w:bidi="ar-EG"/>
              </w:rPr>
              <w:t xml:space="preserve"> </w:t>
            </w:r>
            <w:r w:rsidR="00EA4B81">
              <w:rPr>
                <w:rFonts w:eastAsiaTheme="minorEastAsia" w:hint="cs"/>
                <w:rtl/>
                <w:lang w:eastAsia="zh-CN" w:bidi="ar-EG"/>
              </w:rPr>
              <w:t>أبريل</w:t>
            </w:r>
            <w:r>
              <w:rPr>
                <w:rFonts w:eastAsiaTheme="minorEastAsia" w:hint="cs"/>
                <w:rtl/>
                <w:lang w:eastAsia="zh-CN" w:bidi="ar-EG"/>
              </w:rPr>
              <w:t xml:space="preserve"> </w:t>
            </w:r>
            <w:r>
              <w:rPr>
                <w:rFonts w:eastAsiaTheme="minorEastAsia"/>
                <w:lang w:eastAsia="zh-CN" w:bidi="ar-EG"/>
              </w:rPr>
              <w:t>201</w:t>
            </w:r>
            <w:r w:rsidR="009F1571">
              <w:rPr>
                <w:rFonts w:eastAsiaTheme="minorEastAsia"/>
                <w:lang w:eastAsia="zh-CN" w:bidi="ar-EG"/>
              </w:rPr>
              <w:t>8</w:t>
            </w:r>
          </w:p>
        </w:tc>
      </w:tr>
      <w:tr w:rsidR="008862C1" w:rsidRPr="008862C1" w:rsidTr="003B2596">
        <w:trPr>
          <w:cantSplit/>
          <w:trHeight w:val="357"/>
          <w:jc w:val="center"/>
        </w:trPr>
        <w:tc>
          <w:tcPr>
            <w:tcW w:w="5000" w:type="pct"/>
            <w:gridSpan w:val="5"/>
          </w:tcPr>
          <w:p w:rsidR="008862C1" w:rsidRPr="008862C1" w:rsidRDefault="009F157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hint="eastAsia"/>
                <w:b/>
                <w:bCs/>
                <w:w w:val="110"/>
                <w:sz w:val="28"/>
                <w:szCs w:val="40"/>
                <w:rtl/>
                <w:lang w:eastAsia="zh-CN" w:bidi="ar-SY"/>
              </w:rPr>
            </w:pPr>
            <w:bookmarkStart w:id="7" w:name="dtitle" w:colFirst="0" w:colLast="0"/>
            <w:bookmarkEnd w:id="5"/>
            <w:bookmarkEnd w:id="6"/>
            <w:r>
              <w:rPr>
                <w:rFonts w:ascii="Times New Roman Bold" w:eastAsiaTheme="minorEastAsia" w:hAnsi="Times New Roman Bold" w:hint="cs"/>
                <w:b/>
                <w:bCs/>
                <w:w w:val="110"/>
                <w:sz w:val="28"/>
                <w:szCs w:val="40"/>
                <w:rtl/>
                <w:lang w:eastAsia="zh-CN"/>
              </w:rPr>
              <w:t>مساهمة</w:t>
            </w:r>
          </w:p>
        </w:tc>
      </w:tr>
      <w:bookmarkEnd w:id="2"/>
      <w:bookmarkEnd w:id="7"/>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4"/>
          </w:tcPr>
          <w:p w:rsidR="002557FD" w:rsidRPr="008862C1" w:rsidRDefault="00EA4B81"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Pr>
                <w:rFonts w:eastAsiaTheme="minorEastAsia" w:hint="cs"/>
                <w:rtl/>
                <w:lang w:eastAsia="zh-CN"/>
              </w:rPr>
              <w:t>الولايات المتحدة الأمريكية</w:t>
            </w:r>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4"/>
          </w:tcPr>
          <w:p w:rsidR="002557FD" w:rsidRPr="0070567F" w:rsidRDefault="00EA4B81" w:rsidP="007056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spacing w:val="-4"/>
                <w:lang w:val="en-GB" w:eastAsia="zh-CN" w:bidi="ar-SY"/>
              </w:rPr>
            </w:pPr>
            <w:r w:rsidRPr="0070567F">
              <w:rPr>
                <w:rFonts w:eastAsiaTheme="minorEastAsia" w:hint="cs"/>
                <w:spacing w:val="-4"/>
                <w:rtl/>
                <w:lang w:eastAsia="zh-CN"/>
              </w:rPr>
              <w:t>ردّ على الوثيقة</w:t>
            </w:r>
            <w:r w:rsidR="005E1A4A" w:rsidRPr="0070567F">
              <w:rPr>
                <w:rFonts w:eastAsiaTheme="minorEastAsia" w:hint="cs"/>
                <w:spacing w:val="-4"/>
                <w:rtl/>
                <w:lang w:eastAsia="zh-CN" w:bidi="ar-EG"/>
              </w:rPr>
              <w:t xml:space="preserve"> المؤقتة</w:t>
            </w:r>
            <w:r w:rsidRPr="0070567F">
              <w:rPr>
                <w:rFonts w:eastAsiaTheme="minorEastAsia" w:hint="cs"/>
                <w:spacing w:val="-4"/>
                <w:rtl/>
                <w:lang w:eastAsia="zh-CN"/>
              </w:rPr>
              <w:t xml:space="preserve"> </w:t>
            </w:r>
            <w:r w:rsidRPr="0070567F">
              <w:rPr>
                <w:rFonts w:eastAsia="SimSun"/>
                <w:spacing w:val="-4"/>
              </w:rPr>
              <w:t>TD10/WP3</w:t>
            </w:r>
            <w:r w:rsidRPr="0070567F">
              <w:rPr>
                <w:rFonts w:eastAsia="SimSun" w:hint="cs"/>
                <w:spacing w:val="-4"/>
                <w:rtl/>
              </w:rPr>
              <w:t xml:space="preserve"> </w:t>
            </w:r>
            <w:r w:rsidR="00B64C5B" w:rsidRPr="0070567F">
              <w:rPr>
                <w:rFonts w:eastAsia="SimSun" w:hint="cs"/>
                <w:spacing w:val="-4"/>
                <w:rtl/>
              </w:rPr>
              <w:t>-</w:t>
            </w:r>
            <w:r w:rsidRPr="0070567F">
              <w:rPr>
                <w:rFonts w:eastAsia="SimSun" w:hint="cs"/>
                <w:spacing w:val="-4"/>
                <w:rtl/>
              </w:rPr>
              <w:t xml:space="preserve"> مشروع </w:t>
            </w:r>
            <w:r w:rsidR="00E87A66" w:rsidRPr="0070567F">
              <w:rPr>
                <w:rFonts w:eastAsia="SimSun" w:hint="cs"/>
                <w:spacing w:val="-4"/>
                <w:rtl/>
              </w:rPr>
              <w:t>توصية جديدة</w:t>
            </w:r>
            <w:r w:rsidRPr="0070567F">
              <w:rPr>
                <w:rFonts w:eastAsia="SimSun" w:hint="cs"/>
                <w:spacing w:val="-4"/>
                <w:rtl/>
              </w:rPr>
              <w:t xml:space="preserve"> </w:t>
            </w:r>
            <w:r w:rsidR="00E87A66" w:rsidRPr="0070567F">
              <w:rPr>
                <w:rFonts w:eastAsia="SimSun" w:hint="cs"/>
                <w:spacing w:val="-4"/>
                <w:rtl/>
              </w:rPr>
              <w:t>ل</w:t>
            </w:r>
            <w:r w:rsidRPr="0070567F">
              <w:rPr>
                <w:rFonts w:eastAsia="SimSun" w:hint="cs"/>
                <w:spacing w:val="-4"/>
                <w:rtl/>
              </w:rPr>
              <w:t xml:space="preserve">قطاع تقييس الاتصالات </w:t>
            </w:r>
            <w:proofErr w:type="spellStart"/>
            <w:r w:rsidRPr="0070567F">
              <w:rPr>
                <w:rFonts w:eastAsia="SimSun"/>
                <w:spacing w:val="-4"/>
              </w:rPr>
              <w:t>D.DigID</w:t>
            </w:r>
            <w:proofErr w:type="spellEnd"/>
            <w:r w:rsidRPr="0070567F">
              <w:rPr>
                <w:rFonts w:eastAsia="SimSun" w:hint="cs"/>
                <w:spacing w:val="-4"/>
                <w:rtl/>
              </w:rPr>
              <w:t xml:space="preserve">: </w:t>
            </w:r>
            <w:r w:rsidRPr="0070567F">
              <w:rPr>
                <w:spacing w:val="-4"/>
                <w:rtl/>
              </w:rPr>
              <w:t>إطار</w:t>
            </w:r>
            <w:r w:rsidR="0070567F" w:rsidRPr="0070567F">
              <w:rPr>
                <w:rFonts w:hint="cs"/>
                <w:spacing w:val="-4"/>
                <w:rtl/>
              </w:rPr>
              <w:t> </w:t>
            </w:r>
            <w:r w:rsidR="00801DAD" w:rsidRPr="0070567F">
              <w:rPr>
                <w:rFonts w:hint="cs"/>
                <w:spacing w:val="-4"/>
                <w:rtl/>
              </w:rPr>
              <w:t>سياسة عامة تشمل المبادئ</w:t>
            </w:r>
            <w:r w:rsidRPr="0070567F">
              <w:rPr>
                <w:spacing w:val="-4"/>
                <w:rtl/>
              </w:rPr>
              <w:t xml:space="preserve"> للبنية التحتية للهوية الرقمية</w:t>
            </w:r>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4"/>
          </w:tcPr>
          <w:p w:rsidR="002557FD" w:rsidRPr="008862C1" w:rsidRDefault="00EA4B81"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val="en-GB" w:eastAsia="zh-CN" w:bidi="ar-EG"/>
              </w:rPr>
            </w:pPr>
            <w:r>
              <w:rPr>
                <w:rFonts w:eastAsiaTheme="minorEastAsia" w:hint="cs"/>
                <w:rtl/>
                <w:lang w:val="en-GB" w:eastAsia="zh-CN" w:bidi="ar-SY"/>
              </w:rPr>
              <w:t>مقترح</w:t>
            </w:r>
          </w:p>
        </w:tc>
      </w:tr>
      <w:tr w:rsidR="002557FD" w:rsidRPr="00550B17" w:rsidTr="00282F56">
        <w:trPr>
          <w:cantSplit/>
          <w:trHeight w:val="52"/>
          <w:jc w:val="center"/>
        </w:trPr>
        <w:tc>
          <w:tcPr>
            <w:tcW w:w="847" w:type="pct"/>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c>
          <w:tcPr>
            <w:tcW w:w="2063"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2557FD" w:rsidTr="00282F56">
        <w:trPr>
          <w:cantSplit/>
          <w:trHeight w:val="357"/>
          <w:jc w:val="center"/>
        </w:trPr>
        <w:tc>
          <w:tcPr>
            <w:tcW w:w="847" w:type="pct"/>
            <w:tcBorders>
              <w:top w:val="single" w:sz="8" w:space="0" w:color="auto"/>
              <w:bottom w:val="single" w:sz="8" w:space="0" w:color="auto"/>
            </w:tcBorders>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gridSpan w:val="2"/>
            <w:tcBorders>
              <w:top w:val="single" w:sz="8" w:space="0" w:color="auto"/>
              <w:bottom w:val="single" w:sz="8" w:space="0" w:color="auto"/>
            </w:tcBorders>
          </w:tcPr>
          <w:p w:rsidR="002557FD" w:rsidRDefault="00EA4B81" w:rsidP="00B64C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9B447B">
              <w:t xml:space="preserve">Paul </w:t>
            </w:r>
            <w:r>
              <w:t>B. Najarian</w:t>
            </w:r>
            <w:r>
              <w:rPr>
                <w:rFonts w:eastAsiaTheme="minorEastAsia"/>
                <w:lang w:val="en-GB" w:eastAsia="zh-CN" w:bidi="ar-SY"/>
              </w:rPr>
              <w:br/>
            </w:r>
            <w:r>
              <w:rPr>
                <w:color w:val="000000"/>
                <w:rtl/>
              </w:rPr>
              <w:t>وزارة الخارجية الأمريكية</w:t>
            </w:r>
            <w:r>
              <w:rPr>
                <w:color w:val="000000"/>
              </w:rPr>
              <w:br/>
            </w:r>
            <w:r>
              <w:rPr>
                <w:rFonts w:eastAsiaTheme="minorEastAsia" w:hint="cs"/>
                <w:rtl/>
                <w:lang w:eastAsia="zh-CN"/>
              </w:rPr>
              <w:t>الولايات المتحدة الأمريكية</w:t>
            </w:r>
          </w:p>
        </w:tc>
        <w:tc>
          <w:tcPr>
            <w:tcW w:w="2063" w:type="pct"/>
            <w:gridSpan w:val="2"/>
            <w:tcBorders>
              <w:top w:val="single" w:sz="8" w:space="0" w:color="auto"/>
              <w:bottom w:val="single" w:sz="8" w:space="0" w:color="auto"/>
            </w:tcBorders>
          </w:tcPr>
          <w:p w:rsidR="002557FD" w:rsidRDefault="002557FD" w:rsidP="005E1A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Pr>
                <w:rFonts w:eastAsiaTheme="minorEastAsia"/>
                <w:rtl/>
                <w:lang w:val="en-GB" w:eastAsia="zh-CN" w:bidi="ar-SY"/>
              </w:rPr>
              <w:tab/>
            </w:r>
            <w:r w:rsidR="00EA4B81" w:rsidRPr="002F598B">
              <w:rPr>
                <w:lang w:val="es-ES_tradnl"/>
              </w:rPr>
              <w:t>+1</w:t>
            </w:r>
            <w:r w:rsidR="005E1A4A">
              <w:rPr>
                <w:lang w:val="es-ES_tradnl"/>
              </w:rPr>
              <w:t> </w:t>
            </w:r>
            <w:r w:rsidR="00EA4B81" w:rsidRPr="002F598B">
              <w:rPr>
                <w:lang w:val="es-ES_tradnl"/>
              </w:rPr>
              <w:t>(202) 647-7847</w:t>
            </w:r>
            <w:r>
              <w:rPr>
                <w:rFonts w:eastAsiaTheme="minorEastAsia"/>
                <w:rtl/>
                <w:lang w:val="en-GB" w:eastAsia="zh-CN" w:bidi="ar-SY"/>
              </w:rPr>
              <w:br/>
            </w:r>
            <w:r>
              <w:rPr>
                <w:rFonts w:eastAsiaTheme="minorEastAsia" w:hint="cs"/>
                <w:rtl/>
                <w:lang w:val="en-GB" w:eastAsia="zh-CN" w:bidi="ar-SY"/>
              </w:rPr>
              <w:t>البريد الإلكتروني:</w:t>
            </w:r>
            <w:r>
              <w:rPr>
                <w:rFonts w:eastAsiaTheme="minorEastAsia"/>
                <w:rtl/>
                <w:lang w:val="en-GB" w:eastAsia="zh-CN" w:bidi="ar-SY"/>
              </w:rPr>
              <w:tab/>
            </w:r>
            <w:hyperlink r:id="rId11" w:history="1">
              <w:r w:rsidR="00EA4B81" w:rsidRPr="002F598B">
                <w:rPr>
                  <w:rStyle w:val="Hyperlink"/>
                  <w:lang w:val="es-ES_tradnl"/>
                </w:rPr>
                <w:t>najarianpb@state.gov</w:t>
              </w:r>
            </w:hyperlink>
          </w:p>
        </w:tc>
      </w:tr>
      <w:tr w:rsidR="00EA4B81" w:rsidTr="00282F56">
        <w:trPr>
          <w:cantSplit/>
          <w:trHeight w:val="357"/>
          <w:jc w:val="center"/>
        </w:trPr>
        <w:tc>
          <w:tcPr>
            <w:tcW w:w="847" w:type="pct"/>
            <w:tcBorders>
              <w:top w:val="single" w:sz="8" w:space="0" w:color="auto"/>
              <w:bottom w:val="single" w:sz="8" w:space="0" w:color="auto"/>
            </w:tcBorders>
          </w:tcPr>
          <w:p w:rsidR="00EA4B81" w:rsidRPr="008862C1" w:rsidRDefault="00EA4B81" w:rsidP="00EA4B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gridSpan w:val="2"/>
            <w:tcBorders>
              <w:top w:val="single" w:sz="8" w:space="0" w:color="auto"/>
              <w:bottom w:val="single" w:sz="8" w:space="0" w:color="auto"/>
            </w:tcBorders>
          </w:tcPr>
          <w:p w:rsidR="00EA4B81" w:rsidRDefault="00EA4B81" w:rsidP="00B64C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t>Carl R. Frank</w:t>
            </w:r>
            <w:r>
              <w:rPr>
                <w:rFonts w:eastAsiaTheme="minorEastAsia"/>
                <w:lang w:val="en-GB" w:eastAsia="zh-CN" w:bidi="ar-SY"/>
              </w:rPr>
              <w:br/>
            </w:r>
            <w:r>
              <w:rPr>
                <w:color w:val="000000"/>
                <w:rtl/>
              </w:rPr>
              <w:t xml:space="preserve">الإدارة الوطنية للاتصالات والمعلومات </w:t>
            </w:r>
            <w:r>
              <w:rPr>
                <w:rFonts w:eastAsiaTheme="minorEastAsia" w:hint="cs"/>
                <w:rtl/>
                <w:lang w:eastAsia="zh-CN"/>
              </w:rPr>
              <w:t>الولايات</w:t>
            </w:r>
            <w:r>
              <w:rPr>
                <w:rFonts w:eastAsiaTheme="minorEastAsia" w:hint="eastAsia"/>
                <w:rtl/>
                <w:lang w:eastAsia="zh-CN"/>
              </w:rPr>
              <w:t> </w:t>
            </w:r>
            <w:r>
              <w:rPr>
                <w:rFonts w:eastAsiaTheme="minorEastAsia" w:hint="cs"/>
                <w:rtl/>
                <w:lang w:eastAsia="zh-CN"/>
              </w:rPr>
              <w:t>المتحدة الأمريكية</w:t>
            </w:r>
          </w:p>
        </w:tc>
        <w:tc>
          <w:tcPr>
            <w:tcW w:w="2063" w:type="pct"/>
            <w:gridSpan w:val="2"/>
            <w:tcBorders>
              <w:top w:val="single" w:sz="8" w:space="0" w:color="auto"/>
              <w:bottom w:val="single" w:sz="8" w:space="0" w:color="auto"/>
            </w:tcBorders>
          </w:tcPr>
          <w:p w:rsidR="00EA4B81" w:rsidRDefault="00EA4B81" w:rsidP="005E1A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Pr>
                <w:rFonts w:eastAsiaTheme="minorEastAsia"/>
                <w:rtl/>
                <w:lang w:val="en-GB" w:eastAsia="zh-CN" w:bidi="ar-SY"/>
              </w:rPr>
              <w:tab/>
            </w:r>
            <w:r w:rsidRPr="002F598B">
              <w:rPr>
                <w:lang w:val="es-ES_tradnl"/>
              </w:rPr>
              <w:t>+1</w:t>
            </w:r>
            <w:r w:rsidR="005E1A4A">
              <w:rPr>
                <w:lang w:val="es-ES_tradnl"/>
              </w:rPr>
              <w:t> </w:t>
            </w:r>
            <w:r w:rsidRPr="002F598B">
              <w:rPr>
                <w:lang w:val="es-ES_tradnl"/>
              </w:rPr>
              <w:t>(202) 482-0390</w:t>
            </w:r>
            <w:r>
              <w:rPr>
                <w:rFonts w:eastAsiaTheme="minorEastAsia"/>
                <w:rtl/>
                <w:lang w:val="en-GB" w:eastAsia="zh-CN" w:bidi="ar-SY"/>
              </w:rPr>
              <w:br/>
            </w:r>
            <w:r>
              <w:rPr>
                <w:rFonts w:eastAsiaTheme="minorEastAsia" w:hint="cs"/>
                <w:rtl/>
                <w:lang w:val="en-GB" w:eastAsia="zh-CN" w:bidi="ar-SY"/>
              </w:rPr>
              <w:t>البريد الإلكتروني:</w:t>
            </w:r>
            <w:r>
              <w:rPr>
                <w:rFonts w:eastAsiaTheme="minorEastAsia"/>
                <w:rtl/>
                <w:lang w:val="en-GB" w:eastAsia="zh-CN" w:bidi="ar-SY"/>
              </w:rPr>
              <w:tab/>
            </w:r>
            <w:hyperlink r:id="rId12" w:history="1">
              <w:r w:rsidRPr="002F598B">
                <w:rPr>
                  <w:rStyle w:val="Hyperlink"/>
                  <w:lang w:val="es-ES_tradnl"/>
                </w:rPr>
                <w:t>cfrank@ntia.doc.gov</w:t>
              </w:r>
            </w:hyperlink>
          </w:p>
        </w:tc>
      </w:tr>
    </w:tbl>
    <w:p w:rsidR="0017388B" w:rsidRDefault="0017388B" w:rsidP="0017388B">
      <w:pPr>
        <w:spacing w:before="0" w:line="120" w:lineRule="auto"/>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7388B" w:rsidTr="00282F56">
        <w:tc>
          <w:tcPr>
            <w:tcW w:w="1636" w:type="dxa"/>
          </w:tcPr>
          <w:p w:rsidR="0017388B" w:rsidRPr="00591406" w:rsidRDefault="00306C37" w:rsidP="00306C37">
            <w:pPr>
              <w:rPr>
                <w:rFonts w:ascii="Times New Roman Bold" w:hAnsi="Times New Roman Bold"/>
                <w:b/>
                <w:bCs/>
                <w:spacing w:val="-6"/>
                <w:rtl/>
                <w:lang w:bidi="ar-EG"/>
              </w:rPr>
            </w:pPr>
            <w:r>
              <w:rPr>
                <w:rFonts w:ascii="Times New Roman Bold" w:hAnsi="Times New Roman Bold" w:hint="cs"/>
                <w:b/>
                <w:bCs/>
                <w:spacing w:val="-6"/>
                <w:rtl/>
                <w:lang w:bidi="ar-EG"/>
              </w:rPr>
              <w:t>كلمات أساسية</w:t>
            </w:r>
            <w:r w:rsidR="0017388B" w:rsidRPr="00591406">
              <w:rPr>
                <w:rFonts w:ascii="Times New Roman Bold" w:hAnsi="Times New Roman Bold" w:hint="cs"/>
                <w:b/>
                <w:bCs/>
                <w:spacing w:val="-6"/>
                <w:rtl/>
                <w:lang w:bidi="ar-EG"/>
              </w:rPr>
              <w:t>:</w:t>
            </w:r>
          </w:p>
        </w:tc>
        <w:tc>
          <w:tcPr>
            <w:tcW w:w="7993" w:type="dxa"/>
          </w:tcPr>
          <w:p w:rsidR="0017388B" w:rsidRDefault="00EA4B81" w:rsidP="00282F56">
            <w:pPr>
              <w:rPr>
                <w:rtl/>
                <w:lang w:bidi="ar-EG"/>
              </w:rPr>
            </w:pPr>
            <w:r>
              <w:rPr>
                <w:rFonts w:eastAsiaTheme="minorEastAsia" w:hint="cs"/>
                <w:rtl/>
                <w:lang w:eastAsia="zh-CN" w:bidi="ar-SY"/>
              </w:rPr>
              <w:t xml:space="preserve">المسألة </w:t>
            </w:r>
            <w:r>
              <w:rPr>
                <w:rFonts w:eastAsiaTheme="minorEastAsia"/>
                <w:lang w:eastAsia="zh-CN" w:bidi="ar-SY"/>
              </w:rPr>
              <w:t>11/3</w:t>
            </w:r>
            <w:r>
              <w:rPr>
                <w:rFonts w:eastAsiaTheme="minorEastAsia" w:hint="cs"/>
                <w:rtl/>
                <w:lang w:eastAsia="zh-CN" w:bidi="ar-LB"/>
              </w:rPr>
              <w:t xml:space="preserve">؛ </w:t>
            </w:r>
            <w:r>
              <w:rPr>
                <w:rFonts w:hint="cs"/>
                <w:rtl/>
              </w:rPr>
              <w:t>ا</w:t>
            </w:r>
            <w:r>
              <w:rPr>
                <w:rtl/>
              </w:rPr>
              <w:t>لبنية التحتية للهوية الرقمية</w:t>
            </w:r>
            <w:r>
              <w:rPr>
                <w:rFonts w:eastAsiaTheme="minorEastAsia" w:hint="cs"/>
                <w:rtl/>
                <w:lang w:eastAsia="zh-CN" w:bidi="ar-LB"/>
              </w:rPr>
              <w:t xml:space="preserve">؛ </w:t>
            </w:r>
            <w:r>
              <w:rPr>
                <w:rFonts w:ascii="Calibri" w:eastAsia="SimSun" w:hAnsi="Calibri" w:hint="cs"/>
                <w:b/>
                <w:rtl/>
              </w:rPr>
              <w:t xml:space="preserve">مشروع </w:t>
            </w:r>
            <w:r w:rsidRPr="003360CE">
              <w:rPr>
                <w:rFonts w:ascii="Calibri" w:eastAsia="SimSun" w:hAnsi="Calibri" w:hint="cs"/>
                <w:b/>
                <w:rtl/>
              </w:rPr>
              <w:t>توصية</w:t>
            </w:r>
            <w:r>
              <w:rPr>
                <w:rFonts w:ascii="Calibri" w:eastAsia="SimSun" w:hAnsi="Calibri" w:hint="cs"/>
                <w:b/>
                <w:rtl/>
              </w:rPr>
              <w:t>؛ محلي</w:t>
            </w:r>
          </w:p>
        </w:tc>
      </w:tr>
      <w:tr w:rsidR="0017388B" w:rsidTr="00282F56">
        <w:tc>
          <w:tcPr>
            <w:tcW w:w="1636" w:type="dxa"/>
          </w:tcPr>
          <w:p w:rsidR="0017388B" w:rsidRPr="00591406" w:rsidRDefault="0017388B" w:rsidP="00282F56">
            <w:pPr>
              <w:rPr>
                <w:b/>
                <w:bCs/>
                <w:rtl/>
                <w:lang w:bidi="ar-EG"/>
              </w:rPr>
            </w:pPr>
            <w:r>
              <w:rPr>
                <w:rFonts w:hint="cs"/>
                <w:b/>
                <w:bCs/>
                <w:rtl/>
                <w:lang w:bidi="ar-EG"/>
              </w:rPr>
              <w:t>ملخص:</w:t>
            </w:r>
          </w:p>
        </w:tc>
        <w:tc>
          <w:tcPr>
            <w:tcW w:w="7993" w:type="dxa"/>
          </w:tcPr>
          <w:p w:rsidR="0017388B" w:rsidRDefault="00EA4B81" w:rsidP="00991490">
            <w:pPr>
              <w:rPr>
                <w:rtl/>
                <w:lang w:bidi="ar-EG"/>
              </w:rPr>
            </w:pPr>
            <w:r>
              <w:rPr>
                <w:rFonts w:hint="cs"/>
                <w:color w:val="000000"/>
                <w:rtl/>
              </w:rPr>
              <w:t>يتمثل اختصاص قطاع تقييس الاتصالات في معالجة ال</w:t>
            </w:r>
            <w:r>
              <w:rPr>
                <w:rFonts w:hint="cs"/>
                <w:color w:val="000000"/>
                <w:rtl/>
                <w:lang w:bidi="ar-LB"/>
              </w:rPr>
              <w:t>قضايا</w:t>
            </w:r>
            <w:r>
              <w:rPr>
                <w:rFonts w:hint="cs"/>
                <w:color w:val="000000"/>
                <w:rtl/>
              </w:rPr>
              <w:t xml:space="preserve"> الدولية. غير أن</w:t>
            </w:r>
            <w:r w:rsidRPr="002C4A8C">
              <w:rPr>
                <w:rFonts w:hint="cs"/>
                <w:color w:val="000000"/>
                <w:rtl/>
              </w:rPr>
              <w:t xml:space="preserve"> </w:t>
            </w:r>
            <w:r w:rsidR="00991490">
              <w:rPr>
                <w:rFonts w:hint="cs"/>
                <w:color w:val="000000"/>
                <w:rtl/>
              </w:rPr>
              <w:t>مشروع التوصية الجديدة</w:t>
            </w:r>
            <w:r w:rsidRPr="002C4A8C">
              <w:rPr>
                <w:rFonts w:ascii="Calibri" w:eastAsia="SimSun" w:hAnsi="Calibri" w:hint="cs"/>
                <w:rtl/>
              </w:rPr>
              <w:t xml:space="preserve"> </w:t>
            </w:r>
            <w:r w:rsidR="00991490">
              <w:rPr>
                <w:rFonts w:ascii="Calibri" w:eastAsia="SimSun" w:hAnsi="Calibri" w:hint="cs"/>
                <w:rtl/>
              </w:rPr>
              <w:t>ل</w:t>
            </w:r>
            <w:r w:rsidRPr="002C4A8C">
              <w:rPr>
                <w:rFonts w:ascii="Calibri" w:eastAsia="SimSun" w:hAnsi="Calibri" w:hint="cs"/>
                <w:rtl/>
              </w:rPr>
              <w:t xml:space="preserve">قطاع تقييس الاتصالات </w:t>
            </w:r>
            <w:proofErr w:type="spellStart"/>
            <w:r w:rsidRPr="00F17A72">
              <w:rPr>
                <w:rFonts w:asciiTheme="majorBidi" w:eastAsia="SimSun" w:hAnsiTheme="majorBidi" w:cstheme="majorBidi"/>
              </w:rPr>
              <w:t>D.DigID</w:t>
            </w:r>
            <w:proofErr w:type="spellEnd"/>
            <w:r>
              <w:rPr>
                <w:rFonts w:ascii="Calibri" w:eastAsia="SimSun" w:hAnsi="Calibri" w:hint="cs"/>
                <w:rtl/>
              </w:rPr>
              <w:t xml:space="preserve"> هو وصف لحل وطني </w:t>
            </w:r>
            <w:proofErr w:type="spellStart"/>
            <w:r>
              <w:rPr>
                <w:rFonts w:ascii="Calibri" w:eastAsia="SimSun" w:hAnsi="Calibri" w:hint="cs"/>
                <w:rtl/>
              </w:rPr>
              <w:t>للاستيقان</w:t>
            </w:r>
            <w:proofErr w:type="spellEnd"/>
            <w:r>
              <w:rPr>
                <w:rFonts w:ascii="Calibri" w:eastAsia="SimSun" w:hAnsi="Calibri" w:hint="cs"/>
                <w:rtl/>
              </w:rPr>
              <w:t>. والتوصية التي تستند إلى نهج وطني متبع في</w:t>
            </w:r>
            <w:r>
              <w:rPr>
                <w:rFonts w:ascii="Calibri" w:eastAsia="SimSun" w:hAnsi="Calibri" w:hint="eastAsia"/>
                <w:rtl/>
              </w:rPr>
              <w:t> </w:t>
            </w:r>
            <w:r>
              <w:rPr>
                <w:rFonts w:ascii="Calibri" w:eastAsia="SimSun" w:hAnsi="Calibri" w:hint="cs"/>
                <w:rtl/>
              </w:rPr>
              <w:t>بلد واحد تُعدّ توصية غير ملائمة ولا تتفق مع دور الاتحاد الدولي للاتصالات. وهي، للسبب نفسه، لا</w:t>
            </w:r>
            <w:r w:rsidR="005E1A4A">
              <w:rPr>
                <w:rFonts w:ascii="Calibri" w:eastAsia="SimSun" w:hAnsi="Calibri" w:hint="eastAsia"/>
                <w:rtl/>
              </w:rPr>
              <w:t> </w:t>
            </w:r>
            <w:r>
              <w:rPr>
                <w:rFonts w:ascii="Calibri" w:eastAsia="SimSun" w:hAnsi="Calibri" w:hint="cs"/>
                <w:rtl/>
              </w:rPr>
              <w:t xml:space="preserve">تنتمي إلى نوع حالات الاستخدام التي تسعى </w:t>
            </w:r>
            <w:r w:rsidR="005E1A4A">
              <w:rPr>
                <w:rFonts w:ascii="Calibri" w:eastAsia="SimSun" w:hAnsi="Calibri" w:hint="cs"/>
                <w:rtl/>
              </w:rPr>
              <w:t>إلى دراستها</w:t>
            </w:r>
            <w:r>
              <w:rPr>
                <w:rFonts w:ascii="Calibri" w:eastAsia="SimSun" w:hAnsi="Calibri" w:hint="cs"/>
                <w:rtl/>
              </w:rPr>
              <w:t xml:space="preserve"> لجنة الدراسات</w:t>
            </w:r>
            <w:r w:rsidR="005E1A4A">
              <w:rPr>
                <w:rFonts w:ascii="Calibri" w:eastAsia="SimSun" w:hAnsi="Calibri" w:hint="eastAsia"/>
                <w:rtl/>
              </w:rPr>
              <w:t> </w:t>
            </w:r>
            <w:r w:rsidRPr="00F17A72">
              <w:rPr>
                <w:rFonts w:asciiTheme="majorBidi" w:eastAsia="SimSun" w:hAnsiTheme="majorBidi" w:cstheme="majorBidi"/>
              </w:rPr>
              <w:t>17</w:t>
            </w:r>
            <w:r>
              <w:rPr>
                <w:rFonts w:ascii="Calibri" w:eastAsia="SimSun" w:hAnsi="Calibri" w:hint="cs"/>
                <w:rtl/>
                <w:lang w:bidi="ar-LB"/>
              </w:rPr>
              <w:t>. وبالتالي فإن النص الحالي غير مناسب وغير مستقر وغير مدروس.</w:t>
            </w:r>
          </w:p>
        </w:tc>
      </w:tr>
      <w:tr w:rsidR="0017388B" w:rsidTr="00282F56">
        <w:tc>
          <w:tcPr>
            <w:tcW w:w="1636" w:type="dxa"/>
          </w:tcPr>
          <w:p w:rsidR="0017388B" w:rsidRDefault="0017388B" w:rsidP="00554C35">
            <w:pPr>
              <w:spacing w:before="0" w:line="120" w:lineRule="auto"/>
              <w:rPr>
                <w:b/>
                <w:bCs/>
                <w:rtl/>
                <w:lang w:bidi="ar-EG"/>
              </w:rPr>
            </w:pPr>
          </w:p>
        </w:tc>
        <w:tc>
          <w:tcPr>
            <w:tcW w:w="7993" w:type="dxa"/>
          </w:tcPr>
          <w:p w:rsidR="0017388B" w:rsidRDefault="0017388B" w:rsidP="00554C35">
            <w:pPr>
              <w:spacing w:before="0" w:line="120" w:lineRule="auto"/>
              <w:rPr>
                <w:rtl/>
                <w:lang w:bidi="ar-EG"/>
              </w:rPr>
            </w:pPr>
          </w:p>
        </w:tc>
      </w:tr>
    </w:tbl>
    <w:p w:rsidR="00EA4B81" w:rsidRDefault="00EA4B81" w:rsidP="00EA4B81">
      <w:pPr>
        <w:pStyle w:val="Headingb"/>
        <w:rPr>
          <w:rtl/>
        </w:rPr>
      </w:pPr>
      <w:r>
        <w:rPr>
          <w:rFonts w:hint="cs"/>
          <w:rtl/>
        </w:rPr>
        <w:t>المناقشة</w:t>
      </w:r>
    </w:p>
    <w:p w:rsidR="00EA4B81" w:rsidRPr="00341983" w:rsidRDefault="00EA4B81" w:rsidP="002738AD">
      <w:pPr>
        <w:rPr>
          <w:rtl/>
          <w:lang w:bidi="ar-LB"/>
        </w:rPr>
      </w:pPr>
      <w:r w:rsidRPr="00341983">
        <w:rPr>
          <w:rFonts w:hint="cs"/>
          <w:rtl/>
          <w:lang w:bidi="ar-SY"/>
        </w:rPr>
        <w:t>يستند نص الوثيقة</w:t>
      </w:r>
      <w:r w:rsidR="005D0011" w:rsidRPr="00341983">
        <w:rPr>
          <w:rFonts w:hint="cs"/>
          <w:rtl/>
          <w:lang w:bidi="ar-SY"/>
        </w:rPr>
        <w:t xml:space="preserve"> المؤقتة</w:t>
      </w:r>
      <w:r w:rsidRPr="00341983">
        <w:rPr>
          <w:rFonts w:hint="eastAsia"/>
          <w:rtl/>
          <w:lang w:bidi="ar-SY"/>
        </w:rPr>
        <w:t> </w:t>
      </w:r>
      <w:hyperlink r:id="rId13" w:history="1">
        <w:r w:rsidRPr="00341983">
          <w:rPr>
            <w:rStyle w:val="Hyperlink"/>
          </w:rPr>
          <w:t>TD10/WP3</w:t>
        </w:r>
      </w:hyperlink>
      <w:r w:rsidRPr="00341983">
        <w:rPr>
          <w:rStyle w:val="Hyperlink"/>
          <w:rFonts w:hint="cs"/>
          <w:color w:val="auto"/>
          <w:u w:val="none"/>
          <w:rtl/>
        </w:rPr>
        <w:t xml:space="preserve"> </w:t>
      </w:r>
      <w:r w:rsidR="002738AD">
        <w:rPr>
          <w:rStyle w:val="Hyperlink"/>
          <w:rFonts w:hint="cs"/>
          <w:color w:val="auto"/>
          <w:u w:val="none"/>
          <w:rtl/>
        </w:rPr>
        <w:t>إلى</w:t>
      </w:r>
      <w:r w:rsidRPr="00341983">
        <w:rPr>
          <w:rStyle w:val="Hyperlink"/>
          <w:rFonts w:hint="cs"/>
          <w:color w:val="auto"/>
          <w:u w:val="none"/>
          <w:rtl/>
        </w:rPr>
        <w:t xml:space="preserve"> جمع عدة بنود مستمدة من اجتماع لجنة الدراسات</w:t>
      </w:r>
      <w:r w:rsidR="00835825">
        <w:rPr>
          <w:rStyle w:val="Hyperlink"/>
          <w:rFonts w:hint="eastAsia"/>
          <w:color w:val="auto"/>
          <w:u w:val="none"/>
          <w:rtl/>
        </w:rPr>
        <w:t> </w:t>
      </w:r>
      <w:r w:rsidRPr="00341983">
        <w:rPr>
          <w:rStyle w:val="Hyperlink"/>
          <w:color w:val="auto"/>
          <w:u w:val="none"/>
        </w:rPr>
        <w:t>3</w:t>
      </w:r>
      <w:r w:rsidRPr="00341983">
        <w:rPr>
          <w:rStyle w:val="Hyperlink"/>
          <w:rFonts w:hint="cs"/>
          <w:color w:val="auto"/>
          <w:u w:val="none"/>
          <w:rtl/>
          <w:lang w:bidi="ar-LB"/>
        </w:rPr>
        <w:t xml:space="preserve"> في أبريل </w:t>
      </w:r>
      <w:r w:rsidRPr="00341983">
        <w:rPr>
          <w:rStyle w:val="Hyperlink"/>
          <w:color w:val="auto"/>
          <w:u w:val="none"/>
          <w:lang w:bidi="ar-LB"/>
        </w:rPr>
        <w:t>2017</w:t>
      </w:r>
      <w:r w:rsidRPr="00341983">
        <w:rPr>
          <w:rStyle w:val="Hyperlink"/>
          <w:rFonts w:hint="cs"/>
          <w:color w:val="auto"/>
          <w:u w:val="none"/>
          <w:rtl/>
          <w:lang w:bidi="ar-LB"/>
        </w:rPr>
        <w:t>: الوثيقة</w:t>
      </w:r>
      <w:r w:rsidR="00CB2FE6">
        <w:rPr>
          <w:rStyle w:val="Hyperlink"/>
          <w:rFonts w:hint="cs"/>
          <w:color w:val="auto"/>
          <w:u w:val="none"/>
          <w:rtl/>
          <w:lang w:bidi="ar-LB"/>
        </w:rPr>
        <w:t xml:space="preserve"> المؤقتة</w:t>
      </w:r>
      <w:r w:rsidRPr="00341983">
        <w:rPr>
          <w:rStyle w:val="Hyperlink"/>
          <w:rFonts w:hint="eastAsia"/>
          <w:color w:val="auto"/>
          <w:u w:val="none"/>
          <w:rtl/>
          <w:lang w:bidi="ar-LB"/>
        </w:rPr>
        <w:t> </w:t>
      </w:r>
      <w:hyperlink r:id="rId14" w:history="1">
        <w:r w:rsidRPr="00341983">
          <w:rPr>
            <w:rStyle w:val="Hyperlink"/>
          </w:rPr>
          <w:t>TD2 (WP3/3)</w:t>
        </w:r>
      </w:hyperlink>
      <w:r w:rsidRPr="00341983">
        <w:rPr>
          <w:rStyle w:val="Hyperlink"/>
          <w:rFonts w:hint="cs"/>
          <w:color w:val="auto"/>
          <w:u w:val="none"/>
          <w:rtl/>
          <w:lang w:bidi="ar-LB"/>
        </w:rPr>
        <w:t xml:space="preserve">، والمساهمة </w:t>
      </w:r>
      <w:hyperlink r:id="rId15" w:history="1">
        <w:r w:rsidRPr="00341983">
          <w:rPr>
            <w:rStyle w:val="Hyperlink"/>
          </w:rPr>
          <w:t>C238</w:t>
        </w:r>
      </w:hyperlink>
      <w:r w:rsidR="00D20E2F">
        <w:rPr>
          <w:rStyle w:val="Hyperlink"/>
          <w:rFonts w:hint="cs"/>
          <w:color w:val="auto"/>
          <w:u w:val="none"/>
          <w:rtl/>
          <w:lang w:bidi="ar-LB"/>
        </w:rPr>
        <w:t xml:space="preserve"> (من فترة الدراسة</w:t>
      </w:r>
      <w:r w:rsidRPr="00341983">
        <w:rPr>
          <w:rStyle w:val="Hyperlink"/>
          <w:rFonts w:hint="cs"/>
          <w:color w:val="auto"/>
          <w:u w:val="none"/>
          <w:rtl/>
          <w:lang w:bidi="ar-LB"/>
        </w:rPr>
        <w:t xml:space="preserve"> </w:t>
      </w:r>
      <w:r w:rsidRPr="00341983">
        <w:rPr>
          <w:rStyle w:val="Hyperlink"/>
          <w:color w:val="auto"/>
          <w:u w:val="none"/>
          <w:lang w:bidi="ar-LB"/>
        </w:rPr>
        <w:t>2016-2013</w:t>
      </w:r>
      <w:r w:rsidRPr="00341983">
        <w:rPr>
          <w:rStyle w:val="Hyperlink"/>
          <w:rFonts w:hint="cs"/>
          <w:color w:val="auto"/>
          <w:u w:val="none"/>
          <w:rtl/>
          <w:lang w:bidi="ar-LB"/>
        </w:rPr>
        <w:t>)، وبيان الاتصال</w:t>
      </w:r>
      <w:r w:rsidR="00D20E2F">
        <w:rPr>
          <w:rStyle w:val="Hyperlink"/>
          <w:rFonts w:hint="eastAsia"/>
          <w:color w:val="auto"/>
          <w:u w:val="none"/>
          <w:rtl/>
          <w:lang w:bidi="ar-LB"/>
        </w:rPr>
        <w:t> </w:t>
      </w:r>
      <w:r w:rsidR="00D20E2F">
        <w:rPr>
          <w:rStyle w:val="Hyperlink"/>
          <w:color w:val="auto"/>
          <w:u w:val="none"/>
          <w:lang w:bidi="ar-LB"/>
        </w:rPr>
        <w:t>(LS)</w:t>
      </w:r>
      <w:r w:rsidRPr="00341983">
        <w:rPr>
          <w:rStyle w:val="Hyperlink"/>
          <w:rFonts w:hint="cs"/>
          <w:color w:val="auto"/>
          <w:u w:val="none"/>
          <w:rtl/>
          <w:lang w:bidi="ar-LB"/>
        </w:rPr>
        <w:t xml:space="preserve"> المرسل إلى لجنة الدراسات</w:t>
      </w:r>
      <w:r w:rsidR="005D0011" w:rsidRPr="00341983">
        <w:rPr>
          <w:rStyle w:val="Hyperlink"/>
          <w:rFonts w:hint="eastAsia"/>
          <w:color w:val="auto"/>
          <w:u w:val="none"/>
          <w:rtl/>
          <w:lang w:bidi="ar-LB"/>
        </w:rPr>
        <w:t> </w:t>
      </w:r>
      <w:r w:rsidRPr="00341983">
        <w:rPr>
          <w:rStyle w:val="Hyperlink"/>
          <w:color w:val="auto"/>
          <w:u w:val="none"/>
          <w:lang w:bidi="ar-LB"/>
        </w:rPr>
        <w:t>17</w:t>
      </w:r>
      <w:r w:rsidRPr="00341983">
        <w:rPr>
          <w:rStyle w:val="Hyperlink"/>
          <w:rFonts w:hint="cs"/>
          <w:color w:val="auto"/>
          <w:u w:val="none"/>
          <w:rtl/>
          <w:lang w:bidi="ar-LB"/>
        </w:rPr>
        <w:t xml:space="preserve"> والوارد في</w:t>
      </w:r>
      <w:r w:rsidR="005D0011" w:rsidRPr="00341983">
        <w:rPr>
          <w:rStyle w:val="Hyperlink"/>
          <w:rFonts w:hint="eastAsia"/>
          <w:color w:val="auto"/>
          <w:u w:val="none"/>
          <w:rtl/>
          <w:lang w:bidi="ar-LB"/>
        </w:rPr>
        <w:t> </w:t>
      </w:r>
      <w:r w:rsidRPr="00341983">
        <w:rPr>
          <w:rStyle w:val="Hyperlink"/>
          <w:rFonts w:hint="cs"/>
          <w:color w:val="auto"/>
          <w:u w:val="none"/>
          <w:rtl/>
          <w:lang w:bidi="ar-LB"/>
        </w:rPr>
        <w:t>الوثيقة</w:t>
      </w:r>
      <w:r w:rsidR="00CB2FE6">
        <w:rPr>
          <w:rStyle w:val="Hyperlink"/>
          <w:rFonts w:hint="cs"/>
          <w:color w:val="auto"/>
          <w:u w:val="none"/>
          <w:rtl/>
          <w:lang w:bidi="ar-LB"/>
        </w:rPr>
        <w:t xml:space="preserve"> المؤقتة</w:t>
      </w:r>
      <w:r w:rsidRPr="00341983">
        <w:rPr>
          <w:rStyle w:val="Hyperlink"/>
          <w:rFonts w:hint="eastAsia"/>
          <w:color w:val="auto"/>
          <w:u w:val="none"/>
          <w:rtl/>
          <w:lang w:bidi="ar-LB"/>
        </w:rPr>
        <w:t> </w:t>
      </w:r>
      <w:hyperlink r:id="rId16" w:history="1">
        <w:r w:rsidRPr="00341983">
          <w:rPr>
            <w:rStyle w:val="Hyperlink"/>
          </w:rPr>
          <w:t>TD376</w:t>
        </w:r>
      </w:hyperlink>
      <w:r w:rsidRPr="00341983">
        <w:rPr>
          <w:rStyle w:val="Hyperlink"/>
          <w:rFonts w:hint="cs"/>
          <w:color w:val="auto"/>
          <w:u w:val="none"/>
          <w:rtl/>
          <w:lang w:bidi="ar-LB"/>
        </w:rPr>
        <w:t xml:space="preserve"> </w:t>
      </w:r>
      <w:r w:rsidRPr="00341983">
        <w:rPr>
          <w:rStyle w:val="Hyperlink"/>
          <w:color w:val="auto"/>
          <w:u w:val="none"/>
          <w:lang w:bidi="ar-LB"/>
        </w:rPr>
        <w:t>(2016</w:t>
      </w:r>
      <w:r w:rsidRPr="00341983">
        <w:rPr>
          <w:rStyle w:val="Hyperlink"/>
          <w:color w:val="auto"/>
          <w:u w:val="none"/>
          <w:lang w:bidi="ar-LB"/>
        </w:rPr>
        <w:noBreakHyphen/>
        <w:t>2013)</w:t>
      </w:r>
      <w:r w:rsidRPr="00341983">
        <w:rPr>
          <w:rStyle w:val="Hyperlink"/>
          <w:rFonts w:hint="cs"/>
          <w:color w:val="auto"/>
          <w:u w:val="none"/>
          <w:rtl/>
          <w:lang w:bidi="ar-LB"/>
        </w:rPr>
        <w:t>، وبيان الاتصال الوارد في الوثيقة</w:t>
      </w:r>
      <w:r w:rsidR="00CB2FE6">
        <w:rPr>
          <w:rStyle w:val="Hyperlink"/>
          <w:rFonts w:hint="cs"/>
          <w:color w:val="auto"/>
          <w:u w:val="none"/>
          <w:rtl/>
          <w:lang w:bidi="ar-LB"/>
        </w:rPr>
        <w:t xml:space="preserve"> المؤقتة</w:t>
      </w:r>
      <w:r w:rsidRPr="00341983">
        <w:rPr>
          <w:rStyle w:val="Hyperlink"/>
          <w:rFonts w:hint="cs"/>
          <w:color w:val="auto"/>
          <w:u w:val="none"/>
          <w:rtl/>
          <w:lang w:bidi="ar-LB"/>
        </w:rPr>
        <w:t xml:space="preserve"> </w:t>
      </w:r>
      <w:hyperlink r:id="rId17" w:history="1">
        <w:r w:rsidRPr="00341983">
          <w:rPr>
            <w:rStyle w:val="Hyperlink"/>
          </w:rPr>
          <w:t>TD3-GEN</w:t>
        </w:r>
      </w:hyperlink>
      <w:r w:rsidRPr="00341983">
        <w:rPr>
          <w:rStyle w:val="Hyperlink"/>
          <w:rFonts w:hint="cs"/>
          <w:u w:val="none"/>
          <w:rtl/>
        </w:rPr>
        <w:t xml:space="preserve"> </w:t>
      </w:r>
      <w:r w:rsidRPr="00341983">
        <w:rPr>
          <w:rStyle w:val="Hyperlink"/>
          <w:rFonts w:hint="cs"/>
          <w:color w:val="auto"/>
          <w:u w:val="none"/>
          <w:rtl/>
          <w:lang w:bidi="ar-LB"/>
        </w:rPr>
        <w:t>كردّ من لجنة الدراسات</w:t>
      </w:r>
      <w:r w:rsidR="00341983">
        <w:rPr>
          <w:rStyle w:val="Hyperlink"/>
          <w:rFonts w:hint="eastAsia"/>
          <w:color w:val="auto"/>
          <w:u w:val="none"/>
          <w:rtl/>
          <w:lang w:bidi="ar-LB"/>
        </w:rPr>
        <w:t> </w:t>
      </w:r>
      <w:r w:rsidRPr="00341983">
        <w:rPr>
          <w:rStyle w:val="Hyperlink"/>
          <w:color w:val="auto"/>
          <w:u w:val="none"/>
          <w:lang w:bidi="ar-LB"/>
        </w:rPr>
        <w:t>17</w:t>
      </w:r>
      <w:r w:rsidRPr="00341983">
        <w:rPr>
          <w:rStyle w:val="Hyperlink"/>
          <w:rFonts w:hint="cs"/>
          <w:color w:val="auto"/>
          <w:u w:val="none"/>
          <w:rtl/>
          <w:lang w:bidi="ar-LB"/>
        </w:rPr>
        <w:t>. ومع ذلك، ففي العام الماضي نظر عدد من</w:t>
      </w:r>
      <w:r w:rsidR="00E66D75" w:rsidRPr="00341983">
        <w:rPr>
          <w:rStyle w:val="Hyperlink"/>
          <w:rFonts w:hint="eastAsia"/>
          <w:color w:val="auto"/>
          <w:u w:val="none"/>
          <w:rtl/>
          <w:lang w:bidi="ar-LB"/>
        </w:rPr>
        <w:t> </w:t>
      </w:r>
      <w:r w:rsidRPr="00341983">
        <w:rPr>
          <w:rStyle w:val="Hyperlink"/>
          <w:rFonts w:hint="cs"/>
          <w:color w:val="auto"/>
          <w:u w:val="none"/>
          <w:rtl/>
          <w:lang w:bidi="ar-LB"/>
        </w:rPr>
        <w:t>الدول الأعضاء إلى المشروع بقلق نظراً إلى أن الوصف الذي يقدمه للنظام يكتسي الطابع الوطني، لا</w:t>
      </w:r>
      <w:r w:rsidR="00341983">
        <w:rPr>
          <w:rStyle w:val="Hyperlink"/>
          <w:rFonts w:hint="eastAsia"/>
          <w:color w:val="auto"/>
          <w:u w:val="none"/>
          <w:rtl/>
          <w:lang w:bidi="ar-LB"/>
        </w:rPr>
        <w:t> </w:t>
      </w:r>
      <w:r w:rsidRPr="00341983">
        <w:rPr>
          <w:rStyle w:val="Hyperlink"/>
          <w:rFonts w:hint="cs"/>
          <w:color w:val="auto"/>
          <w:u w:val="none"/>
          <w:rtl/>
          <w:lang w:bidi="ar-LB"/>
        </w:rPr>
        <w:t>الدولي، وبالتالي لا</w:t>
      </w:r>
      <w:r w:rsidR="005D0011" w:rsidRPr="00341983">
        <w:rPr>
          <w:rStyle w:val="Hyperlink"/>
          <w:rFonts w:hint="eastAsia"/>
          <w:color w:val="auto"/>
          <w:u w:val="none"/>
          <w:rtl/>
          <w:lang w:bidi="ar-LB"/>
        </w:rPr>
        <w:t> </w:t>
      </w:r>
      <w:r w:rsidRPr="00341983">
        <w:rPr>
          <w:rStyle w:val="Hyperlink"/>
          <w:rFonts w:hint="cs"/>
          <w:color w:val="auto"/>
          <w:u w:val="none"/>
          <w:rtl/>
          <w:lang w:bidi="ar-LB"/>
        </w:rPr>
        <w:t xml:space="preserve">يُعدّ مناسباً لعمل </w:t>
      </w:r>
      <w:r w:rsidRPr="00341983">
        <w:rPr>
          <w:rStyle w:val="Hyperlink"/>
          <w:rFonts w:hint="cs"/>
          <w:color w:val="auto"/>
          <w:u w:val="none"/>
          <w:rtl/>
        </w:rPr>
        <w:t xml:space="preserve">لجنة الدراسات </w:t>
      </w:r>
      <w:r w:rsidRPr="00341983">
        <w:rPr>
          <w:rStyle w:val="Hyperlink"/>
          <w:color w:val="auto"/>
          <w:u w:val="none"/>
        </w:rPr>
        <w:t>3</w:t>
      </w:r>
      <w:r w:rsidRPr="00341983">
        <w:rPr>
          <w:rStyle w:val="Hyperlink"/>
          <w:rFonts w:hint="cs"/>
          <w:color w:val="auto"/>
          <w:u w:val="none"/>
          <w:rtl/>
        </w:rPr>
        <w:t xml:space="preserve"> ولا لأن يشكل "حالة استخدام"</w:t>
      </w:r>
      <w:r w:rsidRPr="00341983">
        <w:rPr>
          <w:rStyle w:val="Hyperlink"/>
          <w:rFonts w:hint="cs"/>
          <w:color w:val="auto"/>
          <w:u w:val="none"/>
          <w:rtl/>
          <w:lang w:bidi="ar-LB"/>
        </w:rPr>
        <w:t xml:space="preserve"> بالنسبة للجنة الدراسات</w:t>
      </w:r>
      <w:r w:rsidR="00CB2FE6">
        <w:rPr>
          <w:rStyle w:val="Hyperlink"/>
          <w:rFonts w:hint="eastAsia"/>
          <w:color w:val="auto"/>
          <w:u w:val="none"/>
          <w:rtl/>
          <w:lang w:bidi="ar-LB"/>
        </w:rPr>
        <w:t> </w:t>
      </w:r>
      <w:r w:rsidRPr="00341983">
        <w:rPr>
          <w:rStyle w:val="Hyperlink"/>
          <w:color w:val="auto"/>
          <w:u w:val="none"/>
          <w:lang w:bidi="ar-LB"/>
        </w:rPr>
        <w:t>17</w:t>
      </w:r>
      <w:r w:rsidRPr="00341983">
        <w:rPr>
          <w:rStyle w:val="Hyperlink"/>
          <w:rFonts w:hint="cs"/>
          <w:color w:val="auto"/>
          <w:u w:val="none"/>
          <w:rtl/>
          <w:lang w:bidi="ar-LB"/>
        </w:rPr>
        <w:t>.</w:t>
      </w:r>
    </w:p>
    <w:p w:rsidR="00EA4B81" w:rsidRDefault="00EA4B81" w:rsidP="0087238C">
      <w:pPr>
        <w:rPr>
          <w:rtl/>
          <w:lang w:bidi="ar-LB"/>
        </w:rPr>
      </w:pPr>
      <w:r>
        <w:rPr>
          <w:rFonts w:hint="cs"/>
          <w:rtl/>
          <w:lang w:bidi="ar-SY"/>
        </w:rPr>
        <w:t xml:space="preserve">ويساور الولايات المتحدة قلق من أن النص الحالي قد يسبب التباساً مماثلاً، وذلك لثلاثة أسباب: </w:t>
      </w:r>
      <w:r>
        <w:rPr>
          <w:lang w:bidi="ar-SY"/>
        </w:rPr>
        <w:t>(1)</w:t>
      </w:r>
      <w:r w:rsidR="00D20E2F">
        <w:rPr>
          <w:rFonts w:hint="eastAsia"/>
          <w:rtl/>
          <w:lang w:bidi="ar-LB"/>
        </w:rPr>
        <w:t> </w:t>
      </w:r>
      <w:r>
        <w:rPr>
          <w:rFonts w:hint="cs"/>
          <w:rtl/>
          <w:lang w:bidi="ar-LB"/>
        </w:rPr>
        <w:t xml:space="preserve">أن النص يستمر بوصف نظام وطني، وهو أمر يقع خارج نطاق مهمة لجنة الدراسات هذه؛ </w:t>
      </w:r>
      <w:r>
        <w:rPr>
          <w:lang w:bidi="ar-LB"/>
        </w:rPr>
        <w:t>(2)</w:t>
      </w:r>
      <w:r>
        <w:rPr>
          <w:rFonts w:hint="cs"/>
          <w:rtl/>
          <w:lang w:bidi="ar-LB"/>
        </w:rPr>
        <w:t xml:space="preserve"> وأن </w:t>
      </w:r>
      <w:r w:rsidR="0087238C">
        <w:rPr>
          <w:rFonts w:hint="cs"/>
          <w:rtl/>
          <w:lang w:bidi="ar-LB"/>
        </w:rPr>
        <w:t>الأنظمة</w:t>
      </w:r>
      <w:r>
        <w:rPr>
          <w:rFonts w:hint="cs"/>
          <w:rtl/>
          <w:lang w:bidi="ar-LB"/>
        </w:rPr>
        <w:t xml:space="preserve"> </w:t>
      </w:r>
      <w:r>
        <w:rPr>
          <w:rFonts w:hint="cs"/>
          <w:rtl/>
          <w:lang w:bidi="ar-LB"/>
        </w:rPr>
        <w:lastRenderedPageBreak/>
        <w:t>الوطنية لتعرّف الهوية لا تمثل بالنسبة للجنة الدراسات</w:t>
      </w:r>
      <w:r w:rsidR="0087238C">
        <w:rPr>
          <w:rFonts w:hint="eastAsia"/>
          <w:rtl/>
          <w:lang w:bidi="ar-LB"/>
        </w:rPr>
        <w:t> </w:t>
      </w:r>
      <w:r w:rsidR="00FC4EB9">
        <w:rPr>
          <w:lang w:bidi="ar-LB"/>
        </w:rPr>
        <w:t>1</w:t>
      </w:r>
      <w:r>
        <w:rPr>
          <w:lang w:bidi="ar-LB"/>
        </w:rPr>
        <w:t>7</w:t>
      </w:r>
      <w:r>
        <w:rPr>
          <w:rFonts w:hint="cs"/>
          <w:rtl/>
          <w:lang w:bidi="ar-LB"/>
        </w:rPr>
        <w:t xml:space="preserve"> "حالات استخدام" مفيدة للهوية الرقمية؛ </w:t>
      </w:r>
      <w:r>
        <w:rPr>
          <w:lang w:bidi="ar-LB"/>
        </w:rPr>
        <w:t>(3)</w:t>
      </w:r>
      <w:r>
        <w:rPr>
          <w:rFonts w:hint="cs"/>
          <w:rtl/>
          <w:lang w:bidi="ar-LB"/>
        </w:rPr>
        <w:t xml:space="preserve"> وأن طرق حماية البيانات الشخصية تختلف باختلاف الدول الأعضاء.</w:t>
      </w:r>
    </w:p>
    <w:p w:rsidR="00EA4B81" w:rsidRDefault="00EA4B81" w:rsidP="007E6707">
      <w:pPr>
        <w:rPr>
          <w:rtl/>
          <w:lang w:bidi="ar-LB"/>
        </w:rPr>
      </w:pPr>
      <w:r w:rsidRPr="00C221E4">
        <w:rPr>
          <w:rFonts w:hint="cs"/>
          <w:i/>
          <w:iCs/>
          <w:rtl/>
          <w:lang w:bidi="ar-LB"/>
        </w:rPr>
        <w:t>الأمر الأول والأهم</w:t>
      </w:r>
      <w:r>
        <w:rPr>
          <w:rFonts w:hint="cs"/>
          <w:rtl/>
          <w:lang w:bidi="ar-LB"/>
        </w:rPr>
        <w:t xml:space="preserve"> هو أن مقدمة الوثيقة</w:t>
      </w:r>
      <w:r w:rsidR="00033828">
        <w:rPr>
          <w:rFonts w:hint="cs"/>
          <w:rtl/>
          <w:lang w:bidi="ar-EG"/>
        </w:rPr>
        <w:t xml:space="preserve"> المؤقتة</w:t>
      </w:r>
      <w:r>
        <w:rPr>
          <w:rFonts w:hint="cs"/>
          <w:rtl/>
          <w:lang w:bidi="ar-LB"/>
        </w:rPr>
        <w:t xml:space="preserve"> </w:t>
      </w:r>
      <w:r>
        <w:t>TD10/WP3</w:t>
      </w:r>
      <w:r>
        <w:rPr>
          <w:rFonts w:hint="cs"/>
          <w:rtl/>
        </w:rPr>
        <w:t xml:space="preserve"> توضح أنها تتناول نظاماً "محمولاً وطنياً" للتحقق من الهوية يمكن استعماله لتوزيع الإعانات الحكومية أو تحصيل الضرائب. فكلمة "دولي" لا تظهر أبداً في مشروع التوصية. ومع ذلك، ووفقاً للحكم</w:t>
      </w:r>
      <w:r w:rsidR="00E66D75">
        <w:rPr>
          <w:rFonts w:hint="eastAsia"/>
          <w:rtl/>
        </w:rPr>
        <w:t> </w:t>
      </w:r>
      <w:r w:rsidR="007E6707">
        <w:t>193</w:t>
      </w:r>
      <w:r>
        <w:rPr>
          <w:rFonts w:hint="cs"/>
          <w:rtl/>
          <w:lang w:bidi="ar-LB"/>
        </w:rPr>
        <w:t xml:space="preserve"> من ا</w:t>
      </w:r>
      <w:r>
        <w:rPr>
          <w:rFonts w:hint="cs"/>
          <w:rtl/>
        </w:rPr>
        <w:t>لمادة</w:t>
      </w:r>
      <w:r w:rsidR="001623F9">
        <w:rPr>
          <w:rFonts w:hint="eastAsia"/>
          <w:rtl/>
        </w:rPr>
        <w:t> </w:t>
      </w:r>
      <w:r>
        <w:t>14</w:t>
      </w:r>
      <w:r>
        <w:rPr>
          <w:rFonts w:hint="cs"/>
          <w:rtl/>
          <w:lang w:bidi="ar-LB"/>
        </w:rPr>
        <w:t xml:space="preserve"> من الاتفاقية، ينبغي أن تقوم لجان الدراسات في مكتب تقييس الاتصالات "</w:t>
      </w:r>
      <w:r w:rsidRPr="00B64C5B">
        <w:rPr>
          <w:rFonts w:hint="cs"/>
          <w:rtl/>
          <w:lang w:bidi="ar-LB"/>
        </w:rPr>
        <w:t>بتقييس الاتصالات</w:t>
      </w:r>
      <w:r w:rsidRPr="00C221E4">
        <w:rPr>
          <w:rFonts w:hint="cs"/>
          <w:i/>
          <w:iCs/>
          <w:rtl/>
          <w:lang w:bidi="ar-LB"/>
        </w:rPr>
        <w:t xml:space="preserve"> على الصعيد العالمي</w:t>
      </w:r>
      <w:r>
        <w:rPr>
          <w:rFonts w:hint="cs"/>
          <w:rtl/>
          <w:lang w:bidi="ar-LB"/>
        </w:rPr>
        <w:t>" (التشديد مضاف). يضاف إلى ذلك أن الولايات المتحدة لا تعتقد أن المعالجة الحاسوبية للاستيقان تصلح لأن تطلق عليه صفة</w:t>
      </w:r>
      <w:r w:rsidR="00B64C5B">
        <w:rPr>
          <w:rFonts w:hint="eastAsia"/>
          <w:rtl/>
          <w:lang w:bidi="ar-EG"/>
        </w:rPr>
        <w:t> </w:t>
      </w:r>
      <w:r>
        <w:rPr>
          <w:rFonts w:hint="cs"/>
          <w:rtl/>
          <w:lang w:bidi="ar-LB"/>
        </w:rPr>
        <w:t>"الاتصالات".</w:t>
      </w:r>
      <w:r>
        <w:rPr>
          <w:rStyle w:val="FootnoteReference"/>
          <w:rtl/>
          <w:lang w:bidi="ar-LB"/>
        </w:rPr>
        <w:footnoteReference w:id="1"/>
      </w:r>
      <w:r>
        <w:rPr>
          <w:rFonts w:hint="cs"/>
          <w:rtl/>
          <w:lang w:bidi="ar-LB"/>
        </w:rPr>
        <w:t xml:space="preserve"> أخيراً، لا تظهر في النص عبارة "قابل للتشغيل البيني". وهذا سبب وجيه: لأن </w:t>
      </w:r>
      <w:r w:rsidR="0087238C">
        <w:rPr>
          <w:rFonts w:hint="cs"/>
          <w:rtl/>
          <w:lang w:bidi="ar-LB"/>
        </w:rPr>
        <w:t>أنظمة</w:t>
      </w:r>
      <w:r>
        <w:rPr>
          <w:rFonts w:hint="cs"/>
          <w:rtl/>
          <w:lang w:bidi="ar-LB"/>
        </w:rPr>
        <w:t xml:space="preserve"> الاستيقان </w:t>
      </w:r>
      <w:r w:rsidRPr="00C221E4">
        <w:rPr>
          <w:rFonts w:hint="cs"/>
          <w:i/>
          <w:iCs/>
          <w:rtl/>
          <w:lang w:bidi="ar-LB"/>
        </w:rPr>
        <w:t>ليست</w:t>
      </w:r>
      <w:r>
        <w:rPr>
          <w:rFonts w:hint="cs"/>
          <w:rtl/>
          <w:lang w:bidi="ar-LB"/>
        </w:rPr>
        <w:t xml:space="preserve"> مصمّمة لأن</w:t>
      </w:r>
      <w:r w:rsidR="00E66D75">
        <w:rPr>
          <w:rFonts w:hint="eastAsia"/>
          <w:rtl/>
          <w:lang w:bidi="ar-LB"/>
        </w:rPr>
        <w:t> </w:t>
      </w:r>
      <w:r>
        <w:rPr>
          <w:rFonts w:hint="cs"/>
          <w:rtl/>
          <w:lang w:bidi="ar-LB"/>
        </w:rPr>
        <w:t>تكون قابلة للتشغيل البيني، عادة</w:t>
      </w:r>
      <w:r w:rsidR="00AD04B4">
        <w:rPr>
          <w:rFonts w:hint="cs"/>
          <w:rtl/>
          <w:lang w:bidi="ar-LB"/>
        </w:rPr>
        <w:t>ً</w:t>
      </w:r>
      <w:r>
        <w:rPr>
          <w:rFonts w:hint="cs"/>
          <w:rtl/>
          <w:lang w:bidi="ar-LB"/>
        </w:rPr>
        <w:t xml:space="preserve"> لأسباب أمنية وطنية. ومع ذلك، فإن هذا المشروع، بوصفه نظاماً </w:t>
      </w:r>
      <w:r w:rsidR="00D34DE1">
        <w:rPr>
          <w:rFonts w:hint="cs"/>
          <w:rtl/>
          <w:lang w:bidi="ar-LB"/>
        </w:rPr>
        <w:t xml:space="preserve">وطنياً </w:t>
      </w:r>
      <w:r>
        <w:rPr>
          <w:rFonts w:hint="cs"/>
          <w:rtl/>
          <w:lang w:bidi="ar-LB"/>
        </w:rPr>
        <w:t>قائماً بذاته، لا</w:t>
      </w:r>
      <w:r w:rsidR="00E66D75">
        <w:rPr>
          <w:rFonts w:hint="eastAsia"/>
          <w:rtl/>
          <w:lang w:bidi="ar-LB"/>
        </w:rPr>
        <w:t> </w:t>
      </w:r>
      <w:r>
        <w:rPr>
          <w:rFonts w:hint="cs"/>
          <w:rtl/>
          <w:lang w:bidi="ar-LB"/>
        </w:rPr>
        <w:t xml:space="preserve">يحقق الهدف الأساسي للاتحاد: وهو السعي من أجل "عالم مترابط" والنهوض به، عملاً بالقسم </w:t>
      </w:r>
      <w:r>
        <w:rPr>
          <w:lang w:bidi="ar-LB"/>
        </w:rPr>
        <w:t>1.2</w:t>
      </w:r>
      <w:r>
        <w:rPr>
          <w:rFonts w:hint="cs"/>
          <w:rtl/>
          <w:lang w:bidi="ar-LB"/>
        </w:rPr>
        <w:t xml:space="preserve"> من الملحق</w:t>
      </w:r>
      <w:r w:rsidR="00116BC5">
        <w:rPr>
          <w:rFonts w:hint="eastAsia"/>
          <w:rtl/>
          <w:lang w:bidi="ar-LB"/>
        </w:rPr>
        <w:t> </w:t>
      </w:r>
      <w:r>
        <w:rPr>
          <w:lang w:bidi="ar-LB"/>
        </w:rPr>
        <w:t>2</w:t>
      </w:r>
      <w:r>
        <w:rPr>
          <w:rFonts w:hint="cs"/>
          <w:rtl/>
          <w:lang w:bidi="ar-LB"/>
        </w:rPr>
        <w:t xml:space="preserve"> بالقرار</w:t>
      </w:r>
      <w:r w:rsidR="00E66D75">
        <w:rPr>
          <w:rFonts w:hint="eastAsia"/>
          <w:rtl/>
          <w:lang w:bidi="ar-LB"/>
        </w:rPr>
        <w:t> </w:t>
      </w:r>
      <w:r>
        <w:rPr>
          <w:lang w:bidi="ar-LB"/>
        </w:rPr>
        <w:t>71</w:t>
      </w:r>
      <w:r>
        <w:rPr>
          <w:rFonts w:hint="cs"/>
          <w:rtl/>
          <w:lang w:bidi="ar-LB"/>
        </w:rPr>
        <w:t xml:space="preserve"> لمؤتمر</w:t>
      </w:r>
      <w:r w:rsidR="00E66D75">
        <w:rPr>
          <w:rFonts w:hint="eastAsia"/>
          <w:rtl/>
          <w:lang w:bidi="ar-LB"/>
        </w:rPr>
        <w:t> </w:t>
      </w:r>
      <w:r>
        <w:rPr>
          <w:rFonts w:hint="cs"/>
          <w:rtl/>
          <w:lang w:bidi="ar-LB"/>
        </w:rPr>
        <w:t xml:space="preserve">المندوبين المفوضين لعام </w:t>
      </w:r>
      <w:r>
        <w:rPr>
          <w:lang w:bidi="ar-LB"/>
        </w:rPr>
        <w:t>2014</w:t>
      </w:r>
      <w:r>
        <w:rPr>
          <w:rFonts w:hint="cs"/>
          <w:rtl/>
          <w:lang w:bidi="ar-LB"/>
        </w:rPr>
        <w:t>.</w:t>
      </w:r>
    </w:p>
    <w:p w:rsidR="00EA4B81" w:rsidRDefault="00EA4B81" w:rsidP="00E66D75">
      <w:pPr>
        <w:rPr>
          <w:rtl/>
          <w:lang w:bidi="ar-LB"/>
        </w:rPr>
      </w:pPr>
      <w:r>
        <w:rPr>
          <w:rFonts w:hint="cs"/>
          <w:rtl/>
          <w:lang w:bidi="ar-LB"/>
        </w:rPr>
        <w:t>بناء</w:t>
      </w:r>
      <w:r w:rsidR="00AD04B4">
        <w:rPr>
          <w:rFonts w:hint="cs"/>
          <w:rtl/>
          <w:lang w:bidi="ar-LB"/>
        </w:rPr>
        <w:t>ً</w:t>
      </w:r>
      <w:r>
        <w:rPr>
          <w:rFonts w:hint="cs"/>
          <w:rtl/>
          <w:lang w:bidi="ar-LB"/>
        </w:rPr>
        <w:t xml:space="preserve"> على ذلك، وحسبما قرأناه، لا تتسم الوثيقة</w:t>
      </w:r>
      <w:r w:rsidR="007E6707">
        <w:rPr>
          <w:rFonts w:hint="cs"/>
          <w:rtl/>
          <w:lang w:bidi="ar-LB"/>
        </w:rPr>
        <w:t xml:space="preserve"> المؤقتة</w:t>
      </w:r>
      <w:r>
        <w:rPr>
          <w:rFonts w:hint="cs"/>
          <w:rtl/>
          <w:lang w:bidi="ar-LB"/>
        </w:rPr>
        <w:t xml:space="preserve"> </w:t>
      </w:r>
      <w:r>
        <w:t>TD10/WP3</w:t>
      </w:r>
      <w:r>
        <w:rPr>
          <w:rFonts w:hint="cs"/>
          <w:rtl/>
        </w:rPr>
        <w:t xml:space="preserve"> ونظام الاستيقان المحلي الوارد فيها بطابع الاتصالات أو</w:t>
      </w:r>
      <w:r w:rsidR="00E66D75">
        <w:rPr>
          <w:rFonts w:hint="eastAsia"/>
          <w:rtl/>
        </w:rPr>
        <w:t> </w:t>
      </w:r>
      <w:r>
        <w:rPr>
          <w:rFonts w:hint="cs"/>
          <w:rtl/>
        </w:rPr>
        <w:t>الترابط أو</w:t>
      </w:r>
      <w:r w:rsidR="00E66D75">
        <w:rPr>
          <w:rFonts w:hint="eastAsia"/>
          <w:rtl/>
        </w:rPr>
        <w:t> </w:t>
      </w:r>
      <w:r>
        <w:rPr>
          <w:rFonts w:hint="cs"/>
          <w:rtl/>
        </w:rPr>
        <w:t xml:space="preserve">الطابع العالمي. وعليه يبدو أن النص الحالي يخرج عن نطاق عمل لجنة الدراسات </w:t>
      </w:r>
      <w:r>
        <w:t>3</w:t>
      </w:r>
      <w:r>
        <w:rPr>
          <w:rFonts w:hint="cs"/>
          <w:rtl/>
          <w:lang w:bidi="ar-LB"/>
        </w:rPr>
        <w:t xml:space="preserve"> وولاية الاتحاد.</w:t>
      </w:r>
    </w:p>
    <w:p w:rsidR="00EA4B81" w:rsidRDefault="00EA4B81" w:rsidP="00FC36E2">
      <w:pPr>
        <w:rPr>
          <w:rtl/>
          <w:lang w:bidi="ar-LB"/>
        </w:rPr>
      </w:pPr>
      <w:r w:rsidRPr="00AD04B4">
        <w:rPr>
          <w:rFonts w:hint="cs"/>
          <w:i/>
          <w:iCs/>
          <w:rtl/>
          <w:lang w:bidi="ar-LB"/>
        </w:rPr>
        <w:t>ثانياً</w:t>
      </w:r>
      <w:r w:rsidRPr="00E66D75">
        <w:rPr>
          <w:rFonts w:hint="cs"/>
          <w:rtl/>
          <w:lang w:bidi="ar-LB"/>
        </w:rPr>
        <w:t xml:space="preserve">، لسنا متأكدين مما إذا كان هذه النص يلبي توجهات فرقة العمل. فقد طلب </w:t>
      </w:r>
      <w:hyperlink r:id="rId18" w:history="1">
        <w:r w:rsidRPr="00E66D75">
          <w:rPr>
            <w:rStyle w:val="Hyperlink"/>
            <w:rFonts w:hint="cs"/>
            <w:rtl/>
            <w:lang w:bidi="ar-LB"/>
          </w:rPr>
          <w:t xml:space="preserve">تقرير فرقة العمل </w:t>
        </w:r>
        <w:r w:rsidRPr="00E66D75">
          <w:rPr>
            <w:rStyle w:val="Hyperlink"/>
            <w:lang w:bidi="ar-LB"/>
          </w:rPr>
          <w:t>3/3</w:t>
        </w:r>
        <w:r w:rsidRPr="00E66D75">
          <w:rPr>
            <w:rStyle w:val="Hyperlink"/>
            <w:rFonts w:hint="cs"/>
            <w:rtl/>
            <w:lang w:bidi="ar-LB"/>
          </w:rPr>
          <w:t xml:space="preserve"> لعام </w:t>
        </w:r>
        <w:r w:rsidRPr="00E66D75">
          <w:rPr>
            <w:rStyle w:val="Hyperlink"/>
            <w:lang w:bidi="ar-LB"/>
          </w:rPr>
          <w:t>2017</w:t>
        </w:r>
        <w:r w:rsidRPr="00E66D75">
          <w:rPr>
            <w:rStyle w:val="Hyperlink"/>
            <w:rFonts w:hint="cs"/>
            <w:rtl/>
            <w:lang w:bidi="ar-LB"/>
          </w:rPr>
          <w:t xml:space="preserve"> (القسم</w:t>
        </w:r>
        <w:r w:rsidR="00FC36E2">
          <w:rPr>
            <w:rStyle w:val="Hyperlink"/>
            <w:rFonts w:hint="eastAsia"/>
            <w:rtl/>
            <w:lang w:bidi="ar-LB"/>
          </w:rPr>
          <w:t> </w:t>
        </w:r>
        <w:r w:rsidRPr="00E66D75">
          <w:rPr>
            <w:rStyle w:val="Hyperlink"/>
            <w:lang w:bidi="ar-LB"/>
          </w:rPr>
          <w:t>1.3.3</w:t>
        </w:r>
        <w:r w:rsidRPr="00E66D75">
          <w:rPr>
            <w:rStyle w:val="Hyperlink"/>
            <w:rFonts w:hint="cs"/>
            <w:rtl/>
            <w:lang w:bidi="ar-LB"/>
          </w:rPr>
          <w:t>)</w:t>
        </w:r>
      </w:hyperlink>
      <w:r w:rsidRPr="00E66D75">
        <w:rPr>
          <w:rFonts w:hint="cs"/>
          <w:rtl/>
          <w:lang w:bidi="ar-LB"/>
        </w:rPr>
        <w:t xml:space="preserve"> إلى المق</w:t>
      </w:r>
      <w:r w:rsidR="00AD04B4">
        <w:rPr>
          <w:rFonts w:hint="cs"/>
          <w:rtl/>
          <w:lang w:bidi="ar-LB"/>
        </w:rPr>
        <w:t>ِّ</w:t>
      </w:r>
      <w:r w:rsidRPr="00E66D75">
        <w:rPr>
          <w:rFonts w:hint="cs"/>
          <w:rtl/>
          <w:lang w:bidi="ar-LB"/>
        </w:rPr>
        <w:t xml:space="preserve">رر أن ينظر في بيان الاتصال الوارد من لجنة الدراسات </w:t>
      </w:r>
      <w:r w:rsidRPr="00E66D75">
        <w:rPr>
          <w:lang w:bidi="ar-LB"/>
        </w:rPr>
        <w:t>17</w:t>
      </w:r>
      <w:r w:rsidRPr="00E66D75">
        <w:rPr>
          <w:rFonts w:hint="cs"/>
          <w:rtl/>
          <w:lang w:bidi="ar-LB"/>
        </w:rPr>
        <w:t xml:space="preserve">، </w:t>
      </w:r>
      <w:hyperlink r:id="rId19" w:history="1">
        <w:r w:rsidRPr="00E66D75">
          <w:rPr>
            <w:rStyle w:val="Hyperlink"/>
            <w:rFonts w:hint="cs"/>
            <w:rtl/>
            <w:lang w:bidi="ar-LB"/>
          </w:rPr>
          <w:t xml:space="preserve">ومشروع "حالات استخدام" موصى بها للجنة الدراسات </w:t>
        </w:r>
        <w:r w:rsidRPr="00E66D75">
          <w:rPr>
            <w:rStyle w:val="Hyperlink"/>
            <w:lang w:bidi="ar-LB"/>
          </w:rPr>
          <w:t>17</w:t>
        </w:r>
      </w:hyperlink>
      <w:r w:rsidRPr="00E66D75">
        <w:rPr>
          <w:rFonts w:hint="cs"/>
          <w:rtl/>
          <w:lang w:bidi="ar-LB"/>
        </w:rPr>
        <w:t xml:space="preserve">؛ </w:t>
      </w:r>
      <w:hyperlink r:id="rId20" w:history="1">
        <w:r w:rsidRPr="00E66D75">
          <w:rPr>
            <w:rStyle w:val="Hyperlink"/>
            <w:rFonts w:hint="cs"/>
            <w:rtl/>
            <w:lang w:bidi="ar-LB"/>
          </w:rPr>
          <w:t>ويفترض بهذه الأخيرة أن تضع المعايير الضرورية</w:t>
        </w:r>
      </w:hyperlink>
      <w:r w:rsidRPr="00E66D75">
        <w:rPr>
          <w:rFonts w:hint="cs"/>
          <w:rtl/>
          <w:lang w:bidi="ar-LB"/>
        </w:rPr>
        <w:t xml:space="preserve">. ومع أن لجنة الدراسات </w:t>
      </w:r>
      <w:r w:rsidRPr="00E66D75">
        <w:rPr>
          <w:lang w:bidi="ar-LB"/>
        </w:rPr>
        <w:t>17</w:t>
      </w:r>
      <w:r w:rsidRPr="00E66D75">
        <w:rPr>
          <w:rFonts w:hint="cs"/>
          <w:rtl/>
          <w:lang w:bidi="ar-LB"/>
        </w:rPr>
        <w:t xml:space="preserve"> هي لجنة الدراسات الرئيسية المعنية بإدارة الهوية، بما</w:t>
      </w:r>
      <w:r w:rsidR="00E66D75">
        <w:rPr>
          <w:rFonts w:hint="eastAsia"/>
          <w:rtl/>
          <w:lang w:bidi="ar-LB"/>
        </w:rPr>
        <w:t> </w:t>
      </w:r>
      <w:r w:rsidRPr="00E66D75">
        <w:rPr>
          <w:rFonts w:hint="cs"/>
          <w:rtl/>
          <w:lang w:bidi="ar-LB"/>
        </w:rPr>
        <w:t>في</w:t>
      </w:r>
      <w:r w:rsidR="00E66D75">
        <w:rPr>
          <w:rFonts w:hint="eastAsia"/>
          <w:rtl/>
          <w:lang w:bidi="ar-LB"/>
        </w:rPr>
        <w:t> </w:t>
      </w:r>
      <w:r w:rsidRPr="00E66D75">
        <w:rPr>
          <w:rFonts w:hint="cs"/>
          <w:rtl/>
          <w:lang w:bidi="ar-LB"/>
        </w:rPr>
        <w:t>ذلك القياس الحيوي عن ب</w:t>
      </w:r>
      <w:r w:rsidR="00AD04B4">
        <w:rPr>
          <w:rFonts w:hint="cs"/>
          <w:rtl/>
          <w:lang w:bidi="ar-LB"/>
        </w:rPr>
        <w:t>ُ</w:t>
      </w:r>
      <w:r w:rsidRPr="00E66D75">
        <w:rPr>
          <w:rFonts w:hint="cs"/>
          <w:rtl/>
          <w:lang w:bidi="ar-LB"/>
        </w:rPr>
        <w:t xml:space="preserve">عد، فإنها تسعى للحصول على حالات استخدام </w:t>
      </w:r>
      <w:r w:rsidRPr="00E66D75">
        <w:rPr>
          <w:rFonts w:hint="cs"/>
          <w:i/>
          <w:iCs/>
          <w:rtl/>
          <w:lang w:bidi="ar-LB"/>
        </w:rPr>
        <w:t>دولية</w:t>
      </w:r>
      <w:r w:rsidRPr="00E66D75">
        <w:rPr>
          <w:rFonts w:hint="cs"/>
          <w:rtl/>
          <w:lang w:bidi="ar-LB"/>
        </w:rPr>
        <w:t>؛ ولسنا على علم بأن لجنة الدراسات</w:t>
      </w:r>
      <w:r w:rsidR="00E66D75">
        <w:rPr>
          <w:rFonts w:hint="eastAsia"/>
          <w:rtl/>
        </w:rPr>
        <w:t> </w:t>
      </w:r>
      <w:r w:rsidRPr="00E66D75">
        <w:rPr>
          <w:lang w:bidi="ar-LB"/>
        </w:rPr>
        <w:t>17</w:t>
      </w:r>
      <w:r w:rsidRPr="00E66D75">
        <w:rPr>
          <w:rFonts w:hint="cs"/>
          <w:rtl/>
          <w:lang w:bidi="ar-LB"/>
        </w:rPr>
        <w:t xml:space="preserve"> تدرس أنظمة محلية </w:t>
      </w:r>
      <w:proofErr w:type="gramStart"/>
      <w:r w:rsidRPr="00E66D75">
        <w:rPr>
          <w:rFonts w:hint="cs"/>
          <w:rtl/>
          <w:lang w:bidi="ar-LB"/>
        </w:rPr>
        <w:t>صرفة</w:t>
      </w:r>
      <w:proofErr w:type="gramEnd"/>
      <w:r w:rsidRPr="00E66D75">
        <w:rPr>
          <w:rFonts w:hint="cs"/>
          <w:rtl/>
          <w:lang w:bidi="ar-LB"/>
        </w:rPr>
        <w:t>.</w:t>
      </w:r>
    </w:p>
    <w:p w:rsidR="00EA4B81" w:rsidRPr="00E66D75" w:rsidRDefault="00EA4B81" w:rsidP="0015149F">
      <w:pPr>
        <w:rPr>
          <w:spacing w:val="-4"/>
          <w:rtl/>
          <w:lang w:bidi="ar-LB"/>
        </w:rPr>
      </w:pPr>
      <w:r w:rsidRPr="00AD04B4">
        <w:rPr>
          <w:rFonts w:hint="cs"/>
          <w:i/>
          <w:iCs/>
          <w:rtl/>
          <w:lang w:bidi="ar-LB"/>
        </w:rPr>
        <w:t>ثالثاً</w:t>
      </w:r>
      <w:r>
        <w:rPr>
          <w:rFonts w:hint="cs"/>
          <w:rtl/>
          <w:lang w:bidi="ar-LB"/>
        </w:rPr>
        <w:t>، تختلف س</w:t>
      </w:r>
      <w:r w:rsidR="007E6707">
        <w:rPr>
          <w:rFonts w:hint="cs"/>
          <w:rtl/>
          <w:lang w:bidi="ar-LB"/>
        </w:rPr>
        <w:t>ُ</w:t>
      </w:r>
      <w:r>
        <w:rPr>
          <w:rFonts w:hint="cs"/>
          <w:rtl/>
          <w:lang w:bidi="ar-LB"/>
        </w:rPr>
        <w:t>ب</w:t>
      </w:r>
      <w:r w:rsidR="007E6707">
        <w:rPr>
          <w:rFonts w:hint="cs"/>
          <w:rtl/>
          <w:lang w:bidi="ar-LB"/>
        </w:rPr>
        <w:t>ُ</w:t>
      </w:r>
      <w:r>
        <w:rPr>
          <w:rFonts w:hint="cs"/>
          <w:rtl/>
          <w:lang w:bidi="ar-LB"/>
        </w:rPr>
        <w:t>ل حماية معلومات الاستيقان داخل الحدود الخاصة بالدول باختلاف الدول الأعضاء، بما في ذلك المعلومات المحدِّدة لهوية الشخص</w:t>
      </w:r>
      <w:r w:rsidR="006B142D">
        <w:rPr>
          <w:rFonts w:hint="eastAsia"/>
          <w:rtl/>
          <w:lang w:bidi="ar-LB"/>
        </w:rPr>
        <w:t> </w:t>
      </w:r>
      <w:r>
        <w:rPr>
          <w:lang w:bidi="ar-LB"/>
        </w:rPr>
        <w:t>(PII)</w:t>
      </w:r>
      <w:r>
        <w:rPr>
          <w:rFonts w:hint="cs"/>
          <w:rtl/>
          <w:lang w:bidi="ar-LB"/>
        </w:rPr>
        <w:t xml:space="preserve">. لذلك لا يمكن إطلاقاً لأي نظام استيقان أن يكون عالمياً. وبالفعل، فقد تتغير القوانين المحلية مع الوقت، </w:t>
      </w:r>
      <w:r w:rsidRPr="00E66D75">
        <w:rPr>
          <w:rFonts w:hint="cs"/>
          <w:spacing w:val="-4"/>
          <w:rtl/>
          <w:lang w:bidi="ar-LB"/>
        </w:rPr>
        <w:t>ما</w:t>
      </w:r>
      <w:r w:rsidR="00E66D75" w:rsidRPr="00E66D75">
        <w:rPr>
          <w:rFonts w:hint="eastAsia"/>
          <w:spacing w:val="-4"/>
          <w:rtl/>
          <w:lang w:bidi="ar-LB"/>
        </w:rPr>
        <w:t> </w:t>
      </w:r>
      <w:r w:rsidRPr="00E66D75">
        <w:rPr>
          <w:rFonts w:hint="cs"/>
          <w:spacing w:val="-4"/>
          <w:rtl/>
          <w:lang w:bidi="ar-LB"/>
        </w:rPr>
        <w:t>قد يفرض إجراء تغييرات مكلفة ومتوافقة عكسياً في أي نظام للقياس الحيوي. وهذا ما يجعل توصية لجنة الدراسات</w:t>
      </w:r>
      <w:r w:rsidR="0015149F">
        <w:rPr>
          <w:rFonts w:hint="eastAsia"/>
          <w:spacing w:val="-4"/>
          <w:rtl/>
          <w:lang w:bidi="ar-LB"/>
        </w:rPr>
        <w:t> </w:t>
      </w:r>
      <w:r w:rsidRPr="00E66D75">
        <w:rPr>
          <w:spacing w:val="-4"/>
          <w:lang w:bidi="ar-LB"/>
        </w:rPr>
        <w:t>3</w:t>
      </w:r>
      <w:r w:rsidRPr="00E66D75">
        <w:rPr>
          <w:rFonts w:hint="cs"/>
          <w:spacing w:val="-4"/>
          <w:rtl/>
          <w:lang w:bidi="ar-LB"/>
        </w:rPr>
        <w:t xml:space="preserve"> مسألة شائكة.</w:t>
      </w:r>
    </w:p>
    <w:p w:rsidR="00EA4B81" w:rsidRDefault="00EA4B81" w:rsidP="00EA4B81">
      <w:pPr>
        <w:rPr>
          <w:rtl/>
        </w:rPr>
      </w:pPr>
      <w:r>
        <w:rPr>
          <w:rFonts w:hint="cs"/>
          <w:rtl/>
          <w:lang w:bidi="ar-LB"/>
        </w:rPr>
        <w:t>وباختصار، فإن الوثيقة</w:t>
      </w:r>
      <w:r w:rsidR="00C82EA7">
        <w:rPr>
          <w:rFonts w:hint="cs"/>
          <w:rtl/>
          <w:lang w:bidi="ar-LB"/>
        </w:rPr>
        <w:t xml:space="preserve"> المؤقتة</w:t>
      </w:r>
      <w:r>
        <w:rPr>
          <w:rFonts w:hint="cs"/>
          <w:rtl/>
          <w:lang w:bidi="ar-LB"/>
        </w:rPr>
        <w:t xml:space="preserve"> </w:t>
      </w:r>
      <w:r>
        <w:t>TD10/WP3</w:t>
      </w:r>
      <w:r>
        <w:rPr>
          <w:rFonts w:hint="cs"/>
          <w:rtl/>
        </w:rPr>
        <w:t xml:space="preserve"> لا تعدو كونها وصفاً لحالة استخدام محلية. ومع أنها قد تشكل نظاماً ممتازاً، لكن حالة الاستخدام المحلية ينبغي ألا تصبح تلقائياً مشروع توصية. وعليه فإن هذا النص ليس مناسباً أو مستقراً أو مدروساً.</w:t>
      </w:r>
    </w:p>
    <w:p w:rsidR="00EA4B81" w:rsidRPr="00C05EFB" w:rsidRDefault="00EA4B81" w:rsidP="00EA4B81">
      <w:r>
        <w:rPr>
          <w:color w:val="000000"/>
          <w:rtl/>
        </w:rPr>
        <w:t>وتطلب الولايات المتحدة إتاحة هذه المساهمة لعامة الجمهور دون قيود</w:t>
      </w:r>
      <w:r>
        <w:rPr>
          <w:rFonts w:hint="cs"/>
          <w:color w:val="000000"/>
          <w:rtl/>
        </w:rPr>
        <w:t>.</w:t>
      </w:r>
    </w:p>
    <w:p w:rsidR="00977C13" w:rsidRDefault="00EA4B81" w:rsidP="00E66D75">
      <w:pPr>
        <w:spacing w:before="600"/>
        <w:jc w:val="center"/>
        <w:rPr>
          <w:rtl/>
        </w:rPr>
      </w:pPr>
      <w:r>
        <w:rPr>
          <w:rFonts w:hint="cs"/>
          <w:rtl/>
        </w:rPr>
        <w:t>___________</w:t>
      </w:r>
      <w:bookmarkStart w:id="8" w:name="_GoBack"/>
      <w:bookmarkEnd w:id="8"/>
    </w:p>
    <w:sectPr w:rsidR="00977C13" w:rsidSect="008B5B5D">
      <w:head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EC" w:rsidRDefault="000F60EC" w:rsidP="00E07379">
      <w:pPr>
        <w:spacing w:before="0" w:line="240" w:lineRule="auto"/>
      </w:pPr>
      <w:r>
        <w:separator/>
      </w:r>
    </w:p>
  </w:endnote>
  <w:endnote w:type="continuationSeparator" w:id="0">
    <w:p w:rsidR="000F60EC" w:rsidRDefault="000F60E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9" w:rsidRPr="00EA4B81" w:rsidRDefault="00E07379" w:rsidP="00E07379">
    <w:pPr>
      <w:spacing w:before="0"/>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EC" w:rsidRDefault="000F60EC" w:rsidP="00E07379">
      <w:pPr>
        <w:spacing w:before="0" w:line="240" w:lineRule="auto"/>
      </w:pPr>
      <w:r>
        <w:separator/>
      </w:r>
    </w:p>
  </w:footnote>
  <w:footnote w:type="continuationSeparator" w:id="0">
    <w:p w:rsidR="000F60EC" w:rsidRDefault="000F60EC" w:rsidP="00E07379">
      <w:pPr>
        <w:spacing w:before="0" w:line="240" w:lineRule="auto"/>
      </w:pPr>
      <w:r>
        <w:continuationSeparator/>
      </w:r>
    </w:p>
  </w:footnote>
  <w:footnote w:id="1">
    <w:p w:rsidR="00EA4B81" w:rsidRDefault="00EA4B81" w:rsidP="00AD04B4">
      <w:pPr>
        <w:pStyle w:val="FootnoteText"/>
        <w:rPr>
          <w:lang w:bidi="ar-LB"/>
        </w:rPr>
      </w:pPr>
      <w:r>
        <w:rPr>
          <w:rStyle w:val="FootnoteReference"/>
        </w:rPr>
        <w:footnoteRef/>
      </w:r>
      <w:r w:rsidR="00AD04B4">
        <w:rPr>
          <w:rtl/>
        </w:rPr>
        <w:tab/>
      </w:r>
      <w:r>
        <w:rPr>
          <w:rFonts w:hint="cs"/>
          <w:rtl/>
          <w:lang w:bidi="ar-LB"/>
        </w:rPr>
        <w:t>استخدمت هذه الكلمة مرة واحدة فقط في الوثيقة</w:t>
      </w:r>
      <w:r w:rsidR="005A5396">
        <w:rPr>
          <w:rFonts w:hint="cs"/>
          <w:rtl/>
          <w:lang w:bidi="ar-LB"/>
        </w:rPr>
        <w:t xml:space="preserve"> المؤقتة</w:t>
      </w:r>
      <w:r>
        <w:rPr>
          <w:rFonts w:hint="cs"/>
          <w:rtl/>
          <w:lang w:bidi="ar-LB"/>
        </w:rPr>
        <w:t xml:space="preserve"> </w:t>
      </w:r>
      <w:r>
        <w:t>TD10/WP3</w:t>
      </w:r>
      <w:r>
        <w:rPr>
          <w:rFonts w:hint="cs"/>
          <w:rtl/>
        </w:rPr>
        <w:t>، وتحديداً في الملخص.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C03844" w:rsidP="00EA4B8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793971">
      <w:rPr>
        <w:rStyle w:val="PageNumber"/>
        <w:noProof/>
      </w:rPr>
      <w:t>2</w:t>
    </w:r>
    <w:r w:rsidR="0022345D" w:rsidRPr="008B5B5D">
      <w:rPr>
        <w:rStyle w:val="PageNumber"/>
      </w:rPr>
      <w:fldChar w:fldCharType="end"/>
    </w:r>
    <w:r>
      <w:rPr>
        <w:rStyle w:val="PageNumber"/>
      </w:rPr>
      <w:t xml:space="preserve"> -</w:t>
    </w:r>
    <w:r>
      <w:rPr>
        <w:rStyle w:val="PageNumber"/>
      </w:rPr>
      <w:br/>
    </w:r>
    <w:r>
      <w:rPr>
        <w:rStyle w:val="PageNumber"/>
        <w:lang w:bidi="ar-EG"/>
      </w:rPr>
      <w:t>SG</w:t>
    </w:r>
    <w:r w:rsidR="00EA4B81">
      <w:rPr>
        <w:rStyle w:val="PageNumber"/>
        <w:lang w:bidi="ar-EG"/>
      </w:rPr>
      <w:t>3</w:t>
    </w:r>
    <w:r>
      <w:rPr>
        <w:rStyle w:val="PageNumber"/>
        <w:lang w:bidi="ar-EG"/>
      </w:rPr>
      <w:noBreakHyphen/>
    </w:r>
    <w:r w:rsidR="009F1571">
      <w:rPr>
        <w:rStyle w:val="PageNumber"/>
        <w:lang w:bidi="ar-EG"/>
      </w:rPr>
      <w:t>C</w:t>
    </w:r>
    <w:r w:rsidR="00EA4B81">
      <w:rPr>
        <w:rStyle w:val="PageNumber"/>
        <w:lang w:bidi="ar-EG"/>
      </w:rPr>
      <w:t>194</w:t>
    </w:r>
    <w:r w:rsidR="00977C13">
      <w:rPr>
        <w:rStyle w:val="PageNumber"/>
        <w:lang w:bidi="ar-EG"/>
      </w:rPr>
      <w:noBreakHyphen/>
    </w:r>
    <w:r>
      <w:rPr>
        <w:rStyle w:val="PageNumber"/>
        <w:lang w:bidi="ar-EG"/>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EC"/>
    <w:rsid w:val="000124CC"/>
    <w:rsid w:val="00033828"/>
    <w:rsid w:val="00041F8B"/>
    <w:rsid w:val="00046444"/>
    <w:rsid w:val="0006023B"/>
    <w:rsid w:val="0008638B"/>
    <w:rsid w:val="00090574"/>
    <w:rsid w:val="00092FC2"/>
    <w:rsid w:val="000A1677"/>
    <w:rsid w:val="000B407F"/>
    <w:rsid w:val="000C13C2"/>
    <w:rsid w:val="000F0B1C"/>
    <w:rsid w:val="000F18D9"/>
    <w:rsid w:val="000F1D42"/>
    <w:rsid w:val="000F4D07"/>
    <w:rsid w:val="000F60EC"/>
    <w:rsid w:val="00102A03"/>
    <w:rsid w:val="001040A3"/>
    <w:rsid w:val="00116BC5"/>
    <w:rsid w:val="0015149F"/>
    <w:rsid w:val="001623F9"/>
    <w:rsid w:val="0017388B"/>
    <w:rsid w:val="00173915"/>
    <w:rsid w:val="00177DBF"/>
    <w:rsid w:val="001C172C"/>
    <w:rsid w:val="0022345D"/>
    <w:rsid w:val="00225854"/>
    <w:rsid w:val="0023283D"/>
    <w:rsid w:val="00252E0C"/>
    <w:rsid w:val="002557FD"/>
    <w:rsid w:val="002738AD"/>
    <w:rsid w:val="00276881"/>
    <w:rsid w:val="002866B4"/>
    <w:rsid w:val="00290A22"/>
    <w:rsid w:val="002916BE"/>
    <w:rsid w:val="002978F4"/>
    <w:rsid w:val="002B028D"/>
    <w:rsid w:val="002B435E"/>
    <w:rsid w:val="002C4DAE"/>
    <w:rsid w:val="002D6669"/>
    <w:rsid w:val="002E6541"/>
    <w:rsid w:val="002F5560"/>
    <w:rsid w:val="0030486B"/>
    <w:rsid w:val="00306C37"/>
    <w:rsid w:val="003231B9"/>
    <w:rsid w:val="003275AC"/>
    <w:rsid w:val="00333D29"/>
    <w:rsid w:val="003409F4"/>
    <w:rsid w:val="00341983"/>
    <w:rsid w:val="00357185"/>
    <w:rsid w:val="003B2596"/>
    <w:rsid w:val="003C475F"/>
    <w:rsid w:val="003E4132"/>
    <w:rsid w:val="003F678F"/>
    <w:rsid w:val="0042686F"/>
    <w:rsid w:val="004367CE"/>
    <w:rsid w:val="00443869"/>
    <w:rsid w:val="004712C6"/>
    <w:rsid w:val="00497703"/>
    <w:rsid w:val="004F0F06"/>
    <w:rsid w:val="0050145B"/>
    <w:rsid w:val="00501E0E"/>
    <w:rsid w:val="005204D7"/>
    <w:rsid w:val="00520551"/>
    <w:rsid w:val="00530420"/>
    <w:rsid w:val="00552BC5"/>
    <w:rsid w:val="00554C35"/>
    <w:rsid w:val="0055516A"/>
    <w:rsid w:val="0056374C"/>
    <w:rsid w:val="0056614F"/>
    <w:rsid w:val="0057656F"/>
    <w:rsid w:val="00576731"/>
    <w:rsid w:val="0059285F"/>
    <w:rsid w:val="005A24B1"/>
    <w:rsid w:val="005A5396"/>
    <w:rsid w:val="005B7B8A"/>
    <w:rsid w:val="005D0011"/>
    <w:rsid w:val="005D6476"/>
    <w:rsid w:val="005D6C0D"/>
    <w:rsid w:val="005E1A4A"/>
    <w:rsid w:val="005E5283"/>
    <w:rsid w:val="005E58F5"/>
    <w:rsid w:val="00606660"/>
    <w:rsid w:val="006157A3"/>
    <w:rsid w:val="00620E60"/>
    <w:rsid w:val="00632908"/>
    <w:rsid w:val="0063315A"/>
    <w:rsid w:val="0065591D"/>
    <w:rsid w:val="00662C5A"/>
    <w:rsid w:val="00670AF5"/>
    <w:rsid w:val="00676F24"/>
    <w:rsid w:val="006B142D"/>
    <w:rsid w:val="006B794A"/>
    <w:rsid w:val="006C1556"/>
    <w:rsid w:val="006F267F"/>
    <w:rsid w:val="006F63F7"/>
    <w:rsid w:val="006F6F03"/>
    <w:rsid w:val="0070567F"/>
    <w:rsid w:val="00706D7A"/>
    <w:rsid w:val="00726AEC"/>
    <w:rsid w:val="00726B3E"/>
    <w:rsid w:val="007530CA"/>
    <w:rsid w:val="00793971"/>
    <w:rsid w:val="0079553D"/>
    <w:rsid w:val="007B01CC"/>
    <w:rsid w:val="007E6707"/>
    <w:rsid w:val="007E7C6C"/>
    <w:rsid w:val="007F6238"/>
    <w:rsid w:val="007F646C"/>
    <w:rsid w:val="00801DAD"/>
    <w:rsid w:val="00801FCD"/>
    <w:rsid w:val="00803D7E"/>
    <w:rsid w:val="00803F08"/>
    <w:rsid w:val="008235CD"/>
    <w:rsid w:val="00823A07"/>
    <w:rsid w:val="0082586B"/>
    <w:rsid w:val="00835825"/>
    <w:rsid w:val="00835FEC"/>
    <w:rsid w:val="008513CB"/>
    <w:rsid w:val="0087238C"/>
    <w:rsid w:val="00874D9C"/>
    <w:rsid w:val="008862C1"/>
    <w:rsid w:val="008A1810"/>
    <w:rsid w:val="008B5B5D"/>
    <w:rsid w:val="00917694"/>
    <w:rsid w:val="009263CD"/>
    <w:rsid w:val="00930E6D"/>
    <w:rsid w:val="00972CA2"/>
    <w:rsid w:val="00977C13"/>
    <w:rsid w:val="00982B28"/>
    <w:rsid w:val="00984EA5"/>
    <w:rsid w:val="00991490"/>
    <w:rsid w:val="00992593"/>
    <w:rsid w:val="009C17E1"/>
    <w:rsid w:val="009C35ED"/>
    <w:rsid w:val="009F1571"/>
    <w:rsid w:val="009F1C12"/>
    <w:rsid w:val="00A124CB"/>
    <w:rsid w:val="00A2167A"/>
    <w:rsid w:val="00A25A43"/>
    <w:rsid w:val="00A3295B"/>
    <w:rsid w:val="00A42AE5"/>
    <w:rsid w:val="00A52B61"/>
    <w:rsid w:val="00A64820"/>
    <w:rsid w:val="00A71DD6"/>
    <w:rsid w:val="00A723C7"/>
    <w:rsid w:val="00A80E11"/>
    <w:rsid w:val="00A97F94"/>
    <w:rsid w:val="00AA51D1"/>
    <w:rsid w:val="00AB1309"/>
    <w:rsid w:val="00AC2C52"/>
    <w:rsid w:val="00AD04B4"/>
    <w:rsid w:val="00AD1503"/>
    <w:rsid w:val="00AE7244"/>
    <w:rsid w:val="00AF3FEE"/>
    <w:rsid w:val="00B02F46"/>
    <w:rsid w:val="00B2000C"/>
    <w:rsid w:val="00B20ADE"/>
    <w:rsid w:val="00B64C5B"/>
    <w:rsid w:val="00B66B9A"/>
    <w:rsid w:val="00B82089"/>
    <w:rsid w:val="00B970AE"/>
    <w:rsid w:val="00BA1427"/>
    <w:rsid w:val="00BB5C4C"/>
    <w:rsid w:val="00BE49D0"/>
    <w:rsid w:val="00BF2C38"/>
    <w:rsid w:val="00C03844"/>
    <w:rsid w:val="00C23331"/>
    <w:rsid w:val="00C265DA"/>
    <w:rsid w:val="00C442F2"/>
    <w:rsid w:val="00C674FE"/>
    <w:rsid w:val="00C7297D"/>
    <w:rsid w:val="00C75633"/>
    <w:rsid w:val="00C8242E"/>
    <w:rsid w:val="00C82615"/>
    <w:rsid w:val="00C82EA7"/>
    <w:rsid w:val="00C867DB"/>
    <w:rsid w:val="00C93547"/>
    <w:rsid w:val="00CA2A38"/>
    <w:rsid w:val="00CA50FF"/>
    <w:rsid w:val="00CB2FE6"/>
    <w:rsid w:val="00CC3CD2"/>
    <w:rsid w:val="00CC43BE"/>
    <w:rsid w:val="00CD123C"/>
    <w:rsid w:val="00CD2085"/>
    <w:rsid w:val="00CE2EE1"/>
    <w:rsid w:val="00CF3FFD"/>
    <w:rsid w:val="00CF5ED3"/>
    <w:rsid w:val="00D0494C"/>
    <w:rsid w:val="00D14BEB"/>
    <w:rsid w:val="00D20E2F"/>
    <w:rsid w:val="00D21C89"/>
    <w:rsid w:val="00D34DE1"/>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4453"/>
    <w:rsid w:val="00E45211"/>
    <w:rsid w:val="00E66D75"/>
    <w:rsid w:val="00E7380C"/>
    <w:rsid w:val="00E74BE7"/>
    <w:rsid w:val="00E86CC9"/>
    <w:rsid w:val="00E87A66"/>
    <w:rsid w:val="00E96624"/>
    <w:rsid w:val="00EA4B81"/>
    <w:rsid w:val="00F126F1"/>
    <w:rsid w:val="00F17A72"/>
    <w:rsid w:val="00F2106A"/>
    <w:rsid w:val="00F36D8B"/>
    <w:rsid w:val="00F401D0"/>
    <w:rsid w:val="00F40226"/>
    <w:rsid w:val="00F45F2B"/>
    <w:rsid w:val="00F57AE4"/>
    <w:rsid w:val="00F67150"/>
    <w:rsid w:val="00F84366"/>
    <w:rsid w:val="00F85089"/>
    <w:rsid w:val="00F85564"/>
    <w:rsid w:val="00F86CFA"/>
    <w:rsid w:val="00FC36E2"/>
    <w:rsid w:val="00FC4EB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29B1BD1-F91D-4B12-AE90-31CDB09E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inf/itu-t/md/17/sg03/td/180409/WP3/T17-SG03-180409-TD-WP3-0010!!MSW-E.docx" TargetMode="External"/><Relationship Id="rId18" Type="http://schemas.openxmlformats.org/officeDocument/2006/relationships/hyperlink" Target="https://www.itu.int/dms_ties/itu-t/md/17/sg03/r/T17-SG03-R-0004!!MSW-E.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cfrank@ntia.doc.gov" TargetMode="External"/><Relationship Id="rId17" Type="http://schemas.openxmlformats.org/officeDocument/2006/relationships/hyperlink" Target="https://www.itu.int/md/T17-SG03-170405-TD-GEN-0003/en" TargetMode="External"/><Relationship Id="rId2" Type="http://schemas.openxmlformats.org/officeDocument/2006/relationships/customXml" Target="../customXml/item2.xml"/><Relationship Id="rId16" Type="http://schemas.openxmlformats.org/officeDocument/2006/relationships/hyperlink" Target="https://www.itu.int/md/T13-SG03-160222-TD-PLEN-0376/en" TargetMode="External"/><Relationship Id="rId20" Type="http://schemas.openxmlformats.org/officeDocument/2006/relationships/hyperlink" Target="https://www.itu.int/md/T17-SG03-170405-TD-GEN-0003/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jarianpb@state.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T13-SG03-C-0238/en"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md/T17-SG03-170405-TD-GEN-000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SG03-170405-TD-WP3-0002/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COM-T_Con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e10a323-94a9-4e93-88b4-ea964576960d"/>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6A4D7-B0B0-4F05-AFF1-D06E77AC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PA_COM-T_Contribution.dotx</Template>
  <TotalTime>0</TotalTime>
  <Pages>2</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Author</cp:lastModifiedBy>
  <cp:revision>2</cp:revision>
  <cp:lastPrinted>2018-03-28T15:10:00Z</cp:lastPrinted>
  <dcterms:created xsi:type="dcterms:W3CDTF">2018-04-05T08:19:00Z</dcterms:created>
  <dcterms:modified xsi:type="dcterms:W3CDTF">2018-04-05T08:19:00Z</dcterms:modified>
  <cp:category>Conference document</cp:category>
</cp:coreProperties>
</file>