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6F20DD">
            <w:pPr>
              <w:rPr>
                <w:rFonts w:ascii="Verdana" w:hAnsi="Verdana" w:cs="Times New Roman Bold"/>
                <w:b/>
                <w:bCs/>
                <w:sz w:val="22"/>
                <w:szCs w:val="22"/>
              </w:rPr>
            </w:pPr>
            <w:r>
              <w:rPr>
                <w:noProof/>
                <w:lang w:val="en-US"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6F20DD">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6F20DD">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6F20DD">
            <w:pPr>
              <w:spacing w:before="0"/>
              <w:jc w:val="right"/>
            </w:pPr>
            <w:r>
              <w:rPr>
                <w:noProof/>
                <w:lang w:val="en-US"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6F20DD">
            <w:pPr>
              <w:spacing w:before="0"/>
            </w:pPr>
          </w:p>
        </w:tc>
        <w:tc>
          <w:tcPr>
            <w:tcW w:w="3198" w:type="dxa"/>
            <w:gridSpan w:val="2"/>
            <w:tcBorders>
              <w:bottom w:val="single" w:sz="12" w:space="0" w:color="auto"/>
            </w:tcBorders>
          </w:tcPr>
          <w:p w:rsidR="00F0220A" w:rsidRDefault="00F0220A" w:rsidP="006F20DD">
            <w:pPr>
              <w:spacing w:before="0"/>
            </w:pPr>
          </w:p>
        </w:tc>
      </w:tr>
      <w:tr w:rsidR="005A374D" w:rsidTr="004B520A">
        <w:trPr>
          <w:cantSplit/>
        </w:trPr>
        <w:tc>
          <w:tcPr>
            <w:tcW w:w="6613" w:type="dxa"/>
            <w:gridSpan w:val="2"/>
            <w:tcBorders>
              <w:top w:val="single" w:sz="12" w:space="0" w:color="auto"/>
            </w:tcBorders>
          </w:tcPr>
          <w:p w:rsidR="005A374D" w:rsidRDefault="005A374D" w:rsidP="006F20DD">
            <w:pPr>
              <w:spacing w:before="0"/>
            </w:pPr>
          </w:p>
        </w:tc>
        <w:tc>
          <w:tcPr>
            <w:tcW w:w="3198" w:type="dxa"/>
            <w:gridSpan w:val="2"/>
          </w:tcPr>
          <w:p w:rsidR="005A374D" w:rsidRPr="005A374D" w:rsidRDefault="005A374D" w:rsidP="006F20DD">
            <w:pPr>
              <w:spacing w:before="0"/>
              <w:rPr>
                <w:rFonts w:ascii="Verdana" w:hAnsi="Verdana"/>
                <w:b/>
                <w:bCs/>
                <w:sz w:val="20"/>
              </w:rPr>
            </w:pPr>
          </w:p>
        </w:tc>
      </w:tr>
      <w:tr w:rsidR="005904C2" w:rsidTr="004B520A">
        <w:trPr>
          <w:cantSplit/>
        </w:trPr>
        <w:tc>
          <w:tcPr>
            <w:tcW w:w="6613" w:type="dxa"/>
            <w:gridSpan w:val="2"/>
          </w:tcPr>
          <w:p w:rsidR="005904C2" w:rsidRPr="00B239FA" w:rsidRDefault="005904C2" w:rsidP="006F20DD">
            <w:pPr>
              <w:pStyle w:val="Committee"/>
              <w:framePr w:hSpace="0" w:wrap="auto" w:hAnchor="text" w:yAlign="inline"/>
              <w:spacing w:line="240" w:lineRule="auto"/>
            </w:pPr>
            <w:r>
              <w:t>SESIÓN PLENARIA</w:t>
            </w:r>
          </w:p>
        </w:tc>
        <w:tc>
          <w:tcPr>
            <w:tcW w:w="3198" w:type="dxa"/>
            <w:gridSpan w:val="2"/>
          </w:tcPr>
          <w:p w:rsidR="005904C2" w:rsidRPr="004157D7" w:rsidRDefault="005904C2" w:rsidP="006F20DD">
            <w:pPr>
              <w:spacing w:before="0"/>
              <w:rPr>
                <w:rFonts w:ascii="Verdana" w:hAnsi="Verdana"/>
                <w:b/>
                <w:bCs/>
                <w:sz w:val="20"/>
              </w:rPr>
            </w:pPr>
            <w:r w:rsidRPr="004157D7">
              <w:rPr>
                <w:rFonts w:ascii="Verdana" w:hAnsi="Verdana"/>
                <w:b/>
                <w:bCs/>
                <w:sz w:val="20"/>
              </w:rPr>
              <w:t xml:space="preserve">Documento </w:t>
            </w:r>
            <w:r>
              <w:rPr>
                <w:rFonts w:ascii="Verdana" w:hAnsi="Verdana"/>
                <w:b/>
                <w:bCs/>
                <w:sz w:val="20"/>
              </w:rPr>
              <w:t>77</w:t>
            </w:r>
            <w:r w:rsidRPr="004157D7">
              <w:rPr>
                <w:rFonts w:ascii="Verdana" w:hAnsi="Verdana"/>
                <w:b/>
                <w:bCs/>
                <w:sz w:val="20"/>
              </w:rPr>
              <w:t>-S</w:t>
            </w:r>
          </w:p>
        </w:tc>
      </w:tr>
      <w:tr w:rsidR="005904C2" w:rsidTr="004B520A">
        <w:trPr>
          <w:cantSplit/>
        </w:trPr>
        <w:tc>
          <w:tcPr>
            <w:tcW w:w="6613" w:type="dxa"/>
            <w:gridSpan w:val="2"/>
          </w:tcPr>
          <w:p w:rsidR="005904C2" w:rsidRPr="0002785D" w:rsidRDefault="005904C2" w:rsidP="006F20DD">
            <w:pPr>
              <w:spacing w:before="0" w:after="48"/>
              <w:rPr>
                <w:rFonts w:ascii="Verdana" w:hAnsi="Verdana"/>
                <w:b/>
                <w:smallCaps/>
                <w:sz w:val="20"/>
                <w:lang w:val="en-US"/>
              </w:rPr>
            </w:pPr>
          </w:p>
        </w:tc>
        <w:tc>
          <w:tcPr>
            <w:tcW w:w="3198" w:type="dxa"/>
            <w:gridSpan w:val="2"/>
          </w:tcPr>
          <w:p w:rsidR="005904C2" w:rsidRPr="004157D7" w:rsidRDefault="005904C2" w:rsidP="006F20DD">
            <w:pPr>
              <w:spacing w:before="0"/>
              <w:rPr>
                <w:rFonts w:ascii="Verdana" w:hAnsi="Verdana"/>
                <w:b/>
                <w:bCs/>
                <w:sz w:val="20"/>
              </w:rPr>
            </w:pPr>
            <w:r w:rsidRPr="004157D7">
              <w:rPr>
                <w:rFonts w:ascii="Verdana" w:hAnsi="Verdana"/>
                <w:b/>
                <w:sz w:val="20"/>
              </w:rPr>
              <w:t>2 de noviembre de 2016</w:t>
            </w:r>
          </w:p>
        </w:tc>
      </w:tr>
      <w:tr w:rsidR="005904C2" w:rsidTr="004B520A">
        <w:trPr>
          <w:cantSplit/>
        </w:trPr>
        <w:tc>
          <w:tcPr>
            <w:tcW w:w="6613" w:type="dxa"/>
            <w:gridSpan w:val="2"/>
          </w:tcPr>
          <w:p w:rsidR="005904C2" w:rsidRDefault="005904C2" w:rsidP="006F20DD">
            <w:pPr>
              <w:spacing w:before="0"/>
            </w:pPr>
          </w:p>
        </w:tc>
        <w:tc>
          <w:tcPr>
            <w:tcW w:w="3198" w:type="dxa"/>
            <w:gridSpan w:val="2"/>
          </w:tcPr>
          <w:p w:rsidR="005904C2" w:rsidRPr="004157D7" w:rsidRDefault="005904C2" w:rsidP="006F20DD">
            <w:pPr>
              <w:spacing w:before="0"/>
              <w:rPr>
                <w:rFonts w:ascii="Verdana" w:hAnsi="Verdana"/>
                <w:b/>
                <w:bCs/>
                <w:sz w:val="20"/>
              </w:rPr>
            </w:pPr>
            <w:r w:rsidRPr="004157D7">
              <w:rPr>
                <w:rFonts w:ascii="Verdana" w:hAnsi="Verdana"/>
                <w:b/>
                <w:sz w:val="20"/>
              </w:rPr>
              <w:t>Original: inglés</w:t>
            </w:r>
          </w:p>
        </w:tc>
      </w:tr>
      <w:tr w:rsidR="00681766" w:rsidTr="004B520A">
        <w:trPr>
          <w:cantSplit/>
        </w:trPr>
        <w:tc>
          <w:tcPr>
            <w:tcW w:w="9811" w:type="dxa"/>
            <w:gridSpan w:val="4"/>
          </w:tcPr>
          <w:p w:rsidR="00681766" w:rsidRPr="002074EC" w:rsidRDefault="00681766" w:rsidP="006F20DD">
            <w:pPr>
              <w:spacing w:before="0"/>
              <w:rPr>
                <w:rFonts w:ascii="Verdana" w:hAnsi="Verdana"/>
                <w:b/>
                <w:bCs/>
                <w:sz w:val="20"/>
              </w:rPr>
            </w:pPr>
          </w:p>
        </w:tc>
      </w:tr>
      <w:tr w:rsidR="00C35E5F" w:rsidRPr="003930E9" w:rsidTr="004B520A">
        <w:trPr>
          <w:cantSplit/>
        </w:trPr>
        <w:tc>
          <w:tcPr>
            <w:tcW w:w="9811" w:type="dxa"/>
            <w:gridSpan w:val="4"/>
          </w:tcPr>
          <w:p w:rsidR="00C35E5F" w:rsidRPr="003930E9" w:rsidRDefault="00467368" w:rsidP="006F20DD">
            <w:pPr>
              <w:spacing w:before="840"/>
              <w:jc w:val="center"/>
              <w:rPr>
                <w:b/>
                <w:sz w:val="28"/>
                <w:highlight w:val="yellow"/>
              </w:rPr>
            </w:pPr>
            <w:r>
              <w:rPr>
                <w:b/>
                <w:sz w:val="28"/>
              </w:rPr>
              <w:t>Presidenta</w:t>
            </w:r>
            <w:r w:rsidR="003930E9" w:rsidRPr="003930E9">
              <w:rPr>
                <w:b/>
                <w:sz w:val="28"/>
              </w:rPr>
              <w:t xml:space="preserve"> de la Comisión </w:t>
            </w:r>
            <w:r w:rsidR="00C35E5F" w:rsidRPr="003930E9">
              <w:rPr>
                <w:b/>
                <w:sz w:val="28"/>
              </w:rPr>
              <w:t>2 (</w:t>
            </w:r>
            <w:r w:rsidR="003930E9" w:rsidRPr="003930E9">
              <w:rPr>
                <w:b/>
                <w:sz w:val="28"/>
              </w:rPr>
              <w:t>Control del Presupuesto</w:t>
            </w:r>
            <w:r w:rsidR="00C35E5F" w:rsidRPr="003930E9">
              <w:rPr>
                <w:b/>
                <w:sz w:val="28"/>
              </w:rPr>
              <w:t>)</w:t>
            </w:r>
          </w:p>
        </w:tc>
      </w:tr>
      <w:tr w:rsidR="00C35E5F" w:rsidRPr="003930E9" w:rsidTr="004B520A">
        <w:trPr>
          <w:cantSplit/>
        </w:trPr>
        <w:tc>
          <w:tcPr>
            <w:tcW w:w="9811" w:type="dxa"/>
            <w:gridSpan w:val="4"/>
          </w:tcPr>
          <w:p w:rsidR="00C35E5F" w:rsidRPr="003930E9" w:rsidRDefault="003930E9" w:rsidP="006F20DD">
            <w:pPr>
              <w:tabs>
                <w:tab w:val="left" w:pos="567"/>
                <w:tab w:val="left" w:pos="1701"/>
                <w:tab w:val="left" w:pos="2835"/>
              </w:tabs>
              <w:spacing w:before="240"/>
              <w:jc w:val="center"/>
              <w:rPr>
                <w:caps/>
                <w:sz w:val="28"/>
                <w:highlight w:val="yellow"/>
              </w:rPr>
            </w:pPr>
            <w:r w:rsidRPr="003930E9">
              <w:rPr>
                <w:caps/>
                <w:sz w:val="28"/>
              </w:rPr>
              <w:t>INFORME DE LA COMISIÓN DE CONTROL DEL PRESUPUESTO</w:t>
            </w:r>
            <w:r w:rsidR="00C35E5F" w:rsidRPr="003930E9">
              <w:rPr>
                <w:caps/>
                <w:sz w:val="28"/>
              </w:rPr>
              <w:t xml:space="preserve"> (COM</w:t>
            </w:r>
            <w:r w:rsidRPr="003930E9">
              <w:rPr>
                <w:caps/>
                <w:sz w:val="28"/>
              </w:rPr>
              <w:t>ISI</w:t>
            </w:r>
            <w:r>
              <w:rPr>
                <w:caps/>
                <w:sz w:val="28"/>
              </w:rPr>
              <w:t xml:space="preserve">ÓN </w:t>
            </w:r>
            <w:r w:rsidR="00C35E5F" w:rsidRPr="003930E9">
              <w:rPr>
                <w:caps/>
                <w:sz w:val="28"/>
              </w:rPr>
              <w:t xml:space="preserve">2) </w:t>
            </w:r>
            <w:r>
              <w:rPr>
                <w:caps/>
                <w:sz w:val="28"/>
              </w:rPr>
              <w:t>A LA SESIÓN PLENARIA</w:t>
            </w:r>
          </w:p>
        </w:tc>
      </w:tr>
      <w:tr w:rsidR="00E83D45" w:rsidRPr="003930E9" w:rsidTr="004B520A">
        <w:trPr>
          <w:cantSplit/>
        </w:trPr>
        <w:tc>
          <w:tcPr>
            <w:tcW w:w="9811" w:type="dxa"/>
            <w:gridSpan w:val="4"/>
          </w:tcPr>
          <w:p w:rsidR="00E83D45" w:rsidRPr="003930E9" w:rsidRDefault="00E83D45" w:rsidP="006F20DD">
            <w:pPr>
              <w:pStyle w:val="Title2"/>
            </w:pPr>
          </w:p>
        </w:tc>
      </w:tr>
    </w:tbl>
    <w:p w:rsidR="00C35E5F" w:rsidRPr="00EE60D1" w:rsidRDefault="00C35E5F" w:rsidP="006F20DD">
      <w:pPr>
        <w:pStyle w:val="Heading1"/>
      </w:pPr>
      <w:r>
        <w:t>1</w:t>
      </w:r>
      <w:r w:rsidRPr="00EE60D1">
        <w:tab/>
        <w:t>Comisión de Control del Presupuesto</w:t>
      </w:r>
    </w:p>
    <w:p w:rsidR="006B0F54" w:rsidRDefault="00C35E5F" w:rsidP="006F20DD">
      <w:r w:rsidRPr="00EE60D1">
        <w:t xml:space="preserve">La Comisión de Control del Presupuesto celebró </w:t>
      </w:r>
      <w:r w:rsidR="003930E9">
        <w:t>dos</w:t>
      </w:r>
      <w:r w:rsidRPr="00EE60D1">
        <w:t xml:space="preserve"> reuniones durante la Asamblea Mundial de Normalización de las Telecomunicaciones (AMNT-1</w:t>
      </w:r>
      <w:r w:rsidR="00467368">
        <w:t>6</w:t>
      </w:r>
      <w:r w:rsidRPr="00EE60D1">
        <w:t>) bajo la presidencia de</w:t>
      </w:r>
      <w:r w:rsidR="003930E9">
        <w:t xml:space="preserve"> </w:t>
      </w:r>
      <w:r w:rsidR="003930E9" w:rsidRPr="003930E9">
        <w:t xml:space="preserve">la Sra. Weiling Xu (China, República Popular de), asistida por los Vicepresidentes Sres. Santiago Reyes-Borda (Canadá) y </w:t>
      </w:r>
      <w:r w:rsidR="003C031F">
        <w:t xml:space="preserve">Sr. </w:t>
      </w:r>
      <w:r w:rsidR="003930E9" w:rsidRPr="003930E9">
        <w:t>Dietmar Plesse (Alemania),</w:t>
      </w:r>
      <w:r w:rsidR="003930E9">
        <w:t xml:space="preserve"> </w:t>
      </w:r>
      <w:r w:rsidRPr="00EE60D1">
        <w:t>y examinó las cuestiones que le incumbían en virtud de su mandato.</w:t>
      </w:r>
    </w:p>
    <w:p w:rsidR="00C35E5F" w:rsidRPr="00EE60D1" w:rsidRDefault="003930E9" w:rsidP="006F20DD">
      <w:pPr>
        <w:pStyle w:val="Heading1"/>
      </w:pPr>
      <w:r>
        <w:t>2</w:t>
      </w:r>
      <w:r>
        <w:tab/>
        <w:t>Proyecto de plan de gestión del tiempo</w:t>
      </w:r>
      <w:r w:rsidR="00C35E5F" w:rsidRPr="00EE60D1">
        <w:t xml:space="preserve">/Lista de propuestas que </w:t>
      </w:r>
      <w:r>
        <w:t xml:space="preserve">deberá examinar </w:t>
      </w:r>
      <w:r w:rsidR="00C35E5F" w:rsidRPr="00EE60D1">
        <w:t xml:space="preserve">la AMNT/Mandato </w:t>
      </w:r>
    </w:p>
    <w:p w:rsidR="00C35E5F" w:rsidRDefault="00C35E5F" w:rsidP="006F20DD">
      <w:r w:rsidRPr="00EE60D1">
        <w:t xml:space="preserve">Se presentaron y aprobaron el proyecto de </w:t>
      </w:r>
      <w:r w:rsidR="003930E9">
        <w:t>plan de gestión del tiempo</w:t>
      </w:r>
      <w:r w:rsidRPr="00EE60D1">
        <w:t xml:space="preserve">, la lista de propuestas a examinar y el mandato de la Comisión 2 (Documentos </w:t>
      </w:r>
      <w:hyperlink r:id="rId10" w:history="1">
        <w:r w:rsidRPr="00A02FEA">
          <w:rPr>
            <w:color w:val="0000FF"/>
            <w:szCs w:val="24"/>
            <w:u w:val="single"/>
          </w:rPr>
          <w:t>DT/3</w:t>
        </w:r>
      </w:hyperlink>
      <w:r w:rsidRPr="00A02FEA">
        <w:rPr>
          <w:szCs w:val="24"/>
        </w:rPr>
        <w:t xml:space="preserve">, </w:t>
      </w:r>
      <w:hyperlink r:id="rId11" w:history="1">
        <w:r w:rsidRPr="00A02FEA">
          <w:rPr>
            <w:color w:val="0000FF"/>
            <w:szCs w:val="24"/>
            <w:u w:val="single"/>
          </w:rPr>
          <w:t>DT/1</w:t>
        </w:r>
      </w:hyperlink>
      <w:r w:rsidRPr="00A02FEA">
        <w:rPr>
          <w:szCs w:val="24"/>
        </w:rPr>
        <w:t xml:space="preserve"> </w:t>
      </w:r>
      <w:r w:rsidR="003930E9">
        <w:rPr>
          <w:szCs w:val="24"/>
        </w:rPr>
        <w:t>y</w:t>
      </w:r>
      <w:r w:rsidRPr="00A02FEA">
        <w:rPr>
          <w:szCs w:val="24"/>
        </w:rPr>
        <w:t xml:space="preserve"> </w:t>
      </w:r>
      <w:hyperlink r:id="rId12" w:history="1">
        <w:r w:rsidRPr="00A02FEA">
          <w:rPr>
            <w:color w:val="0000FF"/>
            <w:szCs w:val="24"/>
            <w:u w:val="single"/>
          </w:rPr>
          <w:t>DT/4</w:t>
        </w:r>
      </w:hyperlink>
      <w:r w:rsidRPr="00EE60D1">
        <w:t xml:space="preserve">). El orden del día de las reuniones de la Comisión 2 figura en los </w:t>
      </w:r>
      <w:r w:rsidRPr="00C35E5F">
        <w:t xml:space="preserve">Documentos </w:t>
      </w:r>
      <w:hyperlink r:id="rId13" w:history="1">
        <w:r w:rsidRPr="00C35E5F">
          <w:rPr>
            <w:color w:val="0000FF"/>
            <w:szCs w:val="24"/>
            <w:u w:val="single"/>
          </w:rPr>
          <w:t>ADM4</w:t>
        </w:r>
      </w:hyperlink>
      <w:r w:rsidRPr="00C35E5F">
        <w:t xml:space="preserve"> y </w:t>
      </w:r>
      <w:hyperlink r:id="rId14" w:history="1">
        <w:r w:rsidRPr="00C35E5F">
          <w:rPr>
            <w:color w:val="0000FF"/>
            <w:szCs w:val="24"/>
            <w:u w:val="single"/>
          </w:rPr>
          <w:t>ADM27</w:t>
        </w:r>
      </w:hyperlink>
      <w:r w:rsidRPr="00EE60D1">
        <w:t>.</w:t>
      </w:r>
    </w:p>
    <w:p w:rsidR="00C35E5F" w:rsidRPr="00EE60D1" w:rsidRDefault="00C35E5F" w:rsidP="006F20DD">
      <w:pPr>
        <w:pStyle w:val="Heading1"/>
      </w:pPr>
      <w:r w:rsidRPr="00EE60D1">
        <w:t>3</w:t>
      </w:r>
      <w:r w:rsidRPr="00EE60D1">
        <w:tab/>
        <w:t xml:space="preserve">Acuerdo entre el Gobierno de </w:t>
      </w:r>
      <w:r w:rsidR="003930E9">
        <w:t xml:space="preserve">Túnez </w:t>
      </w:r>
      <w:r w:rsidRPr="00EE60D1">
        <w:t>y la UIT</w:t>
      </w:r>
    </w:p>
    <w:p w:rsidR="00C35E5F" w:rsidRPr="00EE60D1" w:rsidRDefault="00C35E5F" w:rsidP="006F20DD">
      <w:r w:rsidRPr="00EE60D1">
        <w:t xml:space="preserve">El Gobierno de </w:t>
      </w:r>
      <w:r w:rsidR="003930E9">
        <w:t>la República de Túnez</w:t>
      </w:r>
      <w:r w:rsidRPr="00EE60D1">
        <w:t xml:space="preserve"> y la UIT han concluido un acuerdo relativo a la celebración, organización y financiación de la Asamblea Mundial de Normalización </w:t>
      </w:r>
      <w:r>
        <w:t>de las Telecomunicaciones (AMNT</w:t>
      </w:r>
      <w:r>
        <w:noBreakHyphen/>
      </w:r>
      <w:r w:rsidRPr="00EE60D1">
        <w:t>1</w:t>
      </w:r>
      <w:r w:rsidR="003930E9">
        <w:t>6</w:t>
      </w:r>
      <w:r w:rsidRPr="00EE60D1">
        <w:t>) y la celebración, organización y financiación del Simposio Mundial de Normalización (SMN) de la Unión Internacional de Telecomunicaciones, con arreglo a la Resolución 77 (Rev.</w:t>
      </w:r>
      <w:r w:rsidR="00467368">
        <w:t> </w:t>
      </w:r>
      <w:r w:rsidR="003930E9">
        <w:t>Busán, 2014</w:t>
      </w:r>
      <w:r w:rsidRPr="00EE60D1">
        <w:t>) de la Conferencia de Plenipotenciarios, la Resolución 5 (</w:t>
      </w:r>
      <w:r w:rsidR="00467368">
        <w:t>Kyoto, 1994</w:t>
      </w:r>
      <w:r w:rsidRPr="00EE60D1">
        <w:t>) de la Conferencia de Plenipotenciarios y la Resolución número 83 (enmendada) del Consejo de la UIT relativa a la organización, financiación y liquidación de cuentas de las conferencias y reuniones de la UIT.</w:t>
      </w:r>
    </w:p>
    <w:p w:rsidR="00C35E5F" w:rsidRPr="00EE60D1" w:rsidRDefault="00C35E5F" w:rsidP="006F20DD">
      <w:r w:rsidRPr="00EE60D1">
        <w:lastRenderedPageBreak/>
        <w:t xml:space="preserve">La Comisión de Control del Presupuesto tomó nota de dicho acuerdo (Documento </w:t>
      </w:r>
      <w:hyperlink r:id="rId15" w:history="1">
        <w:r w:rsidRPr="00C35E5F">
          <w:rPr>
            <w:color w:val="0000FF"/>
            <w:szCs w:val="24"/>
            <w:u w:val="single"/>
          </w:rPr>
          <w:t>30</w:t>
        </w:r>
      </w:hyperlink>
      <w:r w:rsidRPr="00EE60D1">
        <w:t xml:space="preserve">) y expresó su agradecimiento al Gobierno de </w:t>
      </w:r>
      <w:r w:rsidR="003930E9">
        <w:t>la República de Túnez</w:t>
      </w:r>
      <w:r w:rsidRPr="00EE60D1">
        <w:t xml:space="preserve"> por la magnífica organización y las excelentes instalaciones proporcionadas a la Asamblea.</w:t>
      </w:r>
    </w:p>
    <w:p w:rsidR="00C35E5F" w:rsidRPr="00EE60D1" w:rsidRDefault="00C35E5F" w:rsidP="006F20DD">
      <w:pPr>
        <w:pStyle w:val="Heading1"/>
      </w:pPr>
      <w:r w:rsidRPr="00EE60D1">
        <w:t>4</w:t>
      </w:r>
      <w:r w:rsidRPr="00EE60D1">
        <w:tab/>
        <w:t>Responsabilidades financieras de las conferencias</w:t>
      </w:r>
    </w:p>
    <w:p w:rsidR="00C35E5F" w:rsidRPr="006F6F95" w:rsidRDefault="00C35E5F" w:rsidP="006F20DD">
      <w:r w:rsidRPr="00EE60D1">
        <w:t>Se señaló a la atención de la Comisión 2 el número 115 del Artículo 18 de la Constitución de la Unión Internacional de Telecomunicaciones así como los números 488 y 489 del Artículo 34 del Convenio de la Unión Internacional de Telecomunicaciones relativos a las responsabilidades f</w:t>
      </w:r>
      <w:r>
        <w:t xml:space="preserve">inancieras de las conferencias </w:t>
      </w:r>
      <w:r w:rsidRPr="00A02FEA">
        <w:rPr>
          <w:szCs w:val="24"/>
        </w:rPr>
        <w:t>(</w:t>
      </w:r>
      <w:r w:rsidR="00FF2DF2" w:rsidRPr="00A02FEA">
        <w:rPr>
          <w:szCs w:val="24"/>
        </w:rPr>
        <w:t>Documentos</w:t>
      </w:r>
      <w:r w:rsidRPr="00A02FEA">
        <w:rPr>
          <w:szCs w:val="24"/>
        </w:rPr>
        <w:t xml:space="preserve"> </w:t>
      </w:r>
      <w:hyperlink r:id="rId16" w:history="1">
        <w:r w:rsidRPr="00A02FEA">
          <w:rPr>
            <w:color w:val="0000FF"/>
            <w:szCs w:val="24"/>
            <w:u w:val="single"/>
          </w:rPr>
          <w:t>33</w:t>
        </w:r>
      </w:hyperlink>
      <w:r w:rsidRPr="00A02FEA">
        <w:rPr>
          <w:szCs w:val="24"/>
        </w:rPr>
        <w:t xml:space="preserve"> </w:t>
      </w:r>
      <w:r w:rsidR="006F6F95">
        <w:rPr>
          <w:szCs w:val="24"/>
        </w:rPr>
        <w:t>y</w:t>
      </w:r>
      <w:r w:rsidRPr="00A02FEA">
        <w:rPr>
          <w:szCs w:val="24"/>
        </w:rPr>
        <w:t xml:space="preserve"> DT/</w:t>
      </w:r>
      <w:hyperlink r:id="rId17" w:history="1">
        <w:r w:rsidRPr="00A02FEA">
          <w:rPr>
            <w:color w:val="0000FF"/>
            <w:szCs w:val="24"/>
            <w:u w:val="single"/>
          </w:rPr>
          <w:t>10</w:t>
        </w:r>
      </w:hyperlink>
      <w:r w:rsidRPr="00A02FEA">
        <w:rPr>
          <w:szCs w:val="24"/>
        </w:rPr>
        <w:t xml:space="preserve">). </w:t>
      </w:r>
      <w:r w:rsidR="006F6F95">
        <w:rPr>
          <w:szCs w:val="24"/>
        </w:rPr>
        <w:t xml:space="preserve">Después de la reunión, el </w:t>
      </w:r>
      <w:r w:rsidRPr="00A02FEA">
        <w:rPr>
          <w:szCs w:val="24"/>
        </w:rPr>
        <w:t>Document</w:t>
      </w:r>
      <w:r w:rsidR="006F6F95">
        <w:rPr>
          <w:szCs w:val="24"/>
        </w:rPr>
        <w:t>o</w:t>
      </w:r>
      <w:r w:rsidRPr="00A02FEA">
        <w:rPr>
          <w:szCs w:val="24"/>
        </w:rPr>
        <w:t> DT/</w:t>
      </w:r>
      <w:hyperlink r:id="rId18" w:history="1">
        <w:r w:rsidRPr="00A02FEA">
          <w:rPr>
            <w:color w:val="0000FF"/>
            <w:szCs w:val="24"/>
            <w:u w:val="single"/>
          </w:rPr>
          <w:t>10</w:t>
        </w:r>
      </w:hyperlink>
      <w:r w:rsidRPr="00A02FEA">
        <w:rPr>
          <w:szCs w:val="24"/>
        </w:rPr>
        <w:t xml:space="preserve"> </w:t>
      </w:r>
      <w:r w:rsidR="006F6F95">
        <w:rPr>
          <w:szCs w:val="24"/>
        </w:rPr>
        <w:t xml:space="preserve">se transformará en el </w:t>
      </w:r>
      <w:r w:rsidRPr="00A02FEA">
        <w:rPr>
          <w:szCs w:val="24"/>
        </w:rPr>
        <w:t>Document</w:t>
      </w:r>
      <w:r w:rsidR="006F6F95">
        <w:rPr>
          <w:szCs w:val="24"/>
        </w:rPr>
        <w:t>o</w:t>
      </w:r>
      <w:r w:rsidRPr="00A02FEA">
        <w:rPr>
          <w:szCs w:val="24"/>
        </w:rPr>
        <w:t xml:space="preserve"> </w:t>
      </w:r>
      <w:hyperlink r:id="rId19" w:history="1">
        <w:r w:rsidRPr="00A02FEA">
          <w:rPr>
            <w:color w:val="0000FF"/>
            <w:szCs w:val="24"/>
            <w:u w:val="single"/>
          </w:rPr>
          <w:t>62</w:t>
        </w:r>
      </w:hyperlink>
      <w:r w:rsidR="006F6F95">
        <w:rPr>
          <w:color w:val="0000FF"/>
          <w:szCs w:val="24"/>
        </w:rPr>
        <w:t>.</w:t>
      </w:r>
    </w:p>
    <w:p w:rsidR="00C35E5F" w:rsidRPr="00EE60D1" w:rsidRDefault="00C35E5F" w:rsidP="006F20DD">
      <w:pPr>
        <w:pStyle w:val="Heading1"/>
      </w:pPr>
      <w:r>
        <w:t>5</w:t>
      </w:r>
      <w:r>
        <w:tab/>
      </w:r>
      <w:r w:rsidRPr="00EE60D1">
        <w:t>Presupuesto de la Asamblea Mundial de Normalización de las Telecomunicac</w:t>
      </w:r>
      <w:r>
        <w:t xml:space="preserve">iones </w:t>
      </w:r>
      <w:r w:rsidRPr="00A02FEA">
        <w:rPr>
          <w:szCs w:val="28"/>
        </w:rPr>
        <w:t>(</w:t>
      </w:r>
      <w:r>
        <w:rPr>
          <w:szCs w:val="28"/>
        </w:rPr>
        <w:t>AMNT</w:t>
      </w:r>
      <w:r w:rsidRPr="00A02FEA">
        <w:rPr>
          <w:szCs w:val="28"/>
        </w:rPr>
        <w:noBreakHyphen/>
        <w:t>16)</w:t>
      </w:r>
    </w:p>
    <w:p w:rsidR="00C35E5F" w:rsidRPr="00EE60D1" w:rsidRDefault="00C35E5F" w:rsidP="006F20DD">
      <w:r w:rsidRPr="00EE60D1">
        <w:t>En su reunión de 201</w:t>
      </w:r>
      <w:r w:rsidR="00A52BC3">
        <w:t>5</w:t>
      </w:r>
      <w:r w:rsidRPr="00EE60D1">
        <w:t>, el Consejo aprobó</w:t>
      </w:r>
      <w:r w:rsidR="00A52BC3">
        <w:t xml:space="preserve"> mediante</w:t>
      </w:r>
      <w:r w:rsidRPr="00EE60D1">
        <w:t xml:space="preserve"> la Resolución 13</w:t>
      </w:r>
      <w:r w:rsidR="00A52BC3">
        <w:t>75</w:t>
      </w:r>
      <w:r w:rsidRPr="00EE60D1">
        <w:t xml:space="preserve"> </w:t>
      </w:r>
      <w:r w:rsidR="00A52BC3">
        <w:t>e</w:t>
      </w:r>
      <w:r w:rsidRPr="00EE60D1">
        <w:t>l presupuesto de la Asamblea Mundial de Normalización de las Telecomunicaciones (AMNT-1</w:t>
      </w:r>
      <w:r w:rsidR="00A52BC3">
        <w:t>6</w:t>
      </w:r>
      <w:r w:rsidRPr="00EE60D1">
        <w:t>) para el bienio 201</w:t>
      </w:r>
      <w:r w:rsidR="00A52BC3">
        <w:t>6</w:t>
      </w:r>
      <w:r w:rsidR="00A52BC3">
        <w:noBreakHyphen/>
        <w:t>2017, que asciende a 2 154</w:t>
      </w:r>
      <w:r w:rsidRPr="00EE60D1">
        <w:t xml:space="preserve"> 000 CHF, cantidad de la cual </w:t>
      </w:r>
      <w:r w:rsidR="00A52BC3">
        <w:t>1 457</w:t>
      </w:r>
      <w:r w:rsidRPr="00EE60D1">
        <w:t xml:space="preserve"> 000 CHF estaban previstos para financiar la documentación</w:t>
      </w:r>
      <w:r w:rsidR="00A52BC3">
        <w:t xml:space="preserve">. </w:t>
      </w:r>
    </w:p>
    <w:p w:rsidR="00C35E5F" w:rsidRPr="00EE60D1" w:rsidRDefault="00C35E5F" w:rsidP="006F20DD">
      <w:r w:rsidRPr="00EE60D1">
        <w:t>Los gastos estimados de la AMNT-1</w:t>
      </w:r>
      <w:r w:rsidR="00A52BC3">
        <w:t>6</w:t>
      </w:r>
      <w:r w:rsidRPr="00EE60D1">
        <w:t xml:space="preserve"> a </w:t>
      </w:r>
      <w:r w:rsidR="00A52BC3">
        <w:t xml:space="preserve">31 de octubre </w:t>
      </w:r>
      <w:r w:rsidRPr="00EE60D1">
        <w:t>de 201</w:t>
      </w:r>
      <w:r w:rsidR="00A52BC3">
        <w:t>6</w:t>
      </w:r>
      <w:r w:rsidRPr="00EE60D1">
        <w:t xml:space="preserve"> suponen un importe de </w:t>
      </w:r>
      <w:r w:rsidR="00A52BC3">
        <w:t xml:space="preserve">43 </w:t>
      </w:r>
      <w:r w:rsidRPr="00EE60D1">
        <w:t>000 CHF en concepto de créditos no utilizados, si se excluyen los costes de documentación. Está previsto un</w:t>
      </w:r>
      <w:r w:rsidR="00A52BC3">
        <w:t xml:space="preserve"> exceso de gastos por valor de 23</w:t>
      </w:r>
      <w:r w:rsidRPr="00EE60D1">
        <w:t xml:space="preserve"> 000 CHF en lo que concierne a los costes de la documentación, debido a la presentación de un volumen de documentos superior al programado. Se espera que los costes totales, incluidos los correspondientes a la documentación, se sitúen en </w:t>
      </w:r>
      <w:r w:rsidR="00A52BC3">
        <w:t>2</w:t>
      </w:r>
      <w:r w:rsidRPr="00EE60D1">
        <w:t>0 000 CHF por debajo de los presupuestado (véase el Documento DT/</w:t>
      </w:r>
      <w:hyperlink r:id="rId20" w:history="1">
        <w:r w:rsidRPr="00A02FEA">
          <w:rPr>
            <w:color w:val="0000FF"/>
            <w:szCs w:val="24"/>
            <w:u w:val="single"/>
          </w:rPr>
          <w:t>52</w:t>
        </w:r>
      </w:hyperlink>
      <w:r w:rsidRPr="00EE60D1">
        <w:t xml:space="preserve"> y el Anexo A al presente Informe).</w:t>
      </w:r>
    </w:p>
    <w:p w:rsidR="00C35E5F" w:rsidRPr="00EE60D1" w:rsidRDefault="00C35E5F" w:rsidP="006F20DD">
      <w:pPr>
        <w:pStyle w:val="Heading1"/>
      </w:pPr>
      <w:r>
        <w:t>6</w:t>
      </w:r>
      <w:r>
        <w:tab/>
      </w:r>
      <w:r w:rsidRPr="00EE60D1">
        <w:t>Contribución a los gastos de la Asamblea Mundial de Normalización de las Telecomunicaciones (AMNT-1</w:t>
      </w:r>
      <w:r w:rsidR="00E11FFD">
        <w:t>6</w:t>
      </w:r>
      <w:r w:rsidRPr="00EE60D1">
        <w:t>)</w:t>
      </w:r>
    </w:p>
    <w:p w:rsidR="00C35E5F" w:rsidRPr="00EE60D1" w:rsidRDefault="00C35E5F" w:rsidP="006F20DD">
      <w:r w:rsidRPr="00EE60D1">
        <w:t xml:space="preserve">La Comisión tomó nota de la cuantía de las contribuciones que las organizaciones internacionales no exoneradas y los Miembros de Sector (salvo los del Sector de Normalización de las Telecomunicaciones) habrían de aportar para sufragar los gastos de la Asamblea (Documento </w:t>
      </w:r>
      <w:hyperlink r:id="rId21" w:history="1">
        <w:r w:rsidRPr="00A02FEA">
          <w:rPr>
            <w:color w:val="0000FF"/>
            <w:szCs w:val="24"/>
            <w:u w:val="single"/>
          </w:rPr>
          <w:t>32</w:t>
        </w:r>
      </w:hyperlink>
      <w:r w:rsidRPr="00EE60D1">
        <w:t xml:space="preserve">). </w:t>
      </w:r>
    </w:p>
    <w:p w:rsidR="00C35E5F" w:rsidRDefault="00C35E5F" w:rsidP="006F20DD">
      <w:r w:rsidRPr="006A79DB">
        <w:rPr>
          <w:rFonts w:eastAsia="SimSun"/>
          <w:lang w:eastAsia="zh-CN"/>
        </w:rPr>
        <w:t xml:space="preserve">Al </w:t>
      </w:r>
      <w:r w:rsidR="00E11FFD">
        <w:rPr>
          <w:rFonts w:eastAsia="SimSun"/>
          <w:lang w:eastAsia="zh-CN"/>
        </w:rPr>
        <w:t>2 de noviembre de 2016</w:t>
      </w:r>
      <w:r w:rsidRPr="006A79DB">
        <w:rPr>
          <w:rFonts w:eastAsia="SimSun"/>
          <w:lang w:eastAsia="zh-CN"/>
        </w:rPr>
        <w:t xml:space="preserve"> no se ha registrado ninguna otra organización ni Miembro de Sector que deba participar en los gastos de la Conferencia.</w:t>
      </w:r>
    </w:p>
    <w:p w:rsidR="00C35E5F" w:rsidRPr="00EE60D1" w:rsidRDefault="00C35E5F" w:rsidP="006F20DD">
      <w:pPr>
        <w:pStyle w:val="Heading1"/>
      </w:pPr>
      <w:r w:rsidRPr="00EE60D1">
        <w:t>7</w:t>
      </w:r>
      <w:r w:rsidRPr="00EE60D1">
        <w:tab/>
        <w:t>Informe sobre la estimación de las necesida</w:t>
      </w:r>
      <w:r>
        <w:t>des financieras hasta la AMNT-20</w:t>
      </w:r>
      <w:r w:rsidRPr="00EE60D1">
        <w:t xml:space="preserve"> y los gastos del UIT-T durante el periodo de estu</w:t>
      </w:r>
      <w:r>
        <w:t>dios 2012</w:t>
      </w:r>
      <w:r>
        <w:noBreakHyphen/>
        <w:t>2016</w:t>
      </w:r>
    </w:p>
    <w:p w:rsidR="00C35E5F" w:rsidRPr="00E11FFD" w:rsidRDefault="00E11FFD" w:rsidP="006F20DD">
      <w:pPr>
        <w:rPr>
          <w:szCs w:val="24"/>
        </w:rPr>
      </w:pPr>
      <w:r>
        <w:t>Se presentó e</w:t>
      </w:r>
      <w:r w:rsidR="00C35E5F" w:rsidRPr="00EE60D1">
        <w:t>l Informe sobre la estimación de las necesida</w:t>
      </w:r>
      <w:r w:rsidR="00C35E5F">
        <w:t>des financieras hasta la AMNT-20</w:t>
      </w:r>
      <w:r w:rsidR="00C35E5F" w:rsidRPr="00EE60D1">
        <w:t xml:space="preserve"> y los gastos del UIT-T dur</w:t>
      </w:r>
      <w:r w:rsidR="00C35E5F">
        <w:t>ante el periodo de estudios 2012-2016</w:t>
      </w:r>
      <w:r w:rsidR="00C35E5F" w:rsidRPr="00EE60D1">
        <w:t xml:space="preserve"> (Documento </w:t>
      </w:r>
      <w:hyperlink r:id="rId22" w:history="1">
        <w:r w:rsidR="00C35E5F" w:rsidRPr="00C35E5F">
          <w:rPr>
            <w:color w:val="0000FF"/>
            <w:szCs w:val="24"/>
            <w:u w:val="single"/>
          </w:rPr>
          <w:t>29</w:t>
        </w:r>
      </w:hyperlink>
      <w:r w:rsidR="00C35E5F" w:rsidRPr="00EE60D1">
        <w:t>)</w:t>
      </w:r>
      <w:r>
        <w:t xml:space="preserve">. </w:t>
      </w:r>
      <w:r w:rsidR="00A5125C" w:rsidRPr="005565BC">
        <w:t>En relación con las necesidades financieras hasta 2020, la Comisión subrayó la importancia de optimizar el uso de los recursos de la Unión. Se rec</w:t>
      </w:r>
      <w:r w:rsidR="00A5125C">
        <w:t>ordó que en el presupuesto 2016</w:t>
      </w:r>
      <w:r w:rsidR="00A5125C">
        <w:noBreakHyphen/>
      </w:r>
      <w:r w:rsidR="00A5125C" w:rsidRPr="005565BC">
        <w:t>2</w:t>
      </w:r>
      <w:r w:rsidR="001D2903">
        <w:t>017, aprobado por el Consejo de </w:t>
      </w:r>
      <w:r w:rsidR="00A5125C" w:rsidRPr="005565BC">
        <w:t>2015</w:t>
      </w:r>
      <w:r>
        <w:t xml:space="preserve"> (Resolución 1375)</w:t>
      </w:r>
      <w:r w:rsidR="00A5125C" w:rsidRPr="005565BC">
        <w:t>, y en el Plan Finan</w:t>
      </w:r>
      <w:r w:rsidR="00A5125C">
        <w:t>ciero para 2016</w:t>
      </w:r>
      <w:r w:rsidR="00A5125C">
        <w:noBreakHyphen/>
      </w:r>
      <w:r w:rsidR="00A5125C" w:rsidRPr="005565BC">
        <w:t>2019, aprobado por la PP</w:t>
      </w:r>
      <w:r w:rsidR="00A5125C">
        <w:noBreakHyphen/>
      </w:r>
      <w:r w:rsidR="00A5125C" w:rsidRPr="005565BC">
        <w:t>14</w:t>
      </w:r>
      <w:r>
        <w:t xml:space="preserve"> (Decisión 5)</w:t>
      </w:r>
      <w:r w:rsidR="00A5125C" w:rsidRPr="005565BC">
        <w:t>, se estableció el marco de los ga</w:t>
      </w:r>
      <w:r w:rsidR="00A5125C">
        <w:t>stos para el periodo 2016</w:t>
      </w:r>
      <w:r w:rsidR="00A5125C">
        <w:noBreakHyphen/>
        <w:t xml:space="preserve">2019. </w:t>
      </w:r>
      <w:r w:rsidRPr="00E11FFD">
        <w:t xml:space="preserve">Además del </w:t>
      </w:r>
      <w:r w:rsidR="00A5125C" w:rsidRPr="00E11FFD">
        <w:rPr>
          <w:szCs w:val="24"/>
        </w:rPr>
        <w:t>Document</w:t>
      </w:r>
      <w:r w:rsidRPr="00E11FFD">
        <w:rPr>
          <w:szCs w:val="24"/>
        </w:rPr>
        <w:t>o</w:t>
      </w:r>
      <w:r w:rsidR="00A5125C" w:rsidRPr="00E11FFD">
        <w:rPr>
          <w:szCs w:val="24"/>
        </w:rPr>
        <w:t xml:space="preserve"> DT/</w:t>
      </w:r>
      <w:hyperlink r:id="rId23" w:history="1">
        <w:r w:rsidR="00A5125C" w:rsidRPr="00E11FFD">
          <w:rPr>
            <w:color w:val="0000FF"/>
            <w:szCs w:val="24"/>
            <w:u w:val="single"/>
          </w:rPr>
          <w:t>10</w:t>
        </w:r>
      </w:hyperlink>
      <w:r w:rsidR="00A5125C" w:rsidRPr="00E11FFD">
        <w:rPr>
          <w:szCs w:val="24"/>
        </w:rPr>
        <w:t xml:space="preserve">, </w:t>
      </w:r>
      <w:r w:rsidRPr="00E11FFD">
        <w:rPr>
          <w:szCs w:val="24"/>
        </w:rPr>
        <w:t>la Comisión acordó que el Presidente de la Comisión 2 preparara una nota para los Presidentes de la Comisión 3, la Comisión 4 y los Grupos de Trabajo (</w:t>
      </w:r>
      <w:r w:rsidR="00A5125C" w:rsidRPr="00E11FFD">
        <w:rPr>
          <w:szCs w:val="24"/>
        </w:rPr>
        <w:t>Document</w:t>
      </w:r>
      <w:r>
        <w:rPr>
          <w:szCs w:val="24"/>
        </w:rPr>
        <w:t>o</w:t>
      </w:r>
      <w:r w:rsidR="00A5125C" w:rsidRPr="00E11FFD">
        <w:rPr>
          <w:szCs w:val="24"/>
        </w:rPr>
        <w:t xml:space="preserve"> </w:t>
      </w:r>
      <w:hyperlink r:id="rId24" w:history="1">
        <w:r w:rsidR="00A5125C" w:rsidRPr="00E11FFD">
          <w:rPr>
            <w:color w:val="0000FF"/>
            <w:szCs w:val="24"/>
            <w:u w:val="single"/>
          </w:rPr>
          <w:t>63</w:t>
        </w:r>
      </w:hyperlink>
      <w:r w:rsidR="00A5125C" w:rsidRPr="00E11FFD">
        <w:rPr>
          <w:szCs w:val="24"/>
        </w:rPr>
        <w:t>)</w:t>
      </w:r>
      <w:r>
        <w:rPr>
          <w:szCs w:val="24"/>
        </w:rPr>
        <w:t>.</w:t>
      </w:r>
    </w:p>
    <w:p w:rsidR="007855D4" w:rsidRPr="00EE60D1" w:rsidRDefault="007855D4" w:rsidP="006F20DD">
      <w:pPr>
        <w:pStyle w:val="Heading1"/>
      </w:pPr>
      <w:r>
        <w:lastRenderedPageBreak/>
        <w:t>8</w:t>
      </w:r>
      <w:r w:rsidRPr="00EE60D1">
        <w:tab/>
        <w:t>Repercusiones financieras de las Decisiones y Resoluciones de la AMNT-1</w:t>
      </w:r>
      <w:r w:rsidR="00915117">
        <w:t>6</w:t>
      </w:r>
    </w:p>
    <w:p w:rsidR="00915117" w:rsidRPr="00915117" w:rsidRDefault="007855D4" w:rsidP="006F20DD">
      <w:pPr>
        <w:rPr>
          <w:szCs w:val="24"/>
        </w:rPr>
      </w:pPr>
      <w:r w:rsidRPr="00EE60D1">
        <w:t>A</w:t>
      </w:r>
      <w:r w:rsidR="00467368">
        <w:t>l</w:t>
      </w:r>
      <w:r w:rsidRPr="00EE60D1">
        <w:t xml:space="preserve"> </w:t>
      </w:r>
      <w:r w:rsidR="00915117">
        <w:t>31 de octubre de 2016</w:t>
      </w:r>
      <w:r w:rsidRPr="00EE60D1">
        <w:t>, la Comisión de Control del Presupuesto había identificado varias esferas que podrían acarrear algunos efectos financieros (para referencias véase el Documento </w:t>
      </w:r>
      <w:r w:rsidRPr="00A02FEA">
        <w:rPr>
          <w:szCs w:val="24"/>
        </w:rPr>
        <w:t>DT/</w:t>
      </w:r>
      <w:hyperlink r:id="rId25" w:history="1">
        <w:r w:rsidRPr="00A02FEA">
          <w:rPr>
            <w:color w:val="0000FF"/>
            <w:szCs w:val="24"/>
            <w:u w:val="single"/>
          </w:rPr>
          <w:t>53</w:t>
        </w:r>
      </w:hyperlink>
      <w:r w:rsidRPr="00EE60D1">
        <w:t>).</w:t>
      </w:r>
      <w:r>
        <w:t xml:space="preserve"> </w:t>
      </w:r>
      <w:r w:rsidR="00915117">
        <w:rPr>
          <w:szCs w:val="24"/>
        </w:rPr>
        <w:t>El documento fue examinado por la Comisión 2, que aceptó modificar el título del Documento DT</w:t>
      </w:r>
      <w:r w:rsidRPr="00915117">
        <w:rPr>
          <w:szCs w:val="24"/>
        </w:rPr>
        <w:t>/</w:t>
      </w:r>
      <w:hyperlink r:id="rId26" w:history="1">
        <w:r w:rsidRPr="00915117">
          <w:rPr>
            <w:color w:val="0000FF"/>
            <w:szCs w:val="24"/>
            <w:u w:val="single"/>
          </w:rPr>
          <w:t>53</w:t>
        </w:r>
      </w:hyperlink>
      <w:r w:rsidRPr="00915117">
        <w:rPr>
          <w:szCs w:val="24"/>
        </w:rPr>
        <w:t xml:space="preserve">, </w:t>
      </w:r>
    </w:p>
    <w:p w:rsidR="00915117" w:rsidRDefault="00915117" w:rsidP="006F20DD">
      <w:pPr>
        <w:rPr>
          <w:szCs w:val="24"/>
        </w:rPr>
      </w:pPr>
      <w:r>
        <w:rPr>
          <w:szCs w:val="24"/>
        </w:rPr>
        <w:t>que pasará a ser el siguiente: Estimación preliminar de los costes de las Decisiones y Resoluciones de la Asamblea Mundial de Normalización de las Telecomunicaciones (AMNT-16).</w:t>
      </w:r>
    </w:p>
    <w:p w:rsidR="00915117" w:rsidRPr="00915117" w:rsidRDefault="00915117" w:rsidP="006F20DD">
      <w:pPr>
        <w:rPr>
          <w:szCs w:val="24"/>
        </w:rPr>
      </w:pPr>
      <w:r w:rsidRPr="00915117">
        <w:rPr>
          <w:szCs w:val="24"/>
        </w:rPr>
        <w:t>En el curso del debate con respecto a las repercusiones financieras en los gastos de interpretaci</w:t>
      </w:r>
      <w:r>
        <w:rPr>
          <w:szCs w:val="24"/>
        </w:rPr>
        <w:t xml:space="preserve">ón que podría </w:t>
      </w:r>
      <w:r w:rsidR="00467368">
        <w:rPr>
          <w:szCs w:val="24"/>
        </w:rPr>
        <w:t>acarrear</w:t>
      </w:r>
      <w:r>
        <w:rPr>
          <w:szCs w:val="24"/>
        </w:rPr>
        <w:t xml:space="preserve"> la </w:t>
      </w:r>
      <w:r w:rsidR="00FF2DF2">
        <w:rPr>
          <w:szCs w:val="24"/>
        </w:rPr>
        <w:t>Resolución</w:t>
      </w:r>
      <w:r>
        <w:rPr>
          <w:szCs w:val="24"/>
        </w:rPr>
        <w:t xml:space="preserve"> 44 revisada, la Comisión 2 expresó su preocupación ante la importante cuantía </w:t>
      </w:r>
      <w:r w:rsidR="008A450E">
        <w:rPr>
          <w:szCs w:val="24"/>
        </w:rPr>
        <w:t>e invitó a que, si fuera necesario, se considerara la opción más costosa (opción</w:t>
      </w:r>
      <w:r w:rsidR="002E05CD">
        <w:rPr>
          <w:szCs w:val="24"/>
        </w:rPr>
        <w:t> </w:t>
      </w:r>
      <w:r w:rsidR="008A450E">
        <w:rPr>
          <w:szCs w:val="24"/>
        </w:rPr>
        <w:t>2) en la preparación del presupuesto para 2018-2019.</w:t>
      </w:r>
      <w:r>
        <w:rPr>
          <w:szCs w:val="24"/>
        </w:rPr>
        <w:t xml:space="preserve"> </w:t>
      </w:r>
    </w:p>
    <w:p w:rsidR="008A450E" w:rsidRPr="008A450E" w:rsidRDefault="008A450E" w:rsidP="006F20DD">
      <w:pPr>
        <w:rPr>
          <w:szCs w:val="24"/>
        </w:rPr>
      </w:pPr>
      <w:r w:rsidRPr="008A450E">
        <w:rPr>
          <w:szCs w:val="24"/>
        </w:rPr>
        <w:t>La Secretaría confirmó que las opciones examinadas en el marco de la Resoluci</w:t>
      </w:r>
      <w:r>
        <w:rPr>
          <w:szCs w:val="24"/>
        </w:rPr>
        <w:t>ón 44 revisada se mantienen aún en el tope de los 85 millones CHF para los años 2016-2019, establecidos en la Decisión 5 (</w:t>
      </w:r>
      <w:r w:rsidRPr="008A450E">
        <w:rPr>
          <w:i/>
          <w:iCs/>
          <w:szCs w:val="24"/>
        </w:rPr>
        <w:t>decide</w:t>
      </w:r>
      <w:r>
        <w:rPr>
          <w:szCs w:val="24"/>
        </w:rPr>
        <w:t xml:space="preserve"> 1.2) de la PP-14. En la preparación del presupuesto para 2018-2019 podría examinarse también una opción intermedia entre ambas opciones propuestas. </w:t>
      </w:r>
    </w:p>
    <w:p w:rsidR="00C35E5F" w:rsidRPr="007855D4" w:rsidRDefault="008068AE" w:rsidP="006F20DD">
      <w:r w:rsidRPr="008068AE">
        <w:t xml:space="preserve">Tras su segunda reunión del martes 1 de noviembre, la Comisión 2 recibió </w:t>
      </w:r>
      <w:r w:rsidR="007255D1">
        <w:t xml:space="preserve">un cierto número de </w:t>
      </w:r>
      <w:r w:rsidRPr="008068AE">
        <w:t xml:space="preserve">pedidos </w:t>
      </w:r>
      <w:r w:rsidR="007255D1">
        <w:t xml:space="preserve">para que </w:t>
      </w:r>
      <w:r w:rsidRPr="008068AE">
        <w:t>examinar</w:t>
      </w:r>
      <w:r w:rsidR="007255D1">
        <w:t>a</w:t>
      </w:r>
      <w:r w:rsidRPr="008068AE">
        <w:t xml:space="preserve"> Resoluciones nuevas y revisadas que podrían tener repercusiones financieras y formular</w:t>
      </w:r>
      <w:r w:rsidR="007255D1">
        <w:t>a</w:t>
      </w:r>
      <w:r w:rsidRPr="008068AE">
        <w:t xml:space="preserve"> su opinión al respecto (Documentos</w:t>
      </w:r>
      <w:r>
        <w:t xml:space="preserve"> </w:t>
      </w:r>
      <w:hyperlink r:id="rId27" w:history="1">
        <w:r w:rsidR="007855D4" w:rsidRPr="00A02FEA">
          <w:rPr>
            <w:color w:val="0000FF"/>
            <w:szCs w:val="24"/>
            <w:u w:val="single"/>
          </w:rPr>
          <w:t>93</w:t>
        </w:r>
      </w:hyperlink>
      <w:r w:rsidR="007855D4" w:rsidRPr="00A02FEA">
        <w:rPr>
          <w:szCs w:val="24"/>
        </w:rPr>
        <w:t xml:space="preserve">, </w:t>
      </w:r>
      <w:hyperlink r:id="rId28" w:history="1">
        <w:r w:rsidR="007855D4" w:rsidRPr="00A02FEA">
          <w:rPr>
            <w:color w:val="0000FF"/>
            <w:szCs w:val="24"/>
            <w:u w:val="single"/>
          </w:rPr>
          <w:t>96</w:t>
        </w:r>
      </w:hyperlink>
      <w:r w:rsidR="007855D4" w:rsidRPr="00A02FEA">
        <w:rPr>
          <w:szCs w:val="24"/>
        </w:rPr>
        <w:t xml:space="preserve"> </w:t>
      </w:r>
      <w:r>
        <w:rPr>
          <w:szCs w:val="24"/>
        </w:rPr>
        <w:t>y</w:t>
      </w:r>
      <w:r w:rsidR="007855D4" w:rsidRPr="00A02FEA">
        <w:rPr>
          <w:szCs w:val="24"/>
        </w:rPr>
        <w:t xml:space="preserve"> </w:t>
      </w:r>
      <w:hyperlink r:id="rId29" w:history="1">
        <w:r w:rsidR="007855D4" w:rsidRPr="00A02FEA">
          <w:rPr>
            <w:color w:val="0000FF"/>
            <w:szCs w:val="24"/>
            <w:u w:val="single"/>
          </w:rPr>
          <w:t>100</w:t>
        </w:r>
      </w:hyperlink>
      <w:r w:rsidR="007855D4" w:rsidRPr="00A02FEA">
        <w:rPr>
          <w:szCs w:val="24"/>
        </w:rPr>
        <w:t>).</w:t>
      </w:r>
    </w:p>
    <w:p w:rsidR="008068AE" w:rsidRPr="008068AE" w:rsidRDefault="007855D4" w:rsidP="006F20DD">
      <w:r w:rsidRPr="00EE60D1">
        <w:t xml:space="preserve">Las consecuencias financieras estimadas tienen carácter indicativo y se discutirán ulteriormente en </w:t>
      </w:r>
      <w:r w:rsidR="002E05CD">
        <w:t xml:space="preserve">el Consejo, en su reunión de </w:t>
      </w:r>
      <w:r>
        <w:t>2017</w:t>
      </w:r>
      <w:r w:rsidR="002E05CD">
        <w:t>,</w:t>
      </w:r>
      <w:r w:rsidRPr="00EE60D1">
        <w:t xml:space="preserve"> cuando adopte el pr</w:t>
      </w:r>
      <w:r>
        <w:t xml:space="preserve">esupuesto correspondiente a 2018-2019. </w:t>
      </w:r>
      <w:r w:rsidR="008068AE" w:rsidRPr="008068AE">
        <w:rPr>
          <w:color w:val="000000"/>
          <w:szCs w:val="24"/>
        </w:rPr>
        <w:t xml:space="preserve">El Plan Financiero </w:t>
      </w:r>
      <w:r w:rsidR="008068AE">
        <w:rPr>
          <w:color w:val="000000"/>
          <w:szCs w:val="24"/>
        </w:rPr>
        <w:t xml:space="preserve">para el periodo </w:t>
      </w:r>
      <w:r w:rsidR="008068AE" w:rsidRPr="008068AE">
        <w:rPr>
          <w:color w:val="000000"/>
          <w:szCs w:val="24"/>
        </w:rPr>
        <w:t>2016-2019, aprobado por la PP-14</w:t>
      </w:r>
      <w:r w:rsidR="007255D1">
        <w:rPr>
          <w:color w:val="000000"/>
          <w:szCs w:val="24"/>
        </w:rPr>
        <w:t xml:space="preserve">, </w:t>
      </w:r>
      <w:r w:rsidR="008068AE">
        <w:rPr>
          <w:color w:val="000000"/>
          <w:szCs w:val="24"/>
        </w:rPr>
        <w:t xml:space="preserve">establece el marco de gastos para dicho periodo. La Secretaría informó a la Comisión 2 </w:t>
      </w:r>
      <w:r w:rsidR="007255D1">
        <w:rPr>
          <w:color w:val="000000"/>
          <w:szCs w:val="24"/>
        </w:rPr>
        <w:t xml:space="preserve">de </w:t>
      </w:r>
      <w:r w:rsidR="008068AE">
        <w:rPr>
          <w:color w:val="000000"/>
          <w:szCs w:val="24"/>
        </w:rPr>
        <w:t>que resultará difícil equilibrar el presupuesto bienal para 2018-2019 con esas Decisiones y Resoluciones que necesitan fondos adicionales.</w:t>
      </w:r>
    </w:p>
    <w:p w:rsidR="007855D4" w:rsidRPr="00EE60D1" w:rsidRDefault="007855D4" w:rsidP="006F20DD">
      <w:r>
        <w:t>Para 2017</w:t>
      </w:r>
      <w:r w:rsidRPr="00EE60D1">
        <w:t>, la TSB intentará financiar los nuevos requisitos dentro de</w:t>
      </w:r>
      <w:r>
        <w:t>l presupuesto aprobado para 2016</w:t>
      </w:r>
      <w:r>
        <w:noBreakHyphen/>
        <w:t>2017</w:t>
      </w:r>
      <w:r w:rsidRPr="00EE60D1">
        <w:t xml:space="preserve"> aunque no sea fácil. </w:t>
      </w:r>
    </w:p>
    <w:p w:rsidR="00C35E5F" w:rsidRPr="007855D4" w:rsidRDefault="007855D4" w:rsidP="006F20DD">
      <w:r w:rsidRPr="00EE60D1">
        <w:t>El Anexo B incluye un cuadro resumen de las posibles repercusiones financieras de las Decisio</w:t>
      </w:r>
      <w:r>
        <w:t>nes y Resoluciones de la AMNT-16</w:t>
      </w:r>
      <w:r w:rsidRPr="00EE60D1">
        <w:t xml:space="preserve">, la evaluación de costes y la lista de Decisiones y Resoluciones </w:t>
      </w:r>
      <w:r w:rsidR="0080287D">
        <w:t xml:space="preserve">de la AMNT-16 </w:t>
      </w:r>
      <w:r w:rsidRPr="00EE60D1">
        <w:t xml:space="preserve">que podrían acarrear </w:t>
      </w:r>
      <w:r w:rsidR="0080287D">
        <w:t>repercusiones</w:t>
      </w:r>
      <w:r w:rsidRPr="00EE60D1">
        <w:t xml:space="preserve"> financier</w:t>
      </w:r>
      <w:r w:rsidR="0080287D">
        <w:t>a</w:t>
      </w:r>
      <w:r w:rsidRPr="00EE60D1">
        <w:t>s.</w:t>
      </w:r>
    </w:p>
    <w:p w:rsidR="00473B0C" w:rsidRPr="00473B0C" w:rsidRDefault="00473B0C" w:rsidP="006F20DD">
      <w:r w:rsidRPr="00473B0C">
        <w:rPr>
          <w:szCs w:val="24"/>
        </w:rPr>
        <w:t xml:space="preserve">En resumen, los gastos adicionales identificados en numerosas Decisiones y Resoluciones de </w:t>
      </w:r>
      <w:r>
        <w:rPr>
          <w:szCs w:val="24"/>
        </w:rPr>
        <w:t>la AMN</w:t>
      </w:r>
      <w:r w:rsidRPr="00473B0C">
        <w:rPr>
          <w:szCs w:val="24"/>
        </w:rPr>
        <w:t>T-16</w:t>
      </w:r>
      <w:r>
        <w:rPr>
          <w:szCs w:val="24"/>
        </w:rPr>
        <w:t xml:space="preserve"> se estiman entre 1 342 000 CHF y 1 628 000 CHF para la opción 1, y entre 2 602 000 CHF y 3 788 000 CHF para la opción 2 por bienio.</w:t>
      </w:r>
      <w:r w:rsidRPr="00473B0C">
        <w:rPr>
          <w:szCs w:val="24"/>
        </w:rPr>
        <w:t xml:space="preserve"> </w:t>
      </w:r>
    </w:p>
    <w:p w:rsidR="00C35E5F" w:rsidRPr="007855D4" w:rsidRDefault="007855D4" w:rsidP="006F20DD">
      <w:r w:rsidRPr="00535E80">
        <w:rPr>
          <w:lang w:val="es-ES"/>
        </w:rPr>
        <w:t>Se ruega a la Sesión Plenaria que examine y apruebe el presente Informe, que se transmitirá posteriormente al Secretario General, junto con los comentarios de la Sesión Plenaria, a fin de someterlos a la próxima reunión del Consejo de 201</w:t>
      </w:r>
      <w:r w:rsidR="00473B0C">
        <w:rPr>
          <w:lang w:val="es-ES"/>
        </w:rPr>
        <w:t>7</w:t>
      </w:r>
      <w:r w:rsidRPr="00535E80">
        <w:rPr>
          <w:lang w:val="es-ES"/>
        </w:rPr>
        <w:t>.</w:t>
      </w:r>
    </w:p>
    <w:p w:rsidR="00C35E5F" w:rsidRPr="007855D4" w:rsidRDefault="00C35E5F" w:rsidP="006F20DD">
      <w:pPr>
        <w:tabs>
          <w:tab w:val="clear" w:pos="1134"/>
          <w:tab w:val="clear" w:pos="1871"/>
          <w:tab w:val="clear" w:pos="2268"/>
        </w:tabs>
        <w:overflowPunct/>
        <w:autoSpaceDE/>
        <w:autoSpaceDN/>
        <w:adjustRightInd/>
        <w:spacing w:before="0"/>
        <w:textAlignment w:val="auto"/>
      </w:pPr>
    </w:p>
    <w:p w:rsidR="00C35E5F" w:rsidRPr="007855D4" w:rsidRDefault="00C35E5F" w:rsidP="006F20DD">
      <w:pPr>
        <w:tabs>
          <w:tab w:val="clear" w:pos="1134"/>
          <w:tab w:val="clear" w:pos="1871"/>
          <w:tab w:val="clear" w:pos="2268"/>
        </w:tabs>
        <w:overflowPunct/>
        <w:autoSpaceDE/>
        <w:autoSpaceDN/>
        <w:adjustRightInd/>
        <w:spacing w:before="0"/>
        <w:textAlignment w:val="auto"/>
      </w:pPr>
    </w:p>
    <w:tbl>
      <w:tblPr>
        <w:tblW w:w="10031" w:type="dxa"/>
        <w:tblLayout w:type="fixed"/>
        <w:tblLook w:val="04A0" w:firstRow="1" w:lastRow="0" w:firstColumn="1" w:lastColumn="0" w:noHBand="0" w:noVBand="1"/>
      </w:tblPr>
      <w:tblGrid>
        <w:gridCol w:w="5529"/>
        <w:gridCol w:w="4502"/>
      </w:tblGrid>
      <w:tr w:rsidR="007855D4" w:rsidRPr="00473B0C" w:rsidTr="008068AE">
        <w:trPr>
          <w:cantSplit/>
        </w:trPr>
        <w:tc>
          <w:tcPr>
            <w:tcW w:w="5529" w:type="dxa"/>
          </w:tcPr>
          <w:p w:rsidR="007855D4" w:rsidRPr="00A02FEA" w:rsidRDefault="007855D4" w:rsidP="006F20DD">
            <w:pPr>
              <w:rPr>
                <w:szCs w:val="24"/>
              </w:rPr>
            </w:pPr>
          </w:p>
        </w:tc>
        <w:tc>
          <w:tcPr>
            <w:tcW w:w="4502" w:type="dxa"/>
          </w:tcPr>
          <w:p w:rsidR="007855D4" w:rsidRPr="00473B0C" w:rsidRDefault="00473B0C" w:rsidP="006F20DD">
            <w:pPr>
              <w:jc w:val="center"/>
              <w:rPr>
                <w:rFonts w:eastAsia="SimSun"/>
                <w:szCs w:val="24"/>
              </w:rPr>
            </w:pPr>
            <w:r w:rsidRPr="00473B0C">
              <w:rPr>
                <w:rFonts w:eastAsia="SimSun"/>
                <w:szCs w:val="24"/>
              </w:rPr>
              <w:t>Sra.</w:t>
            </w:r>
            <w:r w:rsidR="007855D4" w:rsidRPr="00473B0C">
              <w:rPr>
                <w:rFonts w:eastAsia="SimSun"/>
                <w:szCs w:val="24"/>
              </w:rPr>
              <w:t xml:space="preserve"> Weiling XU (China, </w:t>
            </w:r>
            <w:r w:rsidRPr="00473B0C">
              <w:rPr>
                <w:rFonts w:eastAsia="SimSun"/>
                <w:szCs w:val="24"/>
              </w:rPr>
              <w:t>República Popular de</w:t>
            </w:r>
            <w:r w:rsidR="007855D4" w:rsidRPr="00473B0C">
              <w:rPr>
                <w:rFonts w:eastAsia="SimSun"/>
                <w:szCs w:val="24"/>
              </w:rPr>
              <w:t>)</w:t>
            </w:r>
            <w:r w:rsidR="007855D4" w:rsidRPr="00473B0C">
              <w:rPr>
                <w:rFonts w:eastAsia="SimSun"/>
                <w:szCs w:val="24"/>
              </w:rPr>
              <w:br/>
            </w:r>
            <w:r w:rsidRPr="00473B0C">
              <w:rPr>
                <w:rFonts w:eastAsia="SimSun"/>
                <w:szCs w:val="24"/>
              </w:rPr>
              <w:t>Presidenta de la Comisión 2</w:t>
            </w:r>
          </w:p>
          <w:p w:rsidR="007855D4" w:rsidRPr="00473B0C" w:rsidRDefault="007855D4" w:rsidP="006F20DD">
            <w:pPr>
              <w:jc w:val="center"/>
              <w:rPr>
                <w:rFonts w:eastAsia="SimSun"/>
                <w:szCs w:val="24"/>
              </w:rPr>
            </w:pPr>
          </w:p>
        </w:tc>
      </w:tr>
    </w:tbl>
    <w:p w:rsidR="00B07178" w:rsidRPr="00B705B1" w:rsidRDefault="002E05CD" w:rsidP="006F20DD">
      <w:pPr>
        <w:tabs>
          <w:tab w:val="center" w:pos="7088"/>
        </w:tabs>
        <w:spacing w:before="600"/>
        <w:rPr>
          <w:szCs w:val="24"/>
        </w:rPr>
      </w:pPr>
      <w:r w:rsidRPr="00AA4622">
        <w:rPr>
          <w:b/>
          <w:bCs/>
          <w:szCs w:val="24"/>
        </w:rPr>
        <w:t>Anexo</w:t>
      </w:r>
      <w:r w:rsidR="007855D4" w:rsidRPr="00AA4622">
        <w:rPr>
          <w:b/>
          <w:bCs/>
          <w:szCs w:val="24"/>
        </w:rPr>
        <w:t>s:</w:t>
      </w:r>
      <w:r w:rsidR="007855D4" w:rsidRPr="00A02FEA">
        <w:rPr>
          <w:szCs w:val="24"/>
        </w:rPr>
        <w:t xml:space="preserve"> 2</w:t>
      </w:r>
      <w:r w:rsidR="00B07178" w:rsidRPr="00817430">
        <w:br w:type="page"/>
      </w:r>
    </w:p>
    <w:p w:rsidR="007855D4" w:rsidRPr="00817430" w:rsidRDefault="002E05CD" w:rsidP="006F20DD">
      <w:pPr>
        <w:pStyle w:val="AnnexNo"/>
      </w:pPr>
      <w:r>
        <w:lastRenderedPageBreak/>
        <w:t>An</w:t>
      </w:r>
      <w:r w:rsidR="007855D4" w:rsidRPr="00817430">
        <w:t>ex</w:t>
      </w:r>
      <w:r>
        <w:t>O</w:t>
      </w:r>
      <w:r w:rsidR="007855D4" w:rsidRPr="00817430">
        <w:t xml:space="preserve"> A</w:t>
      </w:r>
    </w:p>
    <w:p w:rsidR="007855D4" w:rsidRPr="007855D4" w:rsidRDefault="007855D4" w:rsidP="006F20DD">
      <w:pPr>
        <w:pStyle w:val="Annextitle"/>
      </w:pPr>
      <w:r w:rsidRPr="007855D4">
        <w:t>Presupuesto de la Asamblea Mundial de Normalización</w:t>
      </w:r>
      <w:r w:rsidRPr="007855D4">
        <w:br/>
        <w:t>de las Telecomunicaciones (AMNT-16)</w:t>
      </w:r>
    </w:p>
    <w:p w:rsidR="007855D4" w:rsidRPr="007855D4" w:rsidRDefault="007855D4" w:rsidP="006F20DD">
      <w:pPr>
        <w:jc w:val="center"/>
      </w:pPr>
      <w:r w:rsidRPr="00511AAF">
        <w:t>Previsto a</w:t>
      </w:r>
      <w:r w:rsidR="007255D1">
        <w:t>l</w:t>
      </w:r>
      <w:r w:rsidRPr="007855D4">
        <w:t xml:space="preserve"> 31 de octubre 2016</w:t>
      </w:r>
    </w:p>
    <w:p w:rsidR="007855D4" w:rsidRPr="007855D4" w:rsidRDefault="007855D4" w:rsidP="006F20DD">
      <w:pPr>
        <w:jc w:val="right"/>
        <w:rPr>
          <w:i/>
          <w:iCs/>
        </w:rPr>
      </w:pPr>
      <w:r w:rsidRPr="00511AAF">
        <w:rPr>
          <w:i/>
          <w:iCs/>
          <w:color w:val="000000"/>
          <w:szCs w:val="22"/>
        </w:rPr>
        <w:t xml:space="preserve">Cantidades en miles </w:t>
      </w:r>
      <w:r w:rsidR="007255D1">
        <w:rPr>
          <w:i/>
          <w:iCs/>
          <w:color w:val="000000"/>
          <w:szCs w:val="22"/>
        </w:rPr>
        <w:t>CHF</w:t>
      </w:r>
    </w:p>
    <w:tbl>
      <w:tblPr>
        <w:tblStyle w:val="TableGrid8"/>
        <w:tblW w:w="0" w:type="auto"/>
        <w:tblLook w:val="04A0" w:firstRow="1" w:lastRow="0" w:firstColumn="1" w:lastColumn="0" w:noHBand="0" w:noVBand="1"/>
      </w:tblPr>
      <w:tblGrid>
        <w:gridCol w:w="3256"/>
        <w:gridCol w:w="1417"/>
        <w:gridCol w:w="2006"/>
        <w:gridCol w:w="1963"/>
        <w:gridCol w:w="987"/>
      </w:tblGrid>
      <w:tr w:rsidR="00E636BB" w:rsidRPr="00A02FEA" w:rsidTr="0016448E">
        <w:tc>
          <w:tcPr>
            <w:tcW w:w="3256" w:type="dxa"/>
            <w:vAlign w:val="center"/>
          </w:tcPr>
          <w:p w:rsidR="007855D4" w:rsidRPr="0016448E" w:rsidRDefault="007855D4" w:rsidP="006F20DD">
            <w:pPr>
              <w:pStyle w:val="Tablehead"/>
              <w:rPr>
                <w:sz w:val="22"/>
                <w:szCs w:val="22"/>
              </w:rPr>
            </w:pPr>
            <w:r w:rsidRPr="0016448E">
              <w:rPr>
                <w:sz w:val="22"/>
                <w:szCs w:val="22"/>
              </w:rPr>
              <w:t>Categor</w:t>
            </w:r>
            <w:r w:rsidR="00E636BB" w:rsidRPr="0016448E">
              <w:rPr>
                <w:sz w:val="22"/>
                <w:szCs w:val="22"/>
              </w:rPr>
              <w:t>ía de gastos</w:t>
            </w:r>
          </w:p>
        </w:tc>
        <w:tc>
          <w:tcPr>
            <w:tcW w:w="1417" w:type="dxa"/>
            <w:vAlign w:val="center"/>
          </w:tcPr>
          <w:p w:rsidR="007855D4" w:rsidRPr="0016448E" w:rsidRDefault="007855D4" w:rsidP="006F20DD">
            <w:pPr>
              <w:pStyle w:val="Tablehead"/>
              <w:rPr>
                <w:sz w:val="22"/>
                <w:szCs w:val="22"/>
              </w:rPr>
            </w:pPr>
            <w:r w:rsidRPr="0016448E">
              <w:rPr>
                <w:bCs/>
                <w:color w:val="000000"/>
                <w:sz w:val="22"/>
                <w:szCs w:val="22"/>
              </w:rPr>
              <w:t>Presupuesto</w:t>
            </w:r>
          </w:p>
        </w:tc>
        <w:tc>
          <w:tcPr>
            <w:tcW w:w="2006" w:type="dxa"/>
            <w:vAlign w:val="center"/>
          </w:tcPr>
          <w:p w:rsidR="007855D4" w:rsidRPr="0016448E" w:rsidRDefault="00E636BB" w:rsidP="006F20DD">
            <w:pPr>
              <w:pStyle w:val="Tablehead"/>
              <w:rPr>
                <w:sz w:val="22"/>
                <w:szCs w:val="22"/>
              </w:rPr>
            </w:pPr>
            <w:r w:rsidRPr="0016448E">
              <w:rPr>
                <w:sz w:val="22"/>
                <w:szCs w:val="22"/>
              </w:rPr>
              <w:t>Gastos reales y compromisos de gastos a</w:t>
            </w:r>
            <w:r w:rsidR="007255D1" w:rsidRPr="0016448E">
              <w:rPr>
                <w:sz w:val="22"/>
                <w:szCs w:val="22"/>
              </w:rPr>
              <w:t>l</w:t>
            </w:r>
            <w:r w:rsidRPr="0016448E">
              <w:rPr>
                <w:sz w:val="22"/>
                <w:szCs w:val="22"/>
              </w:rPr>
              <w:t xml:space="preserve"> </w:t>
            </w:r>
            <w:r w:rsidR="007855D4" w:rsidRPr="0016448E">
              <w:rPr>
                <w:sz w:val="22"/>
                <w:szCs w:val="22"/>
              </w:rPr>
              <w:t xml:space="preserve">31 </w:t>
            </w:r>
            <w:r w:rsidRPr="0016448E">
              <w:rPr>
                <w:sz w:val="22"/>
                <w:szCs w:val="22"/>
              </w:rPr>
              <w:t xml:space="preserve">de octubre de </w:t>
            </w:r>
            <w:r w:rsidR="007855D4" w:rsidRPr="0016448E">
              <w:rPr>
                <w:sz w:val="22"/>
                <w:szCs w:val="22"/>
              </w:rPr>
              <w:t>2016</w:t>
            </w:r>
          </w:p>
        </w:tc>
        <w:tc>
          <w:tcPr>
            <w:tcW w:w="1963" w:type="dxa"/>
            <w:vAlign w:val="center"/>
          </w:tcPr>
          <w:p w:rsidR="007855D4" w:rsidRPr="0016448E" w:rsidRDefault="00E636BB" w:rsidP="006F20DD">
            <w:pPr>
              <w:pStyle w:val="Tablehead"/>
              <w:rPr>
                <w:sz w:val="22"/>
                <w:szCs w:val="22"/>
              </w:rPr>
            </w:pPr>
            <w:r w:rsidRPr="0016448E">
              <w:rPr>
                <w:sz w:val="22"/>
                <w:szCs w:val="22"/>
              </w:rPr>
              <w:t xml:space="preserve">Gastos adicionales previstos hasta </w:t>
            </w:r>
            <w:r w:rsidR="000E1039">
              <w:rPr>
                <w:sz w:val="22"/>
                <w:szCs w:val="22"/>
              </w:rPr>
              <w:br/>
            </w:r>
            <w:r w:rsidRPr="0016448E">
              <w:rPr>
                <w:sz w:val="22"/>
                <w:szCs w:val="22"/>
              </w:rPr>
              <w:t>el final de la Asamblea</w:t>
            </w:r>
          </w:p>
        </w:tc>
        <w:tc>
          <w:tcPr>
            <w:tcW w:w="987" w:type="dxa"/>
            <w:vAlign w:val="center"/>
          </w:tcPr>
          <w:p w:rsidR="007855D4" w:rsidRPr="0016448E" w:rsidRDefault="00E636BB" w:rsidP="006F20DD">
            <w:pPr>
              <w:pStyle w:val="Tablehead"/>
              <w:rPr>
                <w:sz w:val="22"/>
                <w:szCs w:val="22"/>
              </w:rPr>
            </w:pPr>
            <w:r w:rsidRPr="0016448E">
              <w:rPr>
                <w:sz w:val="22"/>
                <w:szCs w:val="22"/>
              </w:rPr>
              <w:t>Saldo previsto</w:t>
            </w:r>
          </w:p>
        </w:tc>
      </w:tr>
      <w:tr w:rsidR="00E636BB" w:rsidRPr="00A02FEA" w:rsidTr="0016448E">
        <w:tc>
          <w:tcPr>
            <w:tcW w:w="3256" w:type="dxa"/>
          </w:tcPr>
          <w:p w:rsidR="007855D4" w:rsidRPr="0016448E" w:rsidRDefault="007855D4" w:rsidP="006F20DD">
            <w:pPr>
              <w:pStyle w:val="Tabletext"/>
              <w:rPr>
                <w:sz w:val="22"/>
                <w:szCs w:val="22"/>
              </w:rPr>
            </w:pPr>
            <w:r w:rsidRPr="0016448E">
              <w:rPr>
                <w:sz w:val="22"/>
                <w:szCs w:val="22"/>
              </w:rPr>
              <w:t>Gastos de personal</w:t>
            </w:r>
          </w:p>
        </w:tc>
        <w:tc>
          <w:tcPr>
            <w:tcW w:w="1417" w:type="dxa"/>
          </w:tcPr>
          <w:p w:rsidR="007855D4" w:rsidRPr="0016448E" w:rsidRDefault="007855D4" w:rsidP="006F20DD">
            <w:pPr>
              <w:pStyle w:val="Tabletext"/>
              <w:jc w:val="right"/>
              <w:rPr>
                <w:sz w:val="22"/>
                <w:szCs w:val="22"/>
              </w:rPr>
            </w:pPr>
            <w:r w:rsidRPr="0016448E">
              <w:rPr>
                <w:sz w:val="22"/>
                <w:szCs w:val="22"/>
              </w:rPr>
              <w:t>466</w:t>
            </w:r>
          </w:p>
        </w:tc>
        <w:tc>
          <w:tcPr>
            <w:tcW w:w="2006" w:type="dxa"/>
          </w:tcPr>
          <w:p w:rsidR="007855D4" w:rsidRPr="0016448E" w:rsidRDefault="007855D4" w:rsidP="006F20DD">
            <w:pPr>
              <w:pStyle w:val="Tabletext"/>
              <w:jc w:val="right"/>
              <w:rPr>
                <w:sz w:val="22"/>
                <w:szCs w:val="22"/>
              </w:rPr>
            </w:pPr>
            <w:r w:rsidRPr="0016448E">
              <w:rPr>
                <w:sz w:val="22"/>
                <w:szCs w:val="22"/>
              </w:rPr>
              <w:t>320</w:t>
            </w:r>
          </w:p>
        </w:tc>
        <w:tc>
          <w:tcPr>
            <w:tcW w:w="1963" w:type="dxa"/>
          </w:tcPr>
          <w:p w:rsidR="007855D4" w:rsidRPr="0016448E" w:rsidRDefault="007855D4" w:rsidP="006F20DD">
            <w:pPr>
              <w:pStyle w:val="Tabletext"/>
              <w:jc w:val="right"/>
              <w:rPr>
                <w:sz w:val="22"/>
                <w:szCs w:val="22"/>
              </w:rPr>
            </w:pPr>
            <w:r w:rsidRPr="0016448E">
              <w:rPr>
                <w:sz w:val="22"/>
                <w:szCs w:val="22"/>
              </w:rPr>
              <w:t>170</w:t>
            </w:r>
          </w:p>
        </w:tc>
        <w:tc>
          <w:tcPr>
            <w:tcW w:w="987" w:type="dxa"/>
          </w:tcPr>
          <w:p w:rsidR="007855D4" w:rsidRPr="0016448E" w:rsidRDefault="000E1039" w:rsidP="006F20DD">
            <w:pPr>
              <w:pStyle w:val="Tabletext"/>
              <w:jc w:val="right"/>
              <w:rPr>
                <w:sz w:val="22"/>
                <w:szCs w:val="22"/>
              </w:rPr>
            </w:pPr>
            <w:r w:rsidRPr="000E1039">
              <w:rPr>
                <w:sz w:val="22"/>
                <w:szCs w:val="22"/>
              </w:rPr>
              <w:t>–</w:t>
            </w:r>
            <w:r w:rsidR="007855D4" w:rsidRPr="0016448E">
              <w:rPr>
                <w:sz w:val="22"/>
                <w:szCs w:val="22"/>
              </w:rPr>
              <w:t>24</w:t>
            </w:r>
          </w:p>
        </w:tc>
      </w:tr>
      <w:tr w:rsidR="00E636BB" w:rsidRPr="00A02FEA" w:rsidTr="0016448E">
        <w:tc>
          <w:tcPr>
            <w:tcW w:w="3256" w:type="dxa"/>
          </w:tcPr>
          <w:p w:rsidR="007855D4" w:rsidRPr="0016448E" w:rsidRDefault="007855D4" w:rsidP="006F20DD">
            <w:pPr>
              <w:pStyle w:val="Tabletext"/>
              <w:rPr>
                <w:sz w:val="22"/>
                <w:szCs w:val="22"/>
              </w:rPr>
            </w:pPr>
            <w:r w:rsidRPr="0016448E">
              <w:rPr>
                <w:sz w:val="22"/>
                <w:szCs w:val="22"/>
              </w:rPr>
              <w:t>Otros gastos de personal</w:t>
            </w:r>
          </w:p>
        </w:tc>
        <w:tc>
          <w:tcPr>
            <w:tcW w:w="1417" w:type="dxa"/>
          </w:tcPr>
          <w:p w:rsidR="007855D4" w:rsidRPr="0016448E" w:rsidRDefault="007855D4" w:rsidP="006F20DD">
            <w:pPr>
              <w:pStyle w:val="Tabletext"/>
              <w:jc w:val="right"/>
              <w:rPr>
                <w:sz w:val="22"/>
                <w:szCs w:val="22"/>
              </w:rPr>
            </w:pPr>
            <w:r w:rsidRPr="0016448E">
              <w:rPr>
                <w:sz w:val="22"/>
                <w:szCs w:val="22"/>
              </w:rPr>
              <w:t>31</w:t>
            </w:r>
          </w:p>
        </w:tc>
        <w:tc>
          <w:tcPr>
            <w:tcW w:w="2006" w:type="dxa"/>
          </w:tcPr>
          <w:p w:rsidR="007855D4" w:rsidRPr="0016448E" w:rsidRDefault="007855D4" w:rsidP="006F20DD">
            <w:pPr>
              <w:pStyle w:val="Tabletext"/>
              <w:jc w:val="right"/>
              <w:rPr>
                <w:sz w:val="22"/>
                <w:szCs w:val="22"/>
              </w:rPr>
            </w:pPr>
            <w:r w:rsidRPr="0016448E">
              <w:rPr>
                <w:sz w:val="22"/>
                <w:szCs w:val="22"/>
              </w:rPr>
              <w:t>2</w:t>
            </w:r>
          </w:p>
        </w:tc>
        <w:tc>
          <w:tcPr>
            <w:tcW w:w="1963" w:type="dxa"/>
          </w:tcPr>
          <w:p w:rsidR="007855D4" w:rsidRPr="0016448E" w:rsidRDefault="007855D4" w:rsidP="006F20DD">
            <w:pPr>
              <w:pStyle w:val="Tabletext"/>
              <w:jc w:val="right"/>
              <w:rPr>
                <w:sz w:val="22"/>
                <w:szCs w:val="22"/>
              </w:rPr>
            </w:pPr>
            <w:r w:rsidRPr="0016448E">
              <w:rPr>
                <w:sz w:val="22"/>
                <w:szCs w:val="22"/>
              </w:rPr>
              <w:t>1</w:t>
            </w:r>
          </w:p>
        </w:tc>
        <w:tc>
          <w:tcPr>
            <w:tcW w:w="987" w:type="dxa"/>
          </w:tcPr>
          <w:p w:rsidR="007855D4" w:rsidRPr="0016448E" w:rsidRDefault="007855D4" w:rsidP="006F20DD">
            <w:pPr>
              <w:pStyle w:val="Tabletext"/>
              <w:jc w:val="right"/>
              <w:rPr>
                <w:sz w:val="22"/>
                <w:szCs w:val="22"/>
              </w:rPr>
            </w:pPr>
            <w:r w:rsidRPr="0016448E">
              <w:rPr>
                <w:sz w:val="22"/>
                <w:szCs w:val="22"/>
              </w:rPr>
              <w:t>28</w:t>
            </w:r>
          </w:p>
        </w:tc>
      </w:tr>
      <w:tr w:rsidR="00E636BB" w:rsidRPr="00A02FEA" w:rsidTr="0016448E">
        <w:tc>
          <w:tcPr>
            <w:tcW w:w="3256" w:type="dxa"/>
          </w:tcPr>
          <w:p w:rsidR="007855D4" w:rsidRPr="0016448E" w:rsidRDefault="007855D4" w:rsidP="006F20DD">
            <w:pPr>
              <w:pStyle w:val="Tabletext"/>
              <w:rPr>
                <w:sz w:val="22"/>
                <w:szCs w:val="22"/>
              </w:rPr>
            </w:pPr>
            <w:r w:rsidRPr="0016448E">
              <w:rPr>
                <w:sz w:val="22"/>
                <w:szCs w:val="22"/>
              </w:rPr>
              <w:t>Gastos de misión</w:t>
            </w:r>
          </w:p>
        </w:tc>
        <w:tc>
          <w:tcPr>
            <w:tcW w:w="1417" w:type="dxa"/>
          </w:tcPr>
          <w:p w:rsidR="007855D4" w:rsidRPr="0016448E" w:rsidRDefault="007855D4" w:rsidP="006F20DD">
            <w:pPr>
              <w:pStyle w:val="Tabletext"/>
              <w:jc w:val="right"/>
              <w:rPr>
                <w:sz w:val="22"/>
                <w:szCs w:val="22"/>
              </w:rPr>
            </w:pPr>
            <w:r w:rsidRPr="0016448E">
              <w:rPr>
                <w:sz w:val="22"/>
                <w:szCs w:val="22"/>
              </w:rPr>
              <w:t>110</w:t>
            </w:r>
          </w:p>
        </w:tc>
        <w:tc>
          <w:tcPr>
            <w:tcW w:w="2006" w:type="dxa"/>
          </w:tcPr>
          <w:p w:rsidR="007855D4" w:rsidRPr="0016448E" w:rsidRDefault="007855D4" w:rsidP="006F20DD">
            <w:pPr>
              <w:pStyle w:val="Tabletext"/>
              <w:jc w:val="right"/>
              <w:rPr>
                <w:sz w:val="22"/>
                <w:szCs w:val="22"/>
              </w:rPr>
            </w:pPr>
            <w:r w:rsidRPr="0016448E">
              <w:rPr>
                <w:sz w:val="22"/>
                <w:szCs w:val="22"/>
              </w:rPr>
              <w:t>45</w:t>
            </w:r>
          </w:p>
        </w:tc>
        <w:tc>
          <w:tcPr>
            <w:tcW w:w="1963" w:type="dxa"/>
          </w:tcPr>
          <w:p w:rsidR="007855D4" w:rsidRPr="0016448E" w:rsidRDefault="007855D4" w:rsidP="006F20DD">
            <w:pPr>
              <w:pStyle w:val="Tabletext"/>
              <w:jc w:val="right"/>
              <w:rPr>
                <w:sz w:val="22"/>
                <w:szCs w:val="22"/>
              </w:rPr>
            </w:pPr>
            <w:r w:rsidRPr="0016448E">
              <w:rPr>
                <w:sz w:val="22"/>
                <w:szCs w:val="22"/>
              </w:rPr>
              <w:t>63</w:t>
            </w:r>
          </w:p>
        </w:tc>
        <w:tc>
          <w:tcPr>
            <w:tcW w:w="987" w:type="dxa"/>
          </w:tcPr>
          <w:p w:rsidR="007855D4" w:rsidRPr="0016448E" w:rsidRDefault="007855D4" w:rsidP="006F20DD">
            <w:pPr>
              <w:pStyle w:val="Tabletext"/>
              <w:jc w:val="right"/>
              <w:rPr>
                <w:sz w:val="22"/>
                <w:szCs w:val="22"/>
              </w:rPr>
            </w:pPr>
            <w:r w:rsidRPr="0016448E">
              <w:rPr>
                <w:sz w:val="22"/>
                <w:szCs w:val="22"/>
              </w:rPr>
              <w:t>2</w:t>
            </w:r>
          </w:p>
        </w:tc>
      </w:tr>
      <w:tr w:rsidR="00E636BB" w:rsidRPr="00A02FEA" w:rsidTr="0016448E">
        <w:tc>
          <w:tcPr>
            <w:tcW w:w="3256" w:type="dxa"/>
          </w:tcPr>
          <w:p w:rsidR="007855D4" w:rsidRPr="0016448E" w:rsidRDefault="007855D4" w:rsidP="006F20DD">
            <w:pPr>
              <w:pStyle w:val="Tabletext"/>
              <w:rPr>
                <w:sz w:val="22"/>
                <w:szCs w:val="22"/>
              </w:rPr>
            </w:pPr>
            <w:r w:rsidRPr="0016448E">
              <w:rPr>
                <w:sz w:val="22"/>
                <w:szCs w:val="22"/>
              </w:rPr>
              <w:t>Servicios por contrata</w:t>
            </w:r>
          </w:p>
        </w:tc>
        <w:tc>
          <w:tcPr>
            <w:tcW w:w="1417" w:type="dxa"/>
          </w:tcPr>
          <w:p w:rsidR="007855D4" w:rsidRPr="0016448E" w:rsidRDefault="007855D4" w:rsidP="006F20DD">
            <w:pPr>
              <w:pStyle w:val="Tabletext"/>
              <w:jc w:val="right"/>
              <w:rPr>
                <w:sz w:val="22"/>
                <w:szCs w:val="22"/>
              </w:rPr>
            </w:pPr>
            <w:r w:rsidRPr="0016448E">
              <w:rPr>
                <w:sz w:val="22"/>
                <w:szCs w:val="22"/>
              </w:rPr>
              <w:t>60</w:t>
            </w:r>
          </w:p>
        </w:tc>
        <w:tc>
          <w:tcPr>
            <w:tcW w:w="2006" w:type="dxa"/>
          </w:tcPr>
          <w:p w:rsidR="007855D4" w:rsidRPr="0016448E" w:rsidRDefault="007855D4" w:rsidP="006F20DD">
            <w:pPr>
              <w:pStyle w:val="Tabletext"/>
              <w:jc w:val="right"/>
              <w:rPr>
                <w:sz w:val="22"/>
                <w:szCs w:val="22"/>
              </w:rPr>
            </w:pPr>
            <w:r w:rsidRPr="0016448E">
              <w:rPr>
                <w:sz w:val="22"/>
                <w:szCs w:val="22"/>
              </w:rPr>
              <w:t>37</w:t>
            </w:r>
          </w:p>
        </w:tc>
        <w:tc>
          <w:tcPr>
            <w:tcW w:w="1963" w:type="dxa"/>
          </w:tcPr>
          <w:p w:rsidR="007855D4" w:rsidRPr="0016448E" w:rsidRDefault="007855D4" w:rsidP="006F20DD">
            <w:pPr>
              <w:pStyle w:val="Tabletext"/>
              <w:jc w:val="right"/>
              <w:rPr>
                <w:sz w:val="22"/>
                <w:szCs w:val="22"/>
              </w:rPr>
            </w:pPr>
            <w:r w:rsidRPr="0016448E">
              <w:rPr>
                <w:sz w:val="22"/>
                <w:szCs w:val="22"/>
              </w:rPr>
              <w:t>3</w:t>
            </w:r>
          </w:p>
        </w:tc>
        <w:tc>
          <w:tcPr>
            <w:tcW w:w="987" w:type="dxa"/>
          </w:tcPr>
          <w:p w:rsidR="007855D4" w:rsidRPr="0016448E" w:rsidRDefault="007855D4" w:rsidP="006F20DD">
            <w:pPr>
              <w:pStyle w:val="Tabletext"/>
              <w:jc w:val="right"/>
              <w:rPr>
                <w:sz w:val="22"/>
                <w:szCs w:val="22"/>
              </w:rPr>
            </w:pPr>
            <w:r w:rsidRPr="0016448E">
              <w:rPr>
                <w:sz w:val="22"/>
                <w:szCs w:val="22"/>
              </w:rPr>
              <w:t>20</w:t>
            </w:r>
          </w:p>
        </w:tc>
      </w:tr>
      <w:tr w:rsidR="00E636BB" w:rsidRPr="00A02FEA" w:rsidTr="0016448E">
        <w:tc>
          <w:tcPr>
            <w:tcW w:w="3256" w:type="dxa"/>
          </w:tcPr>
          <w:p w:rsidR="007855D4" w:rsidRPr="0016448E" w:rsidRDefault="007855D4" w:rsidP="006F20DD">
            <w:pPr>
              <w:pStyle w:val="Tabletext"/>
              <w:rPr>
                <w:sz w:val="22"/>
                <w:szCs w:val="22"/>
              </w:rPr>
            </w:pPr>
            <w:r w:rsidRPr="0016448E">
              <w:rPr>
                <w:sz w:val="22"/>
                <w:szCs w:val="22"/>
              </w:rPr>
              <w:t xml:space="preserve">Alquiler y </w:t>
            </w:r>
            <w:r w:rsidR="007255D1" w:rsidRPr="0016448E">
              <w:rPr>
                <w:sz w:val="22"/>
                <w:szCs w:val="22"/>
              </w:rPr>
              <w:t>mantenimiento</w:t>
            </w:r>
          </w:p>
        </w:tc>
        <w:tc>
          <w:tcPr>
            <w:tcW w:w="1417" w:type="dxa"/>
          </w:tcPr>
          <w:p w:rsidR="007855D4" w:rsidRPr="0016448E" w:rsidRDefault="007855D4" w:rsidP="006F20DD">
            <w:pPr>
              <w:pStyle w:val="Tabletext"/>
              <w:jc w:val="right"/>
              <w:rPr>
                <w:sz w:val="22"/>
                <w:szCs w:val="22"/>
              </w:rPr>
            </w:pPr>
            <w:r w:rsidRPr="0016448E">
              <w:rPr>
                <w:sz w:val="22"/>
                <w:szCs w:val="22"/>
              </w:rPr>
              <w:t>10</w:t>
            </w:r>
          </w:p>
        </w:tc>
        <w:tc>
          <w:tcPr>
            <w:tcW w:w="2006" w:type="dxa"/>
          </w:tcPr>
          <w:p w:rsidR="007855D4" w:rsidRPr="0016448E" w:rsidRDefault="007855D4" w:rsidP="006F20DD">
            <w:pPr>
              <w:pStyle w:val="Tabletext"/>
              <w:jc w:val="right"/>
              <w:rPr>
                <w:sz w:val="22"/>
                <w:szCs w:val="22"/>
              </w:rPr>
            </w:pPr>
            <w:r w:rsidRPr="0016448E">
              <w:rPr>
                <w:sz w:val="22"/>
                <w:szCs w:val="22"/>
              </w:rPr>
              <w:t>0</w:t>
            </w:r>
          </w:p>
        </w:tc>
        <w:tc>
          <w:tcPr>
            <w:tcW w:w="1963" w:type="dxa"/>
          </w:tcPr>
          <w:p w:rsidR="007855D4" w:rsidRPr="0016448E" w:rsidRDefault="007855D4" w:rsidP="006F20DD">
            <w:pPr>
              <w:pStyle w:val="Tabletext"/>
              <w:jc w:val="right"/>
              <w:rPr>
                <w:sz w:val="22"/>
                <w:szCs w:val="22"/>
              </w:rPr>
            </w:pPr>
            <w:r w:rsidRPr="0016448E">
              <w:rPr>
                <w:sz w:val="22"/>
                <w:szCs w:val="22"/>
              </w:rPr>
              <w:t>0</w:t>
            </w:r>
          </w:p>
        </w:tc>
        <w:tc>
          <w:tcPr>
            <w:tcW w:w="987" w:type="dxa"/>
          </w:tcPr>
          <w:p w:rsidR="007855D4" w:rsidRPr="0016448E" w:rsidRDefault="007855D4" w:rsidP="006F20DD">
            <w:pPr>
              <w:pStyle w:val="Tabletext"/>
              <w:jc w:val="right"/>
              <w:rPr>
                <w:sz w:val="22"/>
                <w:szCs w:val="22"/>
              </w:rPr>
            </w:pPr>
            <w:r w:rsidRPr="0016448E">
              <w:rPr>
                <w:sz w:val="22"/>
                <w:szCs w:val="22"/>
              </w:rPr>
              <w:t>10</w:t>
            </w:r>
          </w:p>
        </w:tc>
      </w:tr>
      <w:tr w:rsidR="00E636BB" w:rsidRPr="00A02FEA" w:rsidTr="0016448E">
        <w:tc>
          <w:tcPr>
            <w:tcW w:w="3256" w:type="dxa"/>
          </w:tcPr>
          <w:p w:rsidR="007855D4" w:rsidRPr="0016448E" w:rsidRDefault="007855D4" w:rsidP="006F20DD">
            <w:pPr>
              <w:pStyle w:val="Tabletext"/>
              <w:rPr>
                <w:sz w:val="22"/>
                <w:szCs w:val="22"/>
              </w:rPr>
            </w:pPr>
            <w:r w:rsidRPr="0016448E">
              <w:rPr>
                <w:sz w:val="22"/>
                <w:szCs w:val="22"/>
              </w:rPr>
              <w:t>Materiales y suministros</w:t>
            </w:r>
          </w:p>
        </w:tc>
        <w:tc>
          <w:tcPr>
            <w:tcW w:w="1417" w:type="dxa"/>
          </w:tcPr>
          <w:p w:rsidR="007855D4" w:rsidRPr="0016448E" w:rsidRDefault="007855D4" w:rsidP="006F20DD">
            <w:pPr>
              <w:pStyle w:val="Tabletext"/>
              <w:jc w:val="right"/>
              <w:rPr>
                <w:sz w:val="22"/>
                <w:szCs w:val="22"/>
              </w:rPr>
            </w:pPr>
            <w:r w:rsidRPr="0016448E">
              <w:rPr>
                <w:sz w:val="22"/>
                <w:szCs w:val="22"/>
              </w:rPr>
              <w:t>10</w:t>
            </w:r>
          </w:p>
        </w:tc>
        <w:tc>
          <w:tcPr>
            <w:tcW w:w="2006" w:type="dxa"/>
          </w:tcPr>
          <w:p w:rsidR="007855D4" w:rsidRPr="0016448E" w:rsidRDefault="007855D4" w:rsidP="006F20DD">
            <w:pPr>
              <w:pStyle w:val="Tabletext"/>
              <w:jc w:val="right"/>
              <w:rPr>
                <w:sz w:val="22"/>
                <w:szCs w:val="22"/>
              </w:rPr>
            </w:pPr>
            <w:r w:rsidRPr="0016448E">
              <w:rPr>
                <w:sz w:val="22"/>
                <w:szCs w:val="22"/>
              </w:rPr>
              <w:t>13</w:t>
            </w:r>
          </w:p>
        </w:tc>
        <w:tc>
          <w:tcPr>
            <w:tcW w:w="1963" w:type="dxa"/>
          </w:tcPr>
          <w:p w:rsidR="007855D4" w:rsidRPr="0016448E" w:rsidRDefault="007855D4" w:rsidP="006F20DD">
            <w:pPr>
              <w:pStyle w:val="Tabletext"/>
              <w:jc w:val="right"/>
              <w:rPr>
                <w:sz w:val="22"/>
                <w:szCs w:val="22"/>
              </w:rPr>
            </w:pPr>
            <w:r w:rsidRPr="0016448E">
              <w:rPr>
                <w:sz w:val="22"/>
                <w:szCs w:val="22"/>
              </w:rPr>
              <w:t>0</w:t>
            </w:r>
          </w:p>
        </w:tc>
        <w:tc>
          <w:tcPr>
            <w:tcW w:w="987" w:type="dxa"/>
          </w:tcPr>
          <w:p w:rsidR="007855D4" w:rsidRPr="0016448E" w:rsidRDefault="000E1039" w:rsidP="006F20DD">
            <w:pPr>
              <w:pStyle w:val="Tabletext"/>
              <w:jc w:val="right"/>
              <w:rPr>
                <w:sz w:val="22"/>
                <w:szCs w:val="22"/>
              </w:rPr>
            </w:pPr>
            <w:r w:rsidRPr="000E1039">
              <w:rPr>
                <w:sz w:val="22"/>
                <w:szCs w:val="22"/>
              </w:rPr>
              <w:t>–</w:t>
            </w:r>
            <w:r w:rsidR="007855D4" w:rsidRPr="0016448E">
              <w:rPr>
                <w:sz w:val="22"/>
                <w:szCs w:val="22"/>
              </w:rPr>
              <w:t>3</w:t>
            </w:r>
          </w:p>
        </w:tc>
      </w:tr>
      <w:tr w:rsidR="00E636BB" w:rsidRPr="00A02FEA" w:rsidTr="0016448E">
        <w:tc>
          <w:tcPr>
            <w:tcW w:w="3256" w:type="dxa"/>
          </w:tcPr>
          <w:p w:rsidR="007855D4" w:rsidRPr="0016448E" w:rsidRDefault="007855D4" w:rsidP="006F20DD">
            <w:pPr>
              <w:pStyle w:val="Tabletext"/>
              <w:rPr>
                <w:sz w:val="22"/>
                <w:szCs w:val="22"/>
              </w:rPr>
            </w:pPr>
            <w:r w:rsidRPr="0016448E">
              <w:rPr>
                <w:sz w:val="22"/>
                <w:szCs w:val="22"/>
              </w:rPr>
              <w:t>Varios</w:t>
            </w:r>
          </w:p>
        </w:tc>
        <w:tc>
          <w:tcPr>
            <w:tcW w:w="1417" w:type="dxa"/>
          </w:tcPr>
          <w:p w:rsidR="007855D4" w:rsidRPr="0016448E" w:rsidRDefault="007855D4" w:rsidP="006F20DD">
            <w:pPr>
              <w:pStyle w:val="Tabletext"/>
              <w:jc w:val="right"/>
              <w:rPr>
                <w:sz w:val="22"/>
                <w:szCs w:val="22"/>
              </w:rPr>
            </w:pPr>
            <w:r w:rsidRPr="0016448E">
              <w:rPr>
                <w:sz w:val="22"/>
                <w:szCs w:val="22"/>
              </w:rPr>
              <w:t>10</w:t>
            </w:r>
          </w:p>
        </w:tc>
        <w:tc>
          <w:tcPr>
            <w:tcW w:w="2006" w:type="dxa"/>
          </w:tcPr>
          <w:p w:rsidR="007855D4" w:rsidRPr="0016448E" w:rsidRDefault="007855D4" w:rsidP="006F20DD">
            <w:pPr>
              <w:pStyle w:val="Tabletext"/>
              <w:jc w:val="right"/>
              <w:rPr>
                <w:sz w:val="22"/>
                <w:szCs w:val="22"/>
              </w:rPr>
            </w:pPr>
            <w:r w:rsidRPr="0016448E">
              <w:rPr>
                <w:sz w:val="22"/>
                <w:szCs w:val="22"/>
              </w:rPr>
              <w:t>0</w:t>
            </w:r>
          </w:p>
        </w:tc>
        <w:tc>
          <w:tcPr>
            <w:tcW w:w="1963" w:type="dxa"/>
          </w:tcPr>
          <w:p w:rsidR="007855D4" w:rsidRPr="0016448E" w:rsidRDefault="007855D4" w:rsidP="006F20DD">
            <w:pPr>
              <w:pStyle w:val="Tabletext"/>
              <w:jc w:val="right"/>
              <w:rPr>
                <w:sz w:val="22"/>
                <w:szCs w:val="22"/>
              </w:rPr>
            </w:pPr>
            <w:r w:rsidRPr="0016448E">
              <w:rPr>
                <w:sz w:val="22"/>
                <w:szCs w:val="22"/>
              </w:rPr>
              <w:t>0</w:t>
            </w:r>
          </w:p>
        </w:tc>
        <w:tc>
          <w:tcPr>
            <w:tcW w:w="987" w:type="dxa"/>
          </w:tcPr>
          <w:p w:rsidR="007855D4" w:rsidRPr="0016448E" w:rsidRDefault="007855D4" w:rsidP="006F20DD">
            <w:pPr>
              <w:pStyle w:val="Tabletext"/>
              <w:jc w:val="right"/>
              <w:rPr>
                <w:sz w:val="22"/>
                <w:szCs w:val="22"/>
              </w:rPr>
            </w:pPr>
            <w:r w:rsidRPr="0016448E">
              <w:rPr>
                <w:sz w:val="22"/>
                <w:szCs w:val="22"/>
              </w:rPr>
              <w:t>10</w:t>
            </w:r>
          </w:p>
        </w:tc>
      </w:tr>
      <w:tr w:rsidR="00E636BB" w:rsidRPr="00A02FEA" w:rsidTr="0016448E">
        <w:tc>
          <w:tcPr>
            <w:tcW w:w="3256" w:type="dxa"/>
          </w:tcPr>
          <w:p w:rsidR="007855D4" w:rsidRPr="0016448E" w:rsidRDefault="006A7094" w:rsidP="006F20DD">
            <w:pPr>
              <w:pStyle w:val="Tabletext"/>
              <w:rPr>
                <w:b/>
                <w:bCs/>
                <w:sz w:val="22"/>
                <w:szCs w:val="22"/>
              </w:rPr>
            </w:pPr>
            <w:r w:rsidRPr="0016448E">
              <w:rPr>
                <w:b/>
                <w:bCs/>
                <w:sz w:val="22"/>
                <w:szCs w:val="22"/>
              </w:rPr>
              <w:t>Subtotal gasto</w:t>
            </w:r>
            <w:r w:rsidR="00E636BB" w:rsidRPr="0016448E">
              <w:rPr>
                <w:b/>
                <w:bCs/>
                <w:sz w:val="22"/>
                <w:szCs w:val="22"/>
              </w:rPr>
              <w:t>s</w:t>
            </w:r>
            <w:r w:rsidRPr="0016448E">
              <w:rPr>
                <w:b/>
                <w:bCs/>
                <w:sz w:val="22"/>
                <w:szCs w:val="22"/>
              </w:rPr>
              <w:t xml:space="preserve"> </w:t>
            </w:r>
          </w:p>
        </w:tc>
        <w:tc>
          <w:tcPr>
            <w:tcW w:w="1417" w:type="dxa"/>
          </w:tcPr>
          <w:p w:rsidR="007855D4" w:rsidRPr="0016448E" w:rsidRDefault="007855D4" w:rsidP="006F20DD">
            <w:pPr>
              <w:pStyle w:val="Tabletext"/>
              <w:jc w:val="right"/>
              <w:rPr>
                <w:b/>
                <w:bCs/>
                <w:sz w:val="22"/>
                <w:szCs w:val="22"/>
              </w:rPr>
            </w:pPr>
            <w:r w:rsidRPr="0016448E">
              <w:rPr>
                <w:b/>
                <w:bCs/>
                <w:sz w:val="22"/>
                <w:szCs w:val="22"/>
              </w:rPr>
              <w:t>697</w:t>
            </w:r>
          </w:p>
        </w:tc>
        <w:tc>
          <w:tcPr>
            <w:tcW w:w="2006" w:type="dxa"/>
          </w:tcPr>
          <w:p w:rsidR="007855D4" w:rsidRPr="0016448E" w:rsidRDefault="007855D4" w:rsidP="006F20DD">
            <w:pPr>
              <w:pStyle w:val="Tabletext"/>
              <w:jc w:val="right"/>
              <w:rPr>
                <w:b/>
                <w:bCs/>
                <w:sz w:val="22"/>
                <w:szCs w:val="22"/>
              </w:rPr>
            </w:pPr>
            <w:r w:rsidRPr="0016448E">
              <w:rPr>
                <w:b/>
                <w:bCs/>
                <w:sz w:val="22"/>
                <w:szCs w:val="22"/>
              </w:rPr>
              <w:t>417</w:t>
            </w:r>
          </w:p>
        </w:tc>
        <w:tc>
          <w:tcPr>
            <w:tcW w:w="1963" w:type="dxa"/>
          </w:tcPr>
          <w:p w:rsidR="007855D4" w:rsidRPr="0016448E" w:rsidRDefault="007855D4" w:rsidP="006F20DD">
            <w:pPr>
              <w:pStyle w:val="Tabletext"/>
              <w:jc w:val="right"/>
              <w:rPr>
                <w:b/>
                <w:bCs/>
                <w:sz w:val="22"/>
                <w:szCs w:val="22"/>
              </w:rPr>
            </w:pPr>
            <w:r w:rsidRPr="0016448E">
              <w:rPr>
                <w:b/>
                <w:bCs/>
                <w:sz w:val="22"/>
                <w:szCs w:val="22"/>
              </w:rPr>
              <w:t>236</w:t>
            </w:r>
          </w:p>
        </w:tc>
        <w:tc>
          <w:tcPr>
            <w:tcW w:w="987" w:type="dxa"/>
          </w:tcPr>
          <w:p w:rsidR="007855D4" w:rsidRPr="0016448E" w:rsidRDefault="007855D4" w:rsidP="006F20DD">
            <w:pPr>
              <w:pStyle w:val="Tabletext"/>
              <w:jc w:val="right"/>
              <w:rPr>
                <w:b/>
                <w:bCs/>
                <w:sz w:val="22"/>
                <w:szCs w:val="22"/>
              </w:rPr>
            </w:pPr>
            <w:r w:rsidRPr="0016448E">
              <w:rPr>
                <w:b/>
                <w:bCs/>
                <w:sz w:val="22"/>
                <w:szCs w:val="22"/>
              </w:rPr>
              <w:t>43</w:t>
            </w:r>
          </w:p>
        </w:tc>
      </w:tr>
      <w:tr w:rsidR="00E636BB" w:rsidRPr="00A02FEA" w:rsidTr="0016448E">
        <w:tc>
          <w:tcPr>
            <w:tcW w:w="3256" w:type="dxa"/>
          </w:tcPr>
          <w:p w:rsidR="007855D4" w:rsidRPr="0016448E" w:rsidRDefault="007855D4" w:rsidP="006F20DD">
            <w:pPr>
              <w:pStyle w:val="Tabletext"/>
              <w:rPr>
                <w:sz w:val="22"/>
                <w:szCs w:val="22"/>
              </w:rPr>
            </w:pPr>
            <w:r w:rsidRPr="0016448E">
              <w:rPr>
                <w:sz w:val="22"/>
                <w:szCs w:val="22"/>
              </w:rPr>
              <w:t xml:space="preserve">Traducción </w:t>
            </w:r>
            <w:r w:rsidR="00E636BB" w:rsidRPr="0016448E">
              <w:rPr>
                <w:sz w:val="22"/>
                <w:szCs w:val="22"/>
              </w:rPr>
              <w:t xml:space="preserve">(5 </w:t>
            </w:r>
            <w:r w:rsidRPr="0016448E">
              <w:rPr>
                <w:sz w:val="22"/>
                <w:szCs w:val="22"/>
              </w:rPr>
              <w:t>790 páginas)</w:t>
            </w:r>
          </w:p>
        </w:tc>
        <w:tc>
          <w:tcPr>
            <w:tcW w:w="1417" w:type="dxa"/>
          </w:tcPr>
          <w:p w:rsidR="007855D4" w:rsidRPr="0016448E" w:rsidRDefault="007855D4" w:rsidP="006F20DD">
            <w:pPr>
              <w:pStyle w:val="Tabletext"/>
              <w:jc w:val="right"/>
              <w:rPr>
                <w:sz w:val="22"/>
                <w:szCs w:val="22"/>
              </w:rPr>
            </w:pPr>
            <w:r w:rsidRPr="0016448E">
              <w:rPr>
                <w:sz w:val="22"/>
                <w:szCs w:val="22"/>
              </w:rPr>
              <w:t>863</w:t>
            </w:r>
          </w:p>
        </w:tc>
        <w:tc>
          <w:tcPr>
            <w:tcW w:w="2006" w:type="dxa"/>
          </w:tcPr>
          <w:p w:rsidR="007855D4" w:rsidRPr="0016448E" w:rsidRDefault="007855D4" w:rsidP="006F20DD">
            <w:pPr>
              <w:pStyle w:val="Tabletext"/>
              <w:jc w:val="right"/>
              <w:rPr>
                <w:sz w:val="22"/>
                <w:szCs w:val="22"/>
              </w:rPr>
            </w:pPr>
            <w:r w:rsidRPr="0016448E">
              <w:rPr>
                <w:sz w:val="22"/>
                <w:szCs w:val="22"/>
              </w:rPr>
              <w:t>777</w:t>
            </w:r>
          </w:p>
        </w:tc>
        <w:tc>
          <w:tcPr>
            <w:tcW w:w="1963" w:type="dxa"/>
          </w:tcPr>
          <w:p w:rsidR="007855D4" w:rsidRPr="0016448E" w:rsidRDefault="007855D4" w:rsidP="006F20DD">
            <w:pPr>
              <w:pStyle w:val="Tabletext"/>
              <w:jc w:val="right"/>
              <w:rPr>
                <w:sz w:val="22"/>
                <w:szCs w:val="22"/>
              </w:rPr>
            </w:pPr>
            <w:r w:rsidRPr="0016448E">
              <w:rPr>
                <w:sz w:val="22"/>
                <w:szCs w:val="22"/>
              </w:rPr>
              <w:t>188</w:t>
            </w:r>
          </w:p>
        </w:tc>
        <w:tc>
          <w:tcPr>
            <w:tcW w:w="987" w:type="dxa"/>
          </w:tcPr>
          <w:p w:rsidR="007855D4" w:rsidRPr="0016448E" w:rsidRDefault="000E1039" w:rsidP="006F20DD">
            <w:pPr>
              <w:pStyle w:val="Tabletext"/>
              <w:jc w:val="right"/>
              <w:rPr>
                <w:sz w:val="22"/>
                <w:szCs w:val="22"/>
              </w:rPr>
            </w:pPr>
            <w:r w:rsidRPr="000E1039">
              <w:rPr>
                <w:sz w:val="22"/>
                <w:szCs w:val="22"/>
              </w:rPr>
              <w:t>–</w:t>
            </w:r>
            <w:r w:rsidR="007855D4" w:rsidRPr="0016448E">
              <w:rPr>
                <w:sz w:val="22"/>
                <w:szCs w:val="22"/>
              </w:rPr>
              <w:t>101</w:t>
            </w:r>
          </w:p>
        </w:tc>
      </w:tr>
      <w:tr w:rsidR="00E636BB" w:rsidRPr="00A02FEA" w:rsidTr="0016448E">
        <w:tc>
          <w:tcPr>
            <w:tcW w:w="3256" w:type="dxa"/>
          </w:tcPr>
          <w:p w:rsidR="007855D4" w:rsidRPr="0016448E" w:rsidRDefault="007855D4" w:rsidP="006F20DD">
            <w:pPr>
              <w:pStyle w:val="Tabletext"/>
              <w:rPr>
                <w:sz w:val="22"/>
                <w:szCs w:val="22"/>
              </w:rPr>
            </w:pPr>
            <w:r w:rsidRPr="0016448E">
              <w:rPr>
                <w:sz w:val="22"/>
                <w:szCs w:val="22"/>
              </w:rPr>
              <w:t xml:space="preserve">Composición </w:t>
            </w:r>
            <w:r w:rsidR="00E636BB" w:rsidRPr="0016448E">
              <w:rPr>
                <w:sz w:val="22"/>
                <w:szCs w:val="22"/>
              </w:rPr>
              <w:t xml:space="preserve">(5 </w:t>
            </w:r>
            <w:r w:rsidRPr="0016448E">
              <w:rPr>
                <w:sz w:val="22"/>
                <w:szCs w:val="22"/>
              </w:rPr>
              <w:t>790 páginas)</w:t>
            </w:r>
          </w:p>
        </w:tc>
        <w:tc>
          <w:tcPr>
            <w:tcW w:w="1417" w:type="dxa"/>
          </w:tcPr>
          <w:p w:rsidR="007855D4" w:rsidRPr="0016448E" w:rsidRDefault="007855D4" w:rsidP="006F20DD">
            <w:pPr>
              <w:pStyle w:val="Tabletext"/>
              <w:jc w:val="right"/>
              <w:rPr>
                <w:sz w:val="22"/>
                <w:szCs w:val="22"/>
              </w:rPr>
            </w:pPr>
            <w:r w:rsidRPr="0016448E">
              <w:rPr>
                <w:sz w:val="22"/>
                <w:szCs w:val="22"/>
              </w:rPr>
              <w:t>345</w:t>
            </w:r>
          </w:p>
        </w:tc>
        <w:tc>
          <w:tcPr>
            <w:tcW w:w="2006" w:type="dxa"/>
          </w:tcPr>
          <w:p w:rsidR="007855D4" w:rsidRPr="0016448E" w:rsidRDefault="007855D4" w:rsidP="006F20DD">
            <w:pPr>
              <w:pStyle w:val="Tabletext"/>
              <w:jc w:val="right"/>
              <w:rPr>
                <w:sz w:val="22"/>
                <w:szCs w:val="22"/>
              </w:rPr>
            </w:pPr>
            <w:r w:rsidRPr="0016448E">
              <w:rPr>
                <w:sz w:val="22"/>
                <w:szCs w:val="22"/>
              </w:rPr>
              <w:t>403</w:t>
            </w:r>
          </w:p>
        </w:tc>
        <w:tc>
          <w:tcPr>
            <w:tcW w:w="1963" w:type="dxa"/>
          </w:tcPr>
          <w:p w:rsidR="007855D4" w:rsidRPr="0016448E" w:rsidRDefault="007855D4" w:rsidP="006F20DD">
            <w:pPr>
              <w:pStyle w:val="Tabletext"/>
              <w:jc w:val="right"/>
              <w:rPr>
                <w:sz w:val="22"/>
                <w:szCs w:val="22"/>
              </w:rPr>
            </w:pPr>
            <w:r w:rsidRPr="0016448E">
              <w:rPr>
                <w:sz w:val="22"/>
                <w:szCs w:val="22"/>
              </w:rPr>
              <w:t>98</w:t>
            </w:r>
          </w:p>
        </w:tc>
        <w:tc>
          <w:tcPr>
            <w:tcW w:w="987" w:type="dxa"/>
          </w:tcPr>
          <w:p w:rsidR="007855D4" w:rsidRPr="0016448E" w:rsidRDefault="000E1039" w:rsidP="006F20DD">
            <w:pPr>
              <w:pStyle w:val="Tabletext"/>
              <w:jc w:val="right"/>
              <w:rPr>
                <w:sz w:val="22"/>
                <w:szCs w:val="22"/>
              </w:rPr>
            </w:pPr>
            <w:r w:rsidRPr="000E1039">
              <w:rPr>
                <w:sz w:val="22"/>
                <w:szCs w:val="22"/>
              </w:rPr>
              <w:t>–</w:t>
            </w:r>
            <w:r w:rsidR="007855D4" w:rsidRPr="0016448E">
              <w:rPr>
                <w:sz w:val="22"/>
                <w:szCs w:val="22"/>
              </w:rPr>
              <w:t>156</w:t>
            </w:r>
          </w:p>
        </w:tc>
      </w:tr>
      <w:tr w:rsidR="00E636BB" w:rsidRPr="00A02FEA" w:rsidTr="0016448E">
        <w:tc>
          <w:tcPr>
            <w:tcW w:w="3256" w:type="dxa"/>
          </w:tcPr>
          <w:p w:rsidR="007855D4" w:rsidRPr="0016448E" w:rsidRDefault="007855D4" w:rsidP="006F20DD">
            <w:pPr>
              <w:pStyle w:val="Tabletext"/>
              <w:rPr>
                <w:sz w:val="22"/>
                <w:szCs w:val="22"/>
              </w:rPr>
            </w:pPr>
            <w:r w:rsidRPr="0016448E">
              <w:rPr>
                <w:sz w:val="22"/>
                <w:szCs w:val="22"/>
              </w:rPr>
              <w:t xml:space="preserve">Reprografía </w:t>
            </w:r>
            <w:r w:rsidR="00E636BB" w:rsidRPr="0016448E">
              <w:rPr>
                <w:sz w:val="22"/>
                <w:szCs w:val="22"/>
              </w:rPr>
              <w:t xml:space="preserve">(1 700 </w:t>
            </w:r>
            <w:r w:rsidRPr="0016448E">
              <w:rPr>
                <w:sz w:val="22"/>
                <w:szCs w:val="22"/>
              </w:rPr>
              <w:t>000 páginas)</w:t>
            </w:r>
          </w:p>
        </w:tc>
        <w:tc>
          <w:tcPr>
            <w:tcW w:w="1417" w:type="dxa"/>
          </w:tcPr>
          <w:p w:rsidR="007855D4" w:rsidRPr="0016448E" w:rsidRDefault="007855D4" w:rsidP="006F20DD">
            <w:pPr>
              <w:pStyle w:val="Tabletext"/>
              <w:jc w:val="right"/>
              <w:rPr>
                <w:sz w:val="22"/>
                <w:szCs w:val="22"/>
              </w:rPr>
            </w:pPr>
            <w:r w:rsidRPr="0016448E">
              <w:rPr>
                <w:sz w:val="22"/>
                <w:szCs w:val="22"/>
              </w:rPr>
              <w:t>249</w:t>
            </w:r>
          </w:p>
        </w:tc>
        <w:tc>
          <w:tcPr>
            <w:tcW w:w="2006" w:type="dxa"/>
          </w:tcPr>
          <w:p w:rsidR="007855D4" w:rsidRPr="0016448E" w:rsidRDefault="007855D4" w:rsidP="006F20DD">
            <w:pPr>
              <w:pStyle w:val="Tabletext"/>
              <w:jc w:val="right"/>
              <w:rPr>
                <w:sz w:val="22"/>
                <w:szCs w:val="22"/>
              </w:rPr>
            </w:pPr>
            <w:r w:rsidRPr="0016448E">
              <w:rPr>
                <w:sz w:val="22"/>
                <w:szCs w:val="22"/>
              </w:rPr>
              <w:t>0</w:t>
            </w:r>
          </w:p>
        </w:tc>
        <w:tc>
          <w:tcPr>
            <w:tcW w:w="1963" w:type="dxa"/>
          </w:tcPr>
          <w:p w:rsidR="007855D4" w:rsidRPr="0016448E" w:rsidRDefault="007855D4" w:rsidP="006F20DD">
            <w:pPr>
              <w:pStyle w:val="Tabletext"/>
              <w:jc w:val="right"/>
              <w:rPr>
                <w:sz w:val="22"/>
                <w:szCs w:val="22"/>
              </w:rPr>
            </w:pPr>
            <w:r w:rsidRPr="0016448E">
              <w:rPr>
                <w:sz w:val="22"/>
                <w:szCs w:val="22"/>
              </w:rPr>
              <w:t>15</w:t>
            </w:r>
          </w:p>
        </w:tc>
        <w:tc>
          <w:tcPr>
            <w:tcW w:w="987" w:type="dxa"/>
          </w:tcPr>
          <w:p w:rsidR="007855D4" w:rsidRPr="0016448E" w:rsidRDefault="007855D4" w:rsidP="006F20DD">
            <w:pPr>
              <w:pStyle w:val="Tabletext"/>
              <w:jc w:val="right"/>
              <w:rPr>
                <w:sz w:val="22"/>
                <w:szCs w:val="22"/>
              </w:rPr>
            </w:pPr>
            <w:r w:rsidRPr="0016448E">
              <w:rPr>
                <w:sz w:val="22"/>
                <w:szCs w:val="22"/>
              </w:rPr>
              <w:t>234</w:t>
            </w:r>
          </w:p>
        </w:tc>
      </w:tr>
      <w:tr w:rsidR="00E636BB" w:rsidRPr="00A02FEA" w:rsidTr="0016448E">
        <w:tc>
          <w:tcPr>
            <w:tcW w:w="3256" w:type="dxa"/>
          </w:tcPr>
          <w:p w:rsidR="007855D4" w:rsidRPr="0016448E" w:rsidRDefault="006A7094" w:rsidP="006F20DD">
            <w:pPr>
              <w:pStyle w:val="Tabletext"/>
              <w:rPr>
                <w:b/>
                <w:bCs/>
                <w:sz w:val="22"/>
                <w:szCs w:val="22"/>
              </w:rPr>
            </w:pPr>
            <w:r w:rsidRPr="0016448E">
              <w:rPr>
                <w:b/>
                <w:bCs/>
                <w:sz w:val="22"/>
                <w:szCs w:val="22"/>
              </w:rPr>
              <w:t>Subtotal documentación</w:t>
            </w:r>
          </w:p>
        </w:tc>
        <w:tc>
          <w:tcPr>
            <w:tcW w:w="1417" w:type="dxa"/>
          </w:tcPr>
          <w:p w:rsidR="007855D4" w:rsidRPr="0016448E" w:rsidRDefault="00E636BB" w:rsidP="006F20DD">
            <w:pPr>
              <w:pStyle w:val="Tabletext"/>
              <w:jc w:val="right"/>
              <w:rPr>
                <w:b/>
                <w:bCs/>
                <w:sz w:val="22"/>
                <w:szCs w:val="22"/>
              </w:rPr>
            </w:pPr>
            <w:r w:rsidRPr="0016448E">
              <w:rPr>
                <w:b/>
                <w:bCs/>
                <w:sz w:val="22"/>
                <w:szCs w:val="22"/>
              </w:rPr>
              <w:t xml:space="preserve">1 </w:t>
            </w:r>
            <w:r w:rsidR="007855D4" w:rsidRPr="0016448E">
              <w:rPr>
                <w:b/>
                <w:bCs/>
                <w:sz w:val="22"/>
                <w:szCs w:val="22"/>
              </w:rPr>
              <w:t>457</w:t>
            </w:r>
          </w:p>
        </w:tc>
        <w:tc>
          <w:tcPr>
            <w:tcW w:w="2006" w:type="dxa"/>
          </w:tcPr>
          <w:p w:rsidR="007855D4" w:rsidRPr="0016448E" w:rsidRDefault="00E636BB" w:rsidP="006F20DD">
            <w:pPr>
              <w:pStyle w:val="Tabletext"/>
              <w:jc w:val="right"/>
              <w:rPr>
                <w:b/>
                <w:bCs/>
                <w:sz w:val="22"/>
                <w:szCs w:val="22"/>
              </w:rPr>
            </w:pPr>
            <w:r w:rsidRPr="0016448E">
              <w:rPr>
                <w:b/>
                <w:bCs/>
                <w:sz w:val="22"/>
                <w:szCs w:val="22"/>
              </w:rPr>
              <w:t xml:space="preserve">1 </w:t>
            </w:r>
            <w:r w:rsidR="007855D4" w:rsidRPr="0016448E">
              <w:rPr>
                <w:b/>
                <w:bCs/>
                <w:sz w:val="22"/>
                <w:szCs w:val="22"/>
              </w:rPr>
              <w:t>180</w:t>
            </w:r>
          </w:p>
        </w:tc>
        <w:tc>
          <w:tcPr>
            <w:tcW w:w="1963" w:type="dxa"/>
          </w:tcPr>
          <w:p w:rsidR="007855D4" w:rsidRPr="0016448E" w:rsidRDefault="007855D4" w:rsidP="006F20DD">
            <w:pPr>
              <w:pStyle w:val="Tabletext"/>
              <w:jc w:val="right"/>
              <w:rPr>
                <w:b/>
                <w:bCs/>
                <w:sz w:val="22"/>
                <w:szCs w:val="22"/>
              </w:rPr>
            </w:pPr>
            <w:r w:rsidRPr="0016448E">
              <w:rPr>
                <w:b/>
                <w:bCs/>
                <w:sz w:val="22"/>
                <w:szCs w:val="22"/>
              </w:rPr>
              <w:t>300</w:t>
            </w:r>
          </w:p>
        </w:tc>
        <w:tc>
          <w:tcPr>
            <w:tcW w:w="987" w:type="dxa"/>
          </w:tcPr>
          <w:p w:rsidR="007855D4" w:rsidRPr="0016448E" w:rsidRDefault="000E1039" w:rsidP="006F20DD">
            <w:pPr>
              <w:pStyle w:val="Tabletext"/>
              <w:jc w:val="right"/>
              <w:rPr>
                <w:b/>
                <w:bCs/>
                <w:sz w:val="22"/>
                <w:szCs w:val="22"/>
              </w:rPr>
            </w:pPr>
            <w:r w:rsidRPr="000E1039">
              <w:rPr>
                <w:sz w:val="22"/>
                <w:szCs w:val="22"/>
              </w:rPr>
              <w:t>–</w:t>
            </w:r>
            <w:r w:rsidR="007855D4" w:rsidRPr="0016448E">
              <w:rPr>
                <w:b/>
                <w:bCs/>
                <w:sz w:val="22"/>
                <w:szCs w:val="22"/>
              </w:rPr>
              <w:t>23</w:t>
            </w:r>
          </w:p>
        </w:tc>
      </w:tr>
      <w:tr w:rsidR="00E636BB" w:rsidRPr="00A02FEA" w:rsidTr="0016448E">
        <w:tc>
          <w:tcPr>
            <w:tcW w:w="3256" w:type="dxa"/>
          </w:tcPr>
          <w:p w:rsidR="007855D4" w:rsidRPr="0016448E" w:rsidRDefault="007855D4" w:rsidP="006F20DD">
            <w:pPr>
              <w:pStyle w:val="Tabletext"/>
              <w:rPr>
                <w:b/>
                <w:bCs/>
                <w:sz w:val="22"/>
                <w:szCs w:val="22"/>
              </w:rPr>
            </w:pPr>
            <w:r w:rsidRPr="0016448E">
              <w:rPr>
                <w:b/>
                <w:bCs/>
                <w:sz w:val="22"/>
                <w:szCs w:val="22"/>
              </w:rPr>
              <w:t>Total</w:t>
            </w:r>
          </w:p>
        </w:tc>
        <w:tc>
          <w:tcPr>
            <w:tcW w:w="1417" w:type="dxa"/>
          </w:tcPr>
          <w:p w:rsidR="007855D4" w:rsidRPr="0016448E" w:rsidRDefault="00030CC2" w:rsidP="006F20DD">
            <w:pPr>
              <w:pStyle w:val="Tabletext"/>
              <w:jc w:val="right"/>
              <w:rPr>
                <w:b/>
                <w:bCs/>
                <w:sz w:val="22"/>
                <w:szCs w:val="22"/>
              </w:rPr>
            </w:pPr>
            <w:r w:rsidRPr="0016448E">
              <w:rPr>
                <w:b/>
                <w:bCs/>
                <w:sz w:val="22"/>
                <w:szCs w:val="22"/>
              </w:rPr>
              <w:t xml:space="preserve">2 </w:t>
            </w:r>
            <w:r w:rsidR="007855D4" w:rsidRPr="0016448E">
              <w:rPr>
                <w:b/>
                <w:bCs/>
                <w:sz w:val="22"/>
                <w:szCs w:val="22"/>
              </w:rPr>
              <w:t>154</w:t>
            </w:r>
          </w:p>
        </w:tc>
        <w:tc>
          <w:tcPr>
            <w:tcW w:w="2006" w:type="dxa"/>
          </w:tcPr>
          <w:p w:rsidR="007855D4" w:rsidRPr="0016448E" w:rsidRDefault="00030CC2" w:rsidP="006F20DD">
            <w:pPr>
              <w:pStyle w:val="Tabletext"/>
              <w:jc w:val="right"/>
              <w:rPr>
                <w:b/>
                <w:bCs/>
                <w:sz w:val="22"/>
                <w:szCs w:val="22"/>
              </w:rPr>
            </w:pPr>
            <w:r w:rsidRPr="0016448E">
              <w:rPr>
                <w:b/>
                <w:bCs/>
                <w:sz w:val="22"/>
                <w:szCs w:val="22"/>
              </w:rPr>
              <w:t xml:space="preserve">1 </w:t>
            </w:r>
            <w:r w:rsidR="007855D4" w:rsidRPr="0016448E">
              <w:rPr>
                <w:b/>
                <w:bCs/>
                <w:sz w:val="22"/>
                <w:szCs w:val="22"/>
              </w:rPr>
              <w:t>597</w:t>
            </w:r>
          </w:p>
        </w:tc>
        <w:tc>
          <w:tcPr>
            <w:tcW w:w="1963" w:type="dxa"/>
          </w:tcPr>
          <w:p w:rsidR="007855D4" w:rsidRPr="0016448E" w:rsidRDefault="007855D4" w:rsidP="006F20DD">
            <w:pPr>
              <w:pStyle w:val="Tabletext"/>
              <w:jc w:val="right"/>
              <w:rPr>
                <w:b/>
                <w:bCs/>
                <w:sz w:val="22"/>
                <w:szCs w:val="22"/>
              </w:rPr>
            </w:pPr>
            <w:r w:rsidRPr="0016448E">
              <w:rPr>
                <w:b/>
                <w:bCs/>
                <w:sz w:val="22"/>
                <w:szCs w:val="22"/>
              </w:rPr>
              <w:t>537</w:t>
            </w:r>
          </w:p>
        </w:tc>
        <w:tc>
          <w:tcPr>
            <w:tcW w:w="987" w:type="dxa"/>
          </w:tcPr>
          <w:p w:rsidR="007855D4" w:rsidRPr="0016448E" w:rsidRDefault="007855D4" w:rsidP="006F20DD">
            <w:pPr>
              <w:pStyle w:val="Tabletext"/>
              <w:jc w:val="right"/>
              <w:rPr>
                <w:b/>
                <w:bCs/>
                <w:sz w:val="22"/>
                <w:szCs w:val="22"/>
              </w:rPr>
            </w:pPr>
            <w:r w:rsidRPr="0016448E">
              <w:rPr>
                <w:b/>
                <w:bCs/>
                <w:sz w:val="22"/>
                <w:szCs w:val="22"/>
              </w:rPr>
              <w:t>20</w:t>
            </w:r>
          </w:p>
        </w:tc>
      </w:tr>
    </w:tbl>
    <w:p w:rsidR="007855D4" w:rsidRPr="00A02FEA" w:rsidRDefault="007855D4" w:rsidP="006F20DD">
      <w:pPr>
        <w:tabs>
          <w:tab w:val="center" w:pos="7088"/>
        </w:tabs>
        <w:rPr>
          <w:rFonts w:ascii="Verdana" w:hAnsi="Verdana"/>
          <w:sz w:val="20"/>
        </w:rPr>
      </w:pPr>
    </w:p>
    <w:p w:rsidR="007855D4" w:rsidRPr="00A02FEA" w:rsidRDefault="007855D4" w:rsidP="006F20DD">
      <w:pPr>
        <w:rPr>
          <w:b/>
          <w:bCs/>
          <w:sz w:val="28"/>
          <w:szCs w:val="28"/>
        </w:rPr>
      </w:pPr>
      <w:r w:rsidRPr="00A02FEA">
        <w:rPr>
          <w:b/>
          <w:bCs/>
          <w:sz w:val="28"/>
          <w:szCs w:val="28"/>
        </w:rPr>
        <w:br w:type="page"/>
      </w:r>
    </w:p>
    <w:p w:rsidR="007855D4" w:rsidRPr="004F4C1C" w:rsidRDefault="004F4C1C" w:rsidP="006F20DD">
      <w:pPr>
        <w:pStyle w:val="AnnexNo"/>
        <w:rPr>
          <w:lang w:val="en-US"/>
        </w:rPr>
      </w:pPr>
      <w:r w:rsidRPr="004F4C1C">
        <w:rPr>
          <w:lang w:val="en-US"/>
        </w:rPr>
        <w:lastRenderedPageBreak/>
        <w:t>A</w:t>
      </w:r>
      <w:r w:rsidR="007855D4" w:rsidRPr="004F4C1C">
        <w:rPr>
          <w:lang w:val="en-US"/>
        </w:rPr>
        <w:t>nex</w:t>
      </w:r>
      <w:r w:rsidRPr="004F4C1C">
        <w:rPr>
          <w:lang w:val="en-US"/>
        </w:rPr>
        <w:t>O</w:t>
      </w:r>
      <w:r w:rsidR="007855D4" w:rsidRPr="004F4C1C">
        <w:rPr>
          <w:lang w:val="en-US"/>
        </w:rPr>
        <w:t xml:space="preserve"> B</w:t>
      </w:r>
    </w:p>
    <w:p w:rsidR="007855D4" w:rsidRPr="004F4C1C" w:rsidRDefault="007855D4" w:rsidP="006F20DD">
      <w:pPr>
        <w:pStyle w:val="Annextitle"/>
      </w:pPr>
      <w:r w:rsidRPr="004F4C1C">
        <w:t>Po</w:t>
      </w:r>
      <w:r w:rsidR="004F4C1C" w:rsidRPr="004F4C1C">
        <w:t xml:space="preserve">sibles repercusiones financieras de las Decisiones y Resoluciones </w:t>
      </w:r>
      <w:r w:rsidR="007F1F59">
        <w:br/>
      </w:r>
      <w:r w:rsidR="004F4C1C" w:rsidRPr="004F4C1C">
        <w:t xml:space="preserve">de la Asamblea </w:t>
      </w:r>
      <w:r w:rsidRPr="004F4C1C">
        <w:t>(</w:t>
      </w:r>
      <w:r w:rsidR="004F4C1C">
        <w:t>AMNT</w:t>
      </w:r>
      <w:r w:rsidRPr="004F4C1C">
        <w:t>-16)</w:t>
      </w:r>
    </w:p>
    <w:p w:rsidR="007855D4" w:rsidRPr="004F4C1C" w:rsidRDefault="007855D4" w:rsidP="006F20DD">
      <w:pPr>
        <w:rPr>
          <w:szCs w:val="24"/>
        </w:rPr>
      </w:pPr>
    </w:p>
    <w:tbl>
      <w:tblPr>
        <w:tblStyle w:val="TableGrid8"/>
        <w:tblW w:w="0" w:type="auto"/>
        <w:tblInd w:w="392" w:type="dxa"/>
        <w:tblLayout w:type="fixed"/>
        <w:tblLook w:val="04A0" w:firstRow="1" w:lastRow="0" w:firstColumn="1" w:lastColumn="0" w:noHBand="0" w:noVBand="1"/>
      </w:tblPr>
      <w:tblGrid>
        <w:gridCol w:w="3572"/>
        <w:gridCol w:w="2410"/>
        <w:gridCol w:w="3255"/>
      </w:tblGrid>
      <w:tr w:rsidR="007855D4" w:rsidRPr="007F1F59" w:rsidTr="008068AE">
        <w:trPr>
          <w:trHeight w:val="724"/>
        </w:trPr>
        <w:tc>
          <w:tcPr>
            <w:tcW w:w="3572" w:type="dxa"/>
          </w:tcPr>
          <w:p w:rsidR="007855D4" w:rsidRPr="007F1F59" w:rsidRDefault="007855D4" w:rsidP="006F20DD">
            <w:pPr>
              <w:pStyle w:val="Tablehead"/>
              <w:rPr>
                <w:sz w:val="22"/>
                <w:szCs w:val="22"/>
              </w:rPr>
            </w:pPr>
            <w:r w:rsidRPr="007F1F59">
              <w:rPr>
                <w:sz w:val="22"/>
                <w:szCs w:val="22"/>
              </w:rPr>
              <w:t>Resolu</w:t>
            </w:r>
            <w:r w:rsidR="004F4C1C" w:rsidRPr="007F1F59">
              <w:rPr>
                <w:sz w:val="22"/>
                <w:szCs w:val="22"/>
              </w:rPr>
              <w:t>ció</w:t>
            </w:r>
            <w:r w:rsidRPr="007F1F59">
              <w:rPr>
                <w:sz w:val="22"/>
                <w:szCs w:val="22"/>
              </w:rPr>
              <w:t>n</w:t>
            </w:r>
          </w:p>
        </w:tc>
        <w:tc>
          <w:tcPr>
            <w:tcW w:w="2410" w:type="dxa"/>
          </w:tcPr>
          <w:p w:rsidR="007855D4" w:rsidRPr="007F1F59" w:rsidRDefault="004F4C1C" w:rsidP="006F20DD">
            <w:pPr>
              <w:pStyle w:val="Tablehead"/>
              <w:rPr>
                <w:sz w:val="22"/>
                <w:szCs w:val="22"/>
              </w:rPr>
            </w:pPr>
            <w:r w:rsidRPr="007F1F59">
              <w:rPr>
                <w:sz w:val="22"/>
                <w:szCs w:val="22"/>
              </w:rPr>
              <w:t>Categoría de gastos</w:t>
            </w:r>
          </w:p>
        </w:tc>
        <w:tc>
          <w:tcPr>
            <w:tcW w:w="3255" w:type="dxa"/>
          </w:tcPr>
          <w:p w:rsidR="007855D4" w:rsidRPr="007F1F59" w:rsidRDefault="007855D4" w:rsidP="006F20DD">
            <w:pPr>
              <w:pStyle w:val="Tablehead"/>
              <w:rPr>
                <w:sz w:val="22"/>
                <w:szCs w:val="22"/>
              </w:rPr>
            </w:pPr>
            <w:r w:rsidRPr="007F1F59">
              <w:rPr>
                <w:sz w:val="22"/>
                <w:szCs w:val="22"/>
              </w:rPr>
              <w:t>CHF</w:t>
            </w:r>
          </w:p>
        </w:tc>
      </w:tr>
      <w:tr w:rsidR="007855D4" w:rsidRPr="004F4C1C" w:rsidTr="008068AE">
        <w:tc>
          <w:tcPr>
            <w:tcW w:w="3572" w:type="dxa"/>
          </w:tcPr>
          <w:p w:rsidR="007855D4" w:rsidRPr="007F1F59" w:rsidRDefault="007855D4" w:rsidP="006F20DD">
            <w:pPr>
              <w:pStyle w:val="Tabletext"/>
              <w:rPr>
                <w:sz w:val="22"/>
                <w:szCs w:val="22"/>
              </w:rPr>
            </w:pPr>
            <w:r w:rsidRPr="007F1F59">
              <w:rPr>
                <w:sz w:val="22"/>
                <w:szCs w:val="22"/>
              </w:rPr>
              <w:t>Resolu</w:t>
            </w:r>
            <w:r w:rsidR="004F4C1C" w:rsidRPr="007F1F59">
              <w:rPr>
                <w:sz w:val="22"/>
                <w:szCs w:val="22"/>
              </w:rPr>
              <w:t>ción</w:t>
            </w:r>
            <w:r w:rsidRPr="007F1F59">
              <w:rPr>
                <w:sz w:val="22"/>
                <w:szCs w:val="22"/>
              </w:rPr>
              <w:t xml:space="preserve"> 44</w:t>
            </w:r>
          </w:p>
        </w:tc>
        <w:tc>
          <w:tcPr>
            <w:tcW w:w="2410" w:type="dxa"/>
          </w:tcPr>
          <w:p w:rsidR="007855D4" w:rsidRPr="007F1F59" w:rsidRDefault="007855D4" w:rsidP="006F20DD">
            <w:pPr>
              <w:pStyle w:val="Tabletext"/>
              <w:rPr>
                <w:sz w:val="22"/>
                <w:szCs w:val="22"/>
              </w:rPr>
            </w:pPr>
            <w:r w:rsidRPr="007F1F59">
              <w:rPr>
                <w:sz w:val="22"/>
                <w:szCs w:val="22"/>
              </w:rPr>
              <w:t>Interpreta</w:t>
            </w:r>
            <w:r w:rsidR="004F4C1C" w:rsidRPr="007F1F59">
              <w:rPr>
                <w:sz w:val="22"/>
                <w:szCs w:val="22"/>
              </w:rPr>
              <w:t>ción</w:t>
            </w:r>
          </w:p>
        </w:tc>
        <w:tc>
          <w:tcPr>
            <w:tcW w:w="3255" w:type="dxa"/>
          </w:tcPr>
          <w:p w:rsidR="007855D4" w:rsidRPr="007F1F59" w:rsidRDefault="004F4C1C" w:rsidP="006F20DD">
            <w:pPr>
              <w:pStyle w:val="Tabletext"/>
              <w:rPr>
                <w:sz w:val="22"/>
                <w:szCs w:val="22"/>
                <w:highlight w:val="yellow"/>
              </w:rPr>
            </w:pPr>
            <w:r w:rsidRPr="007F1F59">
              <w:rPr>
                <w:sz w:val="22"/>
                <w:szCs w:val="22"/>
              </w:rPr>
              <w:t xml:space="preserve">Entre </w:t>
            </w:r>
            <w:r w:rsidR="007855D4" w:rsidRPr="007F1F59">
              <w:rPr>
                <w:sz w:val="22"/>
                <w:szCs w:val="22"/>
              </w:rPr>
              <w:t xml:space="preserve">422 </w:t>
            </w:r>
            <w:r w:rsidRPr="007F1F59">
              <w:rPr>
                <w:sz w:val="22"/>
                <w:szCs w:val="22"/>
              </w:rPr>
              <w:t xml:space="preserve">000 </w:t>
            </w:r>
            <w:r w:rsidR="007855D4" w:rsidRPr="007F1F59">
              <w:rPr>
                <w:sz w:val="22"/>
                <w:szCs w:val="22"/>
              </w:rPr>
              <w:t xml:space="preserve">CHF </w:t>
            </w:r>
            <w:r w:rsidRPr="007F1F59">
              <w:rPr>
                <w:sz w:val="22"/>
                <w:szCs w:val="22"/>
              </w:rPr>
              <w:t xml:space="preserve">y </w:t>
            </w:r>
            <w:r w:rsidR="007855D4" w:rsidRPr="007F1F59">
              <w:rPr>
                <w:sz w:val="22"/>
                <w:szCs w:val="22"/>
              </w:rPr>
              <w:t>708</w:t>
            </w:r>
            <w:r w:rsidRPr="007F1F59">
              <w:rPr>
                <w:sz w:val="22"/>
                <w:szCs w:val="22"/>
              </w:rPr>
              <w:t xml:space="preserve"> 000 CHF (opción </w:t>
            </w:r>
            <w:r w:rsidR="007855D4" w:rsidRPr="007F1F59">
              <w:rPr>
                <w:sz w:val="22"/>
                <w:szCs w:val="22"/>
              </w:rPr>
              <w:t xml:space="preserve">1) o </w:t>
            </w:r>
            <w:r w:rsidRPr="007F1F59">
              <w:rPr>
                <w:sz w:val="22"/>
                <w:szCs w:val="22"/>
              </w:rPr>
              <w:t xml:space="preserve">entre </w:t>
            </w:r>
            <w:r w:rsidR="007855D4" w:rsidRPr="007F1F59">
              <w:rPr>
                <w:sz w:val="22"/>
                <w:szCs w:val="22"/>
              </w:rPr>
              <w:t>1</w:t>
            </w:r>
            <w:r w:rsidRPr="007F1F59">
              <w:rPr>
                <w:sz w:val="22"/>
                <w:szCs w:val="22"/>
              </w:rPr>
              <w:t xml:space="preserve"> </w:t>
            </w:r>
            <w:r w:rsidR="007855D4" w:rsidRPr="007F1F59">
              <w:rPr>
                <w:sz w:val="22"/>
                <w:szCs w:val="22"/>
              </w:rPr>
              <w:t>682</w:t>
            </w:r>
            <w:r w:rsidRPr="007F1F59">
              <w:rPr>
                <w:sz w:val="22"/>
                <w:szCs w:val="22"/>
              </w:rPr>
              <w:t xml:space="preserve"> 000</w:t>
            </w:r>
            <w:r w:rsidR="007855D4" w:rsidRPr="007F1F59">
              <w:rPr>
                <w:sz w:val="22"/>
                <w:szCs w:val="22"/>
              </w:rPr>
              <w:t xml:space="preserve"> CHF </w:t>
            </w:r>
            <w:r w:rsidRPr="007F1F59">
              <w:rPr>
                <w:sz w:val="22"/>
                <w:szCs w:val="22"/>
              </w:rPr>
              <w:t>y</w:t>
            </w:r>
            <w:r w:rsidR="007855D4" w:rsidRPr="007F1F59">
              <w:rPr>
                <w:sz w:val="22"/>
                <w:szCs w:val="22"/>
              </w:rPr>
              <w:t xml:space="preserve"> 2</w:t>
            </w:r>
            <w:r w:rsidRPr="007F1F59">
              <w:rPr>
                <w:sz w:val="22"/>
                <w:szCs w:val="22"/>
              </w:rPr>
              <w:t> </w:t>
            </w:r>
            <w:r w:rsidR="007855D4" w:rsidRPr="007F1F59">
              <w:rPr>
                <w:sz w:val="22"/>
                <w:szCs w:val="22"/>
              </w:rPr>
              <w:t>868</w:t>
            </w:r>
            <w:r w:rsidR="00CF6855" w:rsidRPr="007F1F59">
              <w:rPr>
                <w:sz w:val="22"/>
                <w:szCs w:val="22"/>
              </w:rPr>
              <w:t xml:space="preserve"> 000 </w:t>
            </w:r>
            <w:r w:rsidR="007855D4" w:rsidRPr="007F1F59">
              <w:rPr>
                <w:sz w:val="22"/>
                <w:szCs w:val="22"/>
              </w:rPr>
              <w:t>CHF (op</w:t>
            </w:r>
            <w:r w:rsidR="00CF6855" w:rsidRPr="007F1F59">
              <w:rPr>
                <w:sz w:val="22"/>
                <w:szCs w:val="22"/>
              </w:rPr>
              <w:t>ció</w:t>
            </w:r>
            <w:r w:rsidR="007855D4" w:rsidRPr="007F1F59">
              <w:rPr>
                <w:sz w:val="22"/>
                <w:szCs w:val="22"/>
              </w:rPr>
              <w:t xml:space="preserve">n 2) </w:t>
            </w:r>
            <w:r w:rsidRPr="007F1F59">
              <w:rPr>
                <w:sz w:val="22"/>
                <w:szCs w:val="22"/>
              </w:rPr>
              <w:t>por bienio</w:t>
            </w:r>
          </w:p>
        </w:tc>
      </w:tr>
      <w:tr w:rsidR="007855D4" w:rsidRPr="00A02FEA" w:rsidTr="008068AE">
        <w:tc>
          <w:tcPr>
            <w:tcW w:w="3572" w:type="dxa"/>
          </w:tcPr>
          <w:p w:rsidR="004F4C1C" w:rsidRPr="007F1F59" w:rsidRDefault="004F4C1C" w:rsidP="006F20DD">
            <w:pPr>
              <w:pStyle w:val="Tabletext"/>
              <w:rPr>
                <w:sz w:val="22"/>
                <w:szCs w:val="22"/>
              </w:rPr>
            </w:pPr>
            <w:r w:rsidRPr="007F1F59">
              <w:rPr>
                <w:sz w:val="22"/>
                <w:szCs w:val="22"/>
              </w:rPr>
              <w:t>Nueva Resolución</w:t>
            </w:r>
            <w:r w:rsidR="007855D4" w:rsidRPr="007F1F59">
              <w:rPr>
                <w:sz w:val="22"/>
                <w:szCs w:val="22"/>
              </w:rPr>
              <w:t xml:space="preserve"> [RCC-3] </w:t>
            </w:r>
            <w:r w:rsidR="007F1F59">
              <w:rPr>
                <w:sz w:val="22"/>
                <w:szCs w:val="22"/>
              </w:rPr>
              <w:br/>
            </w:r>
            <w:r w:rsidRPr="007F1F59">
              <w:rPr>
                <w:sz w:val="22"/>
                <w:szCs w:val="22"/>
              </w:rPr>
              <w:t>Estudios relativos a la protección de los usuarios de servicios de telecomunicaciones/TIC</w:t>
            </w:r>
          </w:p>
        </w:tc>
        <w:tc>
          <w:tcPr>
            <w:tcW w:w="2410" w:type="dxa"/>
          </w:tcPr>
          <w:p w:rsidR="007855D4" w:rsidRPr="007F1F59" w:rsidRDefault="007855D4" w:rsidP="006F20DD">
            <w:pPr>
              <w:pStyle w:val="Tabletext"/>
              <w:rPr>
                <w:sz w:val="22"/>
                <w:szCs w:val="22"/>
              </w:rPr>
            </w:pPr>
            <w:r w:rsidRPr="007F1F59">
              <w:rPr>
                <w:sz w:val="22"/>
                <w:szCs w:val="22"/>
              </w:rPr>
              <w:t>Consult</w:t>
            </w:r>
            <w:r w:rsidR="004F4C1C" w:rsidRPr="007F1F59">
              <w:rPr>
                <w:sz w:val="22"/>
                <w:szCs w:val="22"/>
              </w:rPr>
              <w:t xml:space="preserve">oría </w:t>
            </w:r>
          </w:p>
        </w:tc>
        <w:tc>
          <w:tcPr>
            <w:tcW w:w="3255" w:type="dxa"/>
          </w:tcPr>
          <w:p w:rsidR="007855D4" w:rsidRPr="007F1F59" w:rsidRDefault="007855D4" w:rsidP="006F20DD">
            <w:pPr>
              <w:pStyle w:val="Tabletext"/>
              <w:rPr>
                <w:sz w:val="22"/>
                <w:szCs w:val="22"/>
              </w:rPr>
            </w:pPr>
            <w:r w:rsidRPr="007F1F59">
              <w:rPr>
                <w:sz w:val="22"/>
                <w:szCs w:val="22"/>
              </w:rPr>
              <w:t>40</w:t>
            </w:r>
            <w:r w:rsidR="004F4C1C" w:rsidRPr="007F1F59">
              <w:rPr>
                <w:sz w:val="22"/>
                <w:szCs w:val="22"/>
              </w:rPr>
              <w:t xml:space="preserve"> 000 </w:t>
            </w:r>
            <w:r w:rsidRPr="007F1F59">
              <w:rPr>
                <w:sz w:val="22"/>
                <w:szCs w:val="22"/>
              </w:rPr>
              <w:t>CHF p</w:t>
            </w:r>
            <w:r w:rsidR="004F4C1C" w:rsidRPr="007F1F59">
              <w:rPr>
                <w:sz w:val="22"/>
                <w:szCs w:val="22"/>
              </w:rPr>
              <w:t>or bienio</w:t>
            </w:r>
          </w:p>
        </w:tc>
      </w:tr>
      <w:tr w:rsidR="007855D4" w:rsidRPr="00A02FEA" w:rsidTr="008068AE">
        <w:tc>
          <w:tcPr>
            <w:tcW w:w="3572" w:type="dxa"/>
          </w:tcPr>
          <w:p w:rsidR="007855D4" w:rsidRPr="007F1F59" w:rsidRDefault="00CF6855" w:rsidP="006F20DD">
            <w:pPr>
              <w:pStyle w:val="Tabletext"/>
              <w:rPr>
                <w:sz w:val="22"/>
                <w:szCs w:val="22"/>
              </w:rPr>
            </w:pPr>
            <w:r w:rsidRPr="007F1F59">
              <w:rPr>
                <w:sz w:val="22"/>
                <w:szCs w:val="22"/>
              </w:rPr>
              <w:t>Resolución</w:t>
            </w:r>
            <w:r w:rsidR="007855D4" w:rsidRPr="007F1F59">
              <w:rPr>
                <w:sz w:val="22"/>
                <w:szCs w:val="22"/>
              </w:rPr>
              <w:t xml:space="preserve"> 77</w:t>
            </w:r>
          </w:p>
        </w:tc>
        <w:tc>
          <w:tcPr>
            <w:tcW w:w="2410" w:type="dxa"/>
          </w:tcPr>
          <w:p w:rsidR="007855D4" w:rsidRPr="007F1F59" w:rsidRDefault="004F4C1C" w:rsidP="006F20DD">
            <w:pPr>
              <w:pStyle w:val="Tabletext"/>
              <w:rPr>
                <w:sz w:val="22"/>
                <w:szCs w:val="22"/>
              </w:rPr>
            </w:pPr>
            <w:r w:rsidRPr="007F1F59">
              <w:rPr>
                <w:sz w:val="22"/>
                <w:szCs w:val="22"/>
              </w:rPr>
              <w:t>Talleres</w:t>
            </w:r>
          </w:p>
        </w:tc>
        <w:tc>
          <w:tcPr>
            <w:tcW w:w="3255" w:type="dxa"/>
          </w:tcPr>
          <w:p w:rsidR="007855D4" w:rsidRPr="007F1F59" w:rsidRDefault="007855D4" w:rsidP="006F20DD">
            <w:pPr>
              <w:pStyle w:val="Tabletext"/>
              <w:rPr>
                <w:sz w:val="22"/>
                <w:szCs w:val="22"/>
              </w:rPr>
            </w:pPr>
            <w:r w:rsidRPr="007F1F59">
              <w:rPr>
                <w:sz w:val="22"/>
                <w:szCs w:val="22"/>
              </w:rPr>
              <w:t xml:space="preserve">180 </w:t>
            </w:r>
            <w:r w:rsidR="00CF6855" w:rsidRPr="007F1F59">
              <w:rPr>
                <w:sz w:val="22"/>
                <w:szCs w:val="22"/>
              </w:rPr>
              <w:t xml:space="preserve">000 </w:t>
            </w:r>
            <w:r w:rsidRPr="007F1F59">
              <w:rPr>
                <w:sz w:val="22"/>
                <w:szCs w:val="22"/>
              </w:rPr>
              <w:t xml:space="preserve">CHF </w:t>
            </w:r>
            <w:r w:rsidR="004F4C1C" w:rsidRPr="007F1F59">
              <w:rPr>
                <w:sz w:val="22"/>
                <w:szCs w:val="22"/>
              </w:rPr>
              <w:t>por bienio</w:t>
            </w:r>
          </w:p>
        </w:tc>
      </w:tr>
      <w:tr w:rsidR="007855D4" w:rsidRPr="00A02FEA" w:rsidTr="008068AE">
        <w:tc>
          <w:tcPr>
            <w:tcW w:w="3572" w:type="dxa"/>
          </w:tcPr>
          <w:p w:rsidR="007855D4" w:rsidRPr="007F1F59" w:rsidRDefault="007855D4" w:rsidP="006F20DD">
            <w:pPr>
              <w:pStyle w:val="Tabletext"/>
              <w:rPr>
                <w:sz w:val="22"/>
                <w:szCs w:val="22"/>
              </w:rPr>
            </w:pPr>
            <w:r w:rsidRPr="007F1F59">
              <w:rPr>
                <w:sz w:val="22"/>
                <w:szCs w:val="22"/>
              </w:rPr>
              <w:t>N</w:t>
            </w:r>
            <w:r w:rsidR="00CF6855" w:rsidRPr="007F1F59">
              <w:rPr>
                <w:sz w:val="22"/>
                <w:szCs w:val="22"/>
              </w:rPr>
              <w:t>ueva Resolución</w:t>
            </w:r>
            <w:r w:rsidRPr="007F1F59">
              <w:rPr>
                <w:sz w:val="22"/>
                <w:szCs w:val="22"/>
              </w:rPr>
              <w:t xml:space="preserve"> [APT-3] </w:t>
            </w:r>
            <w:r w:rsidR="007F1F59">
              <w:rPr>
                <w:sz w:val="22"/>
                <w:szCs w:val="22"/>
              </w:rPr>
              <w:br/>
            </w:r>
            <w:r w:rsidR="00CF6855" w:rsidRPr="007F1F59">
              <w:rPr>
                <w:sz w:val="22"/>
                <w:szCs w:val="22"/>
              </w:rPr>
              <w:t>Labor de normalización en el Sector de Normalización de las Telecomunicaciones de la UIT para tecnologías de datos de evento basadas en la nube</w:t>
            </w:r>
          </w:p>
        </w:tc>
        <w:tc>
          <w:tcPr>
            <w:tcW w:w="2410" w:type="dxa"/>
          </w:tcPr>
          <w:p w:rsidR="007855D4" w:rsidRPr="007F1F59" w:rsidRDefault="004F4C1C" w:rsidP="006F20DD">
            <w:pPr>
              <w:pStyle w:val="Tabletext"/>
              <w:rPr>
                <w:sz w:val="22"/>
                <w:szCs w:val="22"/>
              </w:rPr>
            </w:pPr>
            <w:r w:rsidRPr="007F1F59">
              <w:rPr>
                <w:sz w:val="22"/>
                <w:szCs w:val="22"/>
              </w:rPr>
              <w:t>Talleres</w:t>
            </w:r>
          </w:p>
        </w:tc>
        <w:tc>
          <w:tcPr>
            <w:tcW w:w="3255" w:type="dxa"/>
          </w:tcPr>
          <w:p w:rsidR="007855D4" w:rsidRPr="007F1F59" w:rsidRDefault="007855D4" w:rsidP="006F20DD">
            <w:pPr>
              <w:pStyle w:val="Tabletext"/>
              <w:rPr>
                <w:sz w:val="22"/>
                <w:szCs w:val="22"/>
              </w:rPr>
            </w:pPr>
            <w:r w:rsidRPr="007F1F59">
              <w:rPr>
                <w:sz w:val="22"/>
                <w:szCs w:val="22"/>
              </w:rPr>
              <w:t xml:space="preserve">60 </w:t>
            </w:r>
            <w:r w:rsidR="00CF6855" w:rsidRPr="007F1F59">
              <w:rPr>
                <w:sz w:val="22"/>
                <w:szCs w:val="22"/>
              </w:rPr>
              <w:t xml:space="preserve">000 </w:t>
            </w:r>
            <w:r w:rsidRPr="007F1F59">
              <w:rPr>
                <w:sz w:val="22"/>
                <w:szCs w:val="22"/>
              </w:rPr>
              <w:t xml:space="preserve">CHF </w:t>
            </w:r>
            <w:r w:rsidR="004F4C1C" w:rsidRPr="007F1F59">
              <w:rPr>
                <w:sz w:val="22"/>
                <w:szCs w:val="22"/>
              </w:rPr>
              <w:t>por bienio</w:t>
            </w:r>
          </w:p>
        </w:tc>
      </w:tr>
      <w:tr w:rsidR="007855D4" w:rsidRPr="00A02FEA" w:rsidTr="008068AE">
        <w:tc>
          <w:tcPr>
            <w:tcW w:w="3572" w:type="dxa"/>
          </w:tcPr>
          <w:p w:rsidR="007855D4" w:rsidRPr="007F1F59" w:rsidRDefault="00CF6855" w:rsidP="006F20DD">
            <w:pPr>
              <w:pStyle w:val="Tabletext"/>
              <w:rPr>
                <w:sz w:val="22"/>
                <w:szCs w:val="22"/>
              </w:rPr>
            </w:pPr>
            <w:r w:rsidRPr="007F1F59">
              <w:rPr>
                <w:sz w:val="22"/>
                <w:szCs w:val="22"/>
              </w:rPr>
              <w:t>Nueva</w:t>
            </w:r>
            <w:r w:rsidR="007855D4" w:rsidRPr="007F1F59">
              <w:rPr>
                <w:sz w:val="22"/>
                <w:szCs w:val="22"/>
              </w:rPr>
              <w:t xml:space="preserve"> </w:t>
            </w:r>
            <w:r w:rsidRPr="007F1F59">
              <w:rPr>
                <w:sz w:val="22"/>
                <w:szCs w:val="22"/>
              </w:rPr>
              <w:t>Resolución</w:t>
            </w:r>
            <w:r w:rsidR="007855D4" w:rsidRPr="007F1F59">
              <w:rPr>
                <w:sz w:val="22"/>
                <w:szCs w:val="22"/>
              </w:rPr>
              <w:t xml:space="preserve"> [AFCP-2] </w:t>
            </w:r>
            <w:r w:rsidRPr="007F1F59">
              <w:rPr>
                <w:sz w:val="22"/>
                <w:szCs w:val="22"/>
              </w:rPr>
              <w:t>Promoción de la utilización de las TIC para reducir la disparidad en materia de integración financiera</w:t>
            </w:r>
          </w:p>
        </w:tc>
        <w:tc>
          <w:tcPr>
            <w:tcW w:w="2410" w:type="dxa"/>
          </w:tcPr>
          <w:p w:rsidR="007855D4" w:rsidRPr="007F1F59" w:rsidRDefault="004F4C1C" w:rsidP="006F20DD">
            <w:pPr>
              <w:pStyle w:val="Tabletext"/>
              <w:rPr>
                <w:sz w:val="22"/>
                <w:szCs w:val="22"/>
              </w:rPr>
            </w:pPr>
            <w:r w:rsidRPr="007F1F59">
              <w:rPr>
                <w:sz w:val="22"/>
                <w:szCs w:val="22"/>
              </w:rPr>
              <w:t>Personal</w:t>
            </w:r>
            <w:r w:rsidR="007855D4" w:rsidRPr="007F1F59">
              <w:rPr>
                <w:sz w:val="22"/>
                <w:szCs w:val="22"/>
              </w:rPr>
              <w:t>, Consult</w:t>
            </w:r>
            <w:r w:rsidRPr="007F1F59">
              <w:rPr>
                <w:sz w:val="22"/>
                <w:szCs w:val="22"/>
              </w:rPr>
              <w:t>oría</w:t>
            </w:r>
            <w:r w:rsidR="007855D4" w:rsidRPr="007F1F59">
              <w:rPr>
                <w:sz w:val="22"/>
                <w:szCs w:val="22"/>
              </w:rPr>
              <w:t>,</w:t>
            </w:r>
            <w:r w:rsidR="007F1F59">
              <w:rPr>
                <w:sz w:val="22"/>
                <w:szCs w:val="22"/>
              </w:rPr>
              <w:t xml:space="preserve"> </w:t>
            </w:r>
            <w:r w:rsidRPr="007F1F59">
              <w:rPr>
                <w:sz w:val="22"/>
                <w:szCs w:val="22"/>
              </w:rPr>
              <w:t>Talleres</w:t>
            </w:r>
            <w:r w:rsidR="007855D4" w:rsidRPr="007F1F59">
              <w:rPr>
                <w:sz w:val="22"/>
                <w:szCs w:val="22"/>
              </w:rPr>
              <w:t>/Semina</w:t>
            </w:r>
            <w:r w:rsidRPr="007F1F59">
              <w:rPr>
                <w:sz w:val="22"/>
                <w:szCs w:val="22"/>
              </w:rPr>
              <w:t>rio</w:t>
            </w:r>
            <w:r w:rsidR="007855D4" w:rsidRPr="007F1F59">
              <w:rPr>
                <w:sz w:val="22"/>
                <w:szCs w:val="22"/>
              </w:rPr>
              <w:t>s</w:t>
            </w:r>
          </w:p>
        </w:tc>
        <w:tc>
          <w:tcPr>
            <w:tcW w:w="3255" w:type="dxa"/>
          </w:tcPr>
          <w:p w:rsidR="007855D4" w:rsidRPr="007F1F59" w:rsidRDefault="007855D4" w:rsidP="006F20DD">
            <w:pPr>
              <w:pStyle w:val="Tabletext"/>
              <w:rPr>
                <w:sz w:val="22"/>
                <w:szCs w:val="22"/>
              </w:rPr>
            </w:pPr>
            <w:r w:rsidRPr="007F1F59">
              <w:rPr>
                <w:sz w:val="22"/>
                <w:szCs w:val="22"/>
              </w:rPr>
              <w:t xml:space="preserve">580 </w:t>
            </w:r>
            <w:r w:rsidR="00CF6855" w:rsidRPr="007F1F59">
              <w:rPr>
                <w:sz w:val="22"/>
                <w:szCs w:val="22"/>
              </w:rPr>
              <w:t xml:space="preserve">000 </w:t>
            </w:r>
            <w:r w:rsidRPr="007F1F59">
              <w:rPr>
                <w:sz w:val="22"/>
                <w:szCs w:val="22"/>
              </w:rPr>
              <w:t xml:space="preserve">CHF </w:t>
            </w:r>
            <w:r w:rsidR="004F4C1C" w:rsidRPr="007F1F59">
              <w:rPr>
                <w:sz w:val="22"/>
                <w:szCs w:val="22"/>
              </w:rPr>
              <w:t>por bienio</w:t>
            </w:r>
          </w:p>
        </w:tc>
      </w:tr>
      <w:tr w:rsidR="007855D4" w:rsidRPr="00A02FEA" w:rsidTr="008068AE">
        <w:tc>
          <w:tcPr>
            <w:tcW w:w="3572" w:type="dxa"/>
          </w:tcPr>
          <w:p w:rsidR="007855D4" w:rsidRPr="007F1F59" w:rsidRDefault="00272A33" w:rsidP="006F20DD">
            <w:pPr>
              <w:pStyle w:val="Tabletext"/>
              <w:rPr>
                <w:sz w:val="22"/>
                <w:szCs w:val="22"/>
              </w:rPr>
            </w:pPr>
            <w:r w:rsidRPr="007F1F59">
              <w:rPr>
                <w:sz w:val="22"/>
                <w:szCs w:val="22"/>
              </w:rPr>
              <w:t>Nueva</w:t>
            </w:r>
            <w:r w:rsidR="007855D4" w:rsidRPr="007F1F59">
              <w:rPr>
                <w:sz w:val="22"/>
                <w:szCs w:val="22"/>
              </w:rPr>
              <w:t xml:space="preserve"> </w:t>
            </w:r>
            <w:r w:rsidR="00CF6855" w:rsidRPr="007F1F59">
              <w:rPr>
                <w:sz w:val="22"/>
                <w:szCs w:val="22"/>
              </w:rPr>
              <w:t>Resolución</w:t>
            </w:r>
            <w:r w:rsidRPr="007F1F59">
              <w:rPr>
                <w:sz w:val="22"/>
                <w:szCs w:val="22"/>
              </w:rPr>
              <w:t xml:space="preserve"> [APT</w:t>
            </w:r>
            <w:r w:rsidRPr="007F1F59">
              <w:rPr>
                <w:sz w:val="22"/>
                <w:szCs w:val="22"/>
              </w:rPr>
              <w:noBreakHyphen/>
              <w:t>2]/[IAP</w:t>
            </w:r>
            <w:r w:rsidRPr="007F1F59">
              <w:rPr>
                <w:sz w:val="22"/>
                <w:szCs w:val="22"/>
              </w:rPr>
              <w:noBreakHyphen/>
            </w:r>
            <w:r w:rsidR="007855D4" w:rsidRPr="007F1F59">
              <w:rPr>
                <w:sz w:val="22"/>
                <w:szCs w:val="22"/>
              </w:rPr>
              <w:t xml:space="preserve">3] </w:t>
            </w:r>
            <w:r w:rsidRPr="007F1F59">
              <w:rPr>
                <w:sz w:val="22"/>
                <w:szCs w:val="22"/>
              </w:rPr>
              <w:t>Mejora de la normalización sobre la Internet de las cosas y las ciudades y comunidades inteligentes para el desarrollo mundial</w:t>
            </w:r>
          </w:p>
        </w:tc>
        <w:tc>
          <w:tcPr>
            <w:tcW w:w="2410" w:type="dxa"/>
          </w:tcPr>
          <w:p w:rsidR="007855D4" w:rsidRPr="007F1F59" w:rsidRDefault="004F4C1C" w:rsidP="006F20DD">
            <w:pPr>
              <w:pStyle w:val="Tabletext"/>
              <w:rPr>
                <w:sz w:val="22"/>
                <w:szCs w:val="22"/>
              </w:rPr>
            </w:pPr>
            <w:r w:rsidRPr="007F1F59">
              <w:rPr>
                <w:sz w:val="22"/>
                <w:szCs w:val="22"/>
              </w:rPr>
              <w:t>Talleres</w:t>
            </w:r>
          </w:p>
        </w:tc>
        <w:tc>
          <w:tcPr>
            <w:tcW w:w="3255" w:type="dxa"/>
          </w:tcPr>
          <w:p w:rsidR="007855D4" w:rsidRPr="007F1F59" w:rsidRDefault="007855D4" w:rsidP="006F20DD">
            <w:pPr>
              <w:pStyle w:val="Tabletext"/>
              <w:rPr>
                <w:sz w:val="22"/>
                <w:szCs w:val="22"/>
              </w:rPr>
            </w:pPr>
            <w:r w:rsidRPr="007F1F59">
              <w:rPr>
                <w:sz w:val="22"/>
                <w:szCs w:val="22"/>
              </w:rPr>
              <w:t xml:space="preserve">60 </w:t>
            </w:r>
            <w:r w:rsidR="00CF6855" w:rsidRPr="007F1F59">
              <w:rPr>
                <w:sz w:val="22"/>
                <w:szCs w:val="22"/>
              </w:rPr>
              <w:t xml:space="preserve">000 </w:t>
            </w:r>
            <w:r w:rsidRPr="007F1F59">
              <w:rPr>
                <w:sz w:val="22"/>
                <w:szCs w:val="22"/>
              </w:rPr>
              <w:t>CHF</w:t>
            </w:r>
          </w:p>
        </w:tc>
      </w:tr>
      <w:tr w:rsidR="007855D4" w:rsidRPr="00272A33" w:rsidTr="008068AE">
        <w:trPr>
          <w:trHeight w:val="888"/>
        </w:trPr>
        <w:tc>
          <w:tcPr>
            <w:tcW w:w="3572" w:type="dxa"/>
          </w:tcPr>
          <w:p w:rsidR="007855D4" w:rsidRPr="007F1F59" w:rsidRDefault="007855D4" w:rsidP="006F20DD">
            <w:pPr>
              <w:pStyle w:val="Tabletext"/>
              <w:rPr>
                <w:b/>
                <w:sz w:val="22"/>
                <w:szCs w:val="22"/>
              </w:rPr>
            </w:pPr>
            <w:r w:rsidRPr="007F1F59">
              <w:rPr>
                <w:b/>
                <w:sz w:val="22"/>
                <w:szCs w:val="22"/>
              </w:rPr>
              <w:t xml:space="preserve">Total </w:t>
            </w:r>
            <w:r w:rsidR="00272A33" w:rsidRPr="007F1F59">
              <w:rPr>
                <w:b/>
                <w:sz w:val="22"/>
                <w:szCs w:val="22"/>
              </w:rPr>
              <w:t>con opción 1</w:t>
            </w:r>
            <w:r w:rsidRPr="007F1F59">
              <w:rPr>
                <w:b/>
                <w:sz w:val="22"/>
                <w:szCs w:val="22"/>
              </w:rPr>
              <w:t xml:space="preserve"> (Res. 44)</w:t>
            </w:r>
          </w:p>
        </w:tc>
        <w:tc>
          <w:tcPr>
            <w:tcW w:w="2410" w:type="dxa"/>
          </w:tcPr>
          <w:p w:rsidR="007855D4" w:rsidRPr="007F1F59" w:rsidRDefault="007855D4" w:rsidP="006F20DD">
            <w:pPr>
              <w:pStyle w:val="Tabletext"/>
              <w:rPr>
                <w:b/>
                <w:sz w:val="22"/>
                <w:szCs w:val="22"/>
              </w:rPr>
            </w:pPr>
          </w:p>
        </w:tc>
        <w:tc>
          <w:tcPr>
            <w:tcW w:w="3255" w:type="dxa"/>
          </w:tcPr>
          <w:p w:rsidR="007855D4" w:rsidRPr="007F1F59" w:rsidRDefault="00272A33" w:rsidP="006F20DD">
            <w:pPr>
              <w:pStyle w:val="Tabletext"/>
              <w:rPr>
                <w:b/>
                <w:sz w:val="22"/>
                <w:szCs w:val="22"/>
              </w:rPr>
            </w:pPr>
            <w:r w:rsidRPr="007F1F59">
              <w:rPr>
                <w:b/>
                <w:sz w:val="22"/>
                <w:szCs w:val="22"/>
              </w:rPr>
              <w:t xml:space="preserve">Entre </w:t>
            </w:r>
            <w:r w:rsidR="007855D4" w:rsidRPr="007F1F59">
              <w:rPr>
                <w:b/>
                <w:sz w:val="22"/>
                <w:szCs w:val="22"/>
              </w:rPr>
              <w:t>1</w:t>
            </w:r>
            <w:r w:rsidRPr="007F1F59">
              <w:rPr>
                <w:b/>
                <w:sz w:val="22"/>
                <w:szCs w:val="22"/>
              </w:rPr>
              <w:t xml:space="preserve"> </w:t>
            </w:r>
            <w:r w:rsidR="007855D4" w:rsidRPr="007F1F59">
              <w:rPr>
                <w:b/>
                <w:sz w:val="22"/>
                <w:szCs w:val="22"/>
              </w:rPr>
              <w:t xml:space="preserve">342 </w:t>
            </w:r>
            <w:r w:rsidRPr="007F1F59">
              <w:rPr>
                <w:b/>
                <w:sz w:val="22"/>
                <w:szCs w:val="22"/>
              </w:rPr>
              <w:t xml:space="preserve">000 </w:t>
            </w:r>
            <w:r w:rsidR="007855D4" w:rsidRPr="007F1F59">
              <w:rPr>
                <w:b/>
                <w:sz w:val="22"/>
                <w:szCs w:val="22"/>
              </w:rPr>
              <w:t xml:space="preserve">CHF </w:t>
            </w:r>
            <w:r w:rsidRPr="007F1F59">
              <w:rPr>
                <w:b/>
                <w:sz w:val="22"/>
                <w:szCs w:val="22"/>
              </w:rPr>
              <w:t>y</w:t>
            </w:r>
            <w:r w:rsidR="007855D4" w:rsidRPr="007F1F59">
              <w:rPr>
                <w:b/>
                <w:sz w:val="22"/>
                <w:szCs w:val="22"/>
              </w:rPr>
              <w:t xml:space="preserve"> 1</w:t>
            </w:r>
            <w:r w:rsidRPr="007F1F59">
              <w:rPr>
                <w:b/>
                <w:sz w:val="22"/>
                <w:szCs w:val="22"/>
              </w:rPr>
              <w:t> </w:t>
            </w:r>
            <w:r w:rsidR="007855D4" w:rsidRPr="007F1F59">
              <w:rPr>
                <w:b/>
                <w:sz w:val="22"/>
                <w:szCs w:val="22"/>
              </w:rPr>
              <w:t>628</w:t>
            </w:r>
            <w:r w:rsidRPr="007F1F59">
              <w:rPr>
                <w:b/>
                <w:sz w:val="22"/>
                <w:szCs w:val="22"/>
              </w:rPr>
              <w:t xml:space="preserve"> 000 </w:t>
            </w:r>
            <w:r w:rsidR="007855D4" w:rsidRPr="007F1F59">
              <w:rPr>
                <w:b/>
                <w:sz w:val="22"/>
                <w:szCs w:val="22"/>
              </w:rPr>
              <w:t xml:space="preserve">CHF </w:t>
            </w:r>
            <w:r w:rsidR="004F4C1C" w:rsidRPr="007F1F59">
              <w:rPr>
                <w:b/>
                <w:sz w:val="22"/>
                <w:szCs w:val="22"/>
              </w:rPr>
              <w:t>por bienio</w:t>
            </w:r>
          </w:p>
        </w:tc>
      </w:tr>
      <w:tr w:rsidR="007855D4" w:rsidRPr="009861F4" w:rsidTr="008068AE">
        <w:trPr>
          <w:trHeight w:val="830"/>
        </w:trPr>
        <w:tc>
          <w:tcPr>
            <w:tcW w:w="3572" w:type="dxa"/>
          </w:tcPr>
          <w:p w:rsidR="007855D4" w:rsidRPr="007F1F59" w:rsidRDefault="007855D4" w:rsidP="006F20DD">
            <w:pPr>
              <w:pStyle w:val="Tabletext"/>
              <w:rPr>
                <w:b/>
                <w:sz w:val="22"/>
                <w:szCs w:val="22"/>
              </w:rPr>
            </w:pPr>
            <w:r w:rsidRPr="007F1F59">
              <w:rPr>
                <w:b/>
                <w:sz w:val="22"/>
                <w:szCs w:val="22"/>
              </w:rPr>
              <w:t>Total</w:t>
            </w:r>
            <w:r w:rsidR="00272A33" w:rsidRPr="007F1F59">
              <w:rPr>
                <w:b/>
                <w:sz w:val="22"/>
                <w:szCs w:val="22"/>
              </w:rPr>
              <w:t xml:space="preserve"> con opción </w:t>
            </w:r>
            <w:r w:rsidRPr="007F1F59">
              <w:rPr>
                <w:b/>
                <w:sz w:val="22"/>
                <w:szCs w:val="22"/>
              </w:rPr>
              <w:t>2 (Res. 44)</w:t>
            </w:r>
          </w:p>
        </w:tc>
        <w:tc>
          <w:tcPr>
            <w:tcW w:w="2410" w:type="dxa"/>
          </w:tcPr>
          <w:p w:rsidR="007855D4" w:rsidRPr="007F1F59" w:rsidRDefault="007855D4" w:rsidP="006F20DD">
            <w:pPr>
              <w:pStyle w:val="Tabletext"/>
              <w:rPr>
                <w:b/>
                <w:sz w:val="22"/>
                <w:szCs w:val="22"/>
              </w:rPr>
            </w:pPr>
          </w:p>
        </w:tc>
        <w:tc>
          <w:tcPr>
            <w:tcW w:w="3255" w:type="dxa"/>
          </w:tcPr>
          <w:p w:rsidR="007855D4" w:rsidRPr="007F1F59" w:rsidRDefault="00272A33" w:rsidP="006F20DD">
            <w:pPr>
              <w:pStyle w:val="Tabletext"/>
              <w:rPr>
                <w:b/>
                <w:sz w:val="22"/>
                <w:szCs w:val="22"/>
              </w:rPr>
            </w:pPr>
            <w:r w:rsidRPr="007F1F59">
              <w:rPr>
                <w:b/>
                <w:sz w:val="22"/>
                <w:szCs w:val="22"/>
              </w:rPr>
              <w:t xml:space="preserve">Entre 2 </w:t>
            </w:r>
            <w:r w:rsidR="007855D4" w:rsidRPr="007F1F59">
              <w:rPr>
                <w:b/>
                <w:sz w:val="22"/>
                <w:szCs w:val="22"/>
              </w:rPr>
              <w:t>602</w:t>
            </w:r>
            <w:r w:rsidRPr="007F1F59">
              <w:rPr>
                <w:b/>
                <w:sz w:val="22"/>
                <w:szCs w:val="22"/>
              </w:rPr>
              <w:t xml:space="preserve"> 000 </w:t>
            </w:r>
            <w:r w:rsidR="007855D4" w:rsidRPr="007F1F59">
              <w:rPr>
                <w:b/>
                <w:sz w:val="22"/>
                <w:szCs w:val="22"/>
              </w:rPr>
              <w:t xml:space="preserve">CHF </w:t>
            </w:r>
            <w:r w:rsidRPr="007F1F59">
              <w:rPr>
                <w:b/>
                <w:sz w:val="22"/>
                <w:szCs w:val="22"/>
              </w:rPr>
              <w:t>y</w:t>
            </w:r>
            <w:r w:rsidR="007855D4" w:rsidRPr="007F1F59">
              <w:rPr>
                <w:b/>
                <w:sz w:val="22"/>
                <w:szCs w:val="22"/>
              </w:rPr>
              <w:t xml:space="preserve"> 3</w:t>
            </w:r>
            <w:r w:rsidRPr="007F1F59">
              <w:rPr>
                <w:b/>
                <w:sz w:val="22"/>
                <w:szCs w:val="22"/>
              </w:rPr>
              <w:t> </w:t>
            </w:r>
            <w:r w:rsidR="007855D4" w:rsidRPr="007F1F59">
              <w:rPr>
                <w:b/>
                <w:sz w:val="22"/>
                <w:szCs w:val="22"/>
              </w:rPr>
              <w:t>788</w:t>
            </w:r>
            <w:r w:rsidRPr="007F1F59">
              <w:rPr>
                <w:b/>
                <w:sz w:val="22"/>
                <w:szCs w:val="22"/>
              </w:rPr>
              <w:t xml:space="preserve"> 000 </w:t>
            </w:r>
            <w:r w:rsidR="007855D4" w:rsidRPr="007F1F59">
              <w:rPr>
                <w:b/>
                <w:sz w:val="22"/>
                <w:szCs w:val="22"/>
              </w:rPr>
              <w:t xml:space="preserve">CHF </w:t>
            </w:r>
            <w:r w:rsidR="004F4C1C" w:rsidRPr="007F1F59">
              <w:rPr>
                <w:b/>
                <w:sz w:val="22"/>
                <w:szCs w:val="22"/>
              </w:rPr>
              <w:t>por bienio</w:t>
            </w:r>
          </w:p>
        </w:tc>
      </w:tr>
    </w:tbl>
    <w:p w:rsidR="002E221B" w:rsidRDefault="002E221B" w:rsidP="006F20DD">
      <w:pPr>
        <w:jc w:val="center"/>
        <w:rPr>
          <w:lang w:val="es-ES"/>
        </w:rPr>
      </w:pPr>
    </w:p>
    <w:p w:rsidR="002E221B" w:rsidRDefault="002E221B" w:rsidP="006F20DD">
      <w:pPr>
        <w:tabs>
          <w:tab w:val="clear" w:pos="1134"/>
          <w:tab w:val="clear" w:pos="1871"/>
          <w:tab w:val="clear" w:pos="2268"/>
        </w:tabs>
        <w:overflowPunct/>
        <w:autoSpaceDE/>
        <w:autoSpaceDN/>
        <w:adjustRightInd/>
        <w:spacing w:before="0"/>
        <w:textAlignment w:val="auto"/>
        <w:rPr>
          <w:lang w:val="es-ES"/>
        </w:rPr>
      </w:pPr>
    </w:p>
    <w:p w:rsidR="002E221B" w:rsidRDefault="002E221B" w:rsidP="006F20DD">
      <w:pPr>
        <w:tabs>
          <w:tab w:val="clear" w:pos="1134"/>
          <w:tab w:val="clear" w:pos="1871"/>
          <w:tab w:val="clear" w:pos="2268"/>
        </w:tabs>
        <w:overflowPunct/>
        <w:autoSpaceDE/>
        <w:autoSpaceDN/>
        <w:adjustRightInd/>
        <w:spacing w:before="0"/>
        <w:textAlignment w:val="auto"/>
        <w:rPr>
          <w:lang w:val="es-ES"/>
        </w:rPr>
      </w:pPr>
      <w:r>
        <w:rPr>
          <w:lang w:val="es-ES"/>
        </w:rPr>
        <w:br w:type="page"/>
      </w:r>
    </w:p>
    <w:p w:rsidR="007F1F59" w:rsidRPr="00117039" w:rsidRDefault="007F1F59" w:rsidP="006F20DD">
      <w:pPr>
        <w:jc w:val="center"/>
        <w:rPr>
          <w:lang w:val="es-ES"/>
        </w:rPr>
      </w:pPr>
      <w:r w:rsidRPr="00117039">
        <w:rPr>
          <w:lang w:val="es-ES"/>
        </w:rPr>
        <w:t>EVALUACIÓN DE COSTOS</w:t>
      </w:r>
    </w:p>
    <w:p w:rsidR="007F1F59" w:rsidRPr="00117039" w:rsidRDefault="007F1F59" w:rsidP="006F20DD">
      <w:pPr>
        <w:pStyle w:val="Headingb"/>
        <w:rPr>
          <w:lang w:val="es-ES"/>
        </w:rPr>
      </w:pPr>
      <w:r w:rsidRPr="00117039">
        <w:rPr>
          <w:lang w:val="es-ES"/>
        </w:rPr>
        <w:t>Interpretación</w:t>
      </w:r>
    </w:p>
    <w:p w:rsidR="007F1F59" w:rsidRPr="00117039" w:rsidRDefault="007F1F59" w:rsidP="006F20DD">
      <w:pPr>
        <w:rPr>
          <w:lang w:val="es-ES"/>
        </w:rPr>
      </w:pPr>
      <w:r w:rsidRPr="00117039">
        <w:rPr>
          <w:lang w:val="es-ES"/>
        </w:rPr>
        <w:t xml:space="preserve">En el Documento </w:t>
      </w:r>
      <w:hyperlink r:id="rId30" w:history="1">
        <w:r w:rsidRPr="00117039">
          <w:rPr>
            <w:rStyle w:val="Hyperlink"/>
            <w:lang w:val="es-ES"/>
          </w:rPr>
          <w:t>72</w:t>
        </w:r>
      </w:hyperlink>
      <w:r w:rsidRPr="00117039">
        <w:rPr>
          <w:lang w:val="es-ES"/>
        </w:rPr>
        <w:t xml:space="preserve"> (Resolución 44, </w:t>
      </w:r>
      <w:r w:rsidRPr="00117039">
        <w:rPr>
          <w:i/>
          <w:iCs/>
          <w:lang w:val="es-ES"/>
        </w:rPr>
        <w:t>resuelve 6</w:t>
      </w:r>
      <w:r w:rsidRPr="00117039">
        <w:rPr>
          <w:lang w:val="es-ES"/>
        </w:rPr>
        <w:t>: que, a petición de los participantes, se facilite el servicio de interpretación en las reuniones plenarias de las Comisiones de Estudio y de los Grupos de Trabajo, así como en todas las reuniones del GANT).</w:t>
      </w:r>
    </w:p>
    <w:p w:rsidR="007F1F59" w:rsidRPr="00117039" w:rsidRDefault="007F1F59" w:rsidP="006F20DD">
      <w:pPr>
        <w:rPr>
          <w:lang w:val="es-ES"/>
        </w:rPr>
      </w:pPr>
      <w:r w:rsidRPr="00117039">
        <w:rPr>
          <w:lang w:val="es-ES"/>
        </w:rPr>
        <w:t xml:space="preserve">El presupuesto del UIT-T para 2017 destinado al servicio de interpretación es de 313 000 CHF. </w:t>
      </w:r>
    </w:p>
    <w:p w:rsidR="007F1F59" w:rsidRPr="00117039" w:rsidRDefault="007F1F59" w:rsidP="006F20DD">
      <w:pPr>
        <w:rPr>
          <w:lang w:val="es-ES"/>
        </w:rPr>
      </w:pPr>
      <w:r w:rsidRPr="00117039">
        <w:rPr>
          <w:lang w:val="es-ES"/>
        </w:rPr>
        <w:t xml:space="preserve">El costo </w:t>
      </w:r>
      <w:r>
        <w:rPr>
          <w:lang w:val="es-ES"/>
        </w:rPr>
        <w:t xml:space="preserve">aproximado </w:t>
      </w:r>
      <w:r w:rsidRPr="00117039">
        <w:rPr>
          <w:lang w:val="es-ES"/>
        </w:rPr>
        <w:t xml:space="preserve">de un día de interpretación es de: </w:t>
      </w:r>
    </w:p>
    <w:p w:rsidR="007F1F59" w:rsidRPr="00FE2539" w:rsidRDefault="00FE2539" w:rsidP="006F20DD">
      <w:pPr>
        <w:pStyle w:val="enumlev1"/>
      </w:pPr>
      <w:r>
        <w:t>–</w:t>
      </w:r>
      <w:r>
        <w:tab/>
      </w:r>
      <w:r w:rsidR="007F1F59" w:rsidRPr="00FE2539">
        <w:t>12 000 CHF, si la interpretación se ofrece en seis idiomas</w:t>
      </w:r>
      <w:r>
        <w:t>;</w:t>
      </w:r>
    </w:p>
    <w:p w:rsidR="007F1F59" w:rsidRPr="00FE2539" w:rsidRDefault="00FE2539" w:rsidP="006F20DD">
      <w:pPr>
        <w:pStyle w:val="enumlev1"/>
      </w:pPr>
      <w:r>
        <w:t>–</w:t>
      </w:r>
      <w:r>
        <w:tab/>
      </w:r>
      <w:r w:rsidR="007F1F59" w:rsidRPr="00FE2539">
        <w:t>9 000 CHF, si la interpretación se ofrece en cinco idiomas</w:t>
      </w:r>
      <w:r>
        <w:t>;</w:t>
      </w:r>
    </w:p>
    <w:p w:rsidR="007F1F59" w:rsidRPr="00117039" w:rsidRDefault="00FE2539" w:rsidP="006F20DD">
      <w:pPr>
        <w:pStyle w:val="enumlev1"/>
        <w:rPr>
          <w:lang w:val="es-ES"/>
        </w:rPr>
      </w:pPr>
      <w:r>
        <w:t>–</w:t>
      </w:r>
      <w:r>
        <w:tab/>
      </w:r>
      <w:r w:rsidR="007F1F59" w:rsidRPr="00FE2539">
        <w:t>7 000CHF, si la interpretación se ofrece en cuatro idiomas</w:t>
      </w:r>
      <w:r>
        <w:t>.</w:t>
      </w:r>
    </w:p>
    <w:p w:rsidR="007F1F59" w:rsidRPr="00117039" w:rsidRDefault="007F1F59" w:rsidP="006F20DD">
      <w:pPr>
        <w:rPr>
          <w:lang w:val="es-ES"/>
        </w:rPr>
      </w:pPr>
      <w:r w:rsidRPr="00117039">
        <w:rPr>
          <w:lang w:val="es-ES"/>
        </w:rPr>
        <w:t xml:space="preserve">Actualmente, el servicio de interpretación se presta </w:t>
      </w:r>
      <w:r>
        <w:rPr>
          <w:lang w:val="es-ES"/>
        </w:rPr>
        <w:t>en</w:t>
      </w:r>
      <w:r w:rsidRPr="00117039">
        <w:rPr>
          <w:lang w:val="es-ES"/>
        </w:rPr>
        <w:t xml:space="preserve"> las reuniones del GANT durante dos días (sesiones de apertura y de clausura). Si la interpretación tiene lugar durante toda la reunión del GANT, cabe considerar costos adicionales de unos 36 000 CHF por reunión del GANT (para reuniones del GANT de cinco días de duración), o de 24 000 CHF por reunión del GANT (para reuniones del GANT de cuatro días de duración). La repercusión financiera por bienio oscilará entre 72 000 CHF (para tres reuniones del GANT de cuatro días) y 108 000 CHF (3 reuniones del GANT de cinco días).</w:t>
      </w:r>
    </w:p>
    <w:p w:rsidR="007F1F59" w:rsidRPr="00117039" w:rsidRDefault="007F1F59" w:rsidP="006F20DD">
      <w:pPr>
        <w:rPr>
          <w:lang w:val="es-ES"/>
        </w:rPr>
      </w:pPr>
      <w:r w:rsidRPr="00117039">
        <w:rPr>
          <w:u w:val="single"/>
          <w:lang w:val="es-ES"/>
        </w:rPr>
        <w:t>Optión1</w:t>
      </w:r>
      <w:r w:rsidRPr="00117039">
        <w:rPr>
          <w:lang w:val="es-ES"/>
        </w:rPr>
        <w:t xml:space="preserve"> </w:t>
      </w:r>
    </w:p>
    <w:p w:rsidR="007F1F59" w:rsidRPr="00117039" w:rsidRDefault="007F1F59" w:rsidP="006F20DD">
      <w:pPr>
        <w:rPr>
          <w:lang w:val="es-ES"/>
        </w:rPr>
      </w:pPr>
      <w:r w:rsidRPr="00117039">
        <w:rPr>
          <w:lang w:val="es-ES"/>
        </w:rPr>
        <w:t>El servicio de interpretación se presta actualmente en las sesiones de clausura de las Comisiones de Estudio. La prestación de servicios de interpretación en las sesiones plenarias de las Comisiones de Estudio (sesiones de apertura y de clausura) y en los Grupos de Trabajo independientes (sesiones de apertura y de clausura) requeriría 25 días de interpretación adicionales. La repercusión financiera estimada oscila entre 350 000 CHF y 600 000 CHF por bienio, en función del número de idiomas requerido.</w:t>
      </w:r>
    </w:p>
    <w:p w:rsidR="007F1F59" w:rsidRPr="00117039" w:rsidRDefault="007F1F59" w:rsidP="006F20DD">
      <w:pPr>
        <w:rPr>
          <w:lang w:val="es-ES"/>
        </w:rPr>
      </w:pPr>
    </w:p>
    <w:tbl>
      <w:tblPr>
        <w:tblStyle w:val="TableGrid"/>
        <w:tblW w:w="0" w:type="auto"/>
        <w:tblLook w:val="04A0" w:firstRow="1" w:lastRow="0" w:firstColumn="1" w:lastColumn="0" w:noHBand="0" w:noVBand="1"/>
      </w:tblPr>
      <w:tblGrid>
        <w:gridCol w:w="1944"/>
        <w:gridCol w:w="1923"/>
        <w:gridCol w:w="1515"/>
        <w:gridCol w:w="1984"/>
        <w:gridCol w:w="2263"/>
      </w:tblGrid>
      <w:tr w:rsidR="007F1F59" w:rsidRPr="00117039" w:rsidTr="00040C5B">
        <w:tc>
          <w:tcPr>
            <w:tcW w:w="1944" w:type="dxa"/>
          </w:tcPr>
          <w:p w:rsidR="007F1F59" w:rsidRPr="00117039" w:rsidRDefault="007F1F59" w:rsidP="006F20DD">
            <w:pPr>
              <w:pStyle w:val="Tabletext"/>
              <w:jc w:val="center"/>
              <w:rPr>
                <w:lang w:val="es-ES"/>
              </w:rPr>
            </w:pPr>
            <w:r w:rsidRPr="00117039">
              <w:rPr>
                <w:lang w:val="es-ES"/>
              </w:rPr>
              <w:t>Días de interpretación adicionales</w:t>
            </w:r>
          </w:p>
        </w:tc>
        <w:tc>
          <w:tcPr>
            <w:tcW w:w="1923" w:type="dxa"/>
          </w:tcPr>
          <w:p w:rsidR="007F1F59" w:rsidRPr="00117039" w:rsidRDefault="007F1F59" w:rsidP="006F20DD">
            <w:pPr>
              <w:pStyle w:val="Tabletext"/>
              <w:jc w:val="center"/>
              <w:rPr>
                <w:lang w:val="es-ES"/>
              </w:rPr>
            </w:pPr>
            <w:r w:rsidRPr="00117039">
              <w:rPr>
                <w:lang w:val="es-ES"/>
              </w:rPr>
              <w:t>Número de idiomas ofrecido</w:t>
            </w:r>
          </w:p>
        </w:tc>
        <w:tc>
          <w:tcPr>
            <w:tcW w:w="1515" w:type="dxa"/>
          </w:tcPr>
          <w:p w:rsidR="007F1F59" w:rsidRPr="00117039" w:rsidRDefault="007F1F59" w:rsidP="006F20DD">
            <w:pPr>
              <w:pStyle w:val="Tabletext"/>
              <w:jc w:val="center"/>
              <w:rPr>
                <w:lang w:val="es-ES"/>
              </w:rPr>
            </w:pPr>
            <w:r w:rsidRPr="00117039">
              <w:rPr>
                <w:lang w:val="es-ES"/>
              </w:rPr>
              <w:t>Costo diario (en miles de CHF)</w:t>
            </w:r>
          </w:p>
        </w:tc>
        <w:tc>
          <w:tcPr>
            <w:tcW w:w="1984" w:type="dxa"/>
          </w:tcPr>
          <w:p w:rsidR="007F1F59" w:rsidRPr="00117039" w:rsidRDefault="007F1F59" w:rsidP="006F20DD">
            <w:pPr>
              <w:pStyle w:val="Tabletext"/>
              <w:jc w:val="center"/>
              <w:rPr>
                <w:lang w:val="es-ES"/>
              </w:rPr>
            </w:pPr>
            <w:r w:rsidRPr="00117039">
              <w:rPr>
                <w:lang w:val="es-ES"/>
              </w:rPr>
              <w:t>Gastos anuales adicionales (en miles de CHF)</w:t>
            </w:r>
          </w:p>
        </w:tc>
        <w:tc>
          <w:tcPr>
            <w:tcW w:w="2263" w:type="dxa"/>
          </w:tcPr>
          <w:p w:rsidR="007F1F59" w:rsidRPr="00117039" w:rsidRDefault="007F1F59" w:rsidP="006F20DD">
            <w:pPr>
              <w:pStyle w:val="Tabletext"/>
              <w:jc w:val="center"/>
              <w:rPr>
                <w:lang w:val="es-ES"/>
              </w:rPr>
            </w:pPr>
            <w:r w:rsidRPr="00117039">
              <w:rPr>
                <w:lang w:val="es-ES"/>
              </w:rPr>
              <w:t>Gastos anuales por bienio (en miles de CHF)</w:t>
            </w:r>
          </w:p>
        </w:tc>
      </w:tr>
      <w:tr w:rsidR="007F1F59" w:rsidRPr="00117039" w:rsidTr="00040C5B">
        <w:tc>
          <w:tcPr>
            <w:tcW w:w="1944" w:type="dxa"/>
          </w:tcPr>
          <w:p w:rsidR="007F1F59" w:rsidRPr="00117039" w:rsidRDefault="007F1F59" w:rsidP="006F20DD">
            <w:pPr>
              <w:pStyle w:val="Tabletext"/>
              <w:jc w:val="center"/>
              <w:rPr>
                <w:lang w:val="es-ES"/>
              </w:rPr>
            </w:pPr>
            <w:r w:rsidRPr="00117039">
              <w:rPr>
                <w:lang w:val="es-ES"/>
              </w:rPr>
              <w:t>25</w:t>
            </w:r>
          </w:p>
        </w:tc>
        <w:tc>
          <w:tcPr>
            <w:tcW w:w="1923" w:type="dxa"/>
          </w:tcPr>
          <w:p w:rsidR="007F1F59" w:rsidRPr="00117039" w:rsidRDefault="007F1F59" w:rsidP="006F20DD">
            <w:pPr>
              <w:pStyle w:val="Tabletext"/>
              <w:jc w:val="center"/>
              <w:rPr>
                <w:lang w:val="es-ES"/>
              </w:rPr>
            </w:pPr>
            <w:r w:rsidRPr="00117039">
              <w:rPr>
                <w:lang w:val="es-ES"/>
              </w:rPr>
              <w:t>6</w:t>
            </w:r>
          </w:p>
        </w:tc>
        <w:tc>
          <w:tcPr>
            <w:tcW w:w="1515" w:type="dxa"/>
          </w:tcPr>
          <w:p w:rsidR="007F1F59" w:rsidRPr="00117039" w:rsidRDefault="007F1F59" w:rsidP="006F20DD">
            <w:pPr>
              <w:pStyle w:val="Tabletext"/>
              <w:jc w:val="right"/>
              <w:rPr>
                <w:lang w:val="es-ES"/>
              </w:rPr>
            </w:pPr>
            <w:r w:rsidRPr="00117039">
              <w:rPr>
                <w:lang w:val="es-ES"/>
              </w:rPr>
              <w:t>12</w:t>
            </w:r>
          </w:p>
        </w:tc>
        <w:tc>
          <w:tcPr>
            <w:tcW w:w="1984" w:type="dxa"/>
          </w:tcPr>
          <w:p w:rsidR="007F1F59" w:rsidRPr="00117039" w:rsidRDefault="007F1F59" w:rsidP="006F20DD">
            <w:pPr>
              <w:pStyle w:val="Tabletext"/>
              <w:jc w:val="right"/>
              <w:rPr>
                <w:lang w:val="es-ES"/>
              </w:rPr>
            </w:pPr>
            <w:r w:rsidRPr="00117039">
              <w:rPr>
                <w:lang w:val="es-ES"/>
              </w:rPr>
              <w:t>300</w:t>
            </w:r>
          </w:p>
        </w:tc>
        <w:tc>
          <w:tcPr>
            <w:tcW w:w="2263" w:type="dxa"/>
          </w:tcPr>
          <w:p w:rsidR="007F1F59" w:rsidRPr="00117039" w:rsidRDefault="007F1F59" w:rsidP="006F20DD">
            <w:pPr>
              <w:pStyle w:val="Tabletext"/>
              <w:jc w:val="right"/>
              <w:rPr>
                <w:lang w:val="es-ES"/>
              </w:rPr>
            </w:pPr>
            <w:r w:rsidRPr="00117039">
              <w:rPr>
                <w:lang w:val="es-ES"/>
              </w:rPr>
              <w:t>600</w:t>
            </w:r>
          </w:p>
        </w:tc>
      </w:tr>
      <w:tr w:rsidR="007F1F59" w:rsidRPr="00117039" w:rsidTr="00040C5B">
        <w:tc>
          <w:tcPr>
            <w:tcW w:w="1944" w:type="dxa"/>
          </w:tcPr>
          <w:p w:rsidR="007F1F59" w:rsidRPr="00117039" w:rsidRDefault="007F1F59" w:rsidP="006F20DD">
            <w:pPr>
              <w:pStyle w:val="Tabletext"/>
              <w:jc w:val="center"/>
              <w:rPr>
                <w:lang w:val="es-ES"/>
              </w:rPr>
            </w:pPr>
            <w:r w:rsidRPr="00117039">
              <w:rPr>
                <w:lang w:val="es-ES"/>
              </w:rPr>
              <w:t>25</w:t>
            </w:r>
          </w:p>
        </w:tc>
        <w:tc>
          <w:tcPr>
            <w:tcW w:w="1923" w:type="dxa"/>
          </w:tcPr>
          <w:p w:rsidR="007F1F59" w:rsidRPr="00117039" w:rsidRDefault="007F1F59" w:rsidP="006F20DD">
            <w:pPr>
              <w:pStyle w:val="Tabletext"/>
              <w:jc w:val="center"/>
              <w:rPr>
                <w:lang w:val="es-ES"/>
              </w:rPr>
            </w:pPr>
            <w:r w:rsidRPr="00117039">
              <w:rPr>
                <w:lang w:val="es-ES"/>
              </w:rPr>
              <w:t>5</w:t>
            </w:r>
          </w:p>
        </w:tc>
        <w:tc>
          <w:tcPr>
            <w:tcW w:w="1515" w:type="dxa"/>
          </w:tcPr>
          <w:p w:rsidR="007F1F59" w:rsidRPr="00117039" w:rsidRDefault="007F1F59" w:rsidP="006F20DD">
            <w:pPr>
              <w:pStyle w:val="Tabletext"/>
              <w:jc w:val="right"/>
              <w:rPr>
                <w:lang w:val="es-ES"/>
              </w:rPr>
            </w:pPr>
            <w:r w:rsidRPr="00117039">
              <w:rPr>
                <w:lang w:val="es-ES"/>
              </w:rPr>
              <w:t>9</w:t>
            </w:r>
          </w:p>
        </w:tc>
        <w:tc>
          <w:tcPr>
            <w:tcW w:w="1984" w:type="dxa"/>
          </w:tcPr>
          <w:p w:rsidR="007F1F59" w:rsidRPr="00117039" w:rsidRDefault="007F1F59" w:rsidP="006F20DD">
            <w:pPr>
              <w:pStyle w:val="Tabletext"/>
              <w:jc w:val="right"/>
              <w:rPr>
                <w:lang w:val="es-ES"/>
              </w:rPr>
            </w:pPr>
            <w:r w:rsidRPr="00117039">
              <w:rPr>
                <w:lang w:val="es-ES"/>
              </w:rPr>
              <w:t>225</w:t>
            </w:r>
          </w:p>
        </w:tc>
        <w:tc>
          <w:tcPr>
            <w:tcW w:w="2263" w:type="dxa"/>
          </w:tcPr>
          <w:p w:rsidR="007F1F59" w:rsidRPr="00117039" w:rsidRDefault="007F1F59" w:rsidP="006F20DD">
            <w:pPr>
              <w:pStyle w:val="Tabletext"/>
              <w:jc w:val="right"/>
              <w:rPr>
                <w:lang w:val="es-ES"/>
              </w:rPr>
            </w:pPr>
            <w:r w:rsidRPr="00117039">
              <w:rPr>
                <w:lang w:val="es-ES"/>
              </w:rPr>
              <w:t>450</w:t>
            </w:r>
          </w:p>
        </w:tc>
      </w:tr>
      <w:tr w:rsidR="007F1F59" w:rsidRPr="00117039" w:rsidTr="00040C5B">
        <w:tc>
          <w:tcPr>
            <w:tcW w:w="1944" w:type="dxa"/>
          </w:tcPr>
          <w:p w:rsidR="007F1F59" w:rsidRPr="00117039" w:rsidRDefault="007F1F59" w:rsidP="006F20DD">
            <w:pPr>
              <w:pStyle w:val="Tabletext"/>
              <w:jc w:val="center"/>
              <w:rPr>
                <w:lang w:val="es-ES"/>
              </w:rPr>
            </w:pPr>
            <w:r w:rsidRPr="00117039">
              <w:rPr>
                <w:lang w:val="es-ES"/>
              </w:rPr>
              <w:t>25</w:t>
            </w:r>
          </w:p>
        </w:tc>
        <w:tc>
          <w:tcPr>
            <w:tcW w:w="1923" w:type="dxa"/>
          </w:tcPr>
          <w:p w:rsidR="007F1F59" w:rsidRPr="00117039" w:rsidRDefault="007F1F59" w:rsidP="006F20DD">
            <w:pPr>
              <w:pStyle w:val="Tabletext"/>
              <w:jc w:val="center"/>
              <w:rPr>
                <w:lang w:val="es-ES"/>
              </w:rPr>
            </w:pPr>
            <w:r w:rsidRPr="00117039">
              <w:rPr>
                <w:lang w:val="es-ES"/>
              </w:rPr>
              <w:t>4</w:t>
            </w:r>
          </w:p>
        </w:tc>
        <w:tc>
          <w:tcPr>
            <w:tcW w:w="1515" w:type="dxa"/>
          </w:tcPr>
          <w:p w:rsidR="007F1F59" w:rsidRPr="00117039" w:rsidRDefault="007F1F59" w:rsidP="006F20DD">
            <w:pPr>
              <w:pStyle w:val="Tabletext"/>
              <w:jc w:val="right"/>
              <w:rPr>
                <w:lang w:val="es-ES"/>
              </w:rPr>
            </w:pPr>
            <w:r w:rsidRPr="00117039">
              <w:rPr>
                <w:lang w:val="es-ES"/>
              </w:rPr>
              <w:t>7</w:t>
            </w:r>
          </w:p>
        </w:tc>
        <w:tc>
          <w:tcPr>
            <w:tcW w:w="1984" w:type="dxa"/>
          </w:tcPr>
          <w:p w:rsidR="007F1F59" w:rsidRPr="00117039" w:rsidRDefault="007F1F59" w:rsidP="006F20DD">
            <w:pPr>
              <w:pStyle w:val="Tabletext"/>
              <w:jc w:val="right"/>
              <w:rPr>
                <w:lang w:val="es-ES"/>
              </w:rPr>
            </w:pPr>
            <w:r w:rsidRPr="00117039">
              <w:rPr>
                <w:lang w:val="es-ES"/>
              </w:rPr>
              <w:t>175</w:t>
            </w:r>
          </w:p>
        </w:tc>
        <w:tc>
          <w:tcPr>
            <w:tcW w:w="2263" w:type="dxa"/>
          </w:tcPr>
          <w:p w:rsidR="007F1F59" w:rsidRPr="00117039" w:rsidRDefault="007F1F59" w:rsidP="006F20DD">
            <w:pPr>
              <w:pStyle w:val="Tabletext"/>
              <w:jc w:val="right"/>
              <w:rPr>
                <w:lang w:val="es-ES"/>
              </w:rPr>
            </w:pPr>
            <w:r w:rsidRPr="00117039">
              <w:rPr>
                <w:lang w:val="es-ES"/>
              </w:rPr>
              <w:t>350</w:t>
            </w:r>
          </w:p>
        </w:tc>
      </w:tr>
    </w:tbl>
    <w:p w:rsidR="007F1F59" w:rsidRPr="00117039" w:rsidRDefault="007F1F59" w:rsidP="006F20DD">
      <w:pPr>
        <w:rPr>
          <w:lang w:val="es-ES"/>
        </w:rPr>
      </w:pPr>
    </w:p>
    <w:p w:rsidR="007F1F59" w:rsidRPr="00117039" w:rsidRDefault="007F1F59" w:rsidP="006F20DD">
      <w:pPr>
        <w:rPr>
          <w:lang w:val="es-ES"/>
        </w:rPr>
      </w:pPr>
      <w:r w:rsidRPr="00117039">
        <w:rPr>
          <w:u w:val="single"/>
          <w:lang w:val="es-ES"/>
        </w:rPr>
        <w:t xml:space="preserve">Opción2 </w:t>
      </w:r>
    </w:p>
    <w:p w:rsidR="007F1F59" w:rsidRPr="00117039" w:rsidRDefault="007F1F59" w:rsidP="006F20DD">
      <w:pPr>
        <w:rPr>
          <w:lang w:val="es-ES"/>
        </w:rPr>
      </w:pPr>
      <w:r w:rsidRPr="00117039">
        <w:rPr>
          <w:lang w:val="es-ES"/>
        </w:rPr>
        <w:t>La prestación de servicios de interpretación en las sesiones plenarias de las Comisiones de Estudio (sesiones de apertura y de clausura) y en las plenarias de todos los Grupos de Trabajo independientes (sesiones de apertura y de clausura) requeriría 115 días de interpretación adicionales. La repercusión financiera máxima estimada oscila entre 1 610 000 CHF y 2 760 000 CHF por bienio, en función del número de idiomas solicitado.</w:t>
      </w:r>
    </w:p>
    <w:p w:rsidR="0085200B" w:rsidRDefault="0085200B" w:rsidP="006F20DD">
      <w:pPr>
        <w:tabs>
          <w:tab w:val="clear" w:pos="1134"/>
          <w:tab w:val="clear" w:pos="1871"/>
          <w:tab w:val="clear" w:pos="2268"/>
        </w:tabs>
        <w:overflowPunct/>
        <w:autoSpaceDE/>
        <w:autoSpaceDN/>
        <w:adjustRightInd/>
        <w:spacing w:before="0"/>
        <w:textAlignment w:val="auto"/>
        <w:rPr>
          <w:lang w:val="es-ES"/>
        </w:rPr>
      </w:pPr>
      <w:r>
        <w:rPr>
          <w:lang w:val="es-ES"/>
        </w:rPr>
        <w:br w:type="page"/>
      </w:r>
    </w:p>
    <w:p w:rsidR="007F1F59" w:rsidRPr="00117039" w:rsidRDefault="007F1F59" w:rsidP="006F20DD">
      <w:pPr>
        <w:rPr>
          <w:lang w:val="es-ES"/>
        </w:rPr>
      </w:pPr>
    </w:p>
    <w:tbl>
      <w:tblPr>
        <w:tblStyle w:val="TableGrid"/>
        <w:tblW w:w="0" w:type="auto"/>
        <w:tblLook w:val="04A0" w:firstRow="1" w:lastRow="0" w:firstColumn="1" w:lastColumn="0" w:noHBand="0" w:noVBand="1"/>
      </w:tblPr>
      <w:tblGrid>
        <w:gridCol w:w="1944"/>
        <w:gridCol w:w="1923"/>
        <w:gridCol w:w="1515"/>
        <w:gridCol w:w="1984"/>
        <w:gridCol w:w="2263"/>
      </w:tblGrid>
      <w:tr w:rsidR="007F1F59" w:rsidRPr="00117039" w:rsidTr="00040C5B">
        <w:tc>
          <w:tcPr>
            <w:tcW w:w="1944" w:type="dxa"/>
          </w:tcPr>
          <w:p w:rsidR="007F1F59" w:rsidRPr="00117039" w:rsidRDefault="007F1F59" w:rsidP="006F20DD">
            <w:pPr>
              <w:pStyle w:val="Tabletext"/>
              <w:jc w:val="center"/>
              <w:rPr>
                <w:lang w:val="es-ES"/>
              </w:rPr>
            </w:pPr>
            <w:r w:rsidRPr="00117039">
              <w:rPr>
                <w:lang w:val="es-ES"/>
              </w:rPr>
              <w:t>Días de interpretación adicionales</w:t>
            </w:r>
          </w:p>
        </w:tc>
        <w:tc>
          <w:tcPr>
            <w:tcW w:w="1923" w:type="dxa"/>
          </w:tcPr>
          <w:p w:rsidR="007F1F59" w:rsidRPr="00117039" w:rsidRDefault="007F1F59" w:rsidP="006F20DD">
            <w:pPr>
              <w:pStyle w:val="Tabletext"/>
              <w:jc w:val="center"/>
              <w:rPr>
                <w:lang w:val="es-ES"/>
              </w:rPr>
            </w:pPr>
            <w:r w:rsidRPr="00117039">
              <w:rPr>
                <w:lang w:val="es-ES"/>
              </w:rPr>
              <w:t>Número de idiomas ofrecido</w:t>
            </w:r>
          </w:p>
        </w:tc>
        <w:tc>
          <w:tcPr>
            <w:tcW w:w="1515" w:type="dxa"/>
          </w:tcPr>
          <w:p w:rsidR="007F1F59" w:rsidRPr="00117039" w:rsidRDefault="007F1F59" w:rsidP="006F20DD">
            <w:pPr>
              <w:pStyle w:val="Tabletext"/>
              <w:jc w:val="center"/>
              <w:rPr>
                <w:lang w:val="es-ES"/>
              </w:rPr>
            </w:pPr>
            <w:r w:rsidRPr="00117039">
              <w:rPr>
                <w:lang w:val="es-ES"/>
              </w:rPr>
              <w:t>Costo diario (en miles de CHF)</w:t>
            </w:r>
          </w:p>
        </w:tc>
        <w:tc>
          <w:tcPr>
            <w:tcW w:w="1984" w:type="dxa"/>
          </w:tcPr>
          <w:p w:rsidR="007F1F59" w:rsidRPr="00117039" w:rsidRDefault="007F1F59" w:rsidP="006F20DD">
            <w:pPr>
              <w:pStyle w:val="Tabletext"/>
              <w:jc w:val="center"/>
              <w:rPr>
                <w:lang w:val="es-ES"/>
              </w:rPr>
            </w:pPr>
            <w:r w:rsidRPr="00117039">
              <w:rPr>
                <w:lang w:val="es-ES"/>
              </w:rPr>
              <w:t>Gastos anuales adicionales (en miles de CHF)</w:t>
            </w:r>
          </w:p>
        </w:tc>
        <w:tc>
          <w:tcPr>
            <w:tcW w:w="2263" w:type="dxa"/>
          </w:tcPr>
          <w:p w:rsidR="007F1F59" w:rsidRPr="00117039" w:rsidRDefault="007F1F59" w:rsidP="006F20DD">
            <w:pPr>
              <w:pStyle w:val="Tabletext"/>
              <w:jc w:val="center"/>
              <w:rPr>
                <w:lang w:val="es-ES"/>
              </w:rPr>
            </w:pPr>
            <w:r w:rsidRPr="00117039">
              <w:rPr>
                <w:lang w:val="es-ES"/>
              </w:rPr>
              <w:t>Gastos anuales por bienio (en miles de CHF)</w:t>
            </w:r>
          </w:p>
        </w:tc>
      </w:tr>
      <w:tr w:rsidR="007F1F59" w:rsidRPr="00117039" w:rsidTr="00040C5B">
        <w:tc>
          <w:tcPr>
            <w:tcW w:w="1944" w:type="dxa"/>
          </w:tcPr>
          <w:p w:rsidR="007F1F59" w:rsidRPr="00117039" w:rsidRDefault="007F1F59" w:rsidP="006F20DD">
            <w:pPr>
              <w:pStyle w:val="Tabletext"/>
              <w:jc w:val="center"/>
              <w:rPr>
                <w:lang w:val="es-ES"/>
              </w:rPr>
            </w:pPr>
            <w:r w:rsidRPr="00117039">
              <w:rPr>
                <w:lang w:val="es-ES"/>
              </w:rPr>
              <w:t>115</w:t>
            </w:r>
          </w:p>
        </w:tc>
        <w:tc>
          <w:tcPr>
            <w:tcW w:w="1923" w:type="dxa"/>
          </w:tcPr>
          <w:p w:rsidR="007F1F59" w:rsidRPr="00117039" w:rsidRDefault="007F1F59" w:rsidP="006F20DD">
            <w:pPr>
              <w:pStyle w:val="Tabletext"/>
              <w:jc w:val="center"/>
              <w:rPr>
                <w:lang w:val="es-ES"/>
              </w:rPr>
            </w:pPr>
            <w:r w:rsidRPr="00117039">
              <w:rPr>
                <w:lang w:val="es-ES"/>
              </w:rPr>
              <w:t>6</w:t>
            </w:r>
          </w:p>
        </w:tc>
        <w:tc>
          <w:tcPr>
            <w:tcW w:w="1515" w:type="dxa"/>
          </w:tcPr>
          <w:p w:rsidR="007F1F59" w:rsidRPr="00117039" w:rsidRDefault="007F1F59" w:rsidP="006F20DD">
            <w:pPr>
              <w:pStyle w:val="Tabletext"/>
              <w:jc w:val="right"/>
              <w:rPr>
                <w:lang w:val="es-ES"/>
              </w:rPr>
            </w:pPr>
            <w:r w:rsidRPr="00117039">
              <w:rPr>
                <w:lang w:val="es-ES"/>
              </w:rPr>
              <w:t>12</w:t>
            </w:r>
          </w:p>
        </w:tc>
        <w:tc>
          <w:tcPr>
            <w:tcW w:w="1984" w:type="dxa"/>
          </w:tcPr>
          <w:p w:rsidR="007F1F59" w:rsidRPr="00117039" w:rsidRDefault="007F1F59" w:rsidP="006F20DD">
            <w:pPr>
              <w:pStyle w:val="Tabletext"/>
              <w:jc w:val="right"/>
              <w:rPr>
                <w:lang w:val="es-ES"/>
              </w:rPr>
            </w:pPr>
            <w:r w:rsidRPr="00117039">
              <w:rPr>
                <w:lang w:val="es-ES"/>
              </w:rPr>
              <w:t>1 380</w:t>
            </w:r>
          </w:p>
        </w:tc>
        <w:tc>
          <w:tcPr>
            <w:tcW w:w="2263" w:type="dxa"/>
          </w:tcPr>
          <w:p w:rsidR="007F1F59" w:rsidRPr="00117039" w:rsidRDefault="007F1F59" w:rsidP="006F20DD">
            <w:pPr>
              <w:pStyle w:val="Tabletext"/>
              <w:jc w:val="right"/>
              <w:rPr>
                <w:lang w:val="es-ES"/>
              </w:rPr>
            </w:pPr>
            <w:r w:rsidRPr="00117039">
              <w:rPr>
                <w:lang w:val="es-ES"/>
              </w:rPr>
              <w:t>2 760</w:t>
            </w:r>
          </w:p>
        </w:tc>
      </w:tr>
      <w:tr w:rsidR="007F1F59" w:rsidRPr="00117039" w:rsidTr="00040C5B">
        <w:tc>
          <w:tcPr>
            <w:tcW w:w="1944" w:type="dxa"/>
          </w:tcPr>
          <w:p w:rsidR="007F1F59" w:rsidRPr="00117039" w:rsidRDefault="007F1F59" w:rsidP="006F20DD">
            <w:pPr>
              <w:pStyle w:val="Tabletext"/>
              <w:jc w:val="center"/>
              <w:rPr>
                <w:lang w:val="es-ES"/>
              </w:rPr>
            </w:pPr>
            <w:r w:rsidRPr="00117039">
              <w:rPr>
                <w:lang w:val="es-ES"/>
              </w:rPr>
              <w:t>115</w:t>
            </w:r>
          </w:p>
        </w:tc>
        <w:tc>
          <w:tcPr>
            <w:tcW w:w="1923" w:type="dxa"/>
          </w:tcPr>
          <w:p w:rsidR="007F1F59" w:rsidRPr="00117039" w:rsidRDefault="007F1F59" w:rsidP="006F20DD">
            <w:pPr>
              <w:pStyle w:val="Tabletext"/>
              <w:jc w:val="center"/>
              <w:rPr>
                <w:lang w:val="es-ES"/>
              </w:rPr>
            </w:pPr>
            <w:r w:rsidRPr="00117039">
              <w:rPr>
                <w:lang w:val="es-ES"/>
              </w:rPr>
              <w:t>5</w:t>
            </w:r>
          </w:p>
        </w:tc>
        <w:tc>
          <w:tcPr>
            <w:tcW w:w="1515" w:type="dxa"/>
          </w:tcPr>
          <w:p w:rsidR="007F1F59" w:rsidRPr="00117039" w:rsidRDefault="007F1F59" w:rsidP="006F20DD">
            <w:pPr>
              <w:pStyle w:val="Tabletext"/>
              <w:jc w:val="right"/>
              <w:rPr>
                <w:lang w:val="es-ES"/>
              </w:rPr>
            </w:pPr>
            <w:r w:rsidRPr="00117039">
              <w:rPr>
                <w:lang w:val="es-ES"/>
              </w:rPr>
              <w:t>9</w:t>
            </w:r>
          </w:p>
        </w:tc>
        <w:tc>
          <w:tcPr>
            <w:tcW w:w="1984" w:type="dxa"/>
          </w:tcPr>
          <w:p w:rsidR="007F1F59" w:rsidRPr="00117039" w:rsidRDefault="007F1F59" w:rsidP="006F20DD">
            <w:pPr>
              <w:pStyle w:val="Tabletext"/>
              <w:jc w:val="right"/>
              <w:rPr>
                <w:lang w:val="es-ES"/>
              </w:rPr>
            </w:pPr>
            <w:r w:rsidRPr="00117039">
              <w:rPr>
                <w:lang w:val="es-ES"/>
              </w:rPr>
              <w:t>1035</w:t>
            </w:r>
          </w:p>
        </w:tc>
        <w:tc>
          <w:tcPr>
            <w:tcW w:w="2263" w:type="dxa"/>
          </w:tcPr>
          <w:p w:rsidR="007F1F59" w:rsidRPr="00117039" w:rsidRDefault="007F1F59" w:rsidP="006F20DD">
            <w:pPr>
              <w:pStyle w:val="Tabletext"/>
              <w:jc w:val="right"/>
              <w:rPr>
                <w:lang w:val="es-ES"/>
              </w:rPr>
            </w:pPr>
            <w:r w:rsidRPr="00117039">
              <w:rPr>
                <w:lang w:val="es-ES"/>
              </w:rPr>
              <w:t>2 070</w:t>
            </w:r>
          </w:p>
        </w:tc>
      </w:tr>
      <w:tr w:rsidR="007F1F59" w:rsidRPr="00117039" w:rsidTr="00040C5B">
        <w:tc>
          <w:tcPr>
            <w:tcW w:w="1944" w:type="dxa"/>
          </w:tcPr>
          <w:p w:rsidR="007F1F59" w:rsidRPr="00117039" w:rsidRDefault="007F1F59" w:rsidP="006F20DD">
            <w:pPr>
              <w:pStyle w:val="Tabletext"/>
              <w:jc w:val="center"/>
              <w:rPr>
                <w:lang w:val="es-ES"/>
              </w:rPr>
            </w:pPr>
            <w:r w:rsidRPr="00117039">
              <w:rPr>
                <w:lang w:val="es-ES"/>
              </w:rPr>
              <w:t>115</w:t>
            </w:r>
          </w:p>
        </w:tc>
        <w:tc>
          <w:tcPr>
            <w:tcW w:w="1923" w:type="dxa"/>
          </w:tcPr>
          <w:p w:rsidR="007F1F59" w:rsidRPr="00117039" w:rsidRDefault="007F1F59" w:rsidP="006F20DD">
            <w:pPr>
              <w:pStyle w:val="Tabletext"/>
              <w:jc w:val="center"/>
              <w:rPr>
                <w:lang w:val="es-ES"/>
              </w:rPr>
            </w:pPr>
            <w:r w:rsidRPr="00117039">
              <w:rPr>
                <w:lang w:val="es-ES"/>
              </w:rPr>
              <w:t>4</w:t>
            </w:r>
          </w:p>
        </w:tc>
        <w:tc>
          <w:tcPr>
            <w:tcW w:w="1515" w:type="dxa"/>
          </w:tcPr>
          <w:p w:rsidR="007F1F59" w:rsidRPr="00117039" w:rsidRDefault="007F1F59" w:rsidP="006F20DD">
            <w:pPr>
              <w:pStyle w:val="Tabletext"/>
              <w:jc w:val="right"/>
              <w:rPr>
                <w:lang w:val="es-ES"/>
              </w:rPr>
            </w:pPr>
            <w:r w:rsidRPr="00117039">
              <w:rPr>
                <w:lang w:val="es-ES"/>
              </w:rPr>
              <w:t>7</w:t>
            </w:r>
          </w:p>
        </w:tc>
        <w:tc>
          <w:tcPr>
            <w:tcW w:w="1984" w:type="dxa"/>
          </w:tcPr>
          <w:p w:rsidR="007F1F59" w:rsidRPr="00117039" w:rsidRDefault="007F1F59" w:rsidP="006F20DD">
            <w:pPr>
              <w:pStyle w:val="Tabletext"/>
              <w:jc w:val="right"/>
              <w:rPr>
                <w:lang w:val="es-ES"/>
              </w:rPr>
            </w:pPr>
            <w:r w:rsidRPr="00117039">
              <w:rPr>
                <w:lang w:val="es-ES"/>
              </w:rPr>
              <w:t>805</w:t>
            </w:r>
          </w:p>
        </w:tc>
        <w:tc>
          <w:tcPr>
            <w:tcW w:w="2263" w:type="dxa"/>
          </w:tcPr>
          <w:p w:rsidR="007F1F59" w:rsidRPr="00117039" w:rsidRDefault="007F1F59" w:rsidP="006F20DD">
            <w:pPr>
              <w:pStyle w:val="Tabletext"/>
              <w:jc w:val="right"/>
              <w:rPr>
                <w:lang w:val="es-ES"/>
              </w:rPr>
            </w:pPr>
            <w:r w:rsidRPr="00117039">
              <w:rPr>
                <w:lang w:val="es-ES"/>
              </w:rPr>
              <w:t>1 610</w:t>
            </w:r>
          </w:p>
        </w:tc>
      </w:tr>
    </w:tbl>
    <w:p w:rsidR="007F1F59" w:rsidRPr="00117039" w:rsidRDefault="007F1F59" w:rsidP="006F20DD">
      <w:pPr>
        <w:rPr>
          <w:highlight w:val="yellow"/>
          <w:lang w:val="es-ES"/>
        </w:rPr>
      </w:pPr>
    </w:p>
    <w:p w:rsidR="007F1F59" w:rsidRPr="00117039" w:rsidRDefault="007F1F59" w:rsidP="006F20DD">
      <w:pPr>
        <w:pStyle w:val="Headingb"/>
        <w:rPr>
          <w:lang w:val="es-ES"/>
        </w:rPr>
      </w:pPr>
      <w:r w:rsidRPr="00117039">
        <w:rPr>
          <w:lang w:val="es-ES"/>
        </w:rPr>
        <w:t>Servicios de consultoría</w:t>
      </w:r>
    </w:p>
    <w:p w:rsidR="007F1F59" w:rsidRPr="00117039" w:rsidRDefault="007F1F59" w:rsidP="006F20DD">
      <w:pPr>
        <w:rPr>
          <w:lang w:val="es-ES"/>
        </w:rPr>
      </w:pPr>
      <w:r w:rsidRPr="00117039">
        <w:rPr>
          <w:lang w:val="es-ES"/>
        </w:rPr>
        <w:t xml:space="preserve">Ref. </w:t>
      </w:r>
      <w:r>
        <w:rPr>
          <w:lang w:val="es-ES"/>
        </w:rPr>
        <w:t>N</w:t>
      </w:r>
      <w:r w:rsidRPr="00117039">
        <w:rPr>
          <w:lang w:val="es-ES"/>
        </w:rPr>
        <w:t>ueva Resolución [RCC-3] y nueva Resolución [AFCP-2]</w:t>
      </w:r>
    </w:p>
    <w:p w:rsidR="007F1F59" w:rsidRPr="00117039" w:rsidRDefault="007F1F59" w:rsidP="006F20DD">
      <w:pPr>
        <w:rPr>
          <w:highlight w:val="yellow"/>
          <w:lang w:val="es-ES"/>
        </w:rPr>
      </w:pPr>
      <w:r w:rsidRPr="00117039">
        <w:rPr>
          <w:lang w:val="es-ES"/>
        </w:rPr>
        <w:t>Para poner en marcha lo anterior será necesario contratar a expertos en el marco de acuerdos de servicios especiales con el fin de elaborar informes y estudios.</w:t>
      </w:r>
    </w:p>
    <w:p w:rsidR="007F1F59" w:rsidRPr="00117039" w:rsidRDefault="007F1F59" w:rsidP="006F20DD">
      <w:pPr>
        <w:pStyle w:val="Headingb"/>
        <w:rPr>
          <w:lang w:val="es-ES"/>
        </w:rPr>
      </w:pPr>
      <w:r w:rsidRPr="00117039">
        <w:rPr>
          <w:lang w:val="es-ES"/>
        </w:rPr>
        <w:t>Talleres y seminarios</w:t>
      </w:r>
    </w:p>
    <w:p w:rsidR="007F1F59" w:rsidRPr="00117039" w:rsidRDefault="007F1F59" w:rsidP="006F20DD">
      <w:pPr>
        <w:rPr>
          <w:lang w:val="es-ES"/>
        </w:rPr>
      </w:pPr>
      <w:r w:rsidRPr="00117039">
        <w:rPr>
          <w:lang w:val="es-ES"/>
        </w:rPr>
        <w:t xml:space="preserve">Ref. Resolución 77, </w:t>
      </w:r>
      <w:r>
        <w:rPr>
          <w:lang w:val="es-ES"/>
        </w:rPr>
        <w:t>nueva</w:t>
      </w:r>
      <w:r w:rsidRPr="00117039">
        <w:rPr>
          <w:lang w:val="es-ES"/>
        </w:rPr>
        <w:t xml:space="preserve"> Resolución [APT-3], </w:t>
      </w:r>
      <w:r>
        <w:rPr>
          <w:lang w:val="es-ES"/>
        </w:rPr>
        <w:t>nueva</w:t>
      </w:r>
      <w:r w:rsidRPr="00117039">
        <w:rPr>
          <w:lang w:val="es-ES"/>
        </w:rPr>
        <w:t xml:space="preserve"> Resolución [AFCP-2] </w:t>
      </w:r>
      <w:r>
        <w:rPr>
          <w:lang w:val="es-ES"/>
        </w:rPr>
        <w:t>y</w:t>
      </w:r>
      <w:r w:rsidRPr="00117039">
        <w:rPr>
          <w:lang w:val="es-ES"/>
        </w:rPr>
        <w:t xml:space="preserve"> </w:t>
      </w:r>
      <w:r>
        <w:rPr>
          <w:lang w:val="es-ES"/>
        </w:rPr>
        <w:t>nueva</w:t>
      </w:r>
      <w:r w:rsidRPr="00117039">
        <w:rPr>
          <w:lang w:val="es-ES"/>
        </w:rPr>
        <w:t xml:space="preserve"> Resolución [APT-2]/[IAP-3]</w:t>
      </w:r>
    </w:p>
    <w:p w:rsidR="007F1F59" w:rsidRPr="00117039" w:rsidRDefault="007F1F59" w:rsidP="006F20DD">
      <w:r>
        <w:rPr>
          <w:lang w:val="es-ES"/>
        </w:rPr>
        <w:t>La organización de talleres/seminarios conlleva costos de viaje del personal de la UIT, en determinados casos costos de viajes de expertos, becas, reserva de salas de conferencias y de</w:t>
      </w:r>
      <w:r w:rsidR="00EC71BB">
        <w:rPr>
          <w:lang w:val="es-ES"/>
        </w:rPr>
        <w:t xml:space="preserve"> </w:t>
      </w:r>
      <w:r>
        <w:rPr>
          <w:lang w:val="es-ES"/>
        </w:rPr>
        <w:t>equipos audiovisuales, cuyo costo se estima en unos 30 000 CHF por taller/seminario</w:t>
      </w:r>
      <w:r w:rsidRPr="00117039">
        <w:t>.</w:t>
      </w:r>
    </w:p>
    <w:p w:rsidR="007F1F59" w:rsidRPr="00117039" w:rsidRDefault="007F1F59" w:rsidP="006F20DD">
      <w:r>
        <w:t>En las estimaciones de repercusiones financieras se tiene en cuenta el siguiente número de talleres anuales</w:t>
      </w:r>
      <w:r w:rsidRPr="00117039">
        <w:t>:</w:t>
      </w:r>
    </w:p>
    <w:p w:rsidR="007F1F59" w:rsidRPr="00117039" w:rsidRDefault="007F1F59" w:rsidP="006F20DD">
      <w:pPr>
        <w:rPr>
          <w:rFonts w:asciiTheme="majorBidi" w:hAnsiTheme="majorBidi" w:cstheme="majorBidi"/>
          <w:bCs/>
        </w:rPr>
      </w:pPr>
    </w:p>
    <w:tbl>
      <w:tblPr>
        <w:tblStyle w:val="TableGrid"/>
        <w:tblW w:w="0" w:type="auto"/>
        <w:jc w:val="center"/>
        <w:tblLook w:val="04A0" w:firstRow="1" w:lastRow="0" w:firstColumn="1" w:lastColumn="0" w:noHBand="0" w:noVBand="1"/>
      </w:tblPr>
      <w:tblGrid>
        <w:gridCol w:w="3975"/>
        <w:gridCol w:w="1701"/>
      </w:tblGrid>
      <w:tr w:rsidR="007F1F59" w:rsidRPr="00117039" w:rsidTr="00040C5B">
        <w:trPr>
          <w:jc w:val="center"/>
        </w:trPr>
        <w:tc>
          <w:tcPr>
            <w:tcW w:w="3975" w:type="dxa"/>
          </w:tcPr>
          <w:p w:rsidR="007F1F59" w:rsidRPr="00117039" w:rsidRDefault="007F1F59" w:rsidP="006F20DD">
            <w:pPr>
              <w:rPr>
                <w:rFonts w:asciiTheme="majorBidi" w:hAnsiTheme="majorBidi" w:cstheme="majorBidi"/>
                <w:bCs/>
                <w:lang w:val="es-ES"/>
              </w:rPr>
            </w:pPr>
            <w:r w:rsidRPr="00117039">
              <w:rPr>
                <w:rFonts w:asciiTheme="majorBidi" w:hAnsiTheme="majorBidi" w:cstheme="majorBidi"/>
                <w:bCs/>
                <w:lang w:val="es-ES"/>
              </w:rPr>
              <w:t>Resolución 77</w:t>
            </w:r>
          </w:p>
        </w:tc>
        <w:tc>
          <w:tcPr>
            <w:tcW w:w="1701" w:type="dxa"/>
          </w:tcPr>
          <w:p w:rsidR="007F1F59" w:rsidRPr="00117039" w:rsidRDefault="007F1F59" w:rsidP="006F20DD">
            <w:pPr>
              <w:jc w:val="center"/>
              <w:rPr>
                <w:rFonts w:asciiTheme="majorBidi" w:hAnsiTheme="majorBidi" w:cstheme="majorBidi"/>
                <w:bCs/>
                <w:lang w:val="es-ES"/>
              </w:rPr>
            </w:pPr>
            <w:r w:rsidRPr="00117039">
              <w:rPr>
                <w:rFonts w:asciiTheme="majorBidi" w:hAnsiTheme="majorBidi" w:cstheme="majorBidi"/>
                <w:bCs/>
                <w:lang w:val="es-ES"/>
              </w:rPr>
              <w:t>3</w:t>
            </w:r>
          </w:p>
        </w:tc>
      </w:tr>
      <w:tr w:rsidR="007F1F59" w:rsidRPr="00117039" w:rsidTr="00040C5B">
        <w:trPr>
          <w:jc w:val="center"/>
        </w:trPr>
        <w:tc>
          <w:tcPr>
            <w:tcW w:w="3975" w:type="dxa"/>
          </w:tcPr>
          <w:p w:rsidR="007F1F59" w:rsidRPr="00117039" w:rsidRDefault="007F1F59" w:rsidP="006F20DD">
            <w:pPr>
              <w:rPr>
                <w:rFonts w:asciiTheme="majorBidi" w:hAnsiTheme="majorBidi" w:cstheme="majorBidi"/>
                <w:bCs/>
                <w:lang w:val="es-ES"/>
              </w:rPr>
            </w:pPr>
            <w:r>
              <w:rPr>
                <w:rFonts w:asciiTheme="majorBidi" w:hAnsiTheme="majorBidi" w:cstheme="majorBidi"/>
                <w:bCs/>
                <w:szCs w:val="24"/>
                <w:lang w:val="es-ES"/>
              </w:rPr>
              <w:t>Nueva</w:t>
            </w:r>
            <w:r w:rsidRPr="00117039">
              <w:rPr>
                <w:rFonts w:asciiTheme="majorBidi" w:hAnsiTheme="majorBidi" w:cstheme="majorBidi"/>
                <w:bCs/>
                <w:szCs w:val="24"/>
                <w:lang w:val="es-ES"/>
              </w:rPr>
              <w:t xml:space="preserve"> Resolución [APT-3]</w:t>
            </w:r>
          </w:p>
        </w:tc>
        <w:tc>
          <w:tcPr>
            <w:tcW w:w="1701" w:type="dxa"/>
          </w:tcPr>
          <w:p w:rsidR="007F1F59" w:rsidRPr="00117039" w:rsidRDefault="007F1F59" w:rsidP="006F20DD">
            <w:pPr>
              <w:jc w:val="center"/>
              <w:rPr>
                <w:rFonts w:asciiTheme="majorBidi" w:hAnsiTheme="majorBidi" w:cstheme="majorBidi"/>
                <w:bCs/>
                <w:lang w:val="es-ES"/>
              </w:rPr>
            </w:pPr>
            <w:r w:rsidRPr="00117039">
              <w:rPr>
                <w:rFonts w:asciiTheme="majorBidi" w:hAnsiTheme="majorBidi" w:cstheme="majorBidi"/>
                <w:bCs/>
                <w:lang w:val="es-ES"/>
              </w:rPr>
              <w:t>1</w:t>
            </w:r>
          </w:p>
        </w:tc>
      </w:tr>
      <w:tr w:rsidR="007F1F59" w:rsidRPr="00117039" w:rsidTr="00040C5B">
        <w:trPr>
          <w:jc w:val="center"/>
        </w:trPr>
        <w:tc>
          <w:tcPr>
            <w:tcW w:w="3975" w:type="dxa"/>
          </w:tcPr>
          <w:p w:rsidR="007F1F59" w:rsidRPr="00117039" w:rsidRDefault="007F1F59" w:rsidP="006F20DD">
            <w:pPr>
              <w:rPr>
                <w:rFonts w:asciiTheme="majorBidi" w:hAnsiTheme="majorBidi" w:cstheme="majorBidi"/>
                <w:bCs/>
                <w:lang w:val="es-ES"/>
              </w:rPr>
            </w:pPr>
            <w:r>
              <w:rPr>
                <w:rFonts w:asciiTheme="majorBidi" w:hAnsiTheme="majorBidi" w:cstheme="majorBidi"/>
                <w:bCs/>
                <w:szCs w:val="24"/>
                <w:lang w:val="es-ES"/>
              </w:rPr>
              <w:t>Nueva</w:t>
            </w:r>
            <w:r w:rsidRPr="00117039">
              <w:rPr>
                <w:rFonts w:asciiTheme="majorBidi" w:hAnsiTheme="majorBidi" w:cstheme="majorBidi"/>
                <w:bCs/>
                <w:szCs w:val="24"/>
                <w:lang w:val="es-ES"/>
              </w:rPr>
              <w:t xml:space="preserve"> Resolución [AFCP-2]</w:t>
            </w:r>
          </w:p>
        </w:tc>
        <w:tc>
          <w:tcPr>
            <w:tcW w:w="1701" w:type="dxa"/>
          </w:tcPr>
          <w:p w:rsidR="007F1F59" w:rsidRPr="00117039" w:rsidRDefault="007F1F59" w:rsidP="006F20DD">
            <w:pPr>
              <w:jc w:val="center"/>
              <w:rPr>
                <w:rFonts w:asciiTheme="majorBidi" w:hAnsiTheme="majorBidi" w:cstheme="majorBidi"/>
                <w:bCs/>
                <w:lang w:val="es-ES"/>
              </w:rPr>
            </w:pPr>
            <w:r w:rsidRPr="00117039">
              <w:rPr>
                <w:rFonts w:asciiTheme="majorBidi" w:hAnsiTheme="majorBidi" w:cstheme="majorBidi"/>
                <w:bCs/>
                <w:lang w:val="es-ES"/>
              </w:rPr>
              <w:t>3</w:t>
            </w:r>
          </w:p>
        </w:tc>
      </w:tr>
      <w:tr w:rsidR="007F1F59" w:rsidRPr="00117039" w:rsidTr="00040C5B">
        <w:trPr>
          <w:jc w:val="center"/>
        </w:trPr>
        <w:tc>
          <w:tcPr>
            <w:tcW w:w="3975" w:type="dxa"/>
          </w:tcPr>
          <w:p w:rsidR="007F1F59" w:rsidRPr="00117039" w:rsidRDefault="007F1F59" w:rsidP="006F20DD">
            <w:pPr>
              <w:rPr>
                <w:rFonts w:asciiTheme="majorBidi" w:hAnsiTheme="majorBidi" w:cstheme="majorBidi"/>
                <w:bCs/>
                <w:lang w:val="es-ES"/>
              </w:rPr>
            </w:pPr>
            <w:r>
              <w:rPr>
                <w:rFonts w:asciiTheme="majorBidi" w:hAnsiTheme="majorBidi" w:cstheme="majorBidi"/>
                <w:bCs/>
                <w:szCs w:val="24"/>
                <w:lang w:val="es-ES"/>
              </w:rPr>
              <w:t>Nueva</w:t>
            </w:r>
            <w:r w:rsidRPr="00117039">
              <w:rPr>
                <w:rFonts w:asciiTheme="majorBidi" w:hAnsiTheme="majorBidi" w:cstheme="majorBidi"/>
                <w:bCs/>
                <w:szCs w:val="24"/>
                <w:lang w:val="es-ES"/>
              </w:rPr>
              <w:t xml:space="preserve"> Resolución [APT-2]/[IAP-3]</w:t>
            </w:r>
          </w:p>
        </w:tc>
        <w:tc>
          <w:tcPr>
            <w:tcW w:w="1701" w:type="dxa"/>
          </w:tcPr>
          <w:p w:rsidR="007F1F59" w:rsidRPr="00117039" w:rsidRDefault="007F1F59" w:rsidP="006F20DD">
            <w:pPr>
              <w:jc w:val="center"/>
              <w:rPr>
                <w:rFonts w:asciiTheme="majorBidi" w:hAnsiTheme="majorBidi" w:cstheme="majorBidi"/>
                <w:bCs/>
                <w:lang w:val="es-ES"/>
              </w:rPr>
            </w:pPr>
            <w:r w:rsidRPr="00117039">
              <w:rPr>
                <w:rFonts w:asciiTheme="majorBidi" w:hAnsiTheme="majorBidi" w:cstheme="majorBidi"/>
                <w:bCs/>
                <w:lang w:val="es-ES"/>
              </w:rPr>
              <w:t>1</w:t>
            </w:r>
          </w:p>
        </w:tc>
      </w:tr>
    </w:tbl>
    <w:p w:rsidR="007F1F59" w:rsidRPr="00117039" w:rsidRDefault="007F1F59" w:rsidP="006F20DD">
      <w:pPr>
        <w:rPr>
          <w:rFonts w:asciiTheme="majorBidi" w:hAnsiTheme="majorBidi" w:cstheme="majorBidi"/>
          <w:bCs/>
          <w:lang w:val="es-ES"/>
        </w:rPr>
      </w:pPr>
    </w:p>
    <w:p w:rsidR="007F1F59" w:rsidRPr="00117039" w:rsidRDefault="007F1F59" w:rsidP="006F20DD">
      <w:pPr>
        <w:pStyle w:val="Headingb"/>
        <w:rPr>
          <w:lang w:val="es-ES"/>
        </w:rPr>
      </w:pPr>
      <w:r w:rsidRPr="00117039">
        <w:rPr>
          <w:lang w:val="es-ES"/>
        </w:rPr>
        <w:t>Recursos de personal de la TSB</w:t>
      </w:r>
    </w:p>
    <w:p w:rsidR="007F1F59" w:rsidRPr="00117039" w:rsidRDefault="007F1F59" w:rsidP="006F20DD">
      <w:pPr>
        <w:rPr>
          <w:lang w:val="es-ES"/>
        </w:rPr>
      </w:pPr>
      <w:r w:rsidRPr="00117039">
        <w:rPr>
          <w:lang w:val="es-ES"/>
        </w:rPr>
        <w:t xml:space="preserve">Ref. </w:t>
      </w:r>
      <w:r>
        <w:rPr>
          <w:lang w:val="es-ES"/>
        </w:rPr>
        <w:t>Nueva</w:t>
      </w:r>
      <w:r w:rsidRPr="00117039">
        <w:rPr>
          <w:lang w:val="es-ES"/>
        </w:rPr>
        <w:t xml:space="preserve"> Resolución [AFCP-2]</w:t>
      </w:r>
    </w:p>
    <w:p w:rsidR="004F4C1C" w:rsidRDefault="007F1F59" w:rsidP="006F20DD">
      <w:pPr>
        <w:rPr>
          <w:lang w:val="es-ES"/>
        </w:rPr>
      </w:pPr>
      <w:r>
        <w:rPr>
          <w:lang w:val="es-ES"/>
        </w:rPr>
        <w:t>La gestión de la plataforma para formación de homólogos, diálogo e intercambio de experiencias en los servicios financieros digitales requerirá un nuevo puesto P2. El costo anual de dicho puesto se eleva a 140 000 CHF (280 000 CHF por bienio).</w:t>
      </w:r>
    </w:p>
    <w:p w:rsidR="0085200B" w:rsidRDefault="0085200B" w:rsidP="006F20DD">
      <w:pPr>
        <w:tabs>
          <w:tab w:val="clear" w:pos="1134"/>
          <w:tab w:val="clear" w:pos="1871"/>
          <w:tab w:val="clear" w:pos="2268"/>
        </w:tabs>
        <w:overflowPunct/>
        <w:autoSpaceDE/>
        <w:autoSpaceDN/>
        <w:adjustRightInd/>
        <w:spacing w:before="0"/>
        <w:textAlignment w:val="auto"/>
      </w:pPr>
      <w:r>
        <w:br w:type="page"/>
      </w:r>
    </w:p>
    <w:p w:rsidR="001E2979" w:rsidRPr="001E2979" w:rsidRDefault="001E2979" w:rsidP="006F20DD">
      <w:pPr>
        <w:pStyle w:val="Tabletitle"/>
        <w:rPr>
          <w:sz w:val="24"/>
          <w:szCs w:val="24"/>
        </w:rPr>
      </w:pPr>
      <w:r w:rsidRPr="001E2979">
        <w:rPr>
          <w:sz w:val="24"/>
          <w:szCs w:val="24"/>
        </w:rPr>
        <w:t xml:space="preserve">Decisiones y Resoluciones de la Asamblea (AMNT-16) </w:t>
      </w:r>
      <w:r>
        <w:rPr>
          <w:sz w:val="24"/>
          <w:szCs w:val="24"/>
        </w:rPr>
        <w:br/>
      </w:r>
      <w:r w:rsidRPr="001E2979">
        <w:rPr>
          <w:sz w:val="24"/>
          <w:szCs w:val="24"/>
        </w:rPr>
        <w:t>con posibles repercusiones financieras</w:t>
      </w:r>
    </w:p>
    <w:tbl>
      <w:tblPr>
        <w:tblStyle w:val="TableGrid"/>
        <w:tblW w:w="10173" w:type="dxa"/>
        <w:tblLook w:val="04A0" w:firstRow="1" w:lastRow="0" w:firstColumn="1" w:lastColumn="0" w:noHBand="0" w:noVBand="1"/>
      </w:tblPr>
      <w:tblGrid>
        <w:gridCol w:w="1951"/>
        <w:gridCol w:w="8222"/>
      </w:tblGrid>
      <w:tr w:rsidR="001E2979" w:rsidRPr="00117039" w:rsidTr="00040C5B">
        <w:tc>
          <w:tcPr>
            <w:tcW w:w="1951" w:type="dxa"/>
          </w:tcPr>
          <w:p w:rsidR="001E2979" w:rsidRPr="00117039" w:rsidRDefault="001E2979" w:rsidP="006F20DD">
            <w:pPr>
              <w:pStyle w:val="Tabletext"/>
              <w:spacing w:before="120" w:after="120"/>
              <w:rPr>
                <w:sz w:val="24"/>
                <w:szCs w:val="24"/>
                <w:lang w:val="es-ES"/>
              </w:rPr>
            </w:pPr>
            <w:r w:rsidRPr="00117039">
              <w:rPr>
                <w:sz w:val="24"/>
                <w:szCs w:val="24"/>
                <w:lang w:val="es-ES"/>
              </w:rPr>
              <w:t>Resolución 44</w:t>
            </w:r>
            <w:r w:rsidRPr="00117039">
              <w:rPr>
                <w:sz w:val="24"/>
                <w:szCs w:val="24"/>
                <w:lang w:val="es-ES"/>
              </w:rPr>
              <w:br/>
              <w:t xml:space="preserve">Documento </w:t>
            </w:r>
            <w:hyperlink r:id="rId31" w:history="1">
              <w:r w:rsidRPr="00117039">
                <w:rPr>
                  <w:rStyle w:val="Hyperlink"/>
                  <w:sz w:val="24"/>
                  <w:szCs w:val="24"/>
                  <w:lang w:val="es-ES"/>
                </w:rPr>
                <w:t>72</w:t>
              </w:r>
            </w:hyperlink>
          </w:p>
        </w:tc>
        <w:tc>
          <w:tcPr>
            <w:tcW w:w="8222" w:type="dxa"/>
          </w:tcPr>
          <w:p w:rsidR="001E2979" w:rsidRPr="00117039" w:rsidRDefault="001E2979" w:rsidP="006F20DD">
            <w:pPr>
              <w:pStyle w:val="Tabletext"/>
              <w:spacing w:before="120" w:after="120"/>
              <w:rPr>
                <w:sz w:val="24"/>
                <w:szCs w:val="24"/>
                <w:lang w:val="es-ES"/>
              </w:rPr>
            </w:pPr>
            <w:r>
              <w:rPr>
                <w:sz w:val="24"/>
                <w:szCs w:val="24"/>
                <w:lang w:val="es-ES"/>
              </w:rPr>
              <w:t>R</w:t>
            </w:r>
            <w:r w:rsidRPr="00673292">
              <w:rPr>
                <w:sz w:val="24"/>
                <w:szCs w:val="24"/>
                <w:lang w:val="es-ES"/>
              </w:rPr>
              <w:t xml:space="preserve">educción de la brecha </w:t>
            </w:r>
            <w:r>
              <w:rPr>
                <w:sz w:val="24"/>
                <w:szCs w:val="24"/>
                <w:lang w:val="es-ES"/>
              </w:rPr>
              <w:t>en materia de</w:t>
            </w:r>
            <w:r w:rsidRPr="00673292">
              <w:rPr>
                <w:sz w:val="24"/>
                <w:szCs w:val="24"/>
                <w:lang w:val="es-ES"/>
              </w:rPr>
              <w:t xml:space="preserve"> normalización entre los países en desarrollo y los desarrollados</w:t>
            </w:r>
          </w:p>
        </w:tc>
      </w:tr>
      <w:tr w:rsidR="001E2979" w:rsidRPr="00D6231A" w:rsidTr="00040C5B">
        <w:tc>
          <w:tcPr>
            <w:tcW w:w="10173" w:type="dxa"/>
            <w:gridSpan w:val="2"/>
          </w:tcPr>
          <w:p w:rsidR="001E2979" w:rsidRPr="008E6E11" w:rsidRDefault="001E2979" w:rsidP="006F20DD">
            <w:pPr>
              <w:pStyle w:val="enumlev1"/>
            </w:pPr>
            <w:r w:rsidRPr="00D6231A">
              <w:rPr>
                <w:szCs w:val="24"/>
              </w:rPr>
              <w:t>a)</w:t>
            </w:r>
            <w:r w:rsidRPr="00D6231A">
              <w:rPr>
                <w:szCs w:val="24"/>
              </w:rPr>
              <w:tab/>
            </w:r>
            <w:r w:rsidRPr="008E6E11">
              <w:t>En el</w:t>
            </w:r>
            <w:r w:rsidRPr="008E6E11">
              <w:rPr>
                <w:i/>
                <w:iCs/>
              </w:rPr>
              <w:t xml:space="preserve"> resuelve 2 iii):</w:t>
            </w:r>
            <w:r w:rsidRPr="008E6E11">
              <w:t xml:space="preserve"> </w:t>
            </w:r>
            <w:r>
              <w:t>"</w:t>
            </w:r>
            <w:r w:rsidRPr="008E6E11">
              <w:t>ayudar a los países en desarrollo a crear laboratorios de prueba nacionales/internacionales para tecnologías emergentes</w:t>
            </w:r>
            <w:r>
              <w:t>"</w:t>
            </w:r>
            <w:r w:rsidRPr="008E6E11">
              <w:t xml:space="preserve">. Estas disposiciones se repiten en el Programa 2 del Plan de Acción (Anexo). </w:t>
            </w:r>
          </w:p>
          <w:p w:rsidR="001E2979" w:rsidRPr="008E6E11" w:rsidRDefault="001E2979" w:rsidP="006F20DD">
            <w:pPr>
              <w:pStyle w:val="enumlev1"/>
            </w:pPr>
            <w:r>
              <w:t>b)</w:t>
            </w:r>
            <w:r w:rsidRPr="008E6E11">
              <w:tab/>
              <w:t>En el</w:t>
            </w:r>
            <w:r w:rsidRPr="008E6E11">
              <w:rPr>
                <w:i/>
                <w:iCs/>
              </w:rPr>
              <w:t xml:space="preserve"> resuelve 6</w:t>
            </w:r>
            <w:r w:rsidRPr="008E6E11">
              <w:t xml:space="preserve">: </w:t>
            </w:r>
            <w:r>
              <w:t>"</w:t>
            </w:r>
            <w:r w:rsidRPr="008E6E11">
              <w:t>que, a petición de los participantes, se facilite el servicio de interpretación en todas las reuniones plenarias y de Grupos de Trabajo de las Comisiones de Estudio y en todas las</w:t>
            </w:r>
            <w:r>
              <w:t xml:space="preserve"> </w:t>
            </w:r>
            <w:r w:rsidRPr="008E6E11">
              <w:t>reuniones del GANT</w:t>
            </w:r>
            <w:r>
              <w:t>"</w:t>
            </w:r>
            <w:r w:rsidRPr="008E6E11">
              <w:t>.</w:t>
            </w:r>
          </w:p>
          <w:p w:rsidR="001E2979" w:rsidRPr="008E6E11" w:rsidRDefault="001E2979" w:rsidP="006F20DD">
            <w:pPr>
              <w:pStyle w:val="enumlev1"/>
            </w:pPr>
            <w:r>
              <w:t>c)</w:t>
            </w:r>
            <w:r w:rsidRPr="008E6E11">
              <w:tab/>
              <w:t xml:space="preserve">En el </w:t>
            </w:r>
            <w:r w:rsidRPr="008E6E11">
              <w:rPr>
                <w:i/>
                <w:iCs/>
              </w:rPr>
              <w:t>encarga al Director de la Oficina de Normalización de las Telecomunicaciones 14</w:t>
            </w:r>
            <w:r w:rsidRPr="008E6E11">
              <w:t xml:space="preserve">: </w:t>
            </w:r>
            <w:r>
              <w:t>"</w:t>
            </w:r>
            <w:r w:rsidRPr="008E6E11">
              <w:t>ofrecer, siempre que sea posible, la opción de participar a distancia en más talleres, seminarios y foros del UIT-T, fomentando una mayor participación de los países en desarrollo</w:t>
            </w:r>
            <w:r>
              <w:t>"</w:t>
            </w:r>
            <w:r w:rsidRPr="008E6E11">
              <w:t>.</w:t>
            </w:r>
          </w:p>
          <w:p w:rsidR="001E2979" w:rsidRPr="00D6231A" w:rsidRDefault="001E2979" w:rsidP="006F20DD">
            <w:pPr>
              <w:pStyle w:val="enumlev1"/>
              <w:rPr>
                <w:szCs w:val="24"/>
                <w:highlight w:val="yellow"/>
              </w:rPr>
            </w:pPr>
            <w:r>
              <w:t>d)</w:t>
            </w:r>
            <w:r w:rsidRPr="008E6E11">
              <w:tab/>
              <w:t xml:space="preserve">En el </w:t>
            </w:r>
            <w:r w:rsidRPr="008E6E11">
              <w:rPr>
                <w:i/>
                <w:iCs/>
              </w:rPr>
              <w:t>Programa III del Plan de Acción</w:t>
            </w:r>
            <w:r w:rsidRPr="008E6E11">
              <w:t>:</w:t>
            </w:r>
            <w:r>
              <w:t xml:space="preserve"> "</w:t>
            </w:r>
            <w:r w:rsidRPr="008E6E11">
              <w:t>Facilitar a los países en desarrollo las orientaciones y materiales necesarios para ayudarlos a preparar e impartir en sus universidades cursos sobre normalización a nivel de licenciatura y de posgrado</w:t>
            </w:r>
            <w:r>
              <w:t>"</w:t>
            </w:r>
            <w:r w:rsidRPr="008E6E11">
              <w:t>.</w:t>
            </w:r>
          </w:p>
        </w:tc>
      </w:tr>
      <w:tr w:rsidR="001E2979" w:rsidRPr="00117039" w:rsidTr="00040C5B">
        <w:tc>
          <w:tcPr>
            <w:tcW w:w="1951" w:type="dxa"/>
          </w:tcPr>
          <w:p w:rsidR="001E2979" w:rsidRPr="00117039" w:rsidRDefault="001E2979" w:rsidP="006F20DD">
            <w:pPr>
              <w:pStyle w:val="Tabletext"/>
              <w:spacing w:before="120" w:after="120"/>
              <w:rPr>
                <w:sz w:val="24"/>
                <w:szCs w:val="24"/>
                <w:highlight w:val="yellow"/>
                <w:lang w:val="es-ES"/>
              </w:rPr>
            </w:pPr>
            <w:r>
              <w:rPr>
                <w:sz w:val="24"/>
                <w:szCs w:val="24"/>
                <w:lang w:val="es-ES"/>
              </w:rPr>
              <w:t>Nueva</w:t>
            </w:r>
            <w:r w:rsidRPr="00117039">
              <w:rPr>
                <w:sz w:val="24"/>
                <w:szCs w:val="24"/>
                <w:lang w:val="es-ES"/>
              </w:rPr>
              <w:t xml:space="preserve"> Resolución </w:t>
            </w:r>
            <w:r w:rsidRPr="00117039">
              <w:rPr>
                <w:rFonts w:asciiTheme="majorBidi" w:hAnsiTheme="majorBidi" w:cstheme="majorBidi"/>
                <w:bCs/>
                <w:sz w:val="24"/>
                <w:szCs w:val="24"/>
                <w:lang w:val="es-ES"/>
              </w:rPr>
              <w:t>[RCC-3]</w:t>
            </w:r>
            <w:r w:rsidRPr="00117039">
              <w:rPr>
                <w:sz w:val="24"/>
                <w:szCs w:val="24"/>
                <w:lang w:val="es-ES"/>
              </w:rPr>
              <w:br/>
              <w:t xml:space="preserve">Documento </w:t>
            </w:r>
            <w:hyperlink r:id="rId32" w:history="1">
              <w:r w:rsidRPr="00117039">
                <w:rPr>
                  <w:rStyle w:val="Hyperlink"/>
                  <w:sz w:val="24"/>
                  <w:szCs w:val="24"/>
                  <w:lang w:val="es-ES"/>
                </w:rPr>
                <w:t>93</w:t>
              </w:r>
            </w:hyperlink>
          </w:p>
        </w:tc>
        <w:tc>
          <w:tcPr>
            <w:tcW w:w="8222" w:type="dxa"/>
          </w:tcPr>
          <w:p w:rsidR="001E2979" w:rsidRPr="00117039" w:rsidRDefault="001E2979" w:rsidP="006F20DD">
            <w:pPr>
              <w:pStyle w:val="Tabletext"/>
              <w:spacing w:before="120" w:after="120"/>
              <w:rPr>
                <w:sz w:val="24"/>
                <w:szCs w:val="24"/>
                <w:lang w:val="es-ES"/>
              </w:rPr>
            </w:pPr>
            <w:r w:rsidRPr="00673292">
              <w:rPr>
                <w:sz w:val="24"/>
                <w:szCs w:val="24"/>
                <w:lang w:val="es-ES"/>
              </w:rPr>
              <w:t>Estudios relativos a la protección de los usuarios de servicios de telecomunicaciones/TIC</w:t>
            </w:r>
          </w:p>
        </w:tc>
      </w:tr>
      <w:tr w:rsidR="001E2979" w:rsidRPr="00D6231A" w:rsidTr="00040C5B">
        <w:tc>
          <w:tcPr>
            <w:tcW w:w="10173" w:type="dxa"/>
            <w:gridSpan w:val="2"/>
          </w:tcPr>
          <w:p w:rsidR="001E2979" w:rsidRPr="00D174D2" w:rsidRDefault="001E2979" w:rsidP="006F20DD">
            <w:pPr>
              <w:pStyle w:val="Call"/>
            </w:pPr>
            <w:r w:rsidRPr="00D174D2">
              <w:t xml:space="preserve">invita al Director de la Oficina de Normalización de las Telecomunicaciones </w:t>
            </w:r>
          </w:p>
          <w:p w:rsidR="001E2979" w:rsidRPr="00D174D2" w:rsidRDefault="001E2979" w:rsidP="006F20DD">
            <w:r w:rsidRPr="00D174D2">
              <w:t>1</w:t>
            </w:r>
            <w:r w:rsidRPr="00D174D2">
              <w:tab/>
              <w:t>a prestar asistencia del Director de la Oficina de Desarrollo de las Telecomunicaciones en la aplicación de la Resolución 196 (Busán, 2014) de la Conferencia de Plenipotenciarios;</w:t>
            </w:r>
          </w:p>
          <w:p w:rsidR="001E2979" w:rsidRPr="001E2979" w:rsidRDefault="001E2979" w:rsidP="006F20DD">
            <w:r w:rsidRPr="00D174D2">
              <w:t>2</w:t>
            </w:r>
            <w:r w:rsidRPr="00D174D2">
              <w:tab/>
              <w:t>a reforzar las relaciones con otras organizaciones de normalización encargadas de resolver cuestiones relativas a la protección de los usuarios de servicios de telecomunicaciones/TIC,</w:t>
            </w:r>
          </w:p>
        </w:tc>
      </w:tr>
    </w:tbl>
    <w:p w:rsidR="001E2979" w:rsidRPr="00D6231A" w:rsidRDefault="001E2979" w:rsidP="006F20DD"/>
    <w:p w:rsidR="001E2979" w:rsidRPr="00D6231A" w:rsidRDefault="001E2979" w:rsidP="006F20DD">
      <w:pPr>
        <w:tabs>
          <w:tab w:val="clear" w:pos="1134"/>
          <w:tab w:val="clear" w:pos="1871"/>
          <w:tab w:val="clear" w:pos="2268"/>
        </w:tabs>
        <w:overflowPunct/>
        <w:autoSpaceDE/>
        <w:autoSpaceDN/>
        <w:adjustRightInd/>
        <w:spacing w:before="0"/>
        <w:textAlignment w:val="auto"/>
      </w:pPr>
      <w:r w:rsidRPr="00D6231A">
        <w:br w:type="page"/>
      </w:r>
    </w:p>
    <w:p w:rsidR="001E2979" w:rsidRPr="00D6231A" w:rsidRDefault="001E2979" w:rsidP="006F20DD"/>
    <w:tbl>
      <w:tblPr>
        <w:tblStyle w:val="TableGrid"/>
        <w:tblW w:w="10173" w:type="dxa"/>
        <w:tblLook w:val="04A0" w:firstRow="1" w:lastRow="0" w:firstColumn="1" w:lastColumn="0" w:noHBand="0" w:noVBand="1"/>
      </w:tblPr>
      <w:tblGrid>
        <w:gridCol w:w="1951"/>
        <w:gridCol w:w="8222"/>
      </w:tblGrid>
      <w:tr w:rsidR="001E2979" w:rsidRPr="00117039" w:rsidTr="00040C5B">
        <w:tc>
          <w:tcPr>
            <w:tcW w:w="1951" w:type="dxa"/>
          </w:tcPr>
          <w:p w:rsidR="001E2979" w:rsidRPr="00117039" w:rsidRDefault="001E2979" w:rsidP="006F20DD">
            <w:pPr>
              <w:pStyle w:val="Tabletext"/>
              <w:spacing w:before="120" w:after="120"/>
              <w:rPr>
                <w:sz w:val="24"/>
                <w:szCs w:val="24"/>
                <w:lang w:val="es-ES"/>
              </w:rPr>
            </w:pPr>
            <w:r w:rsidRPr="00117039">
              <w:rPr>
                <w:sz w:val="24"/>
                <w:szCs w:val="24"/>
                <w:lang w:val="es-ES"/>
              </w:rPr>
              <w:t>Resolución 77</w:t>
            </w:r>
          </w:p>
          <w:p w:rsidR="001E2979" w:rsidRPr="00117039" w:rsidRDefault="001E2979" w:rsidP="006F20DD">
            <w:pPr>
              <w:pStyle w:val="Tabletext"/>
              <w:spacing w:before="120" w:after="120"/>
              <w:rPr>
                <w:sz w:val="24"/>
                <w:szCs w:val="24"/>
                <w:highlight w:val="yellow"/>
                <w:lang w:val="es-ES"/>
              </w:rPr>
            </w:pPr>
            <w:r w:rsidRPr="00117039">
              <w:rPr>
                <w:sz w:val="24"/>
                <w:szCs w:val="24"/>
                <w:lang w:val="es-ES"/>
              </w:rPr>
              <w:t xml:space="preserve">Documento </w:t>
            </w:r>
            <w:hyperlink r:id="rId33" w:history="1">
              <w:r w:rsidRPr="00117039">
                <w:rPr>
                  <w:rStyle w:val="Hyperlink"/>
                  <w:sz w:val="24"/>
                  <w:szCs w:val="24"/>
                  <w:lang w:val="es-ES"/>
                </w:rPr>
                <w:t>93</w:t>
              </w:r>
            </w:hyperlink>
          </w:p>
        </w:tc>
        <w:tc>
          <w:tcPr>
            <w:tcW w:w="8222" w:type="dxa"/>
          </w:tcPr>
          <w:p w:rsidR="001E2979" w:rsidRPr="00117039" w:rsidRDefault="001E2979" w:rsidP="006F20DD">
            <w:pPr>
              <w:pStyle w:val="Tabletext"/>
              <w:spacing w:before="120" w:after="120"/>
              <w:rPr>
                <w:sz w:val="24"/>
                <w:szCs w:val="24"/>
                <w:lang w:val="es-ES"/>
              </w:rPr>
            </w:pPr>
            <w:r w:rsidRPr="00673292">
              <w:rPr>
                <w:sz w:val="24"/>
                <w:szCs w:val="24"/>
                <w:lang w:val="es-ES"/>
              </w:rPr>
              <w:t>Fortalecimiento de la normalización de las redes definidas por software en el Sector de Normalización de las Telecomunicaciones de la UIT</w:t>
            </w:r>
          </w:p>
          <w:p w:rsidR="001E2979" w:rsidRPr="00117039" w:rsidRDefault="001E2979" w:rsidP="006F20DD">
            <w:pPr>
              <w:pStyle w:val="Tabletext"/>
              <w:spacing w:before="120" w:after="120"/>
              <w:rPr>
                <w:sz w:val="24"/>
                <w:szCs w:val="24"/>
                <w:lang w:val="es-ES"/>
              </w:rPr>
            </w:pPr>
          </w:p>
        </w:tc>
      </w:tr>
      <w:tr w:rsidR="001E2979" w:rsidRPr="00D6231A" w:rsidTr="00040C5B">
        <w:tc>
          <w:tcPr>
            <w:tcW w:w="10173" w:type="dxa"/>
            <w:gridSpan w:val="2"/>
          </w:tcPr>
          <w:p w:rsidR="001E2979" w:rsidRPr="00D174D2" w:rsidRDefault="001E2979" w:rsidP="006F20DD">
            <w:pPr>
              <w:pStyle w:val="Call"/>
            </w:pPr>
            <w:r w:rsidRPr="00D174D2">
              <w:t xml:space="preserve">encarga al Director de la Oficina de Normalización de las Telecomunicaciones </w:t>
            </w:r>
          </w:p>
          <w:p w:rsidR="001E2979" w:rsidRPr="00D174D2" w:rsidRDefault="001E2979" w:rsidP="006F20DD">
            <w:r w:rsidRPr="00D174D2">
              <w:t>1</w:t>
            </w:r>
            <w:r w:rsidRPr="00D174D2">
              <w:tab/>
              <w:t>que proporcione la asistencia necesaria a fin de agilizar estos esfuerzos, aprovechando en particular cualquier oportunidad dentro de los límites del presupuesto asignado para intercambiar opiniones con la industria de las telecom</w:t>
            </w:r>
            <w:bookmarkStart w:id="0" w:name="_GoBack"/>
            <w:bookmarkEnd w:id="0"/>
            <w:r w:rsidRPr="00D174D2">
              <w:t>unicaciones y de las TIC incluso a través de las reuniones de los Directores Tecnológicos (CTO) (en virtud de la Resolución 68 (Rev. Dubái, 2012) de esta Asamblea) y, en particular, promover la participación de la industria en la labor de normalización de las SDN en el UIT-T;</w:t>
            </w:r>
          </w:p>
          <w:p w:rsidR="001E2979" w:rsidRPr="00D6231A" w:rsidRDefault="001E2979" w:rsidP="006F20DD">
            <w:pPr>
              <w:rPr>
                <w:rFonts w:eastAsia="SimSun"/>
                <w:lang w:eastAsia="zh-CN"/>
              </w:rPr>
            </w:pPr>
            <w:r w:rsidRPr="00D174D2">
              <w:rPr>
                <w:rFonts w:eastAsia="SimSun"/>
                <w:lang w:eastAsia="zh-CN"/>
              </w:rPr>
              <w:t>2</w:t>
            </w:r>
            <w:r w:rsidRPr="00D174D2">
              <w:rPr>
                <w:rFonts w:eastAsia="SimSun"/>
                <w:lang w:eastAsia="zh-CN"/>
              </w:rPr>
              <w:tab/>
              <w:t xml:space="preserve">que realice talleres conjuntamente con otras organizaciones pertinentes para la creación de capacidad sobre las SDN, de forma que se reduzca la disparidad en la adopción de la tecnología en los países en desarrollo durante las primeras etapas de implementación de las redes basadas en SDN, y que organice un seminario anual sobre SDN y NFV con representación de soluciones de fuente abierta para compartir los avances en materia de normalización de SDN/NFV y experiencias reales en las redes actuales de los </w:t>
            </w:r>
            <w:r w:rsidRPr="00D174D2">
              <w:t>operadores,</w:t>
            </w:r>
          </w:p>
          <w:p w:rsidR="001E2979" w:rsidRPr="00D6231A" w:rsidRDefault="001E2979" w:rsidP="006F20DD">
            <w:pPr>
              <w:rPr>
                <w:szCs w:val="24"/>
              </w:rPr>
            </w:pPr>
          </w:p>
        </w:tc>
      </w:tr>
    </w:tbl>
    <w:p w:rsidR="001E2979" w:rsidRPr="00D6231A" w:rsidRDefault="001E2979" w:rsidP="006F20DD"/>
    <w:tbl>
      <w:tblPr>
        <w:tblStyle w:val="TableGrid"/>
        <w:tblW w:w="10173" w:type="dxa"/>
        <w:tblLook w:val="04A0" w:firstRow="1" w:lastRow="0" w:firstColumn="1" w:lastColumn="0" w:noHBand="0" w:noVBand="1"/>
      </w:tblPr>
      <w:tblGrid>
        <w:gridCol w:w="1951"/>
        <w:gridCol w:w="8222"/>
      </w:tblGrid>
      <w:tr w:rsidR="001E2979" w:rsidRPr="00117039" w:rsidTr="00040C5B">
        <w:tc>
          <w:tcPr>
            <w:tcW w:w="1951" w:type="dxa"/>
          </w:tcPr>
          <w:p w:rsidR="001E2979" w:rsidRPr="00117039" w:rsidRDefault="001E2979" w:rsidP="006F20DD">
            <w:pPr>
              <w:pStyle w:val="Tabletext"/>
              <w:spacing w:before="120" w:after="120"/>
              <w:rPr>
                <w:sz w:val="24"/>
                <w:szCs w:val="24"/>
                <w:highlight w:val="yellow"/>
                <w:lang w:val="es-ES"/>
              </w:rPr>
            </w:pPr>
            <w:r>
              <w:rPr>
                <w:sz w:val="24"/>
                <w:szCs w:val="24"/>
                <w:lang w:val="es-ES"/>
              </w:rPr>
              <w:t>Nueva</w:t>
            </w:r>
            <w:r w:rsidRPr="00117039">
              <w:rPr>
                <w:sz w:val="24"/>
                <w:szCs w:val="24"/>
                <w:lang w:val="es-ES"/>
              </w:rPr>
              <w:t xml:space="preserve"> Resolución </w:t>
            </w:r>
            <w:r w:rsidRPr="00117039">
              <w:rPr>
                <w:rFonts w:asciiTheme="majorBidi" w:hAnsiTheme="majorBidi" w:cstheme="majorBidi"/>
                <w:bCs/>
                <w:sz w:val="24"/>
                <w:szCs w:val="24"/>
                <w:lang w:val="es-ES"/>
              </w:rPr>
              <w:t>[APT-3]</w:t>
            </w:r>
            <w:r w:rsidRPr="00117039">
              <w:rPr>
                <w:sz w:val="24"/>
                <w:szCs w:val="24"/>
                <w:lang w:val="es-ES"/>
              </w:rPr>
              <w:br/>
              <w:t xml:space="preserve">Documento </w:t>
            </w:r>
            <w:hyperlink r:id="rId34" w:history="1">
              <w:r w:rsidRPr="00117039">
                <w:rPr>
                  <w:rStyle w:val="Hyperlink"/>
                  <w:sz w:val="24"/>
                  <w:szCs w:val="24"/>
                  <w:lang w:val="es-ES"/>
                </w:rPr>
                <w:t>93</w:t>
              </w:r>
            </w:hyperlink>
          </w:p>
        </w:tc>
        <w:tc>
          <w:tcPr>
            <w:tcW w:w="8222" w:type="dxa"/>
          </w:tcPr>
          <w:p w:rsidR="001E2979" w:rsidRPr="00117039" w:rsidRDefault="001E2979" w:rsidP="006F20DD">
            <w:pPr>
              <w:pStyle w:val="Tabletext"/>
              <w:spacing w:after="120"/>
              <w:rPr>
                <w:sz w:val="24"/>
                <w:szCs w:val="24"/>
                <w:lang w:val="es-ES"/>
              </w:rPr>
            </w:pPr>
            <w:r>
              <w:rPr>
                <w:sz w:val="24"/>
                <w:szCs w:val="24"/>
                <w:lang w:val="es-ES"/>
              </w:rPr>
              <w:t>L</w:t>
            </w:r>
            <w:r w:rsidRPr="00673292">
              <w:rPr>
                <w:sz w:val="24"/>
                <w:szCs w:val="24"/>
                <w:lang w:val="es-ES"/>
              </w:rPr>
              <w:t>abor de normalización en el Sector de Normalización de las Telecomunicaciones de la UIT para tecnologías de datos de evento basadas en la nube</w:t>
            </w:r>
          </w:p>
        </w:tc>
      </w:tr>
      <w:tr w:rsidR="001E2979" w:rsidRPr="00D6231A" w:rsidTr="00040C5B">
        <w:tc>
          <w:tcPr>
            <w:tcW w:w="10173" w:type="dxa"/>
            <w:gridSpan w:val="2"/>
          </w:tcPr>
          <w:p w:rsidR="001E2979" w:rsidRPr="00D174D2" w:rsidRDefault="001E2979" w:rsidP="006F20DD">
            <w:pPr>
              <w:pStyle w:val="Call"/>
            </w:pPr>
            <w:r w:rsidRPr="00D174D2">
              <w:t>encarga al Director de la Oficina de Normalización de las Telecomunicaciones</w:t>
            </w:r>
          </w:p>
          <w:p w:rsidR="001E2979" w:rsidRPr="00D174D2" w:rsidRDefault="001E2979" w:rsidP="006F20DD">
            <w:r w:rsidRPr="00D174D2">
              <w:t>1</w:t>
            </w:r>
            <w:r w:rsidRPr="00D174D2">
              <w:tab/>
              <w:t>que preste la asistencia necesaria con miras a acelerar la labor de normalización para tecnologías de datos de evento basadas en la nube y alentar la participación y la presentación de contribuciones de los Estados Miembros, en particular los países en desarrollo;</w:t>
            </w:r>
          </w:p>
          <w:p w:rsidR="001E2979" w:rsidRDefault="001E2979" w:rsidP="006F20DD">
            <w:r w:rsidRPr="00D174D2">
              <w:t>2</w:t>
            </w:r>
            <w:r w:rsidRPr="00D174D2">
              <w:tab/>
              <w:t>que organice uno o más talleres para reunir requisitos y aportaciones sobre este asunto de u</w:t>
            </w:r>
            <w:r>
              <w:t>na gran variedad de interesados;</w:t>
            </w:r>
          </w:p>
          <w:p w:rsidR="001E2979" w:rsidRPr="00D6231A" w:rsidRDefault="001E2979" w:rsidP="006F20DD"/>
        </w:tc>
      </w:tr>
    </w:tbl>
    <w:p w:rsidR="001E2979" w:rsidRPr="00D6231A" w:rsidRDefault="001E2979" w:rsidP="006F20DD"/>
    <w:p w:rsidR="001E2979" w:rsidRDefault="001E2979" w:rsidP="006F20DD">
      <w:pPr>
        <w:tabs>
          <w:tab w:val="clear" w:pos="1134"/>
          <w:tab w:val="clear" w:pos="1871"/>
          <w:tab w:val="clear" w:pos="2268"/>
        </w:tabs>
        <w:overflowPunct/>
        <w:autoSpaceDE/>
        <w:autoSpaceDN/>
        <w:adjustRightInd/>
        <w:spacing w:before="0"/>
        <w:textAlignment w:val="auto"/>
      </w:pPr>
      <w:r>
        <w:br w:type="page"/>
      </w:r>
    </w:p>
    <w:tbl>
      <w:tblPr>
        <w:tblStyle w:val="TableGrid"/>
        <w:tblW w:w="10173" w:type="dxa"/>
        <w:tblLook w:val="04A0" w:firstRow="1" w:lastRow="0" w:firstColumn="1" w:lastColumn="0" w:noHBand="0" w:noVBand="1"/>
      </w:tblPr>
      <w:tblGrid>
        <w:gridCol w:w="1951"/>
        <w:gridCol w:w="8222"/>
      </w:tblGrid>
      <w:tr w:rsidR="001E2979" w:rsidRPr="00673292" w:rsidTr="00040C5B">
        <w:tc>
          <w:tcPr>
            <w:tcW w:w="1951" w:type="dxa"/>
          </w:tcPr>
          <w:p w:rsidR="001E2979" w:rsidRPr="00117039" w:rsidRDefault="001E2979" w:rsidP="006F20DD">
            <w:pPr>
              <w:pStyle w:val="Tabletext"/>
              <w:spacing w:before="120" w:after="120"/>
              <w:rPr>
                <w:sz w:val="24"/>
                <w:szCs w:val="24"/>
                <w:highlight w:val="yellow"/>
                <w:lang w:val="es-ES"/>
              </w:rPr>
            </w:pPr>
            <w:r w:rsidRPr="00117039">
              <w:rPr>
                <w:sz w:val="24"/>
                <w:szCs w:val="24"/>
                <w:lang w:val="es-ES"/>
              </w:rPr>
              <w:t>N</w:t>
            </w:r>
            <w:r>
              <w:rPr>
                <w:sz w:val="24"/>
                <w:szCs w:val="24"/>
                <w:lang w:val="es-ES"/>
              </w:rPr>
              <w:t>ueva</w:t>
            </w:r>
            <w:r w:rsidRPr="00117039">
              <w:rPr>
                <w:sz w:val="24"/>
                <w:szCs w:val="24"/>
                <w:lang w:val="es-ES"/>
              </w:rPr>
              <w:t xml:space="preserve"> Resolución </w:t>
            </w:r>
            <w:r w:rsidRPr="00117039">
              <w:rPr>
                <w:rFonts w:asciiTheme="majorBidi" w:hAnsiTheme="majorBidi" w:cstheme="majorBidi"/>
                <w:bCs/>
                <w:sz w:val="24"/>
                <w:szCs w:val="24"/>
                <w:lang w:val="es-ES"/>
              </w:rPr>
              <w:t>[AFCP-2]</w:t>
            </w:r>
            <w:r w:rsidRPr="00117039">
              <w:rPr>
                <w:sz w:val="24"/>
                <w:szCs w:val="24"/>
                <w:lang w:val="es-ES"/>
              </w:rPr>
              <w:br/>
              <w:t>Documen</w:t>
            </w:r>
            <w:r>
              <w:rPr>
                <w:sz w:val="24"/>
                <w:szCs w:val="24"/>
                <w:lang w:val="es-ES"/>
              </w:rPr>
              <w:t>t</w:t>
            </w:r>
            <w:r w:rsidRPr="00117039">
              <w:rPr>
                <w:sz w:val="24"/>
                <w:szCs w:val="24"/>
                <w:lang w:val="es-ES"/>
              </w:rPr>
              <w:t xml:space="preserve">o </w:t>
            </w:r>
            <w:hyperlink r:id="rId35" w:history="1">
              <w:r w:rsidRPr="00117039">
                <w:rPr>
                  <w:rStyle w:val="Hyperlink"/>
                  <w:sz w:val="24"/>
                  <w:szCs w:val="24"/>
                  <w:lang w:val="es-ES"/>
                </w:rPr>
                <w:t>100</w:t>
              </w:r>
            </w:hyperlink>
          </w:p>
        </w:tc>
        <w:tc>
          <w:tcPr>
            <w:tcW w:w="8222" w:type="dxa"/>
          </w:tcPr>
          <w:p w:rsidR="001E2979" w:rsidRPr="00673292" w:rsidRDefault="001E2979" w:rsidP="006F20DD">
            <w:pPr>
              <w:pStyle w:val="Tabletext"/>
              <w:spacing w:after="120"/>
              <w:rPr>
                <w:sz w:val="24"/>
                <w:szCs w:val="24"/>
              </w:rPr>
            </w:pPr>
            <w:r w:rsidRPr="00673292">
              <w:rPr>
                <w:sz w:val="24"/>
                <w:szCs w:val="24"/>
              </w:rPr>
              <w:t>Promoción de la utilización de las TIC para reducir la disparidad en materia de integración financiera</w:t>
            </w:r>
          </w:p>
        </w:tc>
      </w:tr>
      <w:tr w:rsidR="001E2979" w:rsidRPr="00D6231A" w:rsidTr="00040C5B">
        <w:tc>
          <w:tcPr>
            <w:tcW w:w="10173" w:type="dxa"/>
            <w:gridSpan w:val="2"/>
          </w:tcPr>
          <w:p w:rsidR="001E2979" w:rsidRPr="004157D7" w:rsidRDefault="001E2979" w:rsidP="006F20DD">
            <w:pPr>
              <w:pStyle w:val="Call"/>
            </w:pPr>
            <w:r w:rsidRPr="00306EA3">
              <w:rPr>
                <w:i w:val="0"/>
                <w:iCs/>
              </w:rPr>
              <w:t>En el</w:t>
            </w:r>
            <w:r w:rsidRPr="004157D7">
              <w:t xml:space="preserve"> </w:t>
            </w:r>
            <w:r w:rsidRPr="00F86117">
              <w:rPr>
                <w:i w:val="0"/>
                <w:iCs/>
              </w:rPr>
              <w:t>"</w:t>
            </w:r>
            <w:r w:rsidRPr="004157D7">
              <w:t>encarga al Director de la Oficina de Normalización de las Telecomunicaciones en colaboración con los Directores de las demás Oficinas</w:t>
            </w:r>
            <w:r w:rsidRPr="00F86117">
              <w:rPr>
                <w:i w:val="0"/>
                <w:iCs/>
              </w:rPr>
              <w:t>"</w:t>
            </w:r>
          </w:p>
          <w:p w:rsidR="001E2979" w:rsidRPr="004157D7" w:rsidRDefault="001E2979" w:rsidP="006F20DD">
            <w:r w:rsidRPr="004157D7">
              <w:t>2</w:t>
            </w:r>
            <w:r w:rsidRPr="004157D7">
              <w:tab/>
              <w:t xml:space="preserve">que apoye la elaboración de informes y prácticas idóneas sobre la integración financiera digital, </w:t>
            </w:r>
            <w:r w:rsidRPr="004157D7">
              <w:rPr>
                <w:lang w:eastAsia="es-ES"/>
              </w:rPr>
              <w:t>teniendo</w:t>
            </w:r>
            <w:r w:rsidRPr="004157D7">
              <w:t xml:space="preserve"> en cuenta los estudios pertinentes, cuando estén claramente dentro del mandato de la Unión y no dupliquen el trabajo cuya responsabilidad corresponde a otros organismos de normalización e instituciones;</w:t>
            </w:r>
          </w:p>
          <w:p w:rsidR="001E2979" w:rsidRPr="004157D7" w:rsidRDefault="001E2979" w:rsidP="006F20DD">
            <w:r w:rsidRPr="004157D7">
              <w:t>3</w:t>
            </w:r>
            <w:r w:rsidRPr="004157D7">
              <w:tab/>
              <w:t>que establezca una plataforma o, cuando sea posible, establezca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industriales y organizaciones internacionales y regionales;</w:t>
            </w:r>
          </w:p>
          <w:p w:rsidR="001E2979" w:rsidRPr="00A333DB" w:rsidRDefault="001E2979" w:rsidP="006F20DD">
            <w:r w:rsidRPr="004157D7">
              <w:t>4</w:t>
            </w:r>
            <w:r w:rsidRPr="004157D7">
              <w:tab/>
            </w:r>
            <w:r w:rsidRPr="00A333DB">
              <w:t>que organice talleres y seminarios para los Miembros de la UIT en colaboración con otros organismos de normalización e instituciones relevantes, responsables principales de la elaboración, implementación y formación relativas a las normas de los servicios financieros, con el fin de fomentar la sensibilización y determinar las necesidades y retos específicos de los reguladores en materia de inclusión financiera,</w:t>
            </w:r>
          </w:p>
        </w:tc>
      </w:tr>
    </w:tbl>
    <w:p w:rsidR="001E2979" w:rsidRPr="00D6231A" w:rsidRDefault="001E2979" w:rsidP="006F20DD"/>
    <w:tbl>
      <w:tblPr>
        <w:tblStyle w:val="TableGrid"/>
        <w:tblW w:w="10173" w:type="dxa"/>
        <w:tblLook w:val="04A0" w:firstRow="1" w:lastRow="0" w:firstColumn="1" w:lastColumn="0" w:noHBand="0" w:noVBand="1"/>
      </w:tblPr>
      <w:tblGrid>
        <w:gridCol w:w="1951"/>
        <w:gridCol w:w="8222"/>
      </w:tblGrid>
      <w:tr w:rsidR="001E2979" w:rsidRPr="00117039" w:rsidTr="00040C5B">
        <w:tc>
          <w:tcPr>
            <w:tcW w:w="1951" w:type="dxa"/>
          </w:tcPr>
          <w:p w:rsidR="001E2979" w:rsidRPr="00117039" w:rsidRDefault="001E2979" w:rsidP="006F20DD">
            <w:pPr>
              <w:pStyle w:val="Tabletext"/>
              <w:spacing w:before="120" w:after="120"/>
              <w:rPr>
                <w:sz w:val="24"/>
                <w:szCs w:val="24"/>
                <w:highlight w:val="yellow"/>
                <w:lang w:val="es-ES"/>
              </w:rPr>
            </w:pPr>
            <w:r w:rsidRPr="00117039">
              <w:rPr>
                <w:sz w:val="24"/>
                <w:szCs w:val="24"/>
                <w:lang w:val="es-ES"/>
              </w:rPr>
              <w:t>N</w:t>
            </w:r>
            <w:r>
              <w:rPr>
                <w:sz w:val="24"/>
                <w:szCs w:val="24"/>
                <w:lang w:val="es-ES"/>
              </w:rPr>
              <w:t xml:space="preserve">ueva </w:t>
            </w:r>
            <w:r w:rsidRPr="00117039">
              <w:rPr>
                <w:sz w:val="24"/>
                <w:szCs w:val="24"/>
                <w:lang w:val="es-ES"/>
              </w:rPr>
              <w:t xml:space="preserve">Resolución </w:t>
            </w:r>
            <w:r w:rsidRPr="00117039">
              <w:rPr>
                <w:rFonts w:asciiTheme="majorBidi" w:hAnsiTheme="majorBidi" w:cstheme="majorBidi"/>
                <w:bCs/>
                <w:sz w:val="24"/>
                <w:szCs w:val="24"/>
                <w:lang w:val="es-ES"/>
              </w:rPr>
              <w:t>[APT-2]/[IAP-3]</w:t>
            </w:r>
            <w:r w:rsidRPr="00117039">
              <w:rPr>
                <w:sz w:val="24"/>
                <w:szCs w:val="24"/>
                <w:lang w:val="es-ES"/>
              </w:rPr>
              <w:br/>
              <w:t>Document</w:t>
            </w:r>
            <w:r>
              <w:rPr>
                <w:sz w:val="24"/>
                <w:szCs w:val="24"/>
                <w:lang w:val="es-ES"/>
              </w:rPr>
              <w:t>o</w:t>
            </w:r>
            <w:r w:rsidRPr="00117039">
              <w:rPr>
                <w:sz w:val="24"/>
                <w:szCs w:val="24"/>
                <w:lang w:val="es-ES"/>
              </w:rPr>
              <w:t xml:space="preserve"> </w:t>
            </w:r>
            <w:hyperlink r:id="rId36" w:history="1">
              <w:r w:rsidRPr="00117039">
                <w:rPr>
                  <w:rStyle w:val="Hyperlink"/>
                  <w:sz w:val="24"/>
                  <w:szCs w:val="24"/>
                  <w:lang w:val="es-ES"/>
                </w:rPr>
                <w:t>100</w:t>
              </w:r>
            </w:hyperlink>
          </w:p>
        </w:tc>
        <w:tc>
          <w:tcPr>
            <w:tcW w:w="8222" w:type="dxa"/>
          </w:tcPr>
          <w:p w:rsidR="001E2979" w:rsidRPr="00117039" w:rsidRDefault="001E2979" w:rsidP="006F20DD">
            <w:pPr>
              <w:pStyle w:val="Tabletext"/>
              <w:spacing w:after="120"/>
              <w:rPr>
                <w:sz w:val="24"/>
                <w:szCs w:val="24"/>
                <w:lang w:val="es-ES"/>
              </w:rPr>
            </w:pPr>
            <w:r w:rsidRPr="00673292">
              <w:rPr>
                <w:sz w:val="24"/>
                <w:szCs w:val="24"/>
                <w:lang w:val="es-ES"/>
              </w:rPr>
              <w:t>Mejora de la normalización sobre la Internet de las cosas y las ciudades y comunidades inteligentes para el desarrollo mundial</w:t>
            </w:r>
          </w:p>
        </w:tc>
      </w:tr>
      <w:tr w:rsidR="001E2979" w:rsidRPr="00D6231A" w:rsidTr="00040C5B">
        <w:tc>
          <w:tcPr>
            <w:tcW w:w="10173" w:type="dxa"/>
            <w:gridSpan w:val="2"/>
          </w:tcPr>
          <w:p w:rsidR="001E2979" w:rsidRPr="004157D7" w:rsidRDefault="001E2979" w:rsidP="006F20DD">
            <w:pPr>
              <w:pStyle w:val="Call"/>
            </w:pPr>
            <w:r w:rsidRPr="00306EA3">
              <w:rPr>
                <w:i w:val="0"/>
              </w:rPr>
              <w:t>En el</w:t>
            </w:r>
            <w:r w:rsidRPr="004157D7">
              <w:rPr>
                <w:iCs/>
              </w:rPr>
              <w:t xml:space="preserve"> </w:t>
            </w:r>
            <w:r w:rsidRPr="00F86117">
              <w:rPr>
                <w:i w:val="0"/>
              </w:rPr>
              <w:t>"</w:t>
            </w:r>
            <w:r w:rsidRPr="004157D7">
              <w:t xml:space="preserve">encarga al </w:t>
            </w:r>
            <w:r w:rsidRPr="004157D7">
              <w:rPr>
                <w:iCs/>
              </w:rPr>
              <w:t>Director</w:t>
            </w:r>
            <w:r w:rsidRPr="004157D7">
              <w:t xml:space="preserve"> de la Oficina de Normalización de las Telecomunicaciones</w:t>
            </w:r>
            <w:r w:rsidRPr="00F86117">
              <w:rPr>
                <w:i w:val="0"/>
                <w:iCs/>
              </w:rPr>
              <w:t>"</w:t>
            </w:r>
          </w:p>
          <w:p w:rsidR="001E2979" w:rsidRPr="004157D7" w:rsidRDefault="001E2979" w:rsidP="006F20DD">
            <w:r w:rsidRPr="004157D7">
              <w:t>2</w:t>
            </w:r>
            <w:r w:rsidRPr="004157D7">
              <w:tab/>
              <w:t>que, en colaboración con los Estados Miembros y ciudades, lleve a cabo proyectos piloto en diversas ciudades en relación con las actividades de evaluación de IFR de ciudades y comunidades inteligentes (SC&amp;S), con objeto de facilitar la aplicación e implantación de las normas sobre la IoT y las ciudades y comunidades inteligentes en todo el mundo;</w:t>
            </w:r>
          </w:p>
          <w:p w:rsidR="001E2979" w:rsidRPr="004157D7" w:rsidRDefault="001E2979" w:rsidP="006F20DD">
            <w:pPr>
              <w:pStyle w:val="Call"/>
            </w:pPr>
            <w:r w:rsidRPr="00306EA3">
              <w:rPr>
                <w:i w:val="0"/>
                <w:iCs/>
              </w:rPr>
              <w:t>En el</w:t>
            </w:r>
            <w:r w:rsidRPr="004157D7">
              <w:t xml:space="preserve"> </w:t>
            </w:r>
            <w:r w:rsidRPr="00F86117">
              <w:rPr>
                <w:i w:val="0"/>
                <w:iCs/>
              </w:rPr>
              <w:t>"</w:t>
            </w:r>
            <w:r w:rsidRPr="004157D7">
              <w:t>encarga al Director del Oficina de Normalización de las Telecomunicaciones, en colaboración con los Directores de la Oficina de Desarrollo de las Telecomunicaciones y la Oficina de Radiocomunicaciones</w:t>
            </w:r>
            <w:r w:rsidRPr="00F86117">
              <w:rPr>
                <w:i w:val="0"/>
                <w:iCs/>
              </w:rPr>
              <w:t>"</w:t>
            </w:r>
          </w:p>
          <w:p w:rsidR="001E2979" w:rsidRPr="004157D7" w:rsidRDefault="001E2979" w:rsidP="006F20DD">
            <w:r w:rsidRPr="004157D7">
              <w:t>1</w:t>
            </w:r>
            <w:r w:rsidRPr="004157D7">
              <w:tab/>
              <w:t>que prepare informes en los que se consideren, en particular, las necesidades de los países en desarrollo en lo que respecta a los estudios relacionados con la Internet de las cosas y sus aplicaciones, redes de sensores, servicios e infraestructura;</w:t>
            </w:r>
          </w:p>
          <w:p w:rsidR="001E2979" w:rsidRPr="00D6231A" w:rsidRDefault="001E2979" w:rsidP="006F20DD">
            <w:r w:rsidRPr="004157D7">
              <w:t>2</w:t>
            </w:r>
            <w:r w:rsidRPr="004157D7">
              <w:tab/>
              <w:t>que siga divulgando publicaciones de la UIT sobre IoT y SC&amp;C, y organice foros, seminarios y talleres al respecto, teniendo cuenta en particular las necesidades de los países en desarrollo,</w:t>
            </w:r>
          </w:p>
          <w:p w:rsidR="001E2979" w:rsidRPr="00D6231A" w:rsidRDefault="001E2979" w:rsidP="006F20DD">
            <w:pPr>
              <w:pStyle w:val="enumlev1"/>
              <w:rPr>
                <w:szCs w:val="24"/>
              </w:rPr>
            </w:pPr>
          </w:p>
        </w:tc>
      </w:tr>
    </w:tbl>
    <w:p w:rsidR="001E2979" w:rsidRPr="00D6231A" w:rsidRDefault="001E2979" w:rsidP="006F20DD">
      <w:pPr>
        <w:pStyle w:val="Reasons"/>
      </w:pPr>
    </w:p>
    <w:p w:rsidR="0085200B" w:rsidRPr="00195784" w:rsidRDefault="001E2979" w:rsidP="006F20DD">
      <w:pPr>
        <w:jc w:val="center"/>
        <w:rPr>
          <w:lang w:val="es-ES"/>
        </w:rPr>
      </w:pPr>
      <w:r w:rsidRPr="00117039">
        <w:rPr>
          <w:lang w:val="es-ES"/>
        </w:rPr>
        <w:t>____________</w:t>
      </w:r>
    </w:p>
    <w:sectPr w:rsidR="0085200B" w:rsidRPr="00195784">
      <w:headerReference w:type="default" r:id="rId37"/>
      <w:footerReference w:type="even" r:id="rId38"/>
      <w:footerReference w:type="default" r:id="rId39"/>
      <w:footerReference w:type="first" r:id="rId4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8AE" w:rsidRDefault="008068AE">
      <w:r>
        <w:separator/>
      </w:r>
    </w:p>
  </w:endnote>
  <w:endnote w:type="continuationSeparator" w:id="0">
    <w:p w:rsidR="008068AE" w:rsidRDefault="0080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AE" w:rsidRDefault="00806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8AE" w:rsidRPr="007A4E2F" w:rsidRDefault="008068AE">
    <w:pPr>
      <w:ind w:right="360"/>
      <w:rPr>
        <w:lang w:val="fr-CH"/>
      </w:rPr>
    </w:pPr>
    <w:r>
      <w:fldChar w:fldCharType="begin"/>
    </w:r>
    <w:r w:rsidRPr="007A4E2F">
      <w:rPr>
        <w:lang w:val="fr-CH"/>
      </w:rPr>
      <w:instrText xml:space="preserve"> FILENAME \p  \* MERGEFORMAT </w:instrText>
    </w:r>
    <w:r>
      <w:fldChar w:fldCharType="separate"/>
    </w:r>
    <w:r w:rsidR="007A4E2F">
      <w:rPr>
        <w:noProof/>
        <w:lang w:val="fr-CH"/>
      </w:rPr>
      <w:t>P:\ESP\ITU-T\CONF-T\WTSA16\000\077S.docx</w:t>
    </w:r>
    <w:r>
      <w:fldChar w:fldCharType="end"/>
    </w:r>
    <w:r w:rsidRPr="007A4E2F">
      <w:rPr>
        <w:lang w:val="fr-CH"/>
      </w:rPr>
      <w:tab/>
    </w:r>
    <w:r>
      <w:fldChar w:fldCharType="begin"/>
    </w:r>
    <w:r>
      <w:instrText xml:space="preserve"> SAVEDATE \@ DD.MM.YY </w:instrText>
    </w:r>
    <w:r>
      <w:fldChar w:fldCharType="separate"/>
    </w:r>
    <w:r w:rsidR="007A4E2F">
      <w:rPr>
        <w:noProof/>
      </w:rPr>
      <w:t>02.11.16</w:t>
    </w:r>
    <w:r>
      <w:fldChar w:fldCharType="end"/>
    </w:r>
    <w:r w:rsidRPr="007A4E2F">
      <w:rPr>
        <w:lang w:val="fr-CH"/>
      </w:rPr>
      <w:tab/>
    </w:r>
    <w:r>
      <w:fldChar w:fldCharType="begin"/>
    </w:r>
    <w:r>
      <w:instrText xml:space="preserve"> PRINTDATE \@ DD.MM.YY </w:instrText>
    </w:r>
    <w:r>
      <w:fldChar w:fldCharType="separate"/>
    </w:r>
    <w:r w:rsidR="007A4E2F">
      <w:rPr>
        <w:noProof/>
      </w:rPr>
      <w:t>02.11.16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88" w:rsidRPr="000B0C88" w:rsidRDefault="000B0C88" w:rsidP="000B0C88">
    <w:pPr>
      <w:pStyle w:val="Footer"/>
      <w:rPr>
        <w:lang w:val="fr-CH"/>
      </w:rPr>
    </w:pPr>
    <w:r>
      <w:rPr>
        <w:noProof w:val="0"/>
        <w:sz w:val="24"/>
      </w:rPr>
      <w:fldChar w:fldCharType="begin"/>
    </w:r>
    <w:r w:rsidRPr="000B0C88">
      <w:rPr>
        <w:lang w:val="fr-CH"/>
      </w:rPr>
      <w:instrText xml:space="preserve"> FILENAME \p  \* MERGEFORMAT </w:instrText>
    </w:r>
    <w:r>
      <w:rPr>
        <w:noProof w:val="0"/>
        <w:sz w:val="24"/>
      </w:rPr>
      <w:fldChar w:fldCharType="separate"/>
    </w:r>
    <w:r w:rsidR="007A4E2F">
      <w:rPr>
        <w:lang w:val="fr-CH"/>
      </w:rPr>
      <w:t>P:\ESP\ITU-T\CONF-T\WTSA16\000\077S.docx</w:t>
    </w:r>
    <w:r>
      <w:fldChar w:fldCharType="end"/>
    </w:r>
    <w:r w:rsidRPr="000B0C88">
      <w:rPr>
        <w:lang w:val="fr-CH"/>
      </w:rPr>
      <w:t xml:space="preserve"> (</w:t>
    </w:r>
    <w:r>
      <w:rPr>
        <w:lang w:val="fr-CH"/>
      </w:rPr>
      <w:t>407951</w:t>
    </w:r>
    <w:r w:rsidRPr="000B0C88">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88" w:rsidRPr="000B0C88" w:rsidRDefault="000B0C88" w:rsidP="000B0C88">
    <w:pPr>
      <w:pStyle w:val="Footer"/>
      <w:rPr>
        <w:lang w:val="fr-CH"/>
      </w:rPr>
    </w:pPr>
    <w:r>
      <w:rPr>
        <w:noProof w:val="0"/>
        <w:sz w:val="24"/>
      </w:rPr>
      <w:fldChar w:fldCharType="begin"/>
    </w:r>
    <w:r w:rsidRPr="000B0C88">
      <w:rPr>
        <w:lang w:val="fr-CH"/>
      </w:rPr>
      <w:instrText xml:space="preserve"> FILENAME \p  \* MERGEFORMAT </w:instrText>
    </w:r>
    <w:r>
      <w:rPr>
        <w:noProof w:val="0"/>
        <w:sz w:val="24"/>
      </w:rPr>
      <w:fldChar w:fldCharType="separate"/>
    </w:r>
    <w:r w:rsidR="007A4E2F">
      <w:rPr>
        <w:lang w:val="fr-CH"/>
      </w:rPr>
      <w:t>P:\ESP\ITU-T\CONF-T\WTSA16\000\077S.docx</w:t>
    </w:r>
    <w:r>
      <w:fldChar w:fldCharType="end"/>
    </w:r>
    <w:r w:rsidRPr="000B0C88">
      <w:rPr>
        <w:lang w:val="fr-CH"/>
      </w:rPr>
      <w:t xml:space="preserve"> (</w:t>
    </w:r>
    <w:r>
      <w:rPr>
        <w:lang w:val="fr-CH"/>
      </w:rPr>
      <w:t>407951</w:t>
    </w:r>
    <w:r w:rsidRPr="000B0C88">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8AE" w:rsidRDefault="008068AE">
      <w:r>
        <w:rPr>
          <w:b/>
        </w:rPr>
        <w:t>_______________</w:t>
      </w:r>
    </w:p>
  </w:footnote>
  <w:footnote w:type="continuationSeparator" w:id="0">
    <w:p w:rsidR="008068AE" w:rsidRDefault="00806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AE" w:rsidRDefault="008068AE" w:rsidP="00E83D45">
    <w:pPr>
      <w:pStyle w:val="Header"/>
    </w:pPr>
    <w:r>
      <w:fldChar w:fldCharType="begin"/>
    </w:r>
    <w:r>
      <w:instrText xml:space="preserve"> PAGE  \* MERGEFORMAT </w:instrText>
    </w:r>
    <w:r>
      <w:fldChar w:fldCharType="separate"/>
    </w:r>
    <w:r w:rsidR="00F86117">
      <w:rPr>
        <w:noProof/>
      </w:rPr>
      <w:t>9</w:t>
    </w:r>
    <w:r>
      <w:fldChar w:fldCharType="end"/>
    </w:r>
  </w:p>
  <w:p w:rsidR="008068AE" w:rsidRPr="00C72D5C" w:rsidRDefault="008068AE" w:rsidP="007855D4">
    <w:pPr>
      <w:pStyle w:val="Header"/>
    </w:pPr>
    <w:r>
      <w:t>AMNT16/77-S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1834C9F"/>
    <w:multiLevelType w:val="hybridMultilevel"/>
    <w:tmpl w:val="6428EBAC"/>
    <w:lvl w:ilvl="0" w:tplc="71DC690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08AF"/>
    <w:rsid w:val="00023137"/>
    <w:rsid w:val="0002785D"/>
    <w:rsid w:val="00030CC2"/>
    <w:rsid w:val="00057296"/>
    <w:rsid w:val="00087AE8"/>
    <w:rsid w:val="000A5B9A"/>
    <w:rsid w:val="000B0C88"/>
    <w:rsid w:val="000C7758"/>
    <w:rsid w:val="000E1039"/>
    <w:rsid w:val="000E5BF9"/>
    <w:rsid w:val="000E5EE9"/>
    <w:rsid w:val="000F0E6D"/>
    <w:rsid w:val="00120191"/>
    <w:rsid w:val="00121170"/>
    <w:rsid w:val="00123CC5"/>
    <w:rsid w:val="0015142D"/>
    <w:rsid w:val="001616DC"/>
    <w:rsid w:val="00163962"/>
    <w:rsid w:val="0016448E"/>
    <w:rsid w:val="00191A97"/>
    <w:rsid w:val="00195784"/>
    <w:rsid w:val="001A083F"/>
    <w:rsid w:val="001C41FA"/>
    <w:rsid w:val="001C4DF1"/>
    <w:rsid w:val="001D2903"/>
    <w:rsid w:val="001D2CA1"/>
    <w:rsid w:val="001D380F"/>
    <w:rsid w:val="001E2979"/>
    <w:rsid w:val="001E2B52"/>
    <w:rsid w:val="001E3F27"/>
    <w:rsid w:val="001F20F0"/>
    <w:rsid w:val="0021371A"/>
    <w:rsid w:val="002337D9"/>
    <w:rsid w:val="00236D2A"/>
    <w:rsid w:val="00255F12"/>
    <w:rsid w:val="00262C09"/>
    <w:rsid w:val="00263815"/>
    <w:rsid w:val="00272A33"/>
    <w:rsid w:val="0028017B"/>
    <w:rsid w:val="00286495"/>
    <w:rsid w:val="002A791F"/>
    <w:rsid w:val="002C1B26"/>
    <w:rsid w:val="002C79B8"/>
    <w:rsid w:val="002E05CD"/>
    <w:rsid w:val="002E221B"/>
    <w:rsid w:val="002E701F"/>
    <w:rsid w:val="003237B0"/>
    <w:rsid w:val="003248A9"/>
    <w:rsid w:val="00324FFA"/>
    <w:rsid w:val="0032680B"/>
    <w:rsid w:val="00363A65"/>
    <w:rsid w:val="00377EC9"/>
    <w:rsid w:val="003930E9"/>
    <w:rsid w:val="003B1E8C"/>
    <w:rsid w:val="003C031F"/>
    <w:rsid w:val="003C2508"/>
    <w:rsid w:val="003D0AA3"/>
    <w:rsid w:val="004104AC"/>
    <w:rsid w:val="00454553"/>
    <w:rsid w:val="00467368"/>
    <w:rsid w:val="00473B0C"/>
    <w:rsid w:val="00476FB2"/>
    <w:rsid w:val="004B124A"/>
    <w:rsid w:val="004B520A"/>
    <w:rsid w:val="004C3636"/>
    <w:rsid w:val="004C3A5A"/>
    <w:rsid w:val="004F4C1C"/>
    <w:rsid w:val="00523269"/>
    <w:rsid w:val="00532097"/>
    <w:rsid w:val="0056244C"/>
    <w:rsid w:val="00566BEE"/>
    <w:rsid w:val="0058350F"/>
    <w:rsid w:val="005904C2"/>
    <w:rsid w:val="005A374D"/>
    <w:rsid w:val="005E782D"/>
    <w:rsid w:val="005F2605"/>
    <w:rsid w:val="00662039"/>
    <w:rsid w:val="00662BA0"/>
    <w:rsid w:val="00681766"/>
    <w:rsid w:val="00692AAE"/>
    <w:rsid w:val="006A7094"/>
    <w:rsid w:val="006B0F54"/>
    <w:rsid w:val="006D6E67"/>
    <w:rsid w:val="006E0078"/>
    <w:rsid w:val="006E1A13"/>
    <w:rsid w:val="006E76B9"/>
    <w:rsid w:val="006F20DD"/>
    <w:rsid w:val="006F6F95"/>
    <w:rsid w:val="00701C20"/>
    <w:rsid w:val="00702F3D"/>
    <w:rsid w:val="0070518E"/>
    <w:rsid w:val="007255D1"/>
    <w:rsid w:val="00734034"/>
    <w:rsid w:val="007354E9"/>
    <w:rsid w:val="00765578"/>
    <w:rsid w:val="0077084A"/>
    <w:rsid w:val="007855D4"/>
    <w:rsid w:val="00786250"/>
    <w:rsid w:val="00790506"/>
    <w:rsid w:val="007952C7"/>
    <w:rsid w:val="007A4E2F"/>
    <w:rsid w:val="007B5A78"/>
    <w:rsid w:val="007C2317"/>
    <w:rsid w:val="007C39FA"/>
    <w:rsid w:val="007D330A"/>
    <w:rsid w:val="007E667F"/>
    <w:rsid w:val="007F1F59"/>
    <w:rsid w:val="0080287D"/>
    <w:rsid w:val="008068AE"/>
    <w:rsid w:val="00807546"/>
    <w:rsid w:val="00817430"/>
    <w:rsid w:val="0085200B"/>
    <w:rsid w:val="00866AE6"/>
    <w:rsid w:val="00866BBD"/>
    <w:rsid w:val="00873B75"/>
    <w:rsid w:val="008750A8"/>
    <w:rsid w:val="008A450E"/>
    <w:rsid w:val="008E35DA"/>
    <w:rsid w:val="008E4453"/>
    <w:rsid w:val="0090121B"/>
    <w:rsid w:val="009144C9"/>
    <w:rsid w:val="00915117"/>
    <w:rsid w:val="00916196"/>
    <w:rsid w:val="0094091F"/>
    <w:rsid w:val="00973754"/>
    <w:rsid w:val="0097673E"/>
    <w:rsid w:val="009861F4"/>
    <w:rsid w:val="00990278"/>
    <w:rsid w:val="009A137D"/>
    <w:rsid w:val="009C0BED"/>
    <w:rsid w:val="009E11EC"/>
    <w:rsid w:val="009F6A67"/>
    <w:rsid w:val="00A118DB"/>
    <w:rsid w:val="00A24AC0"/>
    <w:rsid w:val="00A333DB"/>
    <w:rsid w:val="00A4450C"/>
    <w:rsid w:val="00A5125C"/>
    <w:rsid w:val="00A52BC3"/>
    <w:rsid w:val="00A733C1"/>
    <w:rsid w:val="00AA4622"/>
    <w:rsid w:val="00AA5E6C"/>
    <w:rsid w:val="00AB4E90"/>
    <w:rsid w:val="00AE5677"/>
    <w:rsid w:val="00AE658F"/>
    <w:rsid w:val="00AF2F78"/>
    <w:rsid w:val="00B07178"/>
    <w:rsid w:val="00B16675"/>
    <w:rsid w:val="00B1727C"/>
    <w:rsid w:val="00B173B3"/>
    <w:rsid w:val="00B257B2"/>
    <w:rsid w:val="00B51263"/>
    <w:rsid w:val="00B52D55"/>
    <w:rsid w:val="00B61807"/>
    <w:rsid w:val="00B627DD"/>
    <w:rsid w:val="00B705B1"/>
    <w:rsid w:val="00B75455"/>
    <w:rsid w:val="00B8288C"/>
    <w:rsid w:val="00BB79AB"/>
    <w:rsid w:val="00BD5FE4"/>
    <w:rsid w:val="00BE2E80"/>
    <w:rsid w:val="00BE5EDD"/>
    <w:rsid w:val="00BE6A1F"/>
    <w:rsid w:val="00C126C4"/>
    <w:rsid w:val="00C35E5F"/>
    <w:rsid w:val="00C614DC"/>
    <w:rsid w:val="00C63EB5"/>
    <w:rsid w:val="00C858D0"/>
    <w:rsid w:val="00CA1F40"/>
    <w:rsid w:val="00CB35C9"/>
    <w:rsid w:val="00CC01E0"/>
    <w:rsid w:val="00CD5FEE"/>
    <w:rsid w:val="00CD663E"/>
    <w:rsid w:val="00CE60D2"/>
    <w:rsid w:val="00CF6855"/>
    <w:rsid w:val="00D0288A"/>
    <w:rsid w:val="00D56781"/>
    <w:rsid w:val="00D72A5D"/>
    <w:rsid w:val="00DC629B"/>
    <w:rsid w:val="00E05BFF"/>
    <w:rsid w:val="00E11FFD"/>
    <w:rsid w:val="00E21778"/>
    <w:rsid w:val="00E262F1"/>
    <w:rsid w:val="00E32BEE"/>
    <w:rsid w:val="00E47B44"/>
    <w:rsid w:val="00E636BB"/>
    <w:rsid w:val="00E71D14"/>
    <w:rsid w:val="00E8097C"/>
    <w:rsid w:val="00E83D45"/>
    <w:rsid w:val="00E94A4A"/>
    <w:rsid w:val="00EC71BB"/>
    <w:rsid w:val="00EE1779"/>
    <w:rsid w:val="00EE525A"/>
    <w:rsid w:val="00EF0D6D"/>
    <w:rsid w:val="00F0220A"/>
    <w:rsid w:val="00F02C63"/>
    <w:rsid w:val="00F247BB"/>
    <w:rsid w:val="00F26F4E"/>
    <w:rsid w:val="00F42DBF"/>
    <w:rsid w:val="00F54E0E"/>
    <w:rsid w:val="00F606A0"/>
    <w:rsid w:val="00F62AB3"/>
    <w:rsid w:val="00F63177"/>
    <w:rsid w:val="00F66597"/>
    <w:rsid w:val="00F7212F"/>
    <w:rsid w:val="00F8150C"/>
    <w:rsid w:val="00F86117"/>
    <w:rsid w:val="00FC3528"/>
    <w:rsid w:val="00FD5C8C"/>
    <w:rsid w:val="00FE161E"/>
    <w:rsid w:val="00FE2539"/>
    <w:rsid w:val="00FE4574"/>
    <w:rsid w:val="00FF0475"/>
    <w:rsid w:val="00FF2DF2"/>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rsid w:val="007855D4"/>
    <w:rPr>
      <w:color w:val="0000FF"/>
      <w:u w:val="single"/>
    </w:rPr>
  </w:style>
  <w:style w:type="table" w:customStyle="1" w:styleId="TableGrid8">
    <w:name w:val="Table Grid8"/>
    <w:basedOn w:val="TableNormal"/>
    <w:next w:val="TableGrid"/>
    <w:rsid w:val="0078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8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1F59"/>
    <w:rPr>
      <w:rFonts w:ascii="Times New Roman" w:hAnsi="Times New Roman"/>
      <w:b/>
      <w:sz w:val="28"/>
      <w:lang w:val="es-ES_tradnl" w:eastAsia="en-US"/>
    </w:rPr>
  </w:style>
  <w:style w:type="character" w:styleId="Strong">
    <w:name w:val="Strong"/>
    <w:basedOn w:val="DefaultParagraphFont"/>
    <w:uiPriority w:val="22"/>
    <w:qFormat/>
    <w:rsid w:val="007F1F59"/>
    <w:rPr>
      <w:b/>
      <w:bCs/>
    </w:rPr>
  </w:style>
  <w:style w:type="character" w:customStyle="1" w:styleId="enumlev1Char">
    <w:name w:val="enumlev1 Char"/>
    <w:link w:val="enumlev1"/>
    <w:rsid w:val="007F1F59"/>
    <w:rPr>
      <w:rFonts w:ascii="Times New Roman" w:hAnsi="Times New Roman"/>
      <w:sz w:val="24"/>
      <w:lang w:val="es-ES_tradnl" w:eastAsia="en-US"/>
    </w:rPr>
  </w:style>
  <w:style w:type="character" w:customStyle="1" w:styleId="CallChar">
    <w:name w:val="Call Char"/>
    <w:link w:val="Call"/>
    <w:rsid w:val="001E2979"/>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WTSA.16-ADM-0004/en" TargetMode="External"/><Relationship Id="rId18" Type="http://schemas.openxmlformats.org/officeDocument/2006/relationships/hyperlink" Target="http://www.itu.int/md/T13-WTSA.16-161025-TD-GEN-0010/en" TargetMode="External"/><Relationship Id="rId26" Type="http://schemas.openxmlformats.org/officeDocument/2006/relationships/hyperlink" Target="http://www.itu.int/md/T13-WTSA.16-161025-TD-GEN-0053/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md/T13-WTSA.16-C-0032/en" TargetMode="External"/><Relationship Id="rId34" Type="http://schemas.openxmlformats.org/officeDocument/2006/relationships/hyperlink" Target="http://www.itu.int/md/T13-WTSA.16-C-0093/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T13-WTSA.16-161025-TD-GEN-0004/en" TargetMode="External"/><Relationship Id="rId17" Type="http://schemas.openxmlformats.org/officeDocument/2006/relationships/hyperlink" Target="http://www.itu.int/md/T13-WTSA.16-161025-TD-GEN-0010/en" TargetMode="External"/><Relationship Id="rId25" Type="http://schemas.openxmlformats.org/officeDocument/2006/relationships/hyperlink" Target="http://www.itu.int/md/T13-WTSA.16-161025-TD-GEN-0053/en" TargetMode="External"/><Relationship Id="rId33" Type="http://schemas.openxmlformats.org/officeDocument/2006/relationships/hyperlink" Target="http://www.itu.int/md/T13-WTSA.16-C-0093/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T13-WTSA.16-C-0033/en" TargetMode="External"/><Relationship Id="rId20" Type="http://schemas.openxmlformats.org/officeDocument/2006/relationships/hyperlink" Target="http://www.itu.int/md/T13-WTSA.16-161025-TD-GEN-0052/en" TargetMode="External"/><Relationship Id="rId29" Type="http://schemas.openxmlformats.org/officeDocument/2006/relationships/hyperlink" Target="http://www.itu.int/md/T13-WTSA.16-C-0100/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WTSA.16-161025-TD-GEN-0001/en" TargetMode="External"/><Relationship Id="rId24" Type="http://schemas.openxmlformats.org/officeDocument/2006/relationships/hyperlink" Target="http://www.itu.int/md/T13-WTSA.16-C-0063/en" TargetMode="External"/><Relationship Id="rId32" Type="http://schemas.openxmlformats.org/officeDocument/2006/relationships/hyperlink" Target="http://www.itu.int/md/T13-WTSA.16-C-0093/en"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md/T13-WTSA.16-C-0030/en" TargetMode="External"/><Relationship Id="rId23" Type="http://schemas.openxmlformats.org/officeDocument/2006/relationships/hyperlink" Target="http://www.itu.int/md/T13-WTSA.16-161025-TD-GEN-0010/en" TargetMode="External"/><Relationship Id="rId28" Type="http://schemas.openxmlformats.org/officeDocument/2006/relationships/hyperlink" Target="http://www.itu.int/md/T13-WTSA.16-C-0096/en" TargetMode="External"/><Relationship Id="rId36" Type="http://schemas.openxmlformats.org/officeDocument/2006/relationships/hyperlink" Target="http://www.itu.int/md/T13-WTSA.16-C-0100/en" TargetMode="External"/><Relationship Id="rId10" Type="http://schemas.openxmlformats.org/officeDocument/2006/relationships/hyperlink" Target="http://www.itu.int/md/T13-WTSA.16-161025-TD-GEN-0003/en" TargetMode="External"/><Relationship Id="rId19" Type="http://schemas.openxmlformats.org/officeDocument/2006/relationships/hyperlink" Target="http://www.itu.int/md/T13-WTSA.16-C-0062/en" TargetMode="External"/><Relationship Id="rId31" Type="http://schemas.openxmlformats.org/officeDocument/2006/relationships/hyperlink" Target="http://www.itu.int/md/T13-WTSA.16-C-0072/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T13-WTSA.16-ADM-0027/en" TargetMode="External"/><Relationship Id="rId22" Type="http://schemas.openxmlformats.org/officeDocument/2006/relationships/hyperlink" Target="http://www.itu.int/md/T13-WTSA.16-C-0029/en" TargetMode="External"/><Relationship Id="rId27" Type="http://schemas.openxmlformats.org/officeDocument/2006/relationships/hyperlink" Target="http://www.itu.int/md/T13-WTSA.16-C-0093/en" TargetMode="External"/><Relationship Id="rId30" Type="http://schemas.openxmlformats.org/officeDocument/2006/relationships/hyperlink" Target="http://www.itu.int/md/T13-WTSA.16-C-0072/en" TargetMode="External"/><Relationship Id="rId35" Type="http://schemas.openxmlformats.org/officeDocument/2006/relationships/hyperlink" Target="http://www.itu.int/md/T13-WTSA.16-C-010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4F84-4921-48AB-9505-D4414CAA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3195</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21796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24</cp:revision>
  <cp:lastPrinted>2016-11-02T16:13:00Z</cp:lastPrinted>
  <dcterms:created xsi:type="dcterms:W3CDTF">2016-11-02T16:04:00Z</dcterms:created>
  <dcterms:modified xsi:type="dcterms:W3CDTF">2016-11-02T16:28:00Z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