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047AB2" w:rsidTr="00190D8B">
        <w:trPr>
          <w:cantSplit/>
        </w:trPr>
        <w:tc>
          <w:tcPr>
            <w:tcW w:w="1560" w:type="dxa"/>
          </w:tcPr>
          <w:p w:rsidR="00261604" w:rsidRPr="00047AB2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47AB2">
              <w:rPr>
                <w:lang w:eastAsia="zh-CN"/>
              </w:rPr>
              <w:drawing>
                <wp:inline distT="0" distB="0" distL="0" distR="0" wp14:anchorId="3B72384A" wp14:editId="27E6523D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047AB2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47AB2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047AB2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047AB2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047AB2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047AB2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047AB2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047AB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047AB2" w:rsidRDefault="00261604" w:rsidP="00190D8B">
            <w:pPr>
              <w:spacing w:line="240" w:lineRule="atLeast"/>
              <w:jc w:val="right"/>
            </w:pPr>
            <w:r w:rsidRPr="00047AB2">
              <w:rPr>
                <w:lang w:eastAsia="zh-CN"/>
              </w:rPr>
              <w:drawing>
                <wp:inline distT="0" distB="0" distL="0" distR="0" wp14:anchorId="49EDC274" wp14:editId="4149C33E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047AB2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047AB2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047AB2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047AB2" w:rsidTr="00190D8B">
        <w:trPr>
          <w:cantSplit/>
        </w:trPr>
        <w:tc>
          <w:tcPr>
            <w:tcW w:w="6946" w:type="dxa"/>
            <w:gridSpan w:val="2"/>
          </w:tcPr>
          <w:p w:rsidR="00E11080" w:rsidRPr="00047AB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47AB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047AB2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47AB2">
              <w:rPr>
                <w:rFonts w:ascii="Verdana" w:hAnsi="Verdana"/>
                <w:b/>
                <w:bCs/>
                <w:sz w:val="18"/>
                <w:szCs w:val="18"/>
              </w:rPr>
              <w:t>Документ 77-R</w:t>
            </w:r>
          </w:p>
        </w:tc>
      </w:tr>
      <w:tr w:rsidR="00E11080" w:rsidRPr="00047AB2" w:rsidTr="00190D8B">
        <w:trPr>
          <w:cantSplit/>
        </w:trPr>
        <w:tc>
          <w:tcPr>
            <w:tcW w:w="6946" w:type="dxa"/>
            <w:gridSpan w:val="2"/>
          </w:tcPr>
          <w:p w:rsidR="00E11080" w:rsidRPr="00047AB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047AB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47AB2">
              <w:rPr>
                <w:rFonts w:ascii="Verdana" w:hAnsi="Verdana"/>
                <w:b/>
                <w:bCs/>
                <w:sz w:val="18"/>
                <w:szCs w:val="18"/>
              </w:rPr>
              <w:t>2 ноября 2016 года</w:t>
            </w:r>
          </w:p>
        </w:tc>
      </w:tr>
      <w:tr w:rsidR="00E11080" w:rsidRPr="00047AB2" w:rsidTr="00190D8B">
        <w:trPr>
          <w:cantSplit/>
        </w:trPr>
        <w:tc>
          <w:tcPr>
            <w:tcW w:w="6946" w:type="dxa"/>
            <w:gridSpan w:val="2"/>
          </w:tcPr>
          <w:p w:rsidR="00E11080" w:rsidRPr="00047AB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047AB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47AB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047AB2" w:rsidTr="00190D8B">
        <w:trPr>
          <w:cantSplit/>
        </w:trPr>
        <w:tc>
          <w:tcPr>
            <w:tcW w:w="9781" w:type="dxa"/>
            <w:gridSpan w:val="4"/>
          </w:tcPr>
          <w:p w:rsidR="00E11080" w:rsidRPr="00047AB2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47AB2" w:rsidTr="00190D8B">
        <w:trPr>
          <w:cantSplit/>
        </w:trPr>
        <w:tc>
          <w:tcPr>
            <w:tcW w:w="9781" w:type="dxa"/>
            <w:gridSpan w:val="4"/>
          </w:tcPr>
          <w:p w:rsidR="00E11080" w:rsidRPr="00047AB2" w:rsidRDefault="00CE5E7F" w:rsidP="00CE5E7F">
            <w:pPr>
              <w:pStyle w:val="Source"/>
            </w:pPr>
            <w:r w:rsidRPr="00047AB2">
              <w:t xml:space="preserve">Председатель Комитета 2 </w:t>
            </w:r>
            <w:r w:rsidR="00071916" w:rsidRPr="00047AB2">
              <w:t>(</w:t>
            </w:r>
            <w:r w:rsidRPr="00047AB2">
              <w:t>по бюджетному контролю</w:t>
            </w:r>
            <w:r w:rsidR="00071916" w:rsidRPr="00047AB2">
              <w:t>)</w:t>
            </w:r>
          </w:p>
        </w:tc>
      </w:tr>
      <w:tr w:rsidR="00E11080" w:rsidRPr="00047AB2" w:rsidTr="00190D8B">
        <w:trPr>
          <w:cantSplit/>
        </w:trPr>
        <w:tc>
          <w:tcPr>
            <w:tcW w:w="9781" w:type="dxa"/>
            <w:gridSpan w:val="4"/>
          </w:tcPr>
          <w:p w:rsidR="00E11080" w:rsidRPr="00047AB2" w:rsidRDefault="00CE5E7F" w:rsidP="00CE5E7F">
            <w:pPr>
              <w:pStyle w:val="Title1"/>
            </w:pPr>
            <w:r w:rsidRPr="00047AB2">
              <w:t>отчет комитета по бюджетному контролю (комитета 2) пленарному заседанию</w:t>
            </w:r>
          </w:p>
        </w:tc>
      </w:tr>
      <w:tr w:rsidR="00E11080" w:rsidRPr="00047AB2" w:rsidTr="00190D8B">
        <w:trPr>
          <w:cantSplit/>
        </w:trPr>
        <w:tc>
          <w:tcPr>
            <w:tcW w:w="9781" w:type="dxa"/>
            <w:gridSpan w:val="4"/>
          </w:tcPr>
          <w:p w:rsidR="00E11080" w:rsidRPr="00047AB2" w:rsidRDefault="00E11080" w:rsidP="00190D8B">
            <w:pPr>
              <w:pStyle w:val="Title2"/>
            </w:pPr>
          </w:p>
        </w:tc>
      </w:tr>
      <w:tr w:rsidR="00E11080" w:rsidRPr="00047AB2" w:rsidTr="00190D8B">
        <w:trPr>
          <w:cantSplit/>
        </w:trPr>
        <w:tc>
          <w:tcPr>
            <w:tcW w:w="9781" w:type="dxa"/>
            <w:gridSpan w:val="4"/>
          </w:tcPr>
          <w:p w:rsidR="00E11080" w:rsidRPr="00047AB2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071916" w:rsidRPr="00047AB2" w:rsidRDefault="00071916" w:rsidP="00071916">
      <w:pPr>
        <w:pStyle w:val="Heading1"/>
        <w:rPr>
          <w:lang w:val="ru-RU"/>
        </w:rPr>
      </w:pPr>
      <w:bookmarkStart w:id="0" w:name="_Toc349140266"/>
      <w:bookmarkStart w:id="1" w:name="_Toc349141527"/>
      <w:r w:rsidRPr="00047AB2">
        <w:rPr>
          <w:lang w:val="ru-RU"/>
        </w:rPr>
        <w:t>1</w:t>
      </w:r>
      <w:r w:rsidRPr="00047AB2">
        <w:rPr>
          <w:lang w:val="ru-RU"/>
        </w:rPr>
        <w:tab/>
        <w:t>Комитет по бюджетному контролю</w:t>
      </w:r>
      <w:bookmarkEnd w:id="0"/>
      <w:bookmarkEnd w:id="1"/>
    </w:p>
    <w:p w:rsidR="00071916" w:rsidRPr="00047AB2" w:rsidRDefault="00071916" w:rsidP="00DF7BD9">
      <w:r w:rsidRPr="00047AB2">
        <w:t>Комитет по бюджетному контролю в ходе Всемирной ассамблеи по стандартизации электросвязи (</w:t>
      </w:r>
      <w:proofErr w:type="spellStart"/>
      <w:r w:rsidRPr="00047AB2">
        <w:t>ВАСЭ</w:t>
      </w:r>
      <w:proofErr w:type="spellEnd"/>
      <w:r w:rsidRPr="00047AB2">
        <w:t xml:space="preserve">-16) провел </w:t>
      </w:r>
      <w:r w:rsidR="00CE5E7F" w:rsidRPr="00047AB2">
        <w:t>два</w:t>
      </w:r>
      <w:r w:rsidRPr="00047AB2">
        <w:t xml:space="preserve"> собрания под председательством г-</w:t>
      </w:r>
      <w:r w:rsidR="00CE5E7F" w:rsidRPr="00047AB2">
        <w:t>жи</w:t>
      </w:r>
      <w:r w:rsidRPr="00047AB2">
        <w:t> </w:t>
      </w:r>
      <w:proofErr w:type="spellStart"/>
      <w:r w:rsidR="00CE5E7F" w:rsidRPr="00047AB2">
        <w:rPr>
          <w:color w:val="000000"/>
        </w:rPr>
        <w:t>Вэйлин</w:t>
      </w:r>
      <w:proofErr w:type="spellEnd"/>
      <w:r w:rsidR="00CE5E7F" w:rsidRPr="00047AB2">
        <w:rPr>
          <w:color w:val="000000"/>
        </w:rPr>
        <w:t xml:space="preserve"> </w:t>
      </w:r>
      <w:proofErr w:type="spellStart"/>
      <w:r w:rsidR="00CE5E7F" w:rsidRPr="00047AB2">
        <w:rPr>
          <w:color w:val="000000"/>
        </w:rPr>
        <w:t>Сюй</w:t>
      </w:r>
      <w:proofErr w:type="spellEnd"/>
      <w:r w:rsidR="00CE5E7F" w:rsidRPr="00047AB2">
        <w:rPr>
          <w:color w:val="000000"/>
        </w:rPr>
        <w:t xml:space="preserve"> (Китайская Народная Республика</w:t>
      </w:r>
      <w:r w:rsidRPr="00047AB2">
        <w:t>), содействие которо</w:t>
      </w:r>
      <w:r w:rsidR="00CE5E7F" w:rsidRPr="00047AB2">
        <w:t>й</w:t>
      </w:r>
      <w:r w:rsidRPr="00047AB2">
        <w:t xml:space="preserve"> оказывали заместители председателя </w:t>
      </w:r>
      <w:r w:rsidR="00CE5E7F" w:rsidRPr="00047AB2">
        <w:t xml:space="preserve">г-н Сантьяго </w:t>
      </w:r>
      <w:proofErr w:type="spellStart"/>
      <w:r w:rsidR="00CE5E7F" w:rsidRPr="00047AB2">
        <w:rPr>
          <w:color w:val="000000"/>
        </w:rPr>
        <w:t>Рейес-Борда</w:t>
      </w:r>
      <w:proofErr w:type="spellEnd"/>
      <w:r w:rsidR="00CE5E7F" w:rsidRPr="00047AB2">
        <w:rPr>
          <w:color w:val="000000"/>
        </w:rPr>
        <w:t xml:space="preserve"> (Канада</w:t>
      </w:r>
      <w:r w:rsidRPr="00047AB2">
        <w:t xml:space="preserve">) </w:t>
      </w:r>
      <w:r w:rsidR="00CE5E7F" w:rsidRPr="00047AB2">
        <w:t xml:space="preserve">и г-н Дитмар </w:t>
      </w:r>
      <w:proofErr w:type="spellStart"/>
      <w:r w:rsidR="00CE5E7F" w:rsidRPr="00047AB2">
        <w:t>Плессе</w:t>
      </w:r>
      <w:proofErr w:type="spellEnd"/>
      <w:r w:rsidRPr="00047AB2">
        <w:t xml:space="preserve"> (</w:t>
      </w:r>
      <w:r w:rsidR="00CE5E7F" w:rsidRPr="00047AB2">
        <w:t>Германия</w:t>
      </w:r>
      <w:r w:rsidRPr="00047AB2">
        <w:t>), и рассмотрел вопросы, относящиеся к своему кругу ведения.</w:t>
      </w:r>
    </w:p>
    <w:p w:rsidR="00071916" w:rsidRPr="00047AB2" w:rsidRDefault="00071916" w:rsidP="00071916">
      <w:pPr>
        <w:pStyle w:val="Heading1"/>
        <w:rPr>
          <w:lang w:val="ru-RU"/>
        </w:rPr>
      </w:pPr>
      <w:bookmarkStart w:id="2" w:name="_Toc349140267"/>
      <w:bookmarkStart w:id="3" w:name="_Toc349141528"/>
      <w:r w:rsidRPr="00047AB2">
        <w:rPr>
          <w:lang w:val="ru-RU"/>
        </w:rPr>
        <w:t>2</w:t>
      </w:r>
      <w:r w:rsidRPr="00047AB2">
        <w:rPr>
          <w:lang w:val="ru-RU"/>
        </w:rPr>
        <w:tab/>
        <w:t xml:space="preserve">Проект плана распределения времени/Перечень предложений, подлежащих рассмотрению </w:t>
      </w:r>
      <w:proofErr w:type="spellStart"/>
      <w:r w:rsidRPr="00047AB2">
        <w:rPr>
          <w:lang w:val="ru-RU"/>
        </w:rPr>
        <w:t>ВАСЭ</w:t>
      </w:r>
      <w:proofErr w:type="spellEnd"/>
      <w:r w:rsidRPr="00047AB2">
        <w:rPr>
          <w:lang w:val="ru-RU"/>
        </w:rPr>
        <w:t>/Круг ведения</w:t>
      </w:r>
      <w:bookmarkEnd w:id="2"/>
      <w:bookmarkEnd w:id="3"/>
    </w:p>
    <w:p w:rsidR="0092220F" w:rsidRPr="00047AB2" w:rsidRDefault="00071916" w:rsidP="00CE5E7F">
      <w:pPr>
        <w:pStyle w:val="Normalaftertitle"/>
      </w:pPr>
      <w:r w:rsidRPr="00047AB2">
        <w:t>Были представлены и утверждены относящиеся к Комитету 2 проект плана распределения времени, перечень предложений, подлежащих рассмотрению, и круг ведения</w:t>
      </w:r>
      <w:r w:rsidR="005B739C" w:rsidRPr="00047AB2">
        <w:t xml:space="preserve"> (Документы </w:t>
      </w:r>
      <w:hyperlink r:id="rId12" w:history="1">
        <w:proofErr w:type="spellStart"/>
        <w:r w:rsidR="005B739C" w:rsidRPr="00047AB2">
          <w:rPr>
            <w:rStyle w:val="Hyperlink"/>
          </w:rPr>
          <w:t>DT</w:t>
        </w:r>
        <w:proofErr w:type="spellEnd"/>
        <w:r w:rsidR="005B739C" w:rsidRPr="00047AB2">
          <w:rPr>
            <w:rStyle w:val="Hyperlink"/>
          </w:rPr>
          <w:t>/3</w:t>
        </w:r>
      </w:hyperlink>
      <w:r w:rsidR="005B739C" w:rsidRPr="00047AB2">
        <w:t xml:space="preserve">, </w:t>
      </w:r>
      <w:hyperlink r:id="rId13" w:history="1">
        <w:proofErr w:type="spellStart"/>
        <w:r w:rsidR="005B739C" w:rsidRPr="00047AB2">
          <w:rPr>
            <w:rStyle w:val="Hyperlink"/>
          </w:rPr>
          <w:t>DT</w:t>
        </w:r>
        <w:proofErr w:type="spellEnd"/>
        <w:r w:rsidR="005B739C" w:rsidRPr="00047AB2">
          <w:rPr>
            <w:rStyle w:val="Hyperlink"/>
          </w:rPr>
          <w:t>/1</w:t>
        </w:r>
      </w:hyperlink>
      <w:r w:rsidR="005B739C" w:rsidRPr="00047AB2">
        <w:t xml:space="preserve"> и </w:t>
      </w:r>
      <w:hyperlink r:id="rId14" w:history="1">
        <w:proofErr w:type="spellStart"/>
        <w:r w:rsidR="005B739C" w:rsidRPr="00047AB2">
          <w:rPr>
            <w:rStyle w:val="Hyperlink"/>
          </w:rPr>
          <w:t>DT</w:t>
        </w:r>
        <w:proofErr w:type="spellEnd"/>
        <w:r w:rsidR="005B739C" w:rsidRPr="00047AB2">
          <w:rPr>
            <w:rStyle w:val="Hyperlink"/>
          </w:rPr>
          <w:t>/4</w:t>
        </w:r>
      </w:hyperlink>
      <w:r w:rsidR="005B739C" w:rsidRPr="00047AB2">
        <w:t xml:space="preserve">). Повестка дня собраний Комитета 2 представлена в </w:t>
      </w:r>
      <w:r w:rsidR="00CE5E7F" w:rsidRPr="00047AB2">
        <w:t>Д</w:t>
      </w:r>
      <w:r w:rsidR="005B739C" w:rsidRPr="00047AB2">
        <w:t xml:space="preserve">окументах </w:t>
      </w:r>
      <w:hyperlink r:id="rId15" w:history="1">
        <w:proofErr w:type="spellStart"/>
        <w:r w:rsidR="005B739C" w:rsidRPr="00047AB2">
          <w:rPr>
            <w:rStyle w:val="Hyperlink"/>
          </w:rPr>
          <w:t>ADM4</w:t>
        </w:r>
        <w:proofErr w:type="spellEnd"/>
      </w:hyperlink>
      <w:r w:rsidR="005B739C" w:rsidRPr="00047AB2">
        <w:t xml:space="preserve"> и </w:t>
      </w:r>
      <w:hyperlink r:id="rId16" w:history="1">
        <w:proofErr w:type="spellStart"/>
        <w:r w:rsidR="005B739C" w:rsidRPr="00047AB2">
          <w:rPr>
            <w:rStyle w:val="Hyperlink"/>
          </w:rPr>
          <w:t>ADM27</w:t>
        </w:r>
        <w:proofErr w:type="spellEnd"/>
      </w:hyperlink>
      <w:r w:rsidR="005B739C" w:rsidRPr="00047AB2">
        <w:t>.</w:t>
      </w:r>
    </w:p>
    <w:p w:rsidR="005B7F7D" w:rsidRPr="00047AB2" w:rsidRDefault="005B7F7D" w:rsidP="00CE5E7F">
      <w:pPr>
        <w:pStyle w:val="Heading1"/>
        <w:rPr>
          <w:lang w:val="ru-RU"/>
        </w:rPr>
      </w:pPr>
      <w:bookmarkStart w:id="4" w:name="_Toc349140268"/>
      <w:bookmarkStart w:id="5" w:name="_Toc349141529"/>
      <w:r w:rsidRPr="00047AB2">
        <w:rPr>
          <w:lang w:val="ru-RU"/>
        </w:rPr>
        <w:t>3</w:t>
      </w:r>
      <w:r w:rsidRPr="00047AB2">
        <w:rPr>
          <w:lang w:val="ru-RU"/>
        </w:rPr>
        <w:tab/>
        <w:t xml:space="preserve">Соглашение между правительством </w:t>
      </w:r>
      <w:r w:rsidR="00CE5E7F" w:rsidRPr="00047AB2">
        <w:rPr>
          <w:lang w:val="ru-RU"/>
        </w:rPr>
        <w:t>Тунисской Республики</w:t>
      </w:r>
      <w:r w:rsidRPr="00047AB2">
        <w:rPr>
          <w:lang w:val="ru-RU"/>
        </w:rPr>
        <w:t xml:space="preserve"> и МСЭ</w:t>
      </w:r>
      <w:bookmarkEnd w:id="4"/>
      <w:bookmarkEnd w:id="5"/>
    </w:p>
    <w:p w:rsidR="005B7F7D" w:rsidRPr="00047AB2" w:rsidRDefault="005B7F7D" w:rsidP="00CE5E7F">
      <w:r w:rsidRPr="00047AB2">
        <w:t>В соответствии с Резолюцией 77 (</w:t>
      </w:r>
      <w:proofErr w:type="spellStart"/>
      <w:r w:rsidRPr="00047AB2">
        <w:t>Пересм</w:t>
      </w:r>
      <w:proofErr w:type="spellEnd"/>
      <w:r w:rsidRPr="00047AB2">
        <w:t xml:space="preserve">. </w:t>
      </w:r>
      <w:proofErr w:type="spellStart"/>
      <w:r w:rsidRPr="00047AB2">
        <w:t>Пусан</w:t>
      </w:r>
      <w:proofErr w:type="spellEnd"/>
      <w:r w:rsidRPr="00047AB2">
        <w:t>, 2014 г.) Полномочной конференции, Резолюцией 5 (</w:t>
      </w:r>
      <w:r w:rsidR="00FF28CB" w:rsidRPr="00047AB2">
        <w:t>Киото</w:t>
      </w:r>
      <w:r w:rsidRPr="00047AB2">
        <w:t xml:space="preserve">, </w:t>
      </w:r>
      <w:r w:rsidR="00FF28CB" w:rsidRPr="00047AB2">
        <w:t>1994</w:t>
      </w:r>
      <w:r w:rsidRPr="00047AB2">
        <w:t> г.) Полномочной конференции и Резолюцией 83 (</w:t>
      </w:r>
      <w:proofErr w:type="spellStart"/>
      <w:r w:rsidRPr="00047AB2">
        <w:t>ИЗМ</w:t>
      </w:r>
      <w:proofErr w:type="spellEnd"/>
      <w:r w:rsidRPr="00047AB2">
        <w:t xml:space="preserve">) Совета МСЭ об организации, финансировании и ликвидации счетов конференций и собраний МСЭ правительство </w:t>
      </w:r>
      <w:r w:rsidR="00CE5E7F" w:rsidRPr="00047AB2">
        <w:t xml:space="preserve">Тунисской Республики </w:t>
      </w:r>
      <w:r w:rsidRPr="00047AB2">
        <w:t>и МСЭ заключили Соглашение о проведении, организации и финансировании Всемирной ассамблеи по стандартизации электросвязи (</w:t>
      </w:r>
      <w:proofErr w:type="spellStart"/>
      <w:r w:rsidRPr="00047AB2">
        <w:t>ВАСЭ</w:t>
      </w:r>
      <w:proofErr w:type="spellEnd"/>
      <w:r w:rsidRPr="00047AB2">
        <w:t>-16), а также о проведении, организации и финансировании Глобального симпозиума по стандартизации Международного союза электросвязи (</w:t>
      </w:r>
      <w:proofErr w:type="spellStart"/>
      <w:r w:rsidRPr="00047AB2">
        <w:t>ГСС</w:t>
      </w:r>
      <w:proofErr w:type="spellEnd"/>
      <w:r w:rsidRPr="00047AB2">
        <w:t>).</w:t>
      </w:r>
    </w:p>
    <w:p w:rsidR="005B7F7D" w:rsidRPr="00047AB2" w:rsidRDefault="005B7F7D" w:rsidP="00CE5E7F">
      <w:r w:rsidRPr="00047AB2">
        <w:t>Комитет по бюджетному контролю принял к сведению Соглашение (Документ </w:t>
      </w:r>
      <w:hyperlink r:id="rId17" w:history="1">
        <w:r w:rsidRPr="00047AB2">
          <w:rPr>
            <w:rStyle w:val="Hyperlink"/>
          </w:rPr>
          <w:t>30</w:t>
        </w:r>
      </w:hyperlink>
      <w:r w:rsidRPr="00047AB2">
        <w:t xml:space="preserve">) и тепло поблагодарил правительство </w:t>
      </w:r>
      <w:r w:rsidR="00CE5E7F" w:rsidRPr="00047AB2">
        <w:t>Тунисской Республики</w:t>
      </w:r>
      <w:r w:rsidRPr="00047AB2">
        <w:t xml:space="preserve"> за отличную организацию, помещения и оборудование, обеспеченные для работы Ассамблеи.</w:t>
      </w:r>
    </w:p>
    <w:p w:rsidR="002C7B32" w:rsidRPr="00047AB2" w:rsidRDefault="002C7B32" w:rsidP="00CE5E7F">
      <w:pPr>
        <w:pStyle w:val="Heading1"/>
        <w:pageBreakBefore/>
        <w:rPr>
          <w:rFonts w:asciiTheme="majorBidi" w:hAnsiTheme="majorBidi" w:cstheme="majorBidi"/>
          <w:lang w:val="ru-RU"/>
        </w:rPr>
      </w:pPr>
      <w:bookmarkStart w:id="6" w:name="_Toc349140269"/>
      <w:bookmarkStart w:id="7" w:name="_Toc349141530"/>
      <w:r w:rsidRPr="00047AB2">
        <w:rPr>
          <w:lang w:val="ru-RU"/>
        </w:rPr>
        <w:lastRenderedPageBreak/>
        <w:t>4</w:t>
      </w:r>
      <w:r w:rsidRPr="00047AB2">
        <w:rPr>
          <w:lang w:val="ru-RU"/>
        </w:rPr>
        <w:tab/>
        <w:t>Финансовая ответственность конференций</w:t>
      </w:r>
      <w:bookmarkEnd w:id="6"/>
      <w:bookmarkEnd w:id="7"/>
    </w:p>
    <w:p w:rsidR="005B739C" w:rsidRPr="00047AB2" w:rsidRDefault="002C7B32" w:rsidP="00047AB2">
      <w:r w:rsidRPr="00047AB2">
        <w:t xml:space="preserve">Внимание Комитета 2 было </w:t>
      </w:r>
      <w:r w:rsidR="00CE5E7F" w:rsidRPr="00047AB2">
        <w:t>обращено на</w:t>
      </w:r>
      <w:r w:rsidRPr="00047AB2">
        <w:t xml:space="preserve"> п. 115 Статьи 18 Устава Международного союза электросвязи и </w:t>
      </w:r>
      <w:proofErr w:type="spellStart"/>
      <w:r w:rsidRPr="00047AB2">
        <w:t>пп</w:t>
      </w:r>
      <w:proofErr w:type="spellEnd"/>
      <w:r w:rsidRPr="00047AB2">
        <w:t>. 488 и 489 Статьи 34 Конвенции Международного союза электросвязи, касающи</w:t>
      </w:r>
      <w:r w:rsidR="00047AB2">
        <w:t>е</w:t>
      </w:r>
      <w:r w:rsidRPr="00047AB2">
        <w:t xml:space="preserve">ся финансовой ответственности конференций (Документы </w:t>
      </w:r>
      <w:hyperlink r:id="rId18" w:history="1">
        <w:r w:rsidRPr="00047AB2">
          <w:rPr>
            <w:rStyle w:val="Hyperlink"/>
          </w:rPr>
          <w:t>33</w:t>
        </w:r>
      </w:hyperlink>
      <w:r w:rsidRPr="00047AB2">
        <w:t xml:space="preserve"> и </w:t>
      </w:r>
      <w:hyperlink r:id="rId19" w:history="1">
        <w:proofErr w:type="spellStart"/>
        <w:r w:rsidRPr="00047AB2">
          <w:rPr>
            <w:rStyle w:val="Hyperlink"/>
          </w:rPr>
          <w:t>DT</w:t>
        </w:r>
        <w:proofErr w:type="spellEnd"/>
        <w:r w:rsidRPr="00047AB2">
          <w:rPr>
            <w:rStyle w:val="Hyperlink"/>
          </w:rPr>
          <w:t>/10</w:t>
        </w:r>
      </w:hyperlink>
      <w:r w:rsidRPr="00047AB2">
        <w:t xml:space="preserve">). </w:t>
      </w:r>
      <w:r w:rsidR="00CE5E7F" w:rsidRPr="00047AB2">
        <w:t>После собрания Документ </w:t>
      </w:r>
      <w:proofErr w:type="spellStart"/>
      <w:r w:rsidR="00DF7BD9" w:rsidRPr="00047AB2">
        <w:fldChar w:fldCharType="begin"/>
      </w:r>
      <w:r w:rsidR="00DF7BD9" w:rsidRPr="00047AB2">
        <w:instrText xml:space="preserve"> HYPERLINK "http://www.itu.int/md/T13-WTSA.16-161025-TD-GEN-0010/en" </w:instrText>
      </w:r>
      <w:r w:rsidR="00DF7BD9" w:rsidRPr="00047AB2">
        <w:fldChar w:fldCharType="separate"/>
      </w:r>
      <w:r w:rsidRPr="00047AB2">
        <w:rPr>
          <w:rStyle w:val="Hyperlink"/>
        </w:rPr>
        <w:t>DT</w:t>
      </w:r>
      <w:proofErr w:type="spellEnd"/>
      <w:r w:rsidRPr="00047AB2">
        <w:rPr>
          <w:rStyle w:val="Hyperlink"/>
        </w:rPr>
        <w:t>/10</w:t>
      </w:r>
      <w:r w:rsidR="00DF7BD9" w:rsidRPr="00047AB2">
        <w:fldChar w:fldCharType="end"/>
      </w:r>
      <w:r w:rsidRPr="00047AB2">
        <w:t xml:space="preserve"> </w:t>
      </w:r>
      <w:r w:rsidR="00CE5E7F" w:rsidRPr="00047AB2">
        <w:t>был преобразован в</w:t>
      </w:r>
      <w:r w:rsidRPr="00047AB2">
        <w:t xml:space="preserve"> Документ </w:t>
      </w:r>
      <w:hyperlink r:id="rId20" w:history="1">
        <w:r w:rsidRPr="00047AB2">
          <w:rPr>
            <w:rStyle w:val="Hyperlink"/>
          </w:rPr>
          <w:t>62</w:t>
        </w:r>
      </w:hyperlink>
      <w:r w:rsidRPr="00047AB2">
        <w:t>.</w:t>
      </w:r>
    </w:p>
    <w:p w:rsidR="002C7B32" w:rsidRPr="00047AB2" w:rsidRDefault="00F55088" w:rsidP="0073462F">
      <w:pPr>
        <w:pStyle w:val="Heading1"/>
        <w:rPr>
          <w:lang w:val="ru-RU"/>
        </w:rPr>
      </w:pPr>
      <w:r w:rsidRPr="00047AB2">
        <w:rPr>
          <w:lang w:val="ru-RU"/>
        </w:rPr>
        <w:t>5</w:t>
      </w:r>
      <w:r w:rsidR="0073462F" w:rsidRPr="00047AB2">
        <w:rPr>
          <w:lang w:val="ru-RU"/>
        </w:rPr>
        <w:tab/>
        <w:t xml:space="preserve">Бюджет Всемирной ассамблеи по стандартизации электросвязи </w:t>
      </w:r>
      <w:r w:rsidR="0073462F" w:rsidRPr="00047AB2">
        <w:rPr>
          <w:lang w:val="ru-RU"/>
        </w:rPr>
        <w:br/>
        <w:t>(</w:t>
      </w:r>
      <w:proofErr w:type="spellStart"/>
      <w:r w:rsidR="0073462F" w:rsidRPr="00047AB2">
        <w:rPr>
          <w:lang w:val="ru-RU"/>
        </w:rPr>
        <w:t>ВАСЭ</w:t>
      </w:r>
      <w:proofErr w:type="spellEnd"/>
      <w:r w:rsidR="0073462F" w:rsidRPr="00047AB2">
        <w:rPr>
          <w:lang w:val="ru-RU"/>
        </w:rPr>
        <w:t>-16)</w:t>
      </w:r>
    </w:p>
    <w:p w:rsidR="0073462F" w:rsidRPr="00047AB2" w:rsidRDefault="0073462F" w:rsidP="00047AB2">
      <w:r w:rsidRPr="00047AB2">
        <w:t>На своей сессии 2015 года Совет утвердил в Резолюции 1375 бюджет Всемирной ассамблеи по стандартизации электросвязи (</w:t>
      </w:r>
      <w:proofErr w:type="spellStart"/>
      <w:r w:rsidRPr="00047AB2">
        <w:t>ВАСЭ</w:t>
      </w:r>
      <w:proofErr w:type="spellEnd"/>
      <w:r w:rsidRPr="00047AB2">
        <w:t>-16) на двухгодичный период 2016–2017 годов в сумме 2</w:t>
      </w:r>
      <w:r w:rsidR="00CE5E7F" w:rsidRPr="00047AB2">
        <w:t> </w:t>
      </w:r>
      <w:r w:rsidRPr="00047AB2">
        <w:t>154</w:t>
      </w:r>
      <w:r w:rsidR="00CE5E7F" w:rsidRPr="00047AB2">
        <w:t> 000 </w:t>
      </w:r>
      <w:r w:rsidRPr="00047AB2">
        <w:t>швейцарских франков, из которых 1</w:t>
      </w:r>
      <w:r w:rsidR="00CE5E7F" w:rsidRPr="00047AB2">
        <w:t> </w:t>
      </w:r>
      <w:r w:rsidRPr="00047AB2">
        <w:t>457</w:t>
      </w:r>
      <w:r w:rsidR="00CE5E7F" w:rsidRPr="00047AB2">
        <w:t> </w:t>
      </w:r>
      <w:r w:rsidRPr="00047AB2">
        <w:t>000 швейцарских франков выделяются на документацию.</w:t>
      </w:r>
    </w:p>
    <w:p w:rsidR="0073462F" w:rsidRPr="00047AB2" w:rsidRDefault="00F32344" w:rsidP="00CE5E7F">
      <w:r w:rsidRPr="00047AB2">
        <w:t xml:space="preserve">Смета расходов </w:t>
      </w:r>
      <w:proofErr w:type="spellStart"/>
      <w:r w:rsidRPr="00047AB2">
        <w:t>ВАСЭ</w:t>
      </w:r>
      <w:proofErr w:type="spellEnd"/>
      <w:r w:rsidRPr="00047AB2">
        <w:t>-16 по состоянию на 31 октября 2016 года отражает неизрасходованные ассигнования в сумме 43</w:t>
      </w:r>
      <w:r w:rsidR="00CE5E7F" w:rsidRPr="00047AB2">
        <w:t> тыс.</w:t>
      </w:r>
      <w:r w:rsidRPr="00047AB2">
        <w:t xml:space="preserve"> швейцарских франков, исключая затраты на документацию. Прогнозируется превышение расходов на сумму 23</w:t>
      </w:r>
      <w:r w:rsidR="00CE5E7F" w:rsidRPr="00047AB2">
        <w:t> тыс.</w:t>
      </w:r>
      <w:r w:rsidRPr="00047AB2">
        <w:t xml:space="preserve"> швейцарских франков на документацию в связи с более высоким объемом документов по сравнению с планировавшимся. Ожидается, что общие затраты, в том числе и на документацию, будут на 20</w:t>
      </w:r>
      <w:r w:rsidR="00CE5E7F" w:rsidRPr="00047AB2">
        <w:t> тыс.</w:t>
      </w:r>
      <w:r w:rsidRPr="00047AB2">
        <w:t xml:space="preserve"> швейцарских франков ниже предусмотренного в бюджете уровня. (Документ </w:t>
      </w:r>
      <w:proofErr w:type="spellStart"/>
      <w:r w:rsidR="00DF7BD9" w:rsidRPr="00047AB2">
        <w:fldChar w:fldCharType="begin"/>
      </w:r>
      <w:r w:rsidR="00DF7BD9" w:rsidRPr="00047AB2">
        <w:instrText xml:space="preserve"> HYPERLINK "http://www.itu.int/md/T13-WTSA.16-161025-TD-GEN-0052/en" </w:instrText>
      </w:r>
      <w:r w:rsidR="00DF7BD9" w:rsidRPr="00047AB2">
        <w:fldChar w:fldCharType="separate"/>
      </w:r>
      <w:r w:rsidRPr="00047AB2">
        <w:rPr>
          <w:rStyle w:val="Hyperlink"/>
        </w:rPr>
        <w:t>DT</w:t>
      </w:r>
      <w:proofErr w:type="spellEnd"/>
      <w:r w:rsidRPr="00047AB2">
        <w:rPr>
          <w:rStyle w:val="Hyperlink"/>
        </w:rPr>
        <w:t>/52</w:t>
      </w:r>
      <w:r w:rsidR="00DF7BD9" w:rsidRPr="00047AB2">
        <w:fldChar w:fldCharType="end"/>
      </w:r>
      <w:r w:rsidRPr="00047AB2">
        <w:t xml:space="preserve"> и Приложение A к настоящему отчету).</w:t>
      </w:r>
    </w:p>
    <w:p w:rsidR="00F70B84" w:rsidRPr="00047AB2" w:rsidRDefault="00F55088" w:rsidP="00F70B84">
      <w:pPr>
        <w:pStyle w:val="Heading1"/>
        <w:rPr>
          <w:lang w:val="ru-RU"/>
        </w:rPr>
      </w:pPr>
      <w:r w:rsidRPr="00047AB2">
        <w:rPr>
          <w:lang w:val="ru-RU"/>
        </w:rPr>
        <w:t>6</w:t>
      </w:r>
      <w:r w:rsidR="00F70B84" w:rsidRPr="00047AB2">
        <w:rPr>
          <w:lang w:val="ru-RU"/>
        </w:rPr>
        <w:tab/>
        <w:t>Взносы на покрытие расходов Всемирной ассамблеи по стандартизации электросвязи (</w:t>
      </w:r>
      <w:proofErr w:type="spellStart"/>
      <w:r w:rsidR="00F70B84" w:rsidRPr="00047AB2">
        <w:rPr>
          <w:lang w:val="ru-RU"/>
        </w:rPr>
        <w:t>ВАСЭ</w:t>
      </w:r>
      <w:proofErr w:type="spellEnd"/>
      <w:r w:rsidR="00F70B84" w:rsidRPr="00047AB2">
        <w:rPr>
          <w:lang w:val="ru-RU"/>
        </w:rPr>
        <w:t>-16)</w:t>
      </w:r>
    </w:p>
    <w:p w:rsidR="00F70B84" w:rsidRPr="00047AB2" w:rsidRDefault="00F60D65" w:rsidP="00F60D65">
      <w:pPr>
        <w:rPr>
          <w:rFonts w:asciiTheme="majorBidi" w:hAnsiTheme="majorBidi" w:cstheme="majorBidi"/>
          <w:szCs w:val="22"/>
        </w:rPr>
      </w:pPr>
      <w:r w:rsidRPr="00047AB2">
        <w:rPr>
          <w:rFonts w:asciiTheme="majorBidi" w:hAnsiTheme="majorBidi" w:cstheme="majorBidi"/>
          <w:szCs w:val="22"/>
        </w:rPr>
        <w:t>Комитет принял к сведению</w:t>
      </w:r>
      <w:r w:rsidRPr="00047AB2">
        <w:t xml:space="preserve"> сумму, которую должны будут уплатить не освобожденные от этого международные организации и Члены Секторов (помимо Членов МСЭ-Т) в счет покрытия расходов Конференции (Документ </w:t>
      </w:r>
      <w:hyperlink r:id="rId21" w:history="1">
        <w:r w:rsidRPr="00047AB2">
          <w:rPr>
            <w:rStyle w:val="Hyperlink"/>
          </w:rPr>
          <w:t>32</w:t>
        </w:r>
      </w:hyperlink>
      <w:r w:rsidRPr="00047AB2">
        <w:t>)</w:t>
      </w:r>
      <w:r w:rsidRPr="00047AB2">
        <w:rPr>
          <w:rFonts w:asciiTheme="majorBidi" w:hAnsiTheme="majorBidi" w:cstheme="majorBidi"/>
          <w:szCs w:val="22"/>
        </w:rPr>
        <w:t>.</w:t>
      </w:r>
    </w:p>
    <w:p w:rsidR="00F60D65" w:rsidRPr="00047AB2" w:rsidRDefault="00DF7BD9" w:rsidP="00E47988">
      <w:r w:rsidRPr="00047AB2">
        <w:t>По состоянию н</w:t>
      </w:r>
      <w:r w:rsidR="00E47988" w:rsidRPr="00047AB2">
        <w:t>а 2 ноября 2016 года не было зарегистрировано ни одной организации и ни одного Члена Сектора, которые должны участвовать в покрытии расходов Конференции.</w:t>
      </w:r>
    </w:p>
    <w:p w:rsidR="00A2480D" w:rsidRPr="00047AB2" w:rsidRDefault="00A2480D" w:rsidP="00047AB2">
      <w:pPr>
        <w:pStyle w:val="Heading1"/>
      </w:pPr>
      <w:bookmarkStart w:id="8" w:name="_Toc349140272"/>
      <w:bookmarkStart w:id="9" w:name="_Toc349141533"/>
      <w:r w:rsidRPr="00047AB2">
        <w:t>7</w:t>
      </w:r>
      <w:r w:rsidRPr="00047AB2">
        <w:tab/>
      </w:r>
      <w:proofErr w:type="spellStart"/>
      <w:r w:rsidR="001938BA" w:rsidRPr="00047AB2">
        <w:t>Отчет</w:t>
      </w:r>
      <w:proofErr w:type="spellEnd"/>
      <w:r w:rsidRPr="00047AB2">
        <w:t xml:space="preserve"> </w:t>
      </w:r>
      <w:proofErr w:type="spellStart"/>
      <w:r w:rsidRPr="00047AB2">
        <w:t>об</w:t>
      </w:r>
      <w:proofErr w:type="spellEnd"/>
      <w:r w:rsidRPr="00047AB2">
        <w:t xml:space="preserve"> </w:t>
      </w:r>
      <w:proofErr w:type="spellStart"/>
      <w:r w:rsidRPr="00047AB2">
        <w:t>оценке</w:t>
      </w:r>
      <w:proofErr w:type="spellEnd"/>
      <w:r w:rsidRPr="00047AB2">
        <w:t xml:space="preserve"> </w:t>
      </w:r>
      <w:proofErr w:type="spellStart"/>
      <w:r w:rsidRPr="00047AB2">
        <w:t>финансовых</w:t>
      </w:r>
      <w:proofErr w:type="spellEnd"/>
      <w:r w:rsidRPr="00047AB2">
        <w:t xml:space="preserve"> </w:t>
      </w:r>
      <w:proofErr w:type="spellStart"/>
      <w:r w:rsidRPr="00047AB2">
        <w:t>потребностей</w:t>
      </w:r>
      <w:proofErr w:type="spellEnd"/>
      <w:r w:rsidRPr="00047AB2">
        <w:t xml:space="preserve"> </w:t>
      </w:r>
      <w:proofErr w:type="spellStart"/>
      <w:r w:rsidRPr="00047AB2">
        <w:t>на</w:t>
      </w:r>
      <w:proofErr w:type="spellEnd"/>
      <w:r w:rsidRPr="00047AB2">
        <w:t xml:space="preserve"> </w:t>
      </w:r>
      <w:proofErr w:type="spellStart"/>
      <w:r w:rsidRPr="00047AB2">
        <w:t>период</w:t>
      </w:r>
      <w:proofErr w:type="spellEnd"/>
      <w:r w:rsidRPr="00047AB2">
        <w:t xml:space="preserve"> </w:t>
      </w:r>
      <w:proofErr w:type="spellStart"/>
      <w:r w:rsidRPr="00047AB2">
        <w:t>до</w:t>
      </w:r>
      <w:proofErr w:type="spellEnd"/>
      <w:r w:rsidRPr="00047AB2">
        <w:t xml:space="preserve"> </w:t>
      </w:r>
      <w:proofErr w:type="spellStart"/>
      <w:r w:rsidRPr="00047AB2">
        <w:t>ВАСЭ</w:t>
      </w:r>
      <w:proofErr w:type="spellEnd"/>
      <w:r w:rsidRPr="00047AB2">
        <w:t xml:space="preserve">-20 и </w:t>
      </w:r>
      <w:r w:rsidR="00047AB2" w:rsidRPr="00047AB2">
        <w:t>о </w:t>
      </w:r>
      <w:proofErr w:type="spellStart"/>
      <w:r w:rsidRPr="00047AB2">
        <w:t>расход</w:t>
      </w:r>
      <w:r w:rsidR="001938BA" w:rsidRPr="00047AB2">
        <w:t>ах</w:t>
      </w:r>
      <w:proofErr w:type="spellEnd"/>
      <w:r w:rsidRPr="00047AB2">
        <w:t xml:space="preserve"> </w:t>
      </w:r>
      <w:proofErr w:type="spellStart"/>
      <w:r w:rsidRPr="00047AB2">
        <w:t>МСЭ</w:t>
      </w:r>
      <w:proofErr w:type="spellEnd"/>
      <w:r w:rsidRPr="00047AB2">
        <w:t xml:space="preserve">-Т </w:t>
      </w:r>
      <w:proofErr w:type="spellStart"/>
      <w:r w:rsidR="001938BA" w:rsidRPr="00047AB2">
        <w:t>з</w:t>
      </w:r>
      <w:r w:rsidRPr="00047AB2">
        <w:t>а</w:t>
      </w:r>
      <w:proofErr w:type="spellEnd"/>
      <w:r w:rsidRPr="00047AB2">
        <w:t xml:space="preserve"> </w:t>
      </w:r>
      <w:proofErr w:type="spellStart"/>
      <w:r w:rsidRPr="00047AB2">
        <w:t>период</w:t>
      </w:r>
      <w:proofErr w:type="spellEnd"/>
      <w:r w:rsidRPr="00047AB2">
        <w:t xml:space="preserve"> 2012–2016 </w:t>
      </w:r>
      <w:proofErr w:type="spellStart"/>
      <w:r w:rsidRPr="00047AB2">
        <w:t>годов</w:t>
      </w:r>
      <w:bookmarkEnd w:id="8"/>
      <w:bookmarkEnd w:id="9"/>
      <w:proofErr w:type="spellEnd"/>
      <w:r w:rsidRPr="00047AB2">
        <w:t xml:space="preserve"> </w:t>
      </w:r>
    </w:p>
    <w:p w:rsidR="00A2480D" w:rsidRPr="00047AB2" w:rsidRDefault="00AA5082" w:rsidP="001938BA">
      <w:r w:rsidRPr="00047AB2">
        <w:t xml:space="preserve">Был представлен и подробно рассмотрен </w:t>
      </w:r>
      <w:r w:rsidR="001938BA" w:rsidRPr="00047AB2">
        <w:t>отчет</w:t>
      </w:r>
      <w:r w:rsidRPr="00047AB2">
        <w:t xml:space="preserve"> об оценке финансовых потребностей на период до </w:t>
      </w:r>
      <w:proofErr w:type="spellStart"/>
      <w:r w:rsidRPr="00047AB2">
        <w:t>ВАСЭ</w:t>
      </w:r>
      <w:proofErr w:type="spellEnd"/>
      <w:r w:rsidRPr="00047AB2">
        <w:t xml:space="preserve">-20 и </w:t>
      </w:r>
      <w:r w:rsidR="001938BA" w:rsidRPr="00047AB2">
        <w:t xml:space="preserve">о </w:t>
      </w:r>
      <w:r w:rsidRPr="00047AB2">
        <w:t>расход</w:t>
      </w:r>
      <w:r w:rsidR="001938BA" w:rsidRPr="00047AB2">
        <w:t>ах МСЭ-Т з</w:t>
      </w:r>
      <w:r w:rsidRPr="00047AB2">
        <w:t>а период 2012–2016 годов (Документ </w:t>
      </w:r>
      <w:hyperlink r:id="rId22" w:history="1">
        <w:r w:rsidRPr="00047AB2">
          <w:rPr>
            <w:rStyle w:val="Hyperlink"/>
          </w:rPr>
          <w:t>29</w:t>
        </w:r>
      </w:hyperlink>
      <w:r w:rsidRPr="00047AB2">
        <w:t xml:space="preserve">). </w:t>
      </w:r>
      <w:r w:rsidR="00D46042" w:rsidRPr="00047AB2">
        <w:t xml:space="preserve">В отношении финансовых потребностей на период до 2020 года Комитет подчеркнул важность оптимизации использования ресурсов Союза. Было повторно отмечено, что </w:t>
      </w:r>
      <w:r w:rsidR="001938BA" w:rsidRPr="00047AB2">
        <w:t xml:space="preserve">в </w:t>
      </w:r>
      <w:r w:rsidR="00D46042" w:rsidRPr="00047AB2">
        <w:t>бюджет</w:t>
      </w:r>
      <w:r w:rsidR="001938BA" w:rsidRPr="00047AB2">
        <w:t>е</w:t>
      </w:r>
      <w:r w:rsidR="00D46042" w:rsidRPr="00047AB2">
        <w:t xml:space="preserve"> на 2016−2017 годы, утвержденн</w:t>
      </w:r>
      <w:r w:rsidR="001938BA" w:rsidRPr="00047AB2">
        <w:t>ом</w:t>
      </w:r>
      <w:r w:rsidR="00D46042" w:rsidRPr="00047AB2">
        <w:t xml:space="preserve"> Советом 2015 года (Резолюция 1375), и </w:t>
      </w:r>
      <w:r w:rsidR="001938BA" w:rsidRPr="00047AB2">
        <w:t xml:space="preserve">в </w:t>
      </w:r>
      <w:r w:rsidR="00D46042" w:rsidRPr="00047AB2">
        <w:t>Финансов</w:t>
      </w:r>
      <w:r w:rsidR="001938BA" w:rsidRPr="00047AB2">
        <w:t>ом</w:t>
      </w:r>
      <w:r w:rsidR="00D46042" w:rsidRPr="00047AB2">
        <w:t xml:space="preserve"> план</w:t>
      </w:r>
      <w:r w:rsidR="001938BA" w:rsidRPr="00047AB2">
        <w:t>е</w:t>
      </w:r>
      <w:r w:rsidR="00D46042" w:rsidRPr="00047AB2">
        <w:t xml:space="preserve"> на 2016−2019 годы, утвержденн</w:t>
      </w:r>
      <w:r w:rsidR="001938BA" w:rsidRPr="00047AB2">
        <w:t>ом</w:t>
      </w:r>
      <w:r w:rsidR="00D46042" w:rsidRPr="00047AB2">
        <w:t xml:space="preserve"> ПК-14 (</w:t>
      </w:r>
      <w:r w:rsidR="001938BA" w:rsidRPr="00047AB2">
        <w:t>Решение </w:t>
      </w:r>
      <w:r w:rsidR="00D46042" w:rsidRPr="00047AB2">
        <w:t>5), уже установ</w:t>
      </w:r>
      <w:r w:rsidR="001938BA" w:rsidRPr="00047AB2">
        <w:t>лены</w:t>
      </w:r>
      <w:r w:rsidR="00D46042" w:rsidRPr="00047AB2">
        <w:t xml:space="preserve"> рамки расходов на 2016−2019 годы. </w:t>
      </w:r>
      <w:r w:rsidR="001938BA" w:rsidRPr="00047AB2">
        <w:t>В дополнение к Документу </w:t>
      </w:r>
      <w:hyperlink r:id="rId23" w:history="1">
        <w:proofErr w:type="spellStart"/>
        <w:r w:rsidR="00D46042" w:rsidRPr="00047AB2">
          <w:rPr>
            <w:rStyle w:val="Hyperlink"/>
          </w:rPr>
          <w:t>DT</w:t>
        </w:r>
        <w:proofErr w:type="spellEnd"/>
        <w:r w:rsidR="00D46042" w:rsidRPr="00047AB2">
          <w:rPr>
            <w:rStyle w:val="Hyperlink"/>
          </w:rPr>
          <w:t>/10</w:t>
        </w:r>
      </w:hyperlink>
      <w:r w:rsidR="00D46042" w:rsidRPr="00047AB2">
        <w:t xml:space="preserve"> </w:t>
      </w:r>
      <w:r w:rsidR="001938BA" w:rsidRPr="00047AB2">
        <w:t>Комитет решил подготовить записку председателя Комитета 2 председателям Комитета 3, Комитета 4 и рабочих групп</w:t>
      </w:r>
      <w:r w:rsidR="00D46042" w:rsidRPr="00047AB2">
        <w:t xml:space="preserve"> (</w:t>
      </w:r>
      <w:r w:rsidR="001938BA" w:rsidRPr="00047AB2">
        <w:t>Документ </w:t>
      </w:r>
      <w:hyperlink r:id="rId24" w:history="1">
        <w:r w:rsidR="00D46042" w:rsidRPr="00047AB2">
          <w:rPr>
            <w:rStyle w:val="Hyperlink"/>
          </w:rPr>
          <w:t>63</w:t>
        </w:r>
      </w:hyperlink>
      <w:r w:rsidR="00D46042" w:rsidRPr="00047AB2">
        <w:t>).</w:t>
      </w:r>
    </w:p>
    <w:p w:rsidR="00F55088" w:rsidRPr="00047AB2" w:rsidRDefault="00F55088" w:rsidP="00F55088">
      <w:pPr>
        <w:pStyle w:val="Heading1"/>
        <w:rPr>
          <w:lang w:val="ru-RU"/>
        </w:rPr>
      </w:pPr>
      <w:bookmarkStart w:id="10" w:name="_Toc349140274"/>
      <w:bookmarkStart w:id="11" w:name="_Toc349141535"/>
      <w:r w:rsidRPr="00047AB2">
        <w:rPr>
          <w:lang w:val="ru-RU"/>
        </w:rPr>
        <w:t>8</w:t>
      </w:r>
      <w:r w:rsidRPr="00047AB2">
        <w:rPr>
          <w:lang w:val="ru-RU"/>
        </w:rPr>
        <w:tab/>
        <w:t xml:space="preserve">Финансовые последствия Решений и Резолюций </w:t>
      </w:r>
      <w:proofErr w:type="spellStart"/>
      <w:r w:rsidRPr="00047AB2">
        <w:rPr>
          <w:lang w:val="ru-RU"/>
        </w:rPr>
        <w:t>ВАСЭ</w:t>
      </w:r>
      <w:proofErr w:type="spellEnd"/>
      <w:r w:rsidRPr="00047AB2">
        <w:rPr>
          <w:lang w:val="ru-RU"/>
        </w:rPr>
        <w:t>-1</w:t>
      </w:r>
      <w:bookmarkEnd w:id="10"/>
      <w:bookmarkEnd w:id="11"/>
      <w:r w:rsidRPr="00047AB2">
        <w:rPr>
          <w:lang w:val="ru-RU"/>
        </w:rPr>
        <w:t>6</w:t>
      </w:r>
    </w:p>
    <w:p w:rsidR="00D46042" w:rsidRPr="00047AB2" w:rsidRDefault="00F55088" w:rsidP="00C23ED6">
      <w:r w:rsidRPr="00047AB2">
        <w:t>По состоянию на 31 октября 2016 года Комитет по бюджетному контролю выявил несколько областей, которые могут иметь определенные финансовые последствия (</w:t>
      </w:r>
      <w:r w:rsidR="001938BA" w:rsidRPr="00047AB2">
        <w:t>см. Документ </w:t>
      </w:r>
      <w:proofErr w:type="spellStart"/>
      <w:r w:rsidR="00DF7BD9" w:rsidRPr="00047AB2">
        <w:fldChar w:fldCharType="begin"/>
      </w:r>
      <w:r w:rsidR="00DF7BD9" w:rsidRPr="00047AB2">
        <w:instrText xml:space="preserve"> HYPERLINK "http://www.itu.int/md/T13-WTSA.16-161025-TD-GEN-0053/en" </w:instrText>
      </w:r>
      <w:r w:rsidR="00DF7BD9" w:rsidRPr="00047AB2">
        <w:fldChar w:fldCharType="separate"/>
      </w:r>
      <w:r w:rsidRPr="00047AB2">
        <w:rPr>
          <w:rStyle w:val="Hyperlink"/>
        </w:rPr>
        <w:t>DT</w:t>
      </w:r>
      <w:proofErr w:type="spellEnd"/>
      <w:r w:rsidRPr="00047AB2">
        <w:rPr>
          <w:rStyle w:val="Hyperlink"/>
        </w:rPr>
        <w:t>/53</w:t>
      </w:r>
      <w:r w:rsidR="00DF7BD9" w:rsidRPr="00047AB2">
        <w:fldChar w:fldCharType="end"/>
      </w:r>
      <w:r w:rsidRPr="00047AB2">
        <w:t xml:space="preserve">). </w:t>
      </w:r>
      <w:r w:rsidR="001938BA" w:rsidRPr="00047AB2">
        <w:t>Комитет 2 обсудил этот документ и решил изменить название Документа </w:t>
      </w:r>
      <w:proofErr w:type="spellStart"/>
      <w:r w:rsidR="00DF7BD9" w:rsidRPr="00047AB2">
        <w:fldChar w:fldCharType="begin"/>
      </w:r>
      <w:r w:rsidR="00DF7BD9" w:rsidRPr="00047AB2">
        <w:instrText xml:space="preserve"> HYPERLINK "http://www.itu.int/md/T13-WTSA.16-161025-TD-GEN-0053/en" </w:instrText>
      </w:r>
      <w:r w:rsidR="00DF7BD9" w:rsidRPr="00047AB2">
        <w:fldChar w:fldCharType="separate"/>
      </w:r>
      <w:r w:rsidRPr="00047AB2">
        <w:rPr>
          <w:rStyle w:val="Hyperlink"/>
        </w:rPr>
        <w:t>DT</w:t>
      </w:r>
      <w:proofErr w:type="spellEnd"/>
      <w:r w:rsidRPr="00047AB2">
        <w:rPr>
          <w:rStyle w:val="Hyperlink"/>
        </w:rPr>
        <w:t>/53</w:t>
      </w:r>
      <w:r w:rsidR="00DF7BD9" w:rsidRPr="00047AB2">
        <w:fldChar w:fldCharType="end"/>
      </w:r>
      <w:r w:rsidRPr="00047AB2">
        <w:t xml:space="preserve"> </w:t>
      </w:r>
      <w:r w:rsidR="001938BA" w:rsidRPr="00047AB2">
        <w:t>на следующее</w:t>
      </w:r>
      <w:r w:rsidRPr="00047AB2">
        <w:t xml:space="preserve">: </w:t>
      </w:r>
      <w:r w:rsidR="00C23ED6" w:rsidRPr="00047AB2">
        <w:t xml:space="preserve">Предварительная оценка затрат по Решениям и Резолюциям Всемирной ассамблеи по стандартизации электросвязи </w:t>
      </w:r>
      <w:r w:rsidRPr="00047AB2">
        <w:t>(</w:t>
      </w:r>
      <w:proofErr w:type="spellStart"/>
      <w:r w:rsidRPr="00047AB2">
        <w:t>ВАСЭ</w:t>
      </w:r>
      <w:proofErr w:type="spellEnd"/>
      <w:r w:rsidRPr="00047AB2">
        <w:noBreakHyphen/>
        <w:t>16).</w:t>
      </w:r>
    </w:p>
    <w:p w:rsidR="00643693" w:rsidRPr="00047AB2" w:rsidRDefault="00C23ED6" w:rsidP="00C23ED6">
      <w:r w:rsidRPr="00047AB2">
        <w:t>В ходе обсуждения финансовых последствий расходов на устный перевод, которые может вызвать пересмотренная Резолюция 44, Комитет 2 выразил обеспокоенность в связи со значительной суммой и рекомендовал, при необходимости</w:t>
      </w:r>
      <w:r w:rsidR="00643693" w:rsidRPr="00047AB2">
        <w:t xml:space="preserve">, </w:t>
      </w:r>
      <w:r w:rsidRPr="00047AB2">
        <w:t>рассмотреть при подготовке бюджета на 2018–2019 годы наиболее дорогостоящий вариант (вариант 2)</w:t>
      </w:r>
      <w:r w:rsidR="00643693" w:rsidRPr="00047AB2">
        <w:t>.</w:t>
      </w:r>
    </w:p>
    <w:p w:rsidR="00F55088" w:rsidRPr="00047AB2" w:rsidRDefault="00C23ED6" w:rsidP="00E24E27">
      <w:r w:rsidRPr="00047AB2">
        <w:lastRenderedPageBreak/>
        <w:t>Секретариат подтвердил, что обсуждаемые в рамках пересмотренной Резолюции 44 варианты не достигают верхнего предела – 85 млн. швейцарских франков на 2016–2019 годы, установленного в Решении 5 ПК</w:t>
      </w:r>
      <w:r w:rsidRPr="00047AB2">
        <w:noBreakHyphen/>
        <w:t xml:space="preserve">14 (пункт 1.2 раздела </w:t>
      </w:r>
      <w:r w:rsidRPr="00047AB2">
        <w:rPr>
          <w:i/>
          <w:iCs/>
        </w:rPr>
        <w:t>решает</w:t>
      </w:r>
      <w:r w:rsidR="00643693" w:rsidRPr="00047AB2">
        <w:t xml:space="preserve">). </w:t>
      </w:r>
      <w:r w:rsidRPr="00047AB2">
        <w:t>При подготовке бюджета на 2018–2019 годы можно будет также изучить среднюю альтернативу</w:t>
      </w:r>
      <w:r w:rsidR="00E24E27" w:rsidRPr="00047AB2">
        <w:t>, находящуюся между двумя предложенными вариантами</w:t>
      </w:r>
      <w:r w:rsidR="00643693" w:rsidRPr="00047AB2">
        <w:t>.</w:t>
      </w:r>
    </w:p>
    <w:p w:rsidR="00643693" w:rsidRPr="00047AB2" w:rsidRDefault="00E24E27" w:rsidP="00E24E27">
      <w:r w:rsidRPr="00047AB2">
        <w:t>После своего второго собрания, прошедшего во вторник, 1 ноября 2016 года, Комитет 2 получил дополнительные просьбы рассмотреть</w:t>
      </w:r>
      <w:r w:rsidR="002E6229" w:rsidRPr="00047AB2">
        <w:t xml:space="preserve"> новые</w:t>
      </w:r>
      <w:r w:rsidRPr="00047AB2">
        <w:t xml:space="preserve"> и </w:t>
      </w:r>
      <w:r w:rsidR="002E6229" w:rsidRPr="00047AB2">
        <w:t>пересмотренные Резолюции, которые</w:t>
      </w:r>
      <w:r w:rsidRPr="00047AB2">
        <w:t xml:space="preserve"> могут иметь финансовые последствия</w:t>
      </w:r>
      <w:r w:rsidR="002E6229" w:rsidRPr="00047AB2">
        <w:t>, и представить свое мнение (Документы </w:t>
      </w:r>
      <w:hyperlink r:id="rId25" w:history="1">
        <w:r w:rsidR="002E6229" w:rsidRPr="00047AB2">
          <w:rPr>
            <w:rStyle w:val="Hyperlink"/>
          </w:rPr>
          <w:t>93</w:t>
        </w:r>
      </w:hyperlink>
      <w:r w:rsidR="002E6229" w:rsidRPr="00047AB2">
        <w:t xml:space="preserve">, </w:t>
      </w:r>
      <w:hyperlink r:id="rId26" w:history="1">
        <w:r w:rsidR="002E6229" w:rsidRPr="00047AB2">
          <w:rPr>
            <w:rStyle w:val="Hyperlink"/>
          </w:rPr>
          <w:t>96</w:t>
        </w:r>
      </w:hyperlink>
      <w:r w:rsidR="002E6229" w:rsidRPr="00047AB2">
        <w:t xml:space="preserve"> и </w:t>
      </w:r>
      <w:hyperlink r:id="rId27" w:history="1">
        <w:r w:rsidR="002E6229" w:rsidRPr="00047AB2">
          <w:rPr>
            <w:rStyle w:val="Hyperlink"/>
          </w:rPr>
          <w:t>100</w:t>
        </w:r>
      </w:hyperlink>
      <w:r w:rsidR="002E6229" w:rsidRPr="00047AB2">
        <w:t>).</w:t>
      </w:r>
    </w:p>
    <w:p w:rsidR="002E6229" w:rsidRPr="00047AB2" w:rsidRDefault="002E6229" w:rsidP="00DF7BD9">
      <w:r w:rsidRPr="00047AB2">
        <w:t>Оценочные финансовые последствия имеют индикативный характер и будут дополнительно рассматриваться Советом на его сессии 2017 года при принятии бюджета на 2018</w:t>
      </w:r>
      <w:r w:rsidRPr="00047AB2">
        <w:sym w:font="Symbol" w:char="F02D"/>
      </w:r>
      <w:r w:rsidRPr="00047AB2">
        <w:t xml:space="preserve">2019 годы. </w:t>
      </w:r>
      <w:r w:rsidR="00E24E27" w:rsidRPr="00047AB2">
        <w:t>Поскольку в Финансовом плане на 2016–2019 годы, утвержденном ПК</w:t>
      </w:r>
      <w:r w:rsidR="00E24E27" w:rsidRPr="00047AB2">
        <w:noBreakHyphen/>
        <w:t>14, уже установлены рамки для расходов на 2016–2019 годы, Секретариат уведомил Комитет 2, что будет сложно сбалансировать бюджет на 2018–2019 годы с теми Решениями и Резолюциями, по которы</w:t>
      </w:r>
      <w:r w:rsidR="00DF7BD9" w:rsidRPr="00047AB2">
        <w:t>м</w:t>
      </w:r>
      <w:r w:rsidR="00E24E27" w:rsidRPr="00047AB2">
        <w:t xml:space="preserve"> требуется дополнительное финансирование</w:t>
      </w:r>
      <w:r w:rsidRPr="00047AB2">
        <w:t>.</w:t>
      </w:r>
    </w:p>
    <w:p w:rsidR="002E6229" w:rsidRPr="00047AB2" w:rsidRDefault="00DC2D2A" w:rsidP="00E24E27">
      <w:r w:rsidRPr="00047AB2">
        <w:t xml:space="preserve">Что касается 2017 года, то </w:t>
      </w:r>
      <w:proofErr w:type="spellStart"/>
      <w:r w:rsidRPr="00047AB2">
        <w:t>БСЭ</w:t>
      </w:r>
      <w:proofErr w:type="spellEnd"/>
      <w:r w:rsidRPr="00047AB2">
        <w:t xml:space="preserve"> будет стремиться </w:t>
      </w:r>
      <w:r w:rsidR="00E24E27" w:rsidRPr="00047AB2">
        <w:t>учесть</w:t>
      </w:r>
      <w:r w:rsidRPr="00047AB2">
        <w:t xml:space="preserve"> новые потребности </w:t>
      </w:r>
      <w:r w:rsidR="00E24E27" w:rsidRPr="00047AB2">
        <w:t>в рамках</w:t>
      </w:r>
      <w:r w:rsidRPr="00047AB2">
        <w:t xml:space="preserve"> утвержденного бюджета на 2016</w:t>
      </w:r>
      <w:r w:rsidRPr="00047AB2">
        <w:sym w:font="Symbol" w:char="F02D"/>
      </w:r>
      <w:r w:rsidRPr="00047AB2">
        <w:t xml:space="preserve">2017 годы, хотя это </w:t>
      </w:r>
      <w:r w:rsidR="00E24E27" w:rsidRPr="00047AB2">
        <w:t>может быть</w:t>
      </w:r>
      <w:r w:rsidRPr="00047AB2">
        <w:t xml:space="preserve"> сопряжено с трудностями.</w:t>
      </w:r>
      <w:r w:rsidR="002E6229" w:rsidRPr="00047AB2">
        <w:t xml:space="preserve"> </w:t>
      </w:r>
    </w:p>
    <w:p w:rsidR="002E6229" w:rsidRPr="00047AB2" w:rsidRDefault="00F41201" w:rsidP="00E24E27">
      <w:r w:rsidRPr="00047AB2">
        <w:t xml:space="preserve">В Приложении B включена сводная таблица потенциальных финансовых последствий Решений и Резолюций </w:t>
      </w:r>
      <w:proofErr w:type="spellStart"/>
      <w:r w:rsidRPr="00047AB2">
        <w:t>ВАСЭ</w:t>
      </w:r>
      <w:proofErr w:type="spellEnd"/>
      <w:r w:rsidRPr="00047AB2">
        <w:t>-16, оценк</w:t>
      </w:r>
      <w:r w:rsidR="00E24E27" w:rsidRPr="00047AB2">
        <w:t>а</w:t>
      </w:r>
      <w:r w:rsidRPr="00047AB2">
        <w:t xml:space="preserve"> затрат, а также перечень Решений и Резолюций </w:t>
      </w:r>
      <w:proofErr w:type="spellStart"/>
      <w:r w:rsidRPr="00047AB2">
        <w:t>ВАСЭ</w:t>
      </w:r>
      <w:proofErr w:type="spellEnd"/>
      <w:r w:rsidRPr="00047AB2">
        <w:t>-1</w:t>
      </w:r>
      <w:r w:rsidR="006B50A6" w:rsidRPr="00047AB2">
        <w:t>6</w:t>
      </w:r>
      <w:r w:rsidRPr="00047AB2">
        <w:t>, имеющих потенциальные финансовые последствия</w:t>
      </w:r>
      <w:r w:rsidR="002E6229" w:rsidRPr="00047AB2">
        <w:t xml:space="preserve">. </w:t>
      </w:r>
    </w:p>
    <w:p w:rsidR="002E6229" w:rsidRPr="00047AB2" w:rsidRDefault="00DF7BD9" w:rsidP="00047AB2">
      <w:r w:rsidRPr="00047AB2">
        <w:t>В целом</w:t>
      </w:r>
      <w:r w:rsidR="002E6229" w:rsidRPr="00047AB2">
        <w:t xml:space="preserve"> </w:t>
      </w:r>
      <w:r w:rsidR="00E24E27" w:rsidRPr="00047AB2">
        <w:t xml:space="preserve">дополнительные расходы, определенные в различных Решениях и Резолюциях </w:t>
      </w:r>
      <w:proofErr w:type="spellStart"/>
      <w:r w:rsidR="00E24E27" w:rsidRPr="00047AB2">
        <w:t>ВАСЭ</w:t>
      </w:r>
      <w:proofErr w:type="spellEnd"/>
      <w:r w:rsidR="00E24E27" w:rsidRPr="00047AB2">
        <w:noBreakHyphen/>
        <w:t xml:space="preserve">16, по оценкам, составляют от </w:t>
      </w:r>
      <w:r w:rsidR="002E6229" w:rsidRPr="00047AB2">
        <w:t>1342</w:t>
      </w:r>
      <w:r w:rsidR="00E24E27" w:rsidRPr="00047AB2">
        <w:t> тыс. швейцарских франков до</w:t>
      </w:r>
      <w:r w:rsidR="002E6229" w:rsidRPr="00047AB2">
        <w:t xml:space="preserve"> 1628</w:t>
      </w:r>
      <w:r w:rsidR="00E24E27" w:rsidRPr="00047AB2">
        <w:t xml:space="preserve"> тыс. швейцарских франков по варианту 1 и от </w:t>
      </w:r>
      <w:r w:rsidR="002E6229" w:rsidRPr="00047AB2">
        <w:t>2602</w:t>
      </w:r>
      <w:r w:rsidR="00E24E27" w:rsidRPr="00047AB2">
        <w:t> </w:t>
      </w:r>
      <w:r w:rsidR="00704006" w:rsidRPr="00047AB2">
        <w:t>тыс. швейцарских франков до 3</w:t>
      </w:r>
      <w:r w:rsidR="002E6229" w:rsidRPr="00047AB2">
        <w:t>788</w:t>
      </w:r>
      <w:r w:rsidR="00704006" w:rsidRPr="00047AB2">
        <w:t xml:space="preserve"> тыс. швейцарских франков по варианту 2 </w:t>
      </w:r>
      <w:r w:rsidRPr="00047AB2">
        <w:t>на двухгодичный период</w:t>
      </w:r>
      <w:r w:rsidR="002E6229" w:rsidRPr="00047AB2">
        <w:t xml:space="preserve">. </w:t>
      </w:r>
    </w:p>
    <w:p w:rsidR="002E6229" w:rsidRPr="00047AB2" w:rsidRDefault="00CB166B" w:rsidP="002E6229">
      <w:r w:rsidRPr="00047AB2">
        <w:t>Пленарному заседанию предлагается рассмотреть и утвердить настоящий Отчет, который затем будет направлен Генеральному секретарю вместе с замечаниями пленарного заседания для представления сессии Совета 2017 года.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529"/>
        <w:gridCol w:w="4502"/>
      </w:tblGrid>
      <w:tr w:rsidR="00E109C8" w:rsidRPr="00047AB2" w:rsidTr="00704006">
        <w:trPr>
          <w:cantSplit/>
        </w:trPr>
        <w:tc>
          <w:tcPr>
            <w:tcW w:w="5529" w:type="dxa"/>
          </w:tcPr>
          <w:p w:rsidR="00E109C8" w:rsidRPr="00047AB2" w:rsidRDefault="00E109C8" w:rsidP="00704006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E109C8" w:rsidRPr="00047AB2" w:rsidRDefault="00493B34" w:rsidP="00DF7BD9">
            <w:pPr>
              <w:spacing w:before="1080"/>
              <w:jc w:val="center"/>
              <w:rPr>
                <w:rFonts w:eastAsia="SimSun"/>
                <w:sz w:val="24"/>
                <w:szCs w:val="24"/>
              </w:rPr>
            </w:pPr>
            <w:r w:rsidRPr="00047AB2">
              <w:t>Г-жа </w:t>
            </w:r>
            <w:proofErr w:type="spellStart"/>
            <w:r w:rsidRPr="00047AB2">
              <w:rPr>
                <w:color w:val="000000"/>
              </w:rPr>
              <w:t>Вэйлин</w:t>
            </w:r>
            <w:proofErr w:type="spellEnd"/>
            <w:r w:rsidRPr="00047AB2">
              <w:rPr>
                <w:color w:val="000000"/>
              </w:rPr>
              <w:t xml:space="preserve"> </w:t>
            </w:r>
            <w:proofErr w:type="spellStart"/>
            <w:r w:rsidRPr="00047AB2">
              <w:rPr>
                <w:color w:val="000000"/>
              </w:rPr>
              <w:t>Сюй</w:t>
            </w:r>
            <w:proofErr w:type="spellEnd"/>
            <w:r w:rsidRPr="00047AB2">
              <w:rPr>
                <w:color w:val="000000"/>
              </w:rPr>
              <w:t xml:space="preserve"> </w:t>
            </w:r>
            <w:r w:rsidR="00DF7BD9" w:rsidRPr="00047AB2">
              <w:rPr>
                <w:color w:val="000000"/>
              </w:rPr>
              <w:br/>
            </w:r>
            <w:r w:rsidRPr="00047AB2">
              <w:rPr>
                <w:color w:val="000000"/>
              </w:rPr>
              <w:t xml:space="preserve">(Китайская Народная </w:t>
            </w:r>
            <w:proofErr w:type="gramStart"/>
            <w:r w:rsidRPr="00047AB2">
              <w:rPr>
                <w:color w:val="000000"/>
              </w:rPr>
              <w:t>Республика</w:t>
            </w:r>
            <w:r w:rsidRPr="00047AB2">
              <w:t>)</w:t>
            </w:r>
            <w:r w:rsidR="00E109C8" w:rsidRPr="00047AB2">
              <w:rPr>
                <w:rFonts w:eastAsia="SimSun"/>
                <w:sz w:val="24"/>
                <w:szCs w:val="24"/>
              </w:rPr>
              <w:br/>
            </w:r>
            <w:r w:rsidRPr="00047AB2">
              <w:rPr>
                <w:rFonts w:eastAsia="SimSun"/>
                <w:szCs w:val="22"/>
              </w:rPr>
              <w:t>Председатель</w:t>
            </w:r>
            <w:proofErr w:type="gramEnd"/>
            <w:r w:rsidR="00E109C8" w:rsidRPr="00047AB2">
              <w:rPr>
                <w:rFonts w:eastAsia="SimSun"/>
                <w:szCs w:val="22"/>
              </w:rPr>
              <w:t xml:space="preserve"> </w:t>
            </w:r>
            <w:r w:rsidRPr="00047AB2">
              <w:rPr>
                <w:rFonts w:eastAsia="SimSun"/>
                <w:szCs w:val="22"/>
              </w:rPr>
              <w:t>Комитета </w:t>
            </w:r>
            <w:r w:rsidR="00E109C8" w:rsidRPr="00047AB2">
              <w:rPr>
                <w:rFonts w:eastAsia="SimSun"/>
                <w:szCs w:val="22"/>
              </w:rPr>
              <w:t>2</w:t>
            </w:r>
          </w:p>
        </w:tc>
      </w:tr>
    </w:tbl>
    <w:p w:rsidR="00E109C8" w:rsidRPr="00047AB2" w:rsidRDefault="00493B34" w:rsidP="00DF7BD9">
      <w:pPr>
        <w:spacing w:before="1440"/>
      </w:pPr>
      <w:r w:rsidRPr="00047AB2">
        <w:rPr>
          <w:b/>
          <w:bCs/>
        </w:rPr>
        <w:t>Приложения</w:t>
      </w:r>
      <w:r w:rsidR="00E109C8" w:rsidRPr="00047AB2">
        <w:t>: 2</w:t>
      </w:r>
    </w:p>
    <w:p w:rsidR="0092220F" w:rsidRPr="00047AB2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47AB2">
        <w:br w:type="page"/>
      </w:r>
    </w:p>
    <w:p w:rsidR="009D2439" w:rsidRPr="00047AB2" w:rsidRDefault="009534EC" w:rsidP="00DF7BD9">
      <w:pPr>
        <w:pStyle w:val="AnnexNo"/>
      </w:pPr>
      <w:r w:rsidRPr="00047AB2">
        <w:lastRenderedPageBreak/>
        <w:t>приложение</w:t>
      </w:r>
      <w:r w:rsidR="009D2439" w:rsidRPr="00047AB2">
        <w:t xml:space="preserve"> A</w:t>
      </w:r>
    </w:p>
    <w:p w:rsidR="009D2439" w:rsidRPr="00047AB2" w:rsidRDefault="009D2439" w:rsidP="00DF7BD9">
      <w:pPr>
        <w:pStyle w:val="Annextitle"/>
      </w:pPr>
      <w:r w:rsidRPr="00047AB2">
        <w:t>Бюджет Всемирной ассамблеи по стандартизации электросвязи (</w:t>
      </w:r>
      <w:proofErr w:type="spellStart"/>
      <w:r w:rsidRPr="00047AB2">
        <w:t>ВАСЭ</w:t>
      </w:r>
      <w:proofErr w:type="spellEnd"/>
      <w:r w:rsidRPr="00047AB2">
        <w:t>-16)</w:t>
      </w:r>
    </w:p>
    <w:p w:rsidR="009D2439" w:rsidRPr="00047AB2" w:rsidRDefault="00493B34" w:rsidP="00DF7BD9">
      <w:pPr>
        <w:jc w:val="center"/>
      </w:pPr>
      <w:r w:rsidRPr="00047AB2">
        <w:t xml:space="preserve">По состоянию на </w:t>
      </w:r>
      <w:r w:rsidR="009D2439" w:rsidRPr="00047AB2">
        <w:t xml:space="preserve">31 </w:t>
      </w:r>
      <w:r w:rsidRPr="00047AB2">
        <w:t>октября</w:t>
      </w:r>
      <w:r w:rsidR="009D2439" w:rsidRPr="00047AB2">
        <w:t xml:space="preserve"> 2016</w:t>
      </w:r>
      <w:r w:rsidRPr="00047AB2">
        <w:t> года</w:t>
      </w:r>
    </w:p>
    <w:p w:rsidR="00DF7BD9" w:rsidRPr="00047AB2" w:rsidRDefault="00DF7BD9" w:rsidP="00DF7BD9"/>
    <w:p w:rsidR="009D2439" w:rsidRPr="00047AB2" w:rsidRDefault="00DF7BD9" w:rsidP="00DF7BD9">
      <w:pPr>
        <w:jc w:val="right"/>
        <w:rPr>
          <w:i/>
          <w:iCs/>
        </w:rPr>
      </w:pPr>
      <w:r w:rsidRPr="00047AB2">
        <w:rPr>
          <w:i/>
          <w:iCs/>
        </w:rPr>
        <w:t>В тыс. швейцарских франков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3651"/>
        <w:gridCol w:w="1271"/>
        <w:gridCol w:w="1698"/>
        <w:gridCol w:w="1741"/>
        <w:gridCol w:w="1268"/>
      </w:tblGrid>
      <w:tr w:rsidR="009D2439" w:rsidRPr="00047AB2" w:rsidTr="00704006">
        <w:tc>
          <w:tcPr>
            <w:tcW w:w="3681" w:type="dxa"/>
            <w:vAlign w:val="center"/>
          </w:tcPr>
          <w:p w:rsidR="009D2439" w:rsidRPr="00047AB2" w:rsidRDefault="00493B34" w:rsidP="00493B34">
            <w:pPr>
              <w:keepNext/>
              <w:spacing w:before="80" w:after="80"/>
              <w:jc w:val="center"/>
              <w:rPr>
                <w:b/>
                <w:sz w:val="20"/>
              </w:rPr>
            </w:pPr>
            <w:r w:rsidRPr="00047AB2">
              <w:rPr>
                <w:b/>
                <w:sz w:val="20"/>
              </w:rPr>
              <w:t>Категория расходов</w:t>
            </w:r>
          </w:p>
        </w:tc>
        <w:tc>
          <w:tcPr>
            <w:tcW w:w="1276" w:type="dxa"/>
            <w:vAlign w:val="center"/>
          </w:tcPr>
          <w:p w:rsidR="009D2439" w:rsidRPr="00047AB2" w:rsidRDefault="00493B34" w:rsidP="00493B34">
            <w:pPr>
              <w:keepNext/>
              <w:spacing w:before="80" w:after="80"/>
              <w:jc w:val="center"/>
              <w:rPr>
                <w:b/>
                <w:sz w:val="20"/>
              </w:rPr>
            </w:pPr>
            <w:r w:rsidRPr="00047AB2">
              <w:rPr>
                <w:b/>
                <w:sz w:val="20"/>
              </w:rPr>
              <w:t>Бюджет</w:t>
            </w:r>
          </w:p>
        </w:tc>
        <w:tc>
          <w:tcPr>
            <w:tcW w:w="1701" w:type="dxa"/>
            <w:vAlign w:val="center"/>
          </w:tcPr>
          <w:p w:rsidR="009D2439" w:rsidRPr="00047AB2" w:rsidRDefault="009D2439" w:rsidP="009D2439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047AB2">
              <w:rPr>
                <w:lang w:val="ru-RU"/>
              </w:rPr>
              <w:t>Фактические издержки и обязательства по состоянию на 31 октября 2016 г.</w:t>
            </w:r>
          </w:p>
        </w:tc>
        <w:tc>
          <w:tcPr>
            <w:tcW w:w="1701" w:type="dxa"/>
            <w:vAlign w:val="center"/>
          </w:tcPr>
          <w:p w:rsidR="009D2439" w:rsidRPr="00047AB2" w:rsidRDefault="009D2439" w:rsidP="00DF7BD9">
            <w:pPr>
              <w:pStyle w:val="Tablehead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047AB2">
              <w:rPr>
                <w:lang w:val="ru-RU"/>
              </w:rPr>
              <w:t>Прогнози-руемые</w:t>
            </w:r>
            <w:proofErr w:type="spellEnd"/>
            <w:proofErr w:type="gramEnd"/>
            <w:r w:rsidRPr="00047AB2">
              <w:rPr>
                <w:lang w:val="ru-RU"/>
              </w:rPr>
              <w:t xml:space="preserve"> </w:t>
            </w:r>
            <w:r w:rsidR="00DF7BD9" w:rsidRPr="00047AB2">
              <w:rPr>
                <w:lang w:val="ru-RU"/>
              </w:rPr>
              <w:t xml:space="preserve">дополнительные </w:t>
            </w:r>
            <w:r w:rsidRPr="00047AB2">
              <w:rPr>
                <w:lang w:val="ru-RU"/>
              </w:rPr>
              <w:t>издержки до конца Ассамблеи</w:t>
            </w:r>
          </w:p>
        </w:tc>
        <w:tc>
          <w:tcPr>
            <w:tcW w:w="1270" w:type="dxa"/>
            <w:vAlign w:val="center"/>
          </w:tcPr>
          <w:p w:rsidR="009D2439" w:rsidRPr="00047AB2" w:rsidRDefault="009D2439" w:rsidP="009D2439">
            <w:pPr>
              <w:pStyle w:val="Tablehead"/>
              <w:rPr>
                <w:lang w:val="ru-RU"/>
              </w:rPr>
            </w:pPr>
            <w:proofErr w:type="spellStart"/>
            <w:proofErr w:type="gramStart"/>
            <w:r w:rsidRPr="00047AB2">
              <w:rPr>
                <w:lang w:val="ru-RU"/>
              </w:rPr>
              <w:t>Прогнози-руемое</w:t>
            </w:r>
            <w:proofErr w:type="spellEnd"/>
            <w:proofErr w:type="gramEnd"/>
            <w:r w:rsidRPr="00047AB2">
              <w:rPr>
                <w:lang w:val="ru-RU"/>
              </w:rPr>
              <w:t xml:space="preserve"> </w:t>
            </w:r>
            <w:r w:rsidRPr="00047AB2">
              <w:rPr>
                <w:lang w:val="ru-RU"/>
              </w:rPr>
              <w:br/>
              <w:t>сальдо</w:t>
            </w:r>
          </w:p>
        </w:tc>
      </w:tr>
      <w:tr w:rsidR="00493B34" w:rsidRPr="00047AB2" w:rsidTr="00047AB2">
        <w:tc>
          <w:tcPr>
            <w:tcW w:w="3681" w:type="dxa"/>
            <w:vAlign w:val="bottom"/>
          </w:tcPr>
          <w:p w:rsidR="00493B34" w:rsidRPr="00047AB2" w:rsidRDefault="00493B34" w:rsidP="00493B34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047AB2">
              <w:rPr>
                <w:rFonts w:asciiTheme="majorBidi" w:hAnsiTheme="majorBidi" w:cstheme="majorBidi"/>
                <w:lang w:eastAsia="zh-CN"/>
              </w:rPr>
              <w:t>Затраты по персоналу</w:t>
            </w:r>
          </w:p>
        </w:tc>
        <w:tc>
          <w:tcPr>
            <w:tcW w:w="1276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466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320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170</w:t>
            </w:r>
          </w:p>
        </w:tc>
        <w:tc>
          <w:tcPr>
            <w:tcW w:w="1270" w:type="dxa"/>
            <w:vAlign w:val="bottom"/>
          </w:tcPr>
          <w:p w:rsidR="00493B34" w:rsidRPr="00047AB2" w:rsidRDefault="00DF7BD9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b/>
                <w:bCs/>
                <w:sz w:val="20"/>
              </w:rPr>
              <w:t>−</w:t>
            </w:r>
            <w:r w:rsidR="00493B34" w:rsidRPr="00047AB2">
              <w:rPr>
                <w:rFonts w:asciiTheme="majorBidi" w:hAnsiTheme="majorBidi" w:cstheme="majorBidi"/>
                <w:sz w:val="20"/>
              </w:rPr>
              <w:t>24</w:t>
            </w:r>
          </w:p>
        </w:tc>
      </w:tr>
      <w:tr w:rsidR="00493B34" w:rsidRPr="00047AB2" w:rsidTr="00047AB2">
        <w:tc>
          <w:tcPr>
            <w:tcW w:w="3681" w:type="dxa"/>
            <w:vAlign w:val="bottom"/>
          </w:tcPr>
          <w:p w:rsidR="00493B34" w:rsidRPr="00047AB2" w:rsidRDefault="00493B34" w:rsidP="00493B34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047AB2">
              <w:rPr>
                <w:rFonts w:asciiTheme="majorBidi" w:hAnsiTheme="majorBidi" w:cstheme="majorBidi"/>
                <w:lang w:eastAsia="zh-CN"/>
              </w:rPr>
              <w:t>Прочие затраты по персоналу</w:t>
            </w:r>
          </w:p>
        </w:tc>
        <w:tc>
          <w:tcPr>
            <w:tcW w:w="1276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31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1</w:t>
            </w:r>
          </w:p>
        </w:tc>
        <w:tc>
          <w:tcPr>
            <w:tcW w:w="1270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28</w:t>
            </w:r>
          </w:p>
        </w:tc>
      </w:tr>
      <w:tr w:rsidR="00493B34" w:rsidRPr="00047AB2" w:rsidTr="00047AB2">
        <w:tc>
          <w:tcPr>
            <w:tcW w:w="3681" w:type="dxa"/>
            <w:vAlign w:val="bottom"/>
          </w:tcPr>
          <w:p w:rsidR="00493B34" w:rsidRPr="00047AB2" w:rsidRDefault="00493B34" w:rsidP="00493B34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047AB2">
              <w:rPr>
                <w:rFonts w:asciiTheme="majorBidi" w:hAnsiTheme="majorBidi" w:cstheme="majorBidi"/>
                <w:lang w:eastAsia="zh-CN"/>
              </w:rPr>
              <w:t>Служебные командировки</w:t>
            </w:r>
          </w:p>
        </w:tc>
        <w:tc>
          <w:tcPr>
            <w:tcW w:w="1276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110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45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63</w:t>
            </w:r>
          </w:p>
        </w:tc>
        <w:tc>
          <w:tcPr>
            <w:tcW w:w="1270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2</w:t>
            </w:r>
          </w:p>
        </w:tc>
      </w:tr>
      <w:tr w:rsidR="00493B34" w:rsidRPr="00047AB2" w:rsidTr="00047AB2">
        <w:tc>
          <w:tcPr>
            <w:tcW w:w="3681" w:type="dxa"/>
            <w:vAlign w:val="bottom"/>
          </w:tcPr>
          <w:p w:rsidR="00493B34" w:rsidRPr="00047AB2" w:rsidRDefault="00493B34" w:rsidP="00493B34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047AB2">
              <w:rPr>
                <w:rFonts w:asciiTheme="majorBidi" w:hAnsiTheme="majorBidi" w:cstheme="majorBidi"/>
                <w:lang w:eastAsia="zh-CN"/>
              </w:rPr>
              <w:t>Контрактные услуги</w:t>
            </w:r>
          </w:p>
        </w:tc>
        <w:tc>
          <w:tcPr>
            <w:tcW w:w="1276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60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37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1270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20</w:t>
            </w:r>
          </w:p>
        </w:tc>
      </w:tr>
      <w:tr w:rsidR="00493B34" w:rsidRPr="00047AB2" w:rsidTr="00047AB2">
        <w:tc>
          <w:tcPr>
            <w:tcW w:w="3681" w:type="dxa"/>
            <w:vAlign w:val="bottom"/>
          </w:tcPr>
          <w:p w:rsidR="00493B34" w:rsidRPr="00047AB2" w:rsidRDefault="00493B34" w:rsidP="00493B34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047AB2">
              <w:rPr>
                <w:rFonts w:asciiTheme="majorBidi" w:hAnsiTheme="majorBidi" w:cstheme="majorBidi"/>
                <w:lang w:eastAsia="zh-CN"/>
              </w:rPr>
              <w:t>Аренда и эксплуатация помещений и оборудования</w:t>
            </w:r>
          </w:p>
        </w:tc>
        <w:tc>
          <w:tcPr>
            <w:tcW w:w="1276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1270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10</w:t>
            </w:r>
          </w:p>
        </w:tc>
      </w:tr>
      <w:tr w:rsidR="00493B34" w:rsidRPr="00047AB2" w:rsidTr="00047AB2">
        <w:tc>
          <w:tcPr>
            <w:tcW w:w="3681" w:type="dxa"/>
            <w:vAlign w:val="bottom"/>
          </w:tcPr>
          <w:p w:rsidR="00493B34" w:rsidRPr="00047AB2" w:rsidRDefault="00493B34" w:rsidP="00493B34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047AB2">
              <w:rPr>
                <w:rFonts w:asciiTheme="majorBidi" w:hAnsiTheme="majorBidi" w:cstheme="majorBidi"/>
                <w:lang w:eastAsia="zh-CN"/>
              </w:rPr>
              <w:t>Материалы и предметы снабжения</w:t>
            </w:r>
          </w:p>
        </w:tc>
        <w:tc>
          <w:tcPr>
            <w:tcW w:w="1276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1270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-3</w:t>
            </w:r>
          </w:p>
        </w:tc>
      </w:tr>
      <w:tr w:rsidR="00493B34" w:rsidRPr="00047AB2" w:rsidTr="00047AB2">
        <w:tc>
          <w:tcPr>
            <w:tcW w:w="3681" w:type="dxa"/>
            <w:vAlign w:val="bottom"/>
          </w:tcPr>
          <w:p w:rsidR="00493B34" w:rsidRPr="00047AB2" w:rsidRDefault="00493B34" w:rsidP="00493B34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047AB2">
              <w:rPr>
                <w:rFonts w:asciiTheme="majorBidi" w:hAnsiTheme="majorBidi" w:cstheme="majorBidi"/>
                <w:lang w:eastAsia="zh-CN"/>
              </w:rPr>
              <w:t>Прочие расходы</w:t>
            </w:r>
          </w:p>
        </w:tc>
        <w:tc>
          <w:tcPr>
            <w:tcW w:w="1276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1270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10</w:t>
            </w:r>
          </w:p>
        </w:tc>
      </w:tr>
      <w:tr w:rsidR="00493B34" w:rsidRPr="00047AB2" w:rsidTr="00047AB2">
        <w:tc>
          <w:tcPr>
            <w:tcW w:w="3681" w:type="dxa"/>
            <w:vAlign w:val="bottom"/>
          </w:tcPr>
          <w:p w:rsidR="00493B34" w:rsidRPr="00047AB2" w:rsidRDefault="00DF7BD9" w:rsidP="00493B34">
            <w:pPr>
              <w:pStyle w:val="Tabletext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047AB2">
              <w:rPr>
                <w:rFonts w:asciiTheme="majorBidi" w:hAnsiTheme="majorBidi" w:cstheme="majorBidi"/>
                <w:b/>
                <w:bCs/>
                <w:lang w:eastAsia="zh-CN"/>
              </w:rPr>
              <w:t>Итого</w:t>
            </w:r>
          </w:p>
        </w:tc>
        <w:tc>
          <w:tcPr>
            <w:tcW w:w="1276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47AB2">
              <w:rPr>
                <w:rFonts w:asciiTheme="majorBidi" w:hAnsiTheme="majorBidi" w:cstheme="majorBidi"/>
                <w:b/>
                <w:bCs/>
                <w:sz w:val="20"/>
              </w:rPr>
              <w:t>697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47AB2">
              <w:rPr>
                <w:rFonts w:asciiTheme="majorBidi" w:hAnsiTheme="majorBidi" w:cstheme="majorBidi"/>
                <w:b/>
                <w:bCs/>
                <w:sz w:val="20"/>
              </w:rPr>
              <w:t>417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47AB2">
              <w:rPr>
                <w:rFonts w:asciiTheme="majorBidi" w:hAnsiTheme="majorBidi" w:cstheme="majorBidi"/>
                <w:b/>
                <w:bCs/>
                <w:sz w:val="20"/>
              </w:rPr>
              <w:t>236</w:t>
            </w:r>
          </w:p>
        </w:tc>
        <w:tc>
          <w:tcPr>
            <w:tcW w:w="1270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47AB2">
              <w:rPr>
                <w:rFonts w:asciiTheme="majorBidi" w:hAnsiTheme="majorBidi" w:cstheme="majorBidi"/>
                <w:b/>
                <w:bCs/>
                <w:sz w:val="20"/>
              </w:rPr>
              <w:t>43</w:t>
            </w:r>
          </w:p>
        </w:tc>
      </w:tr>
      <w:tr w:rsidR="009D2439" w:rsidRPr="00047AB2" w:rsidTr="00047AB2">
        <w:tc>
          <w:tcPr>
            <w:tcW w:w="3681" w:type="dxa"/>
          </w:tcPr>
          <w:p w:rsidR="009D2439" w:rsidRPr="00047AB2" w:rsidRDefault="00493B34" w:rsidP="00493B3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  <w:lang w:eastAsia="zh-CN"/>
              </w:rPr>
              <w:t>Письменный перевод</w:t>
            </w:r>
            <w:r w:rsidR="009D2439" w:rsidRPr="00047AB2">
              <w:rPr>
                <w:rFonts w:asciiTheme="majorBidi" w:hAnsiTheme="majorBidi" w:cstheme="majorBidi"/>
                <w:sz w:val="20"/>
              </w:rPr>
              <w:t xml:space="preserve"> (5</w:t>
            </w:r>
            <w:r w:rsidRPr="00047AB2">
              <w:rPr>
                <w:rFonts w:asciiTheme="majorBidi" w:hAnsiTheme="majorBidi" w:cstheme="majorBidi"/>
                <w:sz w:val="20"/>
              </w:rPr>
              <w:t> </w:t>
            </w:r>
            <w:r w:rsidR="009D2439" w:rsidRPr="00047AB2">
              <w:rPr>
                <w:rFonts w:asciiTheme="majorBidi" w:hAnsiTheme="majorBidi" w:cstheme="majorBidi"/>
                <w:sz w:val="20"/>
              </w:rPr>
              <w:t>790</w:t>
            </w:r>
            <w:r w:rsidRPr="00047AB2">
              <w:rPr>
                <w:rFonts w:asciiTheme="majorBidi" w:hAnsiTheme="majorBidi" w:cstheme="majorBidi"/>
                <w:sz w:val="20"/>
              </w:rPr>
              <w:t> стр.</w:t>
            </w:r>
            <w:r w:rsidR="009D2439" w:rsidRPr="00047AB2">
              <w:rPr>
                <w:rFonts w:asciiTheme="majorBidi" w:hAnsiTheme="majorBidi" w:cstheme="majorBidi"/>
                <w:sz w:val="20"/>
              </w:rPr>
              <w:t>)</w:t>
            </w:r>
          </w:p>
        </w:tc>
        <w:tc>
          <w:tcPr>
            <w:tcW w:w="1276" w:type="dxa"/>
            <w:vAlign w:val="bottom"/>
          </w:tcPr>
          <w:p w:rsidR="009D2439" w:rsidRPr="00047AB2" w:rsidRDefault="009D2439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863</w:t>
            </w:r>
          </w:p>
        </w:tc>
        <w:tc>
          <w:tcPr>
            <w:tcW w:w="1701" w:type="dxa"/>
            <w:vAlign w:val="bottom"/>
          </w:tcPr>
          <w:p w:rsidR="009D2439" w:rsidRPr="00047AB2" w:rsidRDefault="009D2439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777</w:t>
            </w:r>
          </w:p>
        </w:tc>
        <w:tc>
          <w:tcPr>
            <w:tcW w:w="1701" w:type="dxa"/>
            <w:vAlign w:val="bottom"/>
          </w:tcPr>
          <w:p w:rsidR="009D2439" w:rsidRPr="00047AB2" w:rsidRDefault="009D2439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188</w:t>
            </w:r>
          </w:p>
        </w:tc>
        <w:tc>
          <w:tcPr>
            <w:tcW w:w="1270" w:type="dxa"/>
            <w:vAlign w:val="bottom"/>
          </w:tcPr>
          <w:p w:rsidR="009D2439" w:rsidRPr="00047AB2" w:rsidRDefault="00DF7BD9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b/>
                <w:bCs/>
                <w:sz w:val="20"/>
              </w:rPr>
              <w:t>−</w:t>
            </w:r>
            <w:r w:rsidR="009D2439" w:rsidRPr="00047AB2">
              <w:rPr>
                <w:rFonts w:asciiTheme="majorBidi" w:hAnsiTheme="majorBidi" w:cstheme="majorBidi"/>
                <w:sz w:val="20"/>
              </w:rPr>
              <w:t>101</w:t>
            </w:r>
          </w:p>
        </w:tc>
      </w:tr>
      <w:tr w:rsidR="009D2439" w:rsidRPr="00047AB2" w:rsidTr="00047AB2">
        <w:tc>
          <w:tcPr>
            <w:tcW w:w="3681" w:type="dxa"/>
          </w:tcPr>
          <w:p w:rsidR="009D2439" w:rsidRPr="00047AB2" w:rsidRDefault="00493B34" w:rsidP="00493B3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  <w:lang w:eastAsia="zh-CN"/>
              </w:rPr>
              <w:t>Компоновка документов</w:t>
            </w:r>
            <w:r w:rsidR="009D2439" w:rsidRPr="00047AB2">
              <w:rPr>
                <w:rFonts w:asciiTheme="majorBidi" w:hAnsiTheme="majorBidi" w:cstheme="majorBidi"/>
                <w:sz w:val="20"/>
              </w:rPr>
              <w:t xml:space="preserve"> (5</w:t>
            </w:r>
            <w:r w:rsidRPr="00047AB2">
              <w:rPr>
                <w:rFonts w:asciiTheme="majorBidi" w:hAnsiTheme="majorBidi" w:cstheme="majorBidi"/>
                <w:sz w:val="20"/>
              </w:rPr>
              <w:t> </w:t>
            </w:r>
            <w:r w:rsidR="009D2439" w:rsidRPr="00047AB2">
              <w:rPr>
                <w:rFonts w:asciiTheme="majorBidi" w:hAnsiTheme="majorBidi" w:cstheme="majorBidi"/>
                <w:sz w:val="20"/>
              </w:rPr>
              <w:t>790</w:t>
            </w:r>
            <w:r w:rsidRPr="00047AB2">
              <w:rPr>
                <w:rFonts w:asciiTheme="majorBidi" w:hAnsiTheme="majorBidi" w:cstheme="majorBidi"/>
                <w:sz w:val="20"/>
              </w:rPr>
              <w:t> стр.</w:t>
            </w:r>
            <w:r w:rsidR="009D2439" w:rsidRPr="00047AB2">
              <w:rPr>
                <w:rFonts w:asciiTheme="majorBidi" w:hAnsiTheme="majorBidi" w:cstheme="majorBidi"/>
                <w:sz w:val="20"/>
              </w:rPr>
              <w:t>)</w:t>
            </w:r>
          </w:p>
        </w:tc>
        <w:tc>
          <w:tcPr>
            <w:tcW w:w="1276" w:type="dxa"/>
            <w:vAlign w:val="bottom"/>
          </w:tcPr>
          <w:p w:rsidR="009D2439" w:rsidRPr="00047AB2" w:rsidRDefault="009D2439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345</w:t>
            </w:r>
          </w:p>
        </w:tc>
        <w:tc>
          <w:tcPr>
            <w:tcW w:w="1701" w:type="dxa"/>
            <w:vAlign w:val="bottom"/>
          </w:tcPr>
          <w:p w:rsidR="009D2439" w:rsidRPr="00047AB2" w:rsidRDefault="009D2439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403</w:t>
            </w:r>
          </w:p>
        </w:tc>
        <w:tc>
          <w:tcPr>
            <w:tcW w:w="1701" w:type="dxa"/>
            <w:vAlign w:val="bottom"/>
          </w:tcPr>
          <w:p w:rsidR="009D2439" w:rsidRPr="00047AB2" w:rsidRDefault="009D2439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98</w:t>
            </w:r>
          </w:p>
        </w:tc>
        <w:tc>
          <w:tcPr>
            <w:tcW w:w="1270" w:type="dxa"/>
            <w:vAlign w:val="bottom"/>
          </w:tcPr>
          <w:p w:rsidR="009D2439" w:rsidRPr="00047AB2" w:rsidRDefault="00DF7BD9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b/>
                <w:bCs/>
                <w:sz w:val="20"/>
              </w:rPr>
              <w:t>−</w:t>
            </w:r>
            <w:r w:rsidR="009D2439" w:rsidRPr="00047AB2">
              <w:rPr>
                <w:rFonts w:asciiTheme="majorBidi" w:hAnsiTheme="majorBidi" w:cstheme="majorBidi"/>
                <w:sz w:val="20"/>
              </w:rPr>
              <w:t>156</w:t>
            </w:r>
          </w:p>
        </w:tc>
      </w:tr>
      <w:tr w:rsidR="009D2439" w:rsidRPr="00047AB2" w:rsidTr="00047AB2">
        <w:tc>
          <w:tcPr>
            <w:tcW w:w="3681" w:type="dxa"/>
          </w:tcPr>
          <w:p w:rsidR="009D2439" w:rsidRPr="00047AB2" w:rsidRDefault="00493B34" w:rsidP="00493B3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  <w:lang w:eastAsia="zh-CN"/>
              </w:rPr>
              <w:t>Репрография</w:t>
            </w:r>
            <w:r w:rsidR="009D2439" w:rsidRPr="00047AB2">
              <w:rPr>
                <w:rFonts w:asciiTheme="majorBidi" w:hAnsiTheme="majorBidi" w:cstheme="majorBidi"/>
                <w:sz w:val="20"/>
              </w:rPr>
              <w:t xml:space="preserve"> (1</w:t>
            </w:r>
            <w:r w:rsidRPr="00047AB2">
              <w:rPr>
                <w:rFonts w:asciiTheme="majorBidi" w:hAnsiTheme="majorBidi" w:cstheme="majorBidi"/>
                <w:sz w:val="20"/>
              </w:rPr>
              <w:t> </w:t>
            </w:r>
            <w:r w:rsidR="009D2439" w:rsidRPr="00047AB2">
              <w:rPr>
                <w:rFonts w:asciiTheme="majorBidi" w:hAnsiTheme="majorBidi" w:cstheme="majorBidi"/>
                <w:sz w:val="20"/>
              </w:rPr>
              <w:t>700</w:t>
            </w:r>
            <w:r w:rsidRPr="00047AB2">
              <w:rPr>
                <w:rFonts w:asciiTheme="majorBidi" w:hAnsiTheme="majorBidi" w:cstheme="majorBidi"/>
                <w:sz w:val="20"/>
              </w:rPr>
              <w:t> </w:t>
            </w:r>
            <w:r w:rsidR="009D2439" w:rsidRPr="00047AB2">
              <w:rPr>
                <w:rFonts w:asciiTheme="majorBidi" w:hAnsiTheme="majorBidi" w:cstheme="majorBidi"/>
                <w:sz w:val="20"/>
              </w:rPr>
              <w:t>000</w:t>
            </w:r>
            <w:r w:rsidRPr="00047AB2">
              <w:rPr>
                <w:rFonts w:asciiTheme="majorBidi" w:hAnsiTheme="majorBidi" w:cstheme="majorBidi"/>
                <w:sz w:val="20"/>
              </w:rPr>
              <w:t> стр.</w:t>
            </w:r>
            <w:r w:rsidR="009D2439" w:rsidRPr="00047AB2">
              <w:rPr>
                <w:rFonts w:asciiTheme="majorBidi" w:hAnsiTheme="majorBidi" w:cstheme="majorBidi"/>
                <w:sz w:val="20"/>
              </w:rPr>
              <w:t>)</w:t>
            </w:r>
          </w:p>
        </w:tc>
        <w:tc>
          <w:tcPr>
            <w:tcW w:w="1276" w:type="dxa"/>
            <w:vAlign w:val="bottom"/>
          </w:tcPr>
          <w:p w:rsidR="009D2439" w:rsidRPr="00047AB2" w:rsidRDefault="009D2439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249</w:t>
            </w:r>
          </w:p>
        </w:tc>
        <w:tc>
          <w:tcPr>
            <w:tcW w:w="1701" w:type="dxa"/>
            <w:vAlign w:val="bottom"/>
          </w:tcPr>
          <w:p w:rsidR="009D2439" w:rsidRPr="00047AB2" w:rsidRDefault="009D2439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1701" w:type="dxa"/>
            <w:vAlign w:val="bottom"/>
          </w:tcPr>
          <w:p w:rsidR="009D2439" w:rsidRPr="00047AB2" w:rsidRDefault="009D2439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15</w:t>
            </w:r>
          </w:p>
        </w:tc>
        <w:tc>
          <w:tcPr>
            <w:tcW w:w="1270" w:type="dxa"/>
            <w:vAlign w:val="bottom"/>
          </w:tcPr>
          <w:p w:rsidR="009D2439" w:rsidRPr="00047AB2" w:rsidRDefault="009D2439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sz w:val="20"/>
              </w:rPr>
            </w:pPr>
            <w:r w:rsidRPr="00047AB2">
              <w:rPr>
                <w:rFonts w:asciiTheme="majorBidi" w:hAnsiTheme="majorBidi" w:cstheme="majorBidi"/>
                <w:sz w:val="20"/>
              </w:rPr>
              <w:t>234</w:t>
            </w:r>
          </w:p>
        </w:tc>
      </w:tr>
      <w:tr w:rsidR="00493B34" w:rsidRPr="00047AB2" w:rsidTr="00047AB2">
        <w:tc>
          <w:tcPr>
            <w:tcW w:w="3681" w:type="dxa"/>
            <w:vAlign w:val="bottom"/>
          </w:tcPr>
          <w:p w:rsidR="00493B34" w:rsidRPr="00047AB2" w:rsidRDefault="00DF7BD9" w:rsidP="00493B34">
            <w:pPr>
              <w:pStyle w:val="Tabletext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047AB2">
              <w:rPr>
                <w:rFonts w:asciiTheme="majorBidi" w:hAnsiTheme="majorBidi" w:cstheme="majorBidi"/>
                <w:b/>
                <w:bCs/>
                <w:lang w:eastAsia="zh-CN"/>
              </w:rPr>
              <w:t>Итого, Документация</w:t>
            </w:r>
          </w:p>
        </w:tc>
        <w:tc>
          <w:tcPr>
            <w:tcW w:w="1276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47AB2">
              <w:rPr>
                <w:rFonts w:asciiTheme="majorBidi" w:hAnsiTheme="majorBidi" w:cstheme="majorBidi"/>
                <w:b/>
                <w:bCs/>
                <w:sz w:val="20"/>
              </w:rPr>
              <w:t>1 457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47AB2">
              <w:rPr>
                <w:rFonts w:asciiTheme="majorBidi" w:hAnsiTheme="majorBidi" w:cstheme="majorBidi"/>
                <w:b/>
                <w:bCs/>
                <w:sz w:val="20"/>
              </w:rPr>
              <w:t>1 180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47AB2">
              <w:rPr>
                <w:rFonts w:asciiTheme="majorBidi" w:hAnsiTheme="majorBidi" w:cstheme="majorBidi"/>
                <w:b/>
                <w:bCs/>
                <w:sz w:val="20"/>
              </w:rPr>
              <w:t>300</w:t>
            </w:r>
          </w:p>
        </w:tc>
        <w:tc>
          <w:tcPr>
            <w:tcW w:w="1270" w:type="dxa"/>
            <w:vAlign w:val="bottom"/>
          </w:tcPr>
          <w:p w:rsidR="00493B34" w:rsidRPr="00047AB2" w:rsidRDefault="00DF7BD9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47AB2">
              <w:rPr>
                <w:rFonts w:asciiTheme="majorBidi" w:hAnsiTheme="majorBidi" w:cstheme="majorBidi"/>
                <w:b/>
                <w:bCs/>
                <w:sz w:val="20"/>
              </w:rPr>
              <w:t>−</w:t>
            </w:r>
            <w:r w:rsidR="00493B34" w:rsidRPr="00047AB2">
              <w:rPr>
                <w:rFonts w:asciiTheme="majorBidi" w:hAnsiTheme="majorBidi" w:cstheme="majorBidi"/>
                <w:b/>
                <w:bCs/>
                <w:sz w:val="20"/>
              </w:rPr>
              <w:t>23</w:t>
            </w:r>
          </w:p>
        </w:tc>
      </w:tr>
      <w:tr w:rsidR="00493B34" w:rsidRPr="00047AB2" w:rsidTr="00047AB2">
        <w:tc>
          <w:tcPr>
            <w:tcW w:w="3681" w:type="dxa"/>
            <w:vAlign w:val="bottom"/>
          </w:tcPr>
          <w:p w:rsidR="00493B34" w:rsidRPr="00047AB2" w:rsidRDefault="00493B34" w:rsidP="00493B34">
            <w:pPr>
              <w:pStyle w:val="Tabletext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047AB2">
              <w:rPr>
                <w:rFonts w:asciiTheme="majorBidi" w:hAnsiTheme="majorBidi" w:cstheme="majorBidi"/>
                <w:b/>
                <w:bCs/>
                <w:lang w:eastAsia="zh-CN"/>
              </w:rPr>
              <w:t>ВСЕГО</w:t>
            </w:r>
          </w:p>
        </w:tc>
        <w:tc>
          <w:tcPr>
            <w:tcW w:w="1276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47AB2">
              <w:rPr>
                <w:rFonts w:asciiTheme="majorBidi" w:hAnsiTheme="majorBidi" w:cstheme="majorBidi"/>
                <w:b/>
                <w:bCs/>
                <w:sz w:val="20"/>
              </w:rPr>
              <w:t>2 154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47AB2">
              <w:rPr>
                <w:rFonts w:asciiTheme="majorBidi" w:hAnsiTheme="majorBidi" w:cstheme="majorBidi"/>
                <w:b/>
                <w:bCs/>
                <w:sz w:val="20"/>
              </w:rPr>
              <w:t>1 597</w:t>
            </w:r>
          </w:p>
        </w:tc>
        <w:tc>
          <w:tcPr>
            <w:tcW w:w="1701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47AB2">
              <w:rPr>
                <w:rFonts w:asciiTheme="majorBidi" w:hAnsiTheme="majorBidi" w:cstheme="majorBidi"/>
                <w:b/>
                <w:bCs/>
                <w:sz w:val="20"/>
              </w:rPr>
              <w:t>537</w:t>
            </w:r>
          </w:p>
        </w:tc>
        <w:tc>
          <w:tcPr>
            <w:tcW w:w="1270" w:type="dxa"/>
            <w:vAlign w:val="bottom"/>
          </w:tcPr>
          <w:p w:rsidR="00493B34" w:rsidRPr="00047AB2" w:rsidRDefault="00493B34" w:rsidP="00047AB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47AB2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</w:tr>
    </w:tbl>
    <w:p w:rsidR="009D2439" w:rsidRPr="00047AB2" w:rsidRDefault="009D2439" w:rsidP="00DF7BD9"/>
    <w:p w:rsidR="009D2439" w:rsidRPr="00047AB2" w:rsidRDefault="009D2439" w:rsidP="00DF7BD9">
      <w:r w:rsidRPr="00047AB2">
        <w:br w:type="page"/>
      </w:r>
    </w:p>
    <w:p w:rsidR="009534EC" w:rsidRPr="00047AB2" w:rsidRDefault="009534EC" w:rsidP="00DF7BD9">
      <w:pPr>
        <w:pStyle w:val="AnnexNo"/>
      </w:pPr>
      <w:r w:rsidRPr="00047AB2">
        <w:lastRenderedPageBreak/>
        <w:t>приложение B</w:t>
      </w:r>
    </w:p>
    <w:p w:rsidR="009534EC" w:rsidRPr="00047AB2" w:rsidRDefault="009534EC" w:rsidP="000A0DCF">
      <w:pPr>
        <w:pStyle w:val="Annextitle"/>
      </w:pPr>
      <w:r w:rsidRPr="00047AB2">
        <w:t xml:space="preserve">Потенциальные финансовые последствия </w:t>
      </w:r>
      <w:r w:rsidR="00047AB2">
        <w:t>принятых Ассамблеей Решений </w:t>
      </w:r>
      <w:r w:rsidR="000A0DCF" w:rsidRPr="00047AB2">
        <w:t>и </w:t>
      </w:r>
      <w:r w:rsidRPr="00047AB2">
        <w:t>Резолюций</w:t>
      </w:r>
      <w:r w:rsidRPr="00047AB2">
        <w:rPr>
          <w:rFonts w:asciiTheme="minorHAnsi" w:hAnsiTheme="minorHAnsi"/>
        </w:rPr>
        <w:t xml:space="preserve"> </w:t>
      </w:r>
      <w:r w:rsidRPr="00047AB2">
        <w:t>(</w:t>
      </w:r>
      <w:proofErr w:type="spellStart"/>
      <w:r w:rsidRPr="00047AB2">
        <w:t>ВАСЭ</w:t>
      </w:r>
      <w:proofErr w:type="spellEnd"/>
      <w:r w:rsidRPr="00047AB2">
        <w:t>-16)</w:t>
      </w:r>
    </w:p>
    <w:tbl>
      <w:tblPr>
        <w:tblStyle w:val="TableGrid8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72"/>
        <w:gridCol w:w="2410"/>
        <w:gridCol w:w="3255"/>
      </w:tblGrid>
      <w:tr w:rsidR="009534EC" w:rsidRPr="00047AB2" w:rsidTr="00DF7BD9">
        <w:trPr>
          <w:trHeight w:val="273"/>
        </w:trPr>
        <w:tc>
          <w:tcPr>
            <w:tcW w:w="3572" w:type="dxa"/>
          </w:tcPr>
          <w:p w:rsidR="009534EC" w:rsidRPr="00047AB2" w:rsidRDefault="00493B34" w:rsidP="00DF7BD9">
            <w:pPr>
              <w:pStyle w:val="Tablehead"/>
              <w:rPr>
                <w:lang w:val="ru-RU"/>
              </w:rPr>
            </w:pPr>
            <w:r w:rsidRPr="00047AB2">
              <w:rPr>
                <w:lang w:val="ru-RU"/>
              </w:rPr>
              <w:t>Резолюция</w:t>
            </w:r>
          </w:p>
        </w:tc>
        <w:tc>
          <w:tcPr>
            <w:tcW w:w="2410" w:type="dxa"/>
          </w:tcPr>
          <w:p w:rsidR="009534EC" w:rsidRPr="00047AB2" w:rsidRDefault="00493B34" w:rsidP="00DF7BD9">
            <w:pPr>
              <w:pStyle w:val="Tablehead"/>
              <w:rPr>
                <w:lang w:val="ru-RU"/>
              </w:rPr>
            </w:pPr>
            <w:r w:rsidRPr="00047AB2">
              <w:rPr>
                <w:lang w:val="ru-RU"/>
              </w:rPr>
              <w:t>Категория расходов</w:t>
            </w:r>
          </w:p>
        </w:tc>
        <w:tc>
          <w:tcPr>
            <w:tcW w:w="3255" w:type="dxa"/>
          </w:tcPr>
          <w:p w:rsidR="009534EC" w:rsidRPr="00047AB2" w:rsidRDefault="00493B34" w:rsidP="00DF7BD9">
            <w:pPr>
              <w:pStyle w:val="Tablehead"/>
              <w:rPr>
                <w:lang w:val="ru-RU"/>
              </w:rPr>
            </w:pPr>
            <w:r w:rsidRPr="00047AB2">
              <w:rPr>
                <w:lang w:val="ru-RU"/>
              </w:rPr>
              <w:t xml:space="preserve">Тыс. швейцарских франков </w:t>
            </w:r>
          </w:p>
        </w:tc>
      </w:tr>
      <w:tr w:rsidR="009534EC" w:rsidRPr="00047AB2" w:rsidTr="00704006">
        <w:tc>
          <w:tcPr>
            <w:tcW w:w="3572" w:type="dxa"/>
          </w:tcPr>
          <w:p w:rsidR="009534EC" w:rsidRPr="00047AB2" w:rsidRDefault="00493B34" w:rsidP="00DF7BD9">
            <w:pPr>
              <w:pStyle w:val="Tabletext"/>
              <w:rPr>
                <w:bCs/>
              </w:rPr>
            </w:pPr>
            <w:r w:rsidRPr="00047AB2">
              <w:rPr>
                <w:bCs/>
              </w:rPr>
              <w:t>Резолюция</w:t>
            </w:r>
            <w:r w:rsidR="009534EC" w:rsidRPr="00047AB2">
              <w:rPr>
                <w:bCs/>
              </w:rPr>
              <w:t xml:space="preserve"> 44</w:t>
            </w:r>
          </w:p>
        </w:tc>
        <w:tc>
          <w:tcPr>
            <w:tcW w:w="2410" w:type="dxa"/>
          </w:tcPr>
          <w:p w:rsidR="009534EC" w:rsidRPr="00047AB2" w:rsidRDefault="00493B34" w:rsidP="00DF7BD9">
            <w:pPr>
              <w:pStyle w:val="Tabletext"/>
              <w:rPr>
                <w:bCs/>
              </w:rPr>
            </w:pPr>
            <w:r w:rsidRPr="00047AB2">
              <w:rPr>
                <w:bCs/>
              </w:rPr>
              <w:t>Устный перевод</w:t>
            </w:r>
          </w:p>
        </w:tc>
        <w:tc>
          <w:tcPr>
            <w:tcW w:w="3255" w:type="dxa"/>
          </w:tcPr>
          <w:p w:rsidR="009534EC" w:rsidRPr="00047AB2" w:rsidRDefault="00493B34" w:rsidP="00DF7BD9">
            <w:pPr>
              <w:pStyle w:val="Tabletext"/>
              <w:rPr>
                <w:bCs/>
                <w:highlight w:val="yellow"/>
              </w:rPr>
            </w:pPr>
            <w:r w:rsidRPr="00047AB2">
              <w:rPr>
                <w:bCs/>
              </w:rPr>
              <w:t>От</w:t>
            </w:r>
            <w:r w:rsidR="009534EC" w:rsidRPr="00047AB2">
              <w:rPr>
                <w:bCs/>
              </w:rPr>
              <w:t xml:space="preserve"> 422</w:t>
            </w:r>
            <w:r w:rsidRPr="00047AB2">
              <w:rPr>
                <w:bCs/>
              </w:rPr>
              <w:t> тыс. швейцарских франков до</w:t>
            </w:r>
            <w:r w:rsidR="009534EC" w:rsidRPr="00047AB2">
              <w:rPr>
                <w:bCs/>
              </w:rPr>
              <w:t xml:space="preserve"> 708</w:t>
            </w:r>
            <w:r w:rsidRPr="00047AB2">
              <w:rPr>
                <w:bCs/>
              </w:rPr>
              <w:t xml:space="preserve"> тыс. швейцарских франков </w:t>
            </w:r>
            <w:r w:rsidR="009534EC" w:rsidRPr="00047AB2">
              <w:rPr>
                <w:bCs/>
              </w:rPr>
              <w:t xml:space="preserve"> </w:t>
            </w:r>
            <w:r w:rsidR="00F518C9" w:rsidRPr="00047AB2">
              <w:rPr>
                <w:bCs/>
              </w:rPr>
              <w:t xml:space="preserve"> тыс. швейцарских франков</w:t>
            </w:r>
            <w:r w:rsidR="009534EC" w:rsidRPr="00047AB2">
              <w:rPr>
                <w:bCs/>
              </w:rPr>
              <w:t xml:space="preserve"> (</w:t>
            </w:r>
            <w:r w:rsidRPr="00047AB2">
              <w:rPr>
                <w:bCs/>
              </w:rPr>
              <w:t>вариант </w:t>
            </w:r>
            <w:r w:rsidR="009534EC" w:rsidRPr="00047AB2">
              <w:rPr>
                <w:bCs/>
              </w:rPr>
              <w:t xml:space="preserve">1) </w:t>
            </w:r>
            <w:r w:rsidRPr="00047AB2">
              <w:rPr>
                <w:bCs/>
              </w:rPr>
              <w:t>или от</w:t>
            </w:r>
            <w:r w:rsidR="009534EC" w:rsidRPr="00047AB2">
              <w:rPr>
                <w:bCs/>
              </w:rPr>
              <w:t xml:space="preserve"> 1</w:t>
            </w:r>
            <w:r w:rsidRPr="00047AB2">
              <w:rPr>
                <w:bCs/>
              </w:rPr>
              <w:t> </w:t>
            </w:r>
            <w:r w:rsidR="009534EC" w:rsidRPr="00047AB2">
              <w:rPr>
                <w:bCs/>
              </w:rPr>
              <w:t>682</w:t>
            </w:r>
            <w:r w:rsidRPr="00047AB2">
              <w:rPr>
                <w:bCs/>
              </w:rPr>
              <w:t xml:space="preserve"> тыс. швейцарских франков до </w:t>
            </w:r>
            <w:r w:rsidR="009534EC" w:rsidRPr="00047AB2">
              <w:rPr>
                <w:bCs/>
              </w:rPr>
              <w:t>2</w:t>
            </w:r>
            <w:r w:rsidRPr="00047AB2">
              <w:rPr>
                <w:bCs/>
              </w:rPr>
              <w:t> </w:t>
            </w:r>
            <w:r w:rsidR="009534EC" w:rsidRPr="00047AB2">
              <w:rPr>
                <w:bCs/>
              </w:rPr>
              <w:t>868</w:t>
            </w:r>
            <w:r w:rsidRPr="00047AB2">
              <w:rPr>
                <w:bCs/>
              </w:rPr>
              <w:t xml:space="preserve"> тыс. швейцарских франков </w:t>
            </w:r>
            <w:r w:rsidR="009534EC" w:rsidRPr="00047AB2">
              <w:rPr>
                <w:bCs/>
              </w:rPr>
              <w:t>(</w:t>
            </w:r>
            <w:r w:rsidRPr="00047AB2">
              <w:rPr>
                <w:bCs/>
              </w:rPr>
              <w:t>вариант </w:t>
            </w:r>
            <w:r w:rsidR="009534EC" w:rsidRPr="00047AB2">
              <w:rPr>
                <w:bCs/>
              </w:rPr>
              <w:t xml:space="preserve">2) </w:t>
            </w:r>
            <w:r w:rsidRPr="00047AB2">
              <w:rPr>
                <w:bCs/>
              </w:rPr>
              <w:t>на двухгодичный период</w:t>
            </w:r>
          </w:p>
        </w:tc>
      </w:tr>
      <w:tr w:rsidR="009534EC" w:rsidRPr="00047AB2" w:rsidTr="00704006">
        <w:tc>
          <w:tcPr>
            <w:tcW w:w="3572" w:type="dxa"/>
          </w:tcPr>
          <w:p w:rsidR="009534EC" w:rsidRPr="00047AB2" w:rsidRDefault="00493B34" w:rsidP="00DF7BD9">
            <w:pPr>
              <w:pStyle w:val="Tabletext"/>
              <w:rPr>
                <w:bCs/>
              </w:rPr>
            </w:pPr>
            <w:r w:rsidRPr="00047AB2">
              <w:rPr>
                <w:bCs/>
              </w:rPr>
              <w:t>Новая Резолюция</w:t>
            </w:r>
            <w:r w:rsidR="009534EC" w:rsidRPr="00047AB2">
              <w:rPr>
                <w:bCs/>
              </w:rPr>
              <w:t xml:space="preserve"> [</w:t>
            </w:r>
            <w:proofErr w:type="spellStart"/>
            <w:r w:rsidR="009534EC" w:rsidRPr="00047AB2">
              <w:rPr>
                <w:bCs/>
              </w:rPr>
              <w:t>RCC</w:t>
            </w:r>
            <w:proofErr w:type="spellEnd"/>
            <w:r w:rsidR="009534EC" w:rsidRPr="00047AB2">
              <w:rPr>
                <w:bCs/>
              </w:rPr>
              <w:t xml:space="preserve">-3] </w:t>
            </w:r>
            <w:r w:rsidR="00DF7BD9" w:rsidRPr="00047AB2">
              <w:rPr>
                <w:bCs/>
              </w:rPr>
              <w:t xml:space="preserve">− </w:t>
            </w:r>
            <w:r w:rsidRPr="00047AB2">
              <w:rPr>
                <w:color w:val="000000"/>
              </w:rPr>
              <w:t>Исследования, касающиеся защиты пользователей услуг электросвязи/ИКТ</w:t>
            </w:r>
          </w:p>
        </w:tc>
        <w:tc>
          <w:tcPr>
            <w:tcW w:w="2410" w:type="dxa"/>
          </w:tcPr>
          <w:p w:rsidR="009534EC" w:rsidRPr="00047AB2" w:rsidRDefault="00493B34" w:rsidP="00DF7BD9">
            <w:pPr>
              <w:pStyle w:val="Tabletext"/>
              <w:rPr>
                <w:bCs/>
              </w:rPr>
            </w:pPr>
            <w:r w:rsidRPr="00047AB2">
              <w:rPr>
                <w:bCs/>
              </w:rPr>
              <w:t>Консультирование</w:t>
            </w:r>
          </w:p>
        </w:tc>
        <w:tc>
          <w:tcPr>
            <w:tcW w:w="3255" w:type="dxa"/>
          </w:tcPr>
          <w:p w:rsidR="009534EC" w:rsidRPr="00047AB2" w:rsidRDefault="009534EC" w:rsidP="00DF7BD9">
            <w:pPr>
              <w:pStyle w:val="Tabletext"/>
              <w:rPr>
                <w:bCs/>
              </w:rPr>
            </w:pPr>
            <w:r w:rsidRPr="00047AB2">
              <w:rPr>
                <w:bCs/>
              </w:rPr>
              <w:t>40</w:t>
            </w:r>
            <w:r w:rsidR="00493B34" w:rsidRPr="00047AB2">
              <w:rPr>
                <w:bCs/>
              </w:rPr>
              <w:t> тыс. швейцарских франков на двухгодичный период</w:t>
            </w:r>
          </w:p>
        </w:tc>
      </w:tr>
      <w:tr w:rsidR="009534EC" w:rsidRPr="00047AB2" w:rsidTr="00704006">
        <w:tc>
          <w:tcPr>
            <w:tcW w:w="3572" w:type="dxa"/>
          </w:tcPr>
          <w:p w:rsidR="009534EC" w:rsidRPr="00047AB2" w:rsidRDefault="00F518C9" w:rsidP="00DF7BD9">
            <w:pPr>
              <w:pStyle w:val="Tabletext"/>
              <w:rPr>
                <w:bCs/>
              </w:rPr>
            </w:pPr>
            <w:r w:rsidRPr="00047AB2">
              <w:rPr>
                <w:bCs/>
              </w:rPr>
              <w:t>Резолюция</w:t>
            </w:r>
            <w:r w:rsidR="009534EC" w:rsidRPr="00047AB2">
              <w:rPr>
                <w:bCs/>
              </w:rPr>
              <w:t xml:space="preserve"> 77</w:t>
            </w:r>
            <w:bookmarkStart w:id="12" w:name="_GoBack"/>
            <w:bookmarkEnd w:id="12"/>
          </w:p>
        </w:tc>
        <w:tc>
          <w:tcPr>
            <w:tcW w:w="2410" w:type="dxa"/>
          </w:tcPr>
          <w:p w:rsidR="009534EC" w:rsidRPr="00047AB2" w:rsidRDefault="00F518C9" w:rsidP="00DF7BD9">
            <w:pPr>
              <w:pStyle w:val="Tabletext"/>
              <w:rPr>
                <w:bCs/>
              </w:rPr>
            </w:pPr>
            <w:r w:rsidRPr="00047AB2">
              <w:rPr>
                <w:bCs/>
              </w:rPr>
              <w:t>Семинары-практикумы</w:t>
            </w:r>
          </w:p>
        </w:tc>
        <w:tc>
          <w:tcPr>
            <w:tcW w:w="3255" w:type="dxa"/>
          </w:tcPr>
          <w:p w:rsidR="009534EC" w:rsidRPr="00047AB2" w:rsidRDefault="009534EC" w:rsidP="00DF7BD9">
            <w:pPr>
              <w:pStyle w:val="Tabletext"/>
              <w:rPr>
                <w:bCs/>
              </w:rPr>
            </w:pPr>
            <w:r w:rsidRPr="00047AB2">
              <w:rPr>
                <w:bCs/>
              </w:rPr>
              <w:t xml:space="preserve">180 </w:t>
            </w:r>
            <w:r w:rsidR="00F518C9" w:rsidRPr="00047AB2">
              <w:rPr>
                <w:bCs/>
              </w:rPr>
              <w:t>тыс. швейцарских франков</w:t>
            </w:r>
            <w:r w:rsidRPr="00047AB2">
              <w:rPr>
                <w:bCs/>
              </w:rPr>
              <w:t xml:space="preserve"> </w:t>
            </w:r>
            <w:r w:rsidR="00F518C9" w:rsidRPr="00047AB2">
              <w:rPr>
                <w:bCs/>
              </w:rPr>
              <w:t>на двухгодичный период</w:t>
            </w:r>
          </w:p>
        </w:tc>
      </w:tr>
      <w:tr w:rsidR="009534EC" w:rsidRPr="00047AB2" w:rsidTr="00704006">
        <w:tc>
          <w:tcPr>
            <w:tcW w:w="3572" w:type="dxa"/>
          </w:tcPr>
          <w:p w:rsidR="009534EC" w:rsidRPr="00047AB2" w:rsidRDefault="00F518C9" w:rsidP="00DF7BD9">
            <w:pPr>
              <w:pStyle w:val="Tabletext"/>
              <w:rPr>
                <w:rFonts w:ascii="Calibri" w:hAnsi="Calibri"/>
                <w:bCs/>
                <w:color w:val="800000"/>
              </w:rPr>
            </w:pPr>
            <w:r w:rsidRPr="00047AB2">
              <w:rPr>
                <w:bCs/>
              </w:rPr>
              <w:t>Новая Резолюция</w:t>
            </w:r>
            <w:r w:rsidR="009534EC" w:rsidRPr="00047AB2">
              <w:rPr>
                <w:bCs/>
              </w:rPr>
              <w:t xml:space="preserve"> [</w:t>
            </w:r>
            <w:proofErr w:type="spellStart"/>
            <w:r w:rsidR="009534EC" w:rsidRPr="00047AB2">
              <w:rPr>
                <w:bCs/>
              </w:rPr>
              <w:t>APT</w:t>
            </w:r>
            <w:proofErr w:type="spellEnd"/>
            <w:r w:rsidR="009534EC" w:rsidRPr="00047AB2">
              <w:rPr>
                <w:bCs/>
              </w:rPr>
              <w:t>-3]</w:t>
            </w:r>
            <w:r w:rsidR="003F730F" w:rsidRPr="00047AB2">
              <w:rPr>
                <w:bCs/>
              </w:rPr>
              <w:t xml:space="preserve"> </w:t>
            </w:r>
            <w:r w:rsidR="00DF7BD9" w:rsidRPr="00047AB2">
              <w:rPr>
                <w:bCs/>
              </w:rPr>
              <w:t xml:space="preserve">− </w:t>
            </w:r>
            <w:r w:rsidR="003F730F" w:rsidRPr="00047AB2">
              <w:t>Работа в секторе стандартизации электросвязи МСЭ по разработке стандартов для технологии данных о событиях на основе облачных вычислений</w:t>
            </w:r>
            <w:r w:rsidR="003F730F" w:rsidRPr="00047AB2">
              <w:rPr>
                <w:rFonts w:ascii="Calibri" w:hAnsi="Calibri"/>
                <w:bCs/>
                <w:color w:val="800000"/>
              </w:rPr>
              <w:t xml:space="preserve"> </w:t>
            </w:r>
          </w:p>
        </w:tc>
        <w:tc>
          <w:tcPr>
            <w:tcW w:w="2410" w:type="dxa"/>
          </w:tcPr>
          <w:p w:rsidR="009534EC" w:rsidRPr="00047AB2" w:rsidRDefault="00F518C9" w:rsidP="00DF7BD9">
            <w:pPr>
              <w:pStyle w:val="Tabletext"/>
              <w:rPr>
                <w:bCs/>
              </w:rPr>
            </w:pPr>
            <w:r w:rsidRPr="00047AB2">
              <w:rPr>
                <w:bCs/>
              </w:rPr>
              <w:t>Семинары-практикумы</w:t>
            </w:r>
          </w:p>
        </w:tc>
        <w:tc>
          <w:tcPr>
            <w:tcW w:w="3255" w:type="dxa"/>
          </w:tcPr>
          <w:p w:rsidR="009534EC" w:rsidRPr="00047AB2" w:rsidRDefault="009534EC" w:rsidP="00DF7BD9">
            <w:pPr>
              <w:pStyle w:val="Tabletext"/>
              <w:rPr>
                <w:bCs/>
              </w:rPr>
            </w:pPr>
            <w:r w:rsidRPr="00047AB2">
              <w:rPr>
                <w:bCs/>
              </w:rPr>
              <w:t xml:space="preserve">60 </w:t>
            </w:r>
            <w:r w:rsidR="00F518C9" w:rsidRPr="00047AB2">
              <w:rPr>
                <w:bCs/>
              </w:rPr>
              <w:t>тыс. швейцарских франков</w:t>
            </w:r>
            <w:r w:rsidRPr="00047AB2">
              <w:rPr>
                <w:bCs/>
              </w:rPr>
              <w:t xml:space="preserve"> </w:t>
            </w:r>
            <w:r w:rsidR="00F518C9" w:rsidRPr="00047AB2">
              <w:rPr>
                <w:bCs/>
              </w:rPr>
              <w:t>на двухгодичный период</w:t>
            </w:r>
          </w:p>
        </w:tc>
      </w:tr>
      <w:tr w:rsidR="009534EC" w:rsidRPr="00047AB2" w:rsidTr="00704006">
        <w:tc>
          <w:tcPr>
            <w:tcW w:w="3572" w:type="dxa"/>
          </w:tcPr>
          <w:p w:rsidR="009534EC" w:rsidRPr="00047AB2" w:rsidRDefault="00F518C9" w:rsidP="00DF7BD9">
            <w:pPr>
              <w:pStyle w:val="Tabletext"/>
              <w:rPr>
                <w:rFonts w:ascii="Calibri" w:hAnsi="Calibri"/>
                <w:bCs/>
                <w:color w:val="800000"/>
              </w:rPr>
            </w:pPr>
            <w:r w:rsidRPr="00047AB2">
              <w:rPr>
                <w:bCs/>
              </w:rPr>
              <w:t>Новая Резолюция</w:t>
            </w:r>
            <w:r w:rsidR="00DF7BD9" w:rsidRPr="00047AB2">
              <w:rPr>
                <w:bCs/>
              </w:rPr>
              <w:t xml:space="preserve"> </w:t>
            </w:r>
            <w:r w:rsidR="009534EC" w:rsidRPr="00047AB2">
              <w:rPr>
                <w:bCs/>
              </w:rPr>
              <w:t>[</w:t>
            </w:r>
            <w:proofErr w:type="spellStart"/>
            <w:r w:rsidR="009534EC" w:rsidRPr="00047AB2">
              <w:rPr>
                <w:bCs/>
              </w:rPr>
              <w:t>AFCP</w:t>
            </w:r>
            <w:proofErr w:type="spellEnd"/>
            <w:r w:rsidR="009534EC" w:rsidRPr="00047AB2">
              <w:rPr>
                <w:bCs/>
              </w:rPr>
              <w:t xml:space="preserve">-2] </w:t>
            </w:r>
            <w:r w:rsidR="00DF7BD9" w:rsidRPr="00047AB2">
              <w:rPr>
                <w:bCs/>
              </w:rPr>
              <w:t xml:space="preserve">− </w:t>
            </w:r>
            <w:r w:rsidR="003F730F" w:rsidRPr="00047AB2">
              <w:rPr>
                <w:bCs/>
              </w:rPr>
              <w:t xml:space="preserve">Содействие использованию ИКТ для сокращения разрыва в охвате финансовыми услугами </w:t>
            </w:r>
          </w:p>
        </w:tc>
        <w:tc>
          <w:tcPr>
            <w:tcW w:w="2410" w:type="dxa"/>
          </w:tcPr>
          <w:p w:rsidR="009534EC" w:rsidRPr="00047AB2" w:rsidRDefault="000A0DCF" w:rsidP="000A0DCF">
            <w:pPr>
              <w:pStyle w:val="Tabletext"/>
              <w:rPr>
                <w:bCs/>
              </w:rPr>
            </w:pPr>
            <w:r w:rsidRPr="00047AB2">
              <w:rPr>
                <w:bCs/>
              </w:rPr>
              <w:t>Персонал, консультирование, семинары</w:t>
            </w:r>
            <w:r w:rsidR="00F518C9" w:rsidRPr="00047AB2">
              <w:rPr>
                <w:bCs/>
              </w:rPr>
              <w:t>-практикумы</w:t>
            </w:r>
            <w:r w:rsidRPr="00047AB2">
              <w:rPr>
                <w:bCs/>
              </w:rPr>
              <w:t>/</w:t>
            </w:r>
            <w:r w:rsidRPr="00047AB2">
              <w:rPr>
                <w:bCs/>
              </w:rPr>
              <w:br/>
              <w:t>семинары</w:t>
            </w:r>
          </w:p>
        </w:tc>
        <w:tc>
          <w:tcPr>
            <w:tcW w:w="3255" w:type="dxa"/>
          </w:tcPr>
          <w:p w:rsidR="009534EC" w:rsidRPr="00047AB2" w:rsidRDefault="009534EC" w:rsidP="00DF7BD9">
            <w:pPr>
              <w:pStyle w:val="Tabletext"/>
              <w:rPr>
                <w:bCs/>
              </w:rPr>
            </w:pPr>
            <w:r w:rsidRPr="00047AB2">
              <w:rPr>
                <w:bCs/>
              </w:rPr>
              <w:t xml:space="preserve">580 </w:t>
            </w:r>
            <w:r w:rsidR="00F518C9" w:rsidRPr="00047AB2">
              <w:rPr>
                <w:bCs/>
              </w:rPr>
              <w:t>тыс. швейцарских франков</w:t>
            </w:r>
            <w:r w:rsidRPr="00047AB2">
              <w:rPr>
                <w:bCs/>
              </w:rPr>
              <w:t xml:space="preserve"> </w:t>
            </w:r>
            <w:r w:rsidR="00F518C9" w:rsidRPr="00047AB2">
              <w:rPr>
                <w:bCs/>
              </w:rPr>
              <w:t>на двухгодичный период</w:t>
            </w:r>
          </w:p>
        </w:tc>
      </w:tr>
      <w:tr w:rsidR="009534EC" w:rsidRPr="00047AB2" w:rsidTr="00704006">
        <w:tc>
          <w:tcPr>
            <w:tcW w:w="3572" w:type="dxa"/>
          </w:tcPr>
          <w:p w:rsidR="009534EC" w:rsidRPr="00047AB2" w:rsidRDefault="00F518C9" w:rsidP="00DF7BD9">
            <w:pPr>
              <w:pStyle w:val="Tabletext"/>
              <w:rPr>
                <w:rFonts w:ascii="Calibri" w:hAnsi="Calibri"/>
                <w:bCs/>
                <w:color w:val="800000"/>
              </w:rPr>
            </w:pPr>
            <w:r w:rsidRPr="00047AB2">
              <w:rPr>
                <w:bCs/>
              </w:rPr>
              <w:t>Новая Резолюция</w:t>
            </w:r>
            <w:r w:rsidR="00DF7BD9" w:rsidRPr="00047AB2">
              <w:rPr>
                <w:bCs/>
              </w:rPr>
              <w:t xml:space="preserve"> </w:t>
            </w:r>
            <w:r w:rsidR="009534EC" w:rsidRPr="00047AB2">
              <w:rPr>
                <w:bCs/>
              </w:rPr>
              <w:t>[</w:t>
            </w:r>
            <w:proofErr w:type="spellStart"/>
            <w:r w:rsidR="009534EC" w:rsidRPr="00047AB2">
              <w:rPr>
                <w:bCs/>
              </w:rPr>
              <w:t>APT</w:t>
            </w:r>
            <w:proofErr w:type="spellEnd"/>
            <w:r w:rsidR="009534EC" w:rsidRPr="00047AB2">
              <w:rPr>
                <w:bCs/>
              </w:rPr>
              <w:t>-2]/[</w:t>
            </w:r>
            <w:proofErr w:type="spellStart"/>
            <w:r w:rsidR="009534EC" w:rsidRPr="00047AB2">
              <w:rPr>
                <w:bCs/>
              </w:rPr>
              <w:t>IAP</w:t>
            </w:r>
            <w:proofErr w:type="spellEnd"/>
            <w:r w:rsidR="009534EC" w:rsidRPr="00047AB2">
              <w:rPr>
                <w:bCs/>
              </w:rPr>
              <w:t xml:space="preserve">-3] </w:t>
            </w:r>
            <w:r w:rsidR="00DF7BD9" w:rsidRPr="00047AB2">
              <w:rPr>
                <w:bCs/>
              </w:rPr>
              <w:t xml:space="preserve">− </w:t>
            </w:r>
            <w:r w:rsidR="00491318" w:rsidRPr="00047AB2">
              <w:rPr>
                <w:bCs/>
              </w:rPr>
              <w:t>Совершенствование стандартизации интернета вещей и "умных" городов и сообществ в интересах глобального развития</w:t>
            </w:r>
            <w:r w:rsidR="009534EC" w:rsidRPr="00047AB2">
              <w:rPr>
                <w:rFonts w:ascii="Calibri" w:hAnsi="Calibri"/>
                <w:bCs/>
                <w:color w:val="800000"/>
              </w:rPr>
              <w:t xml:space="preserve"> </w:t>
            </w:r>
          </w:p>
        </w:tc>
        <w:tc>
          <w:tcPr>
            <w:tcW w:w="2410" w:type="dxa"/>
          </w:tcPr>
          <w:p w:rsidR="009534EC" w:rsidRPr="00047AB2" w:rsidRDefault="00F518C9" w:rsidP="00DF7BD9">
            <w:pPr>
              <w:pStyle w:val="Tabletext"/>
              <w:rPr>
                <w:bCs/>
              </w:rPr>
            </w:pPr>
            <w:r w:rsidRPr="00047AB2">
              <w:rPr>
                <w:bCs/>
              </w:rPr>
              <w:t>Семинары-практикумы</w:t>
            </w:r>
          </w:p>
        </w:tc>
        <w:tc>
          <w:tcPr>
            <w:tcW w:w="3255" w:type="dxa"/>
          </w:tcPr>
          <w:p w:rsidR="009534EC" w:rsidRPr="00047AB2" w:rsidRDefault="009534EC" w:rsidP="00DF7BD9">
            <w:pPr>
              <w:pStyle w:val="Tabletext"/>
              <w:rPr>
                <w:bCs/>
              </w:rPr>
            </w:pPr>
            <w:r w:rsidRPr="00047AB2">
              <w:rPr>
                <w:bCs/>
              </w:rPr>
              <w:t xml:space="preserve">60 </w:t>
            </w:r>
            <w:r w:rsidR="00F518C9" w:rsidRPr="00047AB2">
              <w:rPr>
                <w:bCs/>
              </w:rPr>
              <w:t>тыс. швейцарских франков</w:t>
            </w:r>
          </w:p>
        </w:tc>
      </w:tr>
      <w:tr w:rsidR="009534EC" w:rsidRPr="00047AB2" w:rsidTr="00704006">
        <w:trPr>
          <w:trHeight w:val="888"/>
        </w:trPr>
        <w:tc>
          <w:tcPr>
            <w:tcW w:w="3572" w:type="dxa"/>
          </w:tcPr>
          <w:p w:rsidR="009534EC" w:rsidRPr="00047AB2" w:rsidRDefault="00F518C9" w:rsidP="00DF7BD9">
            <w:pPr>
              <w:pStyle w:val="Tabletext"/>
              <w:rPr>
                <w:b/>
                <w:bCs/>
              </w:rPr>
            </w:pPr>
            <w:r w:rsidRPr="00047AB2">
              <w:rPr>
                <w:b/>
                <w:bCs/>
              </w:rPr>
              <w:t>Всего по варианту </w:t>
            </w:r>
            <w:r w:rsidR="009534EC" w:rsidRPr="00047AB2">
              <w:rPr>
                <w:b/>
                <w:bCs/>
              </w:rPr>
              <w:t>1 (</w:t>
            </w:r>
            <w:r w:rsidRPr="00047AB2">
              <w:rPr>
                <w:b/>
                <w:bCs/>
              </w:rPr>
              <w:t>Резолюция </w:t>
            </w:r>
            <w:r w:rsidR="009534EC" w:rsidRPr="00047AB2">
              <w:rPr>
                <w:b/>
                <w:bCs/>
              </w:rPr>
              <w:t>44)</w:t>
            </w:r>
          </w:p>
        </w:tc>
        <w:tc>
          <w:tcPr>
            <w:tcW w:w="2410" w:type="dxa"/>
          </w:tcPr>
          <w:p w:rsidR="009534EC" w:rsidRPr="00047AB2" w:rsidRDefault="009534EC" w:rsidP="00DF7BD9">
            <w:pPr>
              <w:pStyle w:val="Tabletext"/>
              <w:rPr>
                <w:b/>
                <w:bCs/>
              </w:rPr>
            </w:pPr>
          </w:p>
        </w:tc>
        <w:tc>
          <w:tcPr>
            <w:tcW w:w="3255" w:type="dxa"/>
          </w:tcPr>
          <w:p w:rsidR="009534EC" w:rsidRPr="00047AB2" w:rsidRDefault="00F518C9" w:rsidP="00DF7BD9">
            <w:pPr>
              <w:pStyle w:val="Tabletext"/>
              <w:rPr>
                <w:b/>
                <w:bCs/>
              </w:rPr>
            </w:pPr>
            <w:r w:rsidRPr="00047AB2">
              <w:rPr>
                <w:b/>
                <w:bCs/>
              </w:rPr>
              <w:t>От</w:t>
            </w:r>
            <w:r w:rsidR="009534EC" w:rsidRPr="00047AB2">
              <w:rPr>
                <w:b/>
                <w:bCs/>
              </w:rPr>
              <w:t xml:space="preserve"> 1</w:t>
            </w:r>
            <w:r w:rsidRPr="00047AB2">
              <w:rPr>
                <w:b/>
                <w:bCs/>
              </w:rPr>
              <w:t> </w:t>
            </w:r>
            <w:r w:rsidR="009534EC" w:rsidRPr="00047AB2">
              <w:rPr>
                <w:b/>
                <w:bCs/>
              </w:rPr>
              <w:t xml:space="preserve">342 </w:t>
            </w:r>
            <w:r w:rsidRPr="00047AB2">
              <w:rPr>
                <w:b/>
                <w:bCs/>
              </w:rPr>
              <w:t>тыс. швейцарских франков</w:t>
            </w:r>
            <w:r w:rsidR="009534EC" w:rsidRPr="00047AB2">
              <w:rPr>
                <w:b/>
                <w:bCs/>
              </w:rPr>
              <w:t xml:space="preserve"> </w:t>
            </w:r>
            <w:r w:rsidRPr="00047AB2">
              <w:rPr>
                <w:b/>
                <w:bCs/>
              </w:rPr>
              <w:t>до 1 </w:t>
            </w:r>
            <w:r w:rsidR="009534EC" w:rsidRPr="00047AB2">
              <w:rPr>
                <w:b/>
                <w:bCs/>
              </w:rPr>
              <w:t xml:space="preserve">628 </w:t>
            </w:r>
            <w:r w:rsidRPr="00047AB2">
              <w:rPr>
                <w:b/>
                <w:bCs/>
              </w:rPr>
              <w:t>тыс. швейцарских франков</w:t>
            </w:r>
            <w:r w:rsidR="009534EC" w:rsidRPr="00047AB2">
              <w:rPr>
                <w:b/>
                <w:bCs/>
              </w:rPr>
              <w:t xml:space="preserve"> </w:t>
            </w:r>
            <w:r w:rsidRPr="00047AB2">
              <w:rPr>
                <w:b/>
                <w:bCs/>
              </w:rPr>
              <w:t>на двухгодичный период</w:t>
            </w:r>
          </w:p>
        </w:tc>
      </w:tr>
      <w:tr w:rsidR="009534EC" w:rsidRPr="00047AB2" w:rsidTr="00704006">
        <w:trPr>
          <w:trHeight w:val="830"/>
        </w:trPr>
        <w:tc>
          <w:tcPr>
            <w:tcW w:w="3572" w:type="dxa"/>
          </w:tcPr>
          <w:p w:rsidR="009534EC" w:rsidRPr="00047AB2" w:rsidRDefault="00F518C9" w:rsidP="00DF7BD9">
            <w:pPr>
              <w:pStyle w:val="Tabletext"/>
              <w:rPr>
                <w:b/>
                <w:bCs/>
              </w:rPr>
            </w:pPr>
            <w:r w:rsidRPr="00047AB2">
              <w:rPr>
                <w:b/>
                <w:bCs/>
              </w:rPr>
              <w:t>Всего по варианту 2 (Резолюция 44)</w:t>
            </w:r>
          </w:p>
        </w:tc>
        <w:tc>
          <w:tcPr>
            <w:tcW w:w="2410" w:type="dxa"/>
          </w:tcPr>
          <w:p w:rsidR="009534EC" w:rsidRPr="00047AB2" w:rsidRDefault="009534EC" w:rsidP="00DF7BD9">
            <w:pPr>
              <w:pStyle w:val="Tabletext"/>
              <w:rPr>
                <w:b/>
                <w:bCs/>
              </w:rPr>
            </w:pPr>
          </w:p>
        </w:tc>
        <w:tc>
          <w:tcPr>
            <w:tcW w:w="3255" w:type="dxa"/>
          </w:tcPr>
          <w:p w:rsidR="009534EC" w:rsidRPr="00047AB2" w:rsidRDefault="00F518C9" w:rsidP="00DF7BD9">
            <w:pPr>
              <w:pStyle w:val="Tabletext"/>
              <w:rPr>
                <w:b/>
                <w:bCs/>
              </w:rPr>
            </w:pPr>
            <w:r w:rsidRPr="00047AB2">
              <w:rPr>
                <w:b/>
                <w:bCs/>
              </w:rPr>
              <w:t>От</w:t>
            </w:r>
            <w:r w:rsidR="009534EC" w:rsidRPr="00047AB2">
              <w:rPr>
                <w:b/>
                <w:bCs/>
              </w:rPr>
              <w:t xml:space="preserve"> 2</w:t>
            </w:r>
            <w:r w:rsidRPr="00047AB2">
              <w:rPr>
                <w:b/>
                <w:bCs/>
              </w:rPr>
              <w:t> </w:t>
            </w:r>
            <w:r w:rsidR="009534EC" w:rsidRPr="00047AB2">
              <w:rPr>
                <w:b/>
                <w:bCs/>
              </w:rPr>
              <w:t xml:space="preserve">602 </w:t>
            </w:r>
            <w:r w:rsidRPr="00047AB2">
              <w:rPr>
                <w:b/>
                <w:bCs/>
              </w:rPr>
              <w:t>тыс. швейцарских франков</w:t>
            </w:r>
            <w:r w:rsidR="009534EC" w:rsidRPr="00047AB2">
              <w:rPr>
                <w:b/>
                <w:bCs/>
              </w:rPr>
              <w:t xml:space="preserve"> </w:t>
            </w:r>
            <w:r w:rsidRPr="00047AB2">
              <w:rPr>
                <w:b/>
                <w:bCs/>
              </w:rPr>
              <w:t>до</w:t>
            </w:r>
            <w:r w:rsidR="009534EC" w:rsidRPr="00047AB2">
              <w:rPr>
                <w:b/>
                <w:bCs/>
              </w:rPr>
              <w:t xml:space="preserve"> 3</w:t>
            </w:r>
            <w:r w:rsidRPr="00047AB2">
              <w:rPr>
                <w:b/>
                <w:bCs/>
              </w:rPr>
              <w:t> </w:t>
            </w:r>
            <w:r w:rsidR="009534EC" w:rsidRPr="00047AB2">
              <w:rPr>
                <w:b/>
                <w:bCs/>
              </w:rPr>
              <w:t xml:space="preserve">788 </w:t>
            </w:r>
            <w:r w:rsidRPr="00047AB2">
              <w:rPr>
                <w:b/>
                <w:bCs/>
              </w:rPr>
              <w:t>тыс. швейцарских франков</w:t>
            </w:r>
            <w:r w:rsidR="009534EC" w:rsidRPr="00047AB2">
              <w:rPr>
                <w:b/>
                <w:bCs/>
              </w:rPr>
              <w:t xml:space="preserve"> </w:t>
            </w:r>
            <w:r w:rsidRPr="00047AB2">
              <w:rPr>
                <w:b/>
                <w:bCs/>
              </w:rPr>
              <w:t>на двухгодичный период</w:t>
            </w:r>
          </w:p>
        </w:tc>
      </w:tr>
    </w:tbl>
    <w:p w:rsidR="000A0DCF" w:rsidRPr="00047AB2" w:rsidRDefault="000A0DCF" w:rsidP="00DF7BD9"/>
    <w:p w:rsidR="000A0DCF" w:rsidRPr="00047AB2" w:rsidRDefault="000A0DCF" w:rsidP="000A0DCF">
      <w:r w:rsidRPr="00047AB2">
        <w:br w:type="page"/>
      </w:r>
    </w:p>
    <w:p w:rsidR="000A0DCF" w:rsidRPr="00047AB2" w:rsidRDefault="000A0DCF" w:rsidP="000A0DCF">
      <w:pPr>
        <w:jc w:val="center"/>
        <w:rPr>
          <w:sz w:val="26"/>
          <w:szCs w:val="26"/>
        </w:rPr>
      </w:pPr>
      <w:r w:rsidRPr="00047AB2">
        <w:rPr>
          <w:sz w:val="26"/>
          <w:szCs w:val="26"/>
        </w:rPr>
        <w:lastRenderedPageBreak/>
        <w:t>ОЦЕНКА ЗАТРАТ</w:t>
      </w:r>
    </w:p>
    <w:p w:rsidR="000A0DCF" w:rsidRPr="00047AB2" w:rsidRDefault="000A0DCF" w:rsidP="000A0DCF">
      <w:pPr>
        <w:pStyle w:val="Headingb"/>
        <w:rPr>
          <w:lang w:val="ru-RU"/>
        </w:rPr>
      </w:pPr>
      <w:r w:rsidRPr="00047AB2">
        <w:rPr>
          <w:lang w:val="ru-RU"/>
        </w:rPr>
        <w:t>Устный перевод</w:t>
      </w:r>
    </w:p>
    <w:p w:rsidR="000A0DCF" w:rsidRPr="00047AB2" w:rsidRDefault="000A0DCF" w:rsidP="000A0DCF">
      <w:r w:rsidRPr="00047AB2">
        <w:t xml:space="preserve">См. Документ </w:t>
      </w:r>
      <w:hyperlink r:id="rId28" w:history="1">
        <w:r w:rsidRPr="00047AB2">
          <w:rPr>
            <w:color w:val="0000FF"/>
            <w:u w:val="single"/>
          </w:rPr>
          <w:t>72</w:t>
        </w:r>
      </w:hyperlink>
      <w:r w:rsidRPr="00047AB2">
        <w:t xml:space="preserve"> (пункт 6 раздела </w:t>
      </w:r>
      <w:r w:rsidRPr="00047AB2">
        <w:rPr>
          <w:i/>
        </w:rPr>
        <w:t xml:space="preserve">решает </w:t>
      </w:r>
      <w:r w:rsidRPr="00047AB2">
        <w:rPr>
          <w:iCs/>
        </w:rPr>
        <w:t>Резолюции 44</w:t>
      </w:r>
      <w:r w:rsidRPr="00047AB2">
        <w:t xml:space="preserve">: что по запросам участников должен обеспечиваться устный перевод в ходе всего пленарного заседания и в рабочих группах исследовательских комиссий и на всем собрании </w:t>
      </w:r>
      <w:proofErr w:type="spellStart"/>
      <w:r w:rsidRPr="00047AB2">
        <w:t>КГСЭ</w:t>
      </w:r>
      <w:proofErr w:type="spellEnd"/>
      <w:r w:rsidRPr="00047AB2">
        <w:t xml:space="preserve">). </w:t>
      </w:r>
    </w:p>
    <w:p w:rsidR="000A0DCF" w:rsidRPr="00047AB2" w:rsidRDefault="000A0DCF" w:rsidP="000A0DCF">
      <w:r w:rsidRPr="00047AB2">
        <w:t xml:space="preserve">Бюджет МСЭ-T на 2017 год на устный перевод составляет 313 тыс. швейцарских франков. </w:t>
      </w:r>
    </w:p>
    <w:p w:rsidR="000A0DCF" w:rsidRPr="00047AB2" w:rsidRDefault="000A0DCF" w:rsidP="000A0DCF">
      <w:r w:rsidRPr="00047AB2">
        <w:t xml:space="preserve">Один день устного перевода обходится примерно в: </w:t>
      </w:r>
    </w:p>
    <w:p w:rsidR="000A0DCF" w:rsidRPr="00047AB2" w:rsidRDefault="000A0DCF" w:rsidP="000A0DCF">
      <w:pPr>
        <w:pStyle w:val="enumlev1"/>
      </w:pPr>
      <w:r w:rsidRPr="00047AB2">
        <w:t>−</w:t>
      </w:r>
      <w:r w:rsidRPr="00047AB2">
        <w:tab/>
        <w:t>12 тыс. швейцарских франков, если перевод осуществляется на шесть языков;</w:t>
      </w:r>
    </w:p>
    <w:p w:rsidR="000A0DCF" w:rsidRPr="00047AB2" w:rsidRDefault="000A0DCF" w:rsidP="000A0DCF">
      <w:pPr>
        <w:pStyle w:val="enumlev1"/>
      </w:pPr>
      <w:r w:rsidRPr="00047AB2">
        <w:t>−</w:t>
      </w:r>
      <w:r w:rsidRPr="00047AB2">
        <w:tab/>
      </w:r>
      <w:r w:rsidRPr="00047AB2">
        <w:t>9 тыс. швейцарских франков, если перевод осуществляется на пять языков;</w:t>
      </w:r>
    </w:p>
    <w:p w:rsidR="000A0DCF" w:rsidRPr="00047AB2" w:rsidRDefault="000A0DCF" w:rsidP="000A0DCF">
      <w:pPr>
        <w:pStyle w:val="enumlev1"/>
      </w:pPr>
      <w:r w:rsidRPr="00047AB2">
        <w:t>−</w:t>
      </w:r>
      <w:r w:rsidRPr="00047AB2">
        <w:tab/>
      </w:r>
      <w:r w:rsidRPr="00047AB2">
        <w:t>7 тыс. швейцарских франков, если перевод осуществляется на четыре языка.</w:t>
      </w:r>
    </w:p>
    <w:p w:rsidR="000A0DCF" w:rsidRPr="00047AB2" w:rsidRDefault="000A0DCF" w:rsidP="000A0DCF">
      <w:r w:rsidRPr="00047AB2">
        <w:t xml:space="preserve">В настоящее время устный перевод обеспечивается на собраниях </w:t>
      </w:r>
      <w:proofErr w:type="spellStart"/>
      <w:r w:rsidRPr="00047AB2">
        <w:t>КГСЭ</w:t>
      </w:r>
      <w:proofErr w:type="spellEnd"/>
      <w:r w:rsidRPr="00047AB2">
        <w:t xml:space="preserve"> в течение двух дней (сессии, посвященные открытию и закрытию собрания). Если перевод будет обеспечиваться для всего собрания </w:t>
      </w:r>
      <w:proofErr w:type="spellStart"/>
      <w:r w:rsidRPr="00047AB2">
        <w:t>КГСЭ</w:t>
      </w:r>
      <w:proofErr w:type="spellEnd"/>
      <w:r w:rsidRPr="00047AB2">
        <w:t xml:space="preserve">, дополнительные расходы составят примерно 36 тыс. швейцарских франков на одно собрание </w:t>
      </w:r>
      <w:proofErr w:type="spellStart"/>
      <w:r w:rsidRPr="00047AB2">
        <w:t>КГСЭ</w:t>
      </w:r>
      <w:proofErr w:type="spellEnd"/>
      <w:r w:rsidRPr="00047AB2">
        <w:t xml:space="preserve"> (для собрания </w:t>
      </w:r>
      <w:proofErr w:type="spellStart"/>
      <w:r w:rsidRPr="00047AB2">
        <w:t>КГСЭ</w:t>
      </w:r>
      <w:proofErr w:type="spellEnd"/>
      <w:r w:rsidRPr="00047AB2">
        <w:t xml:space="preserve"> продолжительностью пять дней) или 24 тыс. швейцарских франков на одно собрание </w:t>
      </w:r>
      <w:proofErr w:type="spellStart"/>
      <w:r w:rsidRPr="00047AB2">
        <w:t>КГСЭ</w:t>
      </w:r>
      <w:proofErr w:type="spellEnd"/>
      <w:r w:rsidRPr="00047AB2">
        <w:t xml:space="preserve"> (для собрания </w:t>
      </w:r>
      <w:proofErr w:type="spellStart"/>
      <w:r w:rsidRPr="00047AB2">
        <w:t>КГСЭ</w:t>
      </w:r>
      <w:proofErr w:type="spellEnd"/>
      <w:r w:rsidRPr="00047AB2">
        <w:t xml:space="preserve"> продолжительностью четыре дня). За двухгодичный период финансовые последствия составят от 72 тыс. швейцарских франков (три собрания </w:t>
      </w:r>
      <w:proofErr w:type="spellStart"/>
      <w:r w:rsidRPr="00047AB2">
        <w:t>КГСЭ</w:t>
      </w:r>
      <w:proofErr w:type="spellEnd"/>
      <w:r w:rsidRPr="00047AB2">
        <w:t xml:space="preserve"> по четыре дня каждое) до 108 тыс. швейцарских франков (три собрания </w:t>
      </w:r>
      <w:proofErr w:type="spellStart"/>
      <w:r w:rsidRPr="00047AB2">
        <w:t>КГСЭ</w:t>
      </w:r>
      <w:proofErr w:type="spellEnd"/>
      <w:r w:rsidRPr="00047AB2">
        <w:t xml:space="preserve"> по пять дней каждое).</w:t>
      </w:r>
    </w:p>
    <w:p w:rsidR="000A0DCF" w:rsidRPr="00047AB2" w:rsidRDefault="000A0DCF" w:rsidP="000A0DCF">
      <w:pPr>
        <w:rPr>
          <w:u w:val="single"/>
        </w:rPr>
      </w:pPr>
      <w:r w:rsidRPr="00047AB2">
        <w:rPr>
          <w:u w:val="single"/>
        </w:rPr>
        <w:t xml:space="preserve">Вариант 1 </w:t>
      </w:r>
    </w:p>
    <w:p w:rsidR="000A0DCF" w:rsidRPr="00047AB2" w:rsidRDefault="000A0DCF" w:rsidP="000A0DCF">
      <w:r w:rsidRPr="00047AB2">
        <w:t>В настоящее время устный перевод обеспечивается на посвященных закрытию сессиях собраний исследовательских комиссий. Обеспечение устного перевода на пленарных заседаниях исследовательских комиссий (сессии, посвященные открытию и закрытию собрания) и на отдельных собраниях рабочих групп (сессии, посвященные открытию и закрытию собрания), обусловит 25 дополнительных дней устного перевода. Финансовые последствия могут быть оценены в диапазоне от 350 тыс. швейцарских франков до 600 тыс. швейцарских франков за двухгодичный период, в зависимости от числа языков, на которые потребуется перевод.</w:t>
      </w:r>
    </w:p>
    <w:p w:rsidR="000A0DCF" w:rsidRPr="00047AB2" w:rsidRDefault="000A0DCF" w:rsidP="000A0DCF"/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1944"/>
        <w:gridCol w:w="1923"/>
        <w:gridCol w:w="1515"/>
        <w:gridCol w:w="1984"/>
        <w:gridCol w:w="2263"/>
      </w:tblGrid>
      <w:tr w:rsidR="000A0DCF" w:rsidRPr="00047AB2" w:rsidTr="00BA7DD3">
        <w:tc>
          <w:tcPr>
            <w:tcW w:w="1944" w:type="dxa"/>
          </w:tcPr>
          <w:p w:rsidR="000A0DCF" w:rsidRPr="00047AB2" w:rsidRDefault="000A0DCF" w:rsidP="000A0DCF">
            <w:pPr>
              <w:pStyle w:val="Tablehead"/>
              <w:rPr>
                <w:lang w:val="ru-RU"/>
              </w:rPr>
            </w:pPr>
            <w:r w:rsidRPr="00047AB2">
              <w:rPr>
                <w:lang w:val="ru-RU"/>
              </w:rPr>
              <w:t>Дополнительные дни устного перевода</w:t>
            </w:r>
          </w:p>
        </w:tc>
        <w:tc>
          <w:tcPr>
            <w:tcW w:w="1923" w:type="dxa"/>
          </w:tcPr>
          <w:p w:rsidR="000A0DCF" w:rsidRPr="00047AB2" w:rsidRDefault="000A0DCF" w:rsidP="00C33FFC">
            <w:pPr>
              <w:pStyle w:val="Tablehead"/>
              <w:rPr>
                <w:lang w:val="ru-RU"/>
              </w:rPr>
            </w:pPr>
            <w:r w:rsidRPr="00047AB2">
              <w:rPr>
                <w:lang w:val="ru-RU"/>
              </w:rPr>
              <w:t>Число языков, на</w:t>
            </w:r>
            <w:r w:rsidR="00C33FFC" w:rsidRPr="00047AB2">
              <w:rPr>
                <w:lang w:val="ru-RU"/>
              </w:rPr>
              <w:t> </w:t>
            </w:r>
            <w:r w:rsidRPr="00047AB2">
              <w:rPr>
                <w:lang w:val="ru-RU"/>
              </w:rPr>
              <w:t>которые обеспечивается перевод</w:t>
            </w:r>
          </w:p>
        </w:tc>
        <w:tc>
          <w:tcPr>
            <w:tcW w:w="1515" w:type="dxa"/>
          </w:tcPr>
          <w:p w:rsidR="000A0DCF" w:rsidRPr="00047AB2" w:rsidRDefault="000A0DCF" w:rsidP="000A0DCF">
            <w:pPr>
              <w:pStyle w:val="Tablehead"/>
              <w:rPr>
                <w:lang w:val="ru-RU"/>
              </w:rPr>
            </w:pPr>
            <w:r w:rsidRPr="00047AB2">
              <w:rPr>
                <w:lang w:val="ru-RU"/>
              </w:rPr>
              <w:t>Ежедневные затраты (в тыс. швейцарских франков)</w:t>
            </w:r>
          </w:p>
        </w:tc>
        <w:tc>
          <w:tcPr>
            <w:tcW w:w="1984" w:type="dxa"/>
          </w:tcPr>
          <w:p w:rsidR="000A0DCF" w:rsidRPr="00047AB2" w:rsidRDefault="000A0DCF" w:rsidP="000A0DCF">
            <w:pPr>
              <w:pStyle w:val="Tablehead"/>
              <w:rPr>
                <w:lang w:val="ru-RU"/>
              </w:rPr>
            </w:pPr>
            <w:r w:rsidRPr="00047AB2">
              <w:rPr>
                <w:lang w:val="ru-RU"/>
              </w:rPr>
              <w:t>Дополнительные расходы за год (в тыс. швейцарских франков)</w:t>
            </w:r>
          </w:p>
        </w:tc>
        <w:tc>
          <w:tcPr>
            <w:tcW w:w="2263" w:type="dxa"/>
          </w:tcPr>
          <w:p w:rsidR="000A0DCF" w:rsidRPr="00047AB2" w:rsidRDefault="000A0DCF" w:rsidP="000A0DCF">
            <w:pPr>
              <w:pStyle w:val="Tablehead"/>
              <w:rPr>
                <w:lang w:val="ru-RU"/>
              </w:rPr>
            </w:pPr>
            <w:r w:rsidRPr="00047AB2">
              <w:rPr>
                <w:lang w:val="ru-RU"/>
              </w:rPr>
              <w:t>Дополнительные расходы за двухгодичный период (в тыс. швейцарских франков)</w:t>
            </w:r>
          </w:p>
        </w:tc>
      </w:tr>
      <w:tr w:rsidR="000A0DCF" w:rsidRPr="00047AB2" w:rsidTr="000A0DCF">
        <w:tc>
          <w:tcPr>
            <w:tcW w:w="1944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25</w:t>
            </w:r>
          </w:p>
        </w:tc>
        <w:tc>
          <w:tcPr>
            <w:tcW w:w="1923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6</w:t>
            </w:r>
          </w:p>
        </w:tc>
        <w:tc>
          <w:tcPr>
            <w:tcW w:w="1515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12</w:t>
            </w:r>
          </w:p>
        </w:tc>
        <w:tc>
          <w:tcPr>
            <w:tcW w:w="1984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300</w:t>
            </w:r>
          </w:p>
        </w:tc>
        <w:tc>
          <w:tcPr>
            <w:tcW w:w="2263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600</w:t>
            </w:r>
          </w:p>
        </w:tc>
      </w:tr>
      <w:tr w:rsidR="000A0DCF" w:rsidRPr="00047AB2" w:rsidTr="000A0DCF">
        <w:tc>
          <w:tcPr>
            <w:tcW w:w="1944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25</w:t>
            </w:r>
          </w:p>
        </w:tc>
        <w:tc>
          <w:tcPr>
            <w:tcW w:w="1923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5</w:t>
            </w:r>
          </w:p>
        </w:tc>
        <w:tc>
          <w:tcPr>
            <w:tcW w:w="1515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9</w:t>
            </w:r>
          </w:p>
        </w:tc>
        <w:tc>
          <w:tcPr>
            <w:tcW w:w="1984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225</w:t>
            </w:r>
          </w:p>
        </w:tc>
        <w:tc>
          <w:tcPr>
            <w:tcW w:w="2263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450</w:t>
            </w:r>
          </w:p>
        </w:tc>
      </w:tr>
      <w:tr w:rsidR="000A0DCF" w:rsidRPr="00047AB2" w:rsidTr="000A0DCF">
        <w:tc>
          <w:tcPr>
            <w:tcW w:w="1944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25</w:t>
            </w:r>
          </w:p>
        </w:tc>
        <w:tc>
          <w:tcPr>
            <w:tcW w:w="1923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4</w:t>
            </w:r>
          </w:p>
        </w:tc>
        <w:tc>
          <w:tcPr>
            <w:tcW w:w="1515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7</w:t>
            </w:r>
          </w:p>
        </w:tc>
        <w:tc>
          <w:tcPr>
            <w:tcW w:w="1984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175</w:t>
            </w:r>
          </w:p>
        </w:tc>
        <w:tc>
          <w:tcPr>
            <w:tcW w:w="2263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350</w:t>
            </w:r>
          </w:p>
        </w:tc>
      </w:tr>
    </w:tbl>
    <w:p w:rsidR="000A0DCF" w:rsidRPr="00047AB2" w:rsidRDefault="000A0DCF" w:rsidP="000A0DCF"/>
    <w:p w:rsidR="000A0DCF" w:rsidRPr="00047AB2" w:rsidRDefault="000A0DCF" w:rsidP="000A0DCF">
      <w:pPr>
        <w:rPr>
          <w:u w:val="single"/>
        </w:rPr>
      </w:pPr>
      <w:r w:rsidRPr="00047AB2">
        <w:rPr>
          <w:u w:val="single"/>
        </w:rPr>
        <w:t xml:space="preserve">Вариант 2 </w:t>
      </w:r>
    </w:p>
    <w:p w:rsidR="000A0DCF" w:rsidRPr="00047AB2" w:rsidRDefault="000A0DCF" w:rsidP="000A0DCF">
      <w:r w:rsidRPr="00047AB2">
        <w:t>Обеспечение устного перевода на пленарных заседаниях исследовательских комиссий (сессии, посвященные открытию и закрытию собрания) и на пленарных заседаниях всех рабочих групп (сессии, посвященные открытию и закрытию собрания) обусловит 115 дополнительных дней устного перевода. Максимальные финансовые последствия могут быть оценены в диапазоне от 1610 тыс. швейцарских франков до 2760 тыс. швейцарских франков на двухгодичный период, в зависимости от числа языков, на которые потребуется перевод.</w:t>
      </w:r>
    </w:p>
    <w:p w:rsidR="000A0DCF" w:rsidRPr="00047AB2" w:rsidRDefault="000A0DCF" w:rsidP="000A0DCF"/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1944"/>
        <w:gridCol w:w="1923"/>
        <w:gridCol w:w="1515"/>
        <w:gridCol w:w="1984"/>
        <w:gridCol w:w="2263"/>
      </w:tblGrid>
      <w:tr w:rsidR="000A0DCF" w:rsidRPr="00047AB2" w:rsidTr="00BA7DD3">
        <w:tc>
          <w:tcPr>
            <w:tcW w:w="1944" w:type="dxa"/>
          </w:tcPr>
          <w:p w:rsidR="000A0DCF" w:rsidRPr="00047AB2" w:rsidRDefault="000A0DCF" w:rsidP="000A0DCF">
            <w:pPr>
              <w:pStyle w:val="Tablehead"/>
              <w:rPr>
                <w:lang w:val="ru-RU"/>
              </w:rPr>
            </w:pPr>
            <w:r w:rsidRPr="00047AB2">
              <w:rPr>
                <w:lang w:val="ru-RU"/>
              </w:rPr>
              <w:lastRenderedPageBreak/>
              <w:t>Дополнительные дни устного перевода</w:t>
            </w:r>
          </w:p>
        </w:tc>
        <w:tc>
          <w:tcPr>
            <w:tcW w:w="1923" w:type="dxa"/>
          </w:tcPr>
          <w:p w:rsidR="000A0DCF" w:rsidRPr="00047AB2" w:rsidRDefault="000A0DCF" w:rsidP="00C33FFC">
            <w:pPr>
              <w:pStyle w:val="Tablehead"/>
              <w:rPr>
                <w:lang w:val="ru-RU"/>
              </w:rPr>
            </w:pPr>
            <w:r w:rsidRPr="00047AB2">
              <w:rPr>
                <w:lang w:val="ru-RU"/>
              </w:rPr>
              <w:t>Число языков, на</w:t>
            </w:r>
            <w:r w:rsidR="00C33FFC" w:rsidRPr="00047AB2">
              <w:rPr>
                <w:lang w:val="ru-RU"/>
              </w:rPr>
              <w:t> </w:t>
            </w:r>
            <w:r w:rsidRPr="00047AB2">
              <w:rPr>
                <w:lang w:val="ru-RU"/>
              </w:rPr>
              <w:t>которые обеспечивается перевод</w:t>
            </w:r>
          </w:p>
        </w:tc>
        <w:tc>
          <w:tcPr>
            <w:tcW w:w="1515" w:type="dxa"/>
          </w:tcPr>
          <w:p w:rsidR="000A0DCF" w:rsidRPr="00047AB2" w:rsidRDefault="000A0DCF" w:rsidP="000A0DCF">
            <w:pPr>
              <w:pStyle w:val="Tablehead"/>
              <w:rPr>
                <w:lang w:val="ru-RU"/>
              </w:rPr>
            </w:pPr>
            <w:r w:rsidRPr="00047AB2">
              <w:rPr>
                <w:lang w:val="ru-RU"/>
              </w:rPr>
              <w:t>Ежедневные затраты (в тыс. швейцарских франков)</w:t>
            </w:r>
          </w:p>
        </w:tc>
        <w:tc>
          <w:tcPr>
            <w:tcW w:w="1984" w:type="dxa"/>
          </w:tcPr>
          <w:p w:rsidR="000A0DCF" w:rsidRPr="00047AB2" w:rsidRDefault="000A0DCF" w:rsidP="000A0DCF">
            <w:pPr>
              <w:pStyle w:val="Tablehead"/>
              <w:rPr>
                <w:lang w:val="ru-RU"/>
              </w:rPr>
            </w:pPr>
            <w:r w:rsidRPr="00047AB2">
              <w:rPr>
                <w:lang w:val="ru-RU"/>
              </w:rPr>
              <w:t>Дополнительные расходы за год (в тыс. швейцарских франков)</w:t>
            </w:r>
          </w:p>
        </w:tc>
        <w:tc>
          <w:tcPr>
            <w:tcW w:w="2263" w:type="dxa"/>
          </w:tcPr>
          <w:p w:rsidR="000A0DCF" w:rsidRPr="00047AB2" w:rsidRDefault="000A0DCF" w:rsidP="000A0DCF">
            <w:pPr>
              <w:pStyle w:val="Tablehead"/>
              <w:rPr>
                <w:lang w:val="ru-RU"/>
              </w:rPr>
            </w:pPr>
            <w:r w:rsidRPr="00047AB2">
              <w:rPr>
                <w:lang w:val="ru-RU"/>
              </w:rPr>
              <w:t>Дополнительные расходы за двухгодичный период (в тыс. швейцарских франков)</w:t>
            </w:r>
          </w:p>
        </w:tc>
      </w:tr>
      <w:tr w:rsidR="000A0DCF" w:rsidRPr="00047AB2" w:rsidTr="000A0DCF">
        <w:tc>
          <w:tcPr>
            <w:tcW w:w="1944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115</w:t>
            </w:r>
          </w:p>
        </w:tc>
        <w:tc>
          <w:tcPr>
            <w:tcW w:w="1923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6</w:t>
            </w:r>
          </w:p>
        </w:tc>
        <w:tc>
          <w:tcPr>
            <w:tcW w:w="1515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12</w:t>
            </w:r>
          </w:p>
        </w:tc>
        <w:tc>
          <w:tcPr>
            <w:tcW w:w="1984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1 380</w:t>
            </w:r>
          </w:p>
        </w:tc>
        <w:tc>
          <w:tcPr>
            <w:tcW w:w="2263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2 760</w:t>
            </w:r>
          </w:p>
        </w:tc>
      </w:tr>
      <w:tr w:rsidR="000A0DCF" w:rsidRPr="00047AB2" w:rsidTr="000A0DCF">
        <w:tc>
          <w:tcPr>
            <w:tcW w:w="1944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115</w:t>
            </w:r>
          </w:p>
        </w:tc>
        <w:tc>
          <w:tcPr>
            <w:tcW w:w="1923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5</w:t>
            </w:r>
          </w:p>
        </w:tc>
        <w:tc>
          <w:tcPr>
            <w:tcW w:w="1515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9</w:t>
            </w:r>
          </w:p>
        </w:tc>
        <w:tc>
          <w:tcPr>
            <w:tcW w:w="1984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1 035</w:t>
            </w:r>
          </w:p>
        </w:tc>
        <w:tc>
          <w:tcPr>
            <w:tcW w:w="2263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2 070</w:t>
            </w:r>
          </w:p>
        </w:tc>
      </w:tr>
      <w:tr w:rsidR="000A0DCF" w:rsidRPr="00047AB2" w:rsidTr="000A0DCF">
        <w:tc>
          <w:tcPr>
            <w:tcW w:w="1944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115</w:t>
            </w:r>
          </w:p>
        </w:tc>
        <w:tc>
          <w:tcPr>
            <w:tcW w:w="1923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4</w:t>
            </w:r>
          </w:p>
        </w:tc>
        <w:tc>
          <w:tcPr>
            <w:tcW w:w="1515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7</w:t>
            </w:r>
          </w:p>
        </w:tc>
        <w:tc>
          <w:tcPr>
            <w:tcW w:w="1984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805</w:t>
            </w:r>
          </w:p>
        </w:tc>
        <w:tc>
          <w:tcPr>
            <w:tcW w:w="2263" w:type="dxa"/>
            <w:vAlign w:val="bottom"/>
          </w:tcPr>
          <w:p w:rsidR="000A0DCF" w:rsidRPr="00047AB2" w:rsidRDefault="000A0DCF" w:rsidP="000A0DCF">
            <w:pPr>
              <w:pStyle w:val="Tabletext"/>
              <w:jc w:val="right"/>
            </w:pPr>
            <w:r w:rsidRPr="00047AB2">
              <w:t>1 610</w:t>
            </w:r>
          </w:p>
        </w:tc>
      </w:tr>
    </w:tbl>
    <w:p w:rsidR="000A0DCF" w:rsidRPr="00047AB2" w:rsidRDefault="00724C04" w:rsidP="00724C04">
      <w:pPr>
        <w:pStyle w:val="Headingb"/>
        <w:rPr>
          <w:lang w:val="ru-RU"/>
        </w:rPr>
      </w:pPr>
      <w:r w:rsidRPr="00047AB2">
        <w:rPr>
          <w:lang w:val="ru-RU"/>
        </w:rPr>
        <w:t>Консультирование</w:t>
      </w:r>
    </w:p>
    <w:p w:rsidR="000A0DCF" w:rsidRPr="00047AB2" w:rsidRDefault="000A0DCF" w:rsidP="000A0DCF">
      <w:r w:rsidRPr="00047AB2">
        <w:t>См. новую Резолюцию [</w:t>
      </w:r>
      <w:proofErr w:type="spellStart"/>
      <w:r w:rsidRPr="00047AB2">
        <w:t>RCC</w:t>
      </w:r>
      <w:proofErr w:type="spellEnd"/>
      <w:r w:rsidRPr="00047AB2">
        <w:t>-3] и новую Резолюцию [</w:t>
      </w:r>
      <w:proofErr w:type="spellStart"/>
      <w:r w:rsidRPr="00047AB2">
        <w:t>AFCP</w:t>
      </w:r>
      <w:proofErr w:type="spellEnd"/>
      <w:r w:rsidRPr="00047AB2">
        <w:t>-2].</w:t>
      </w:r>
    </w:p>
    <w:p w:rsidR="000A0DCF" w:rsidRPr="00047AB2" w:rsidRDefault="000A0DCF" w:rsidP="000A0DCF">
      <w:pPr>
        <w:rPr>
          <w:bCs/>
          <w:highlight w:val="yellow"/>
        </w:rPr>
      </w:pPr>
      <w:r w:rsidRPr="00047AB2">
        <w:t>Реализация изложенного выше будет предполагать наем экспертов по контрактам по линии специальных соглашений об услугах (</w:t>
      </w:r>
      <w:proofErr w:type="spellStart"/>
      <w:r w:rsidRPr="00047AB2">
        <w:t>SSA</w:t>
      </w:r>
      <w:proofErr w:type="spellEnd"/>
      <w:r w:rsidRPr="00047AB2">
        <w:t>) в связи с подготовкой отчетов и проведением исследований.</w:t>
      </w:r>
    </w:p>
    <w:p w:rsidR="000A0DCF" w:rsidRPr="00047AB2" w:rsidRDefault="000A0DCF" w:rsidP="000A0DCF">
      <w:pPr>
        <w:pStyle w:val="Headingb"/>
        <w:rPr>
          <w:lang w:val="ru-RU"/>
        </w:rPr>
      </w:pPr>
      <w:r w:rsidRPr="00047AB2">
        <w:rPr>
          <w:lang w:val="ru-RU"/>
        </w:rPr>
        <w:t>Семинары-практикумы/семинары</w:t>
      </w:r>
    </w:p>
    <w:p w:rsidR="000A0DCF" w:rsidRPr="00047AB2" w:rsidRDefault="000A0DCF" w:rsidP="000A0DCF">
      <w:r w:rsidRPr="00047AB2">
        <w:t>См. Резолюцию 77, новую Резолюцию [</w:t>
      </w:r>
      <w:proofErr w:type="spellStart"/>
      <w:r w:rsidRPr="00047AB2">
        <w:t>APT</w:t>
      </w:r>
      <w:proofErr w:type="spellEnd"/>
      <w:r w:rsidRPr="00047AB2">
        <w:t>-3], новую Резолюцию [</w:t>
      </w:r>
      <w:proofErr w:type="spellStart"/>
      <w:r w:rsidRPr="00047AB2">
        <w:t>AFCP</w:t>
      </w:r>
      <w:proofErr w:type="spellEnd"/>
      <w:r w:rsidRPr="00047AB2">
        <w:t>-2] и новую Резолюцию</w:t>
      </w:r>
      <w:r w:rsidR="00C33FFC" w:rsidRPr="00047AB2">
        <w:t> </w:t>
      </w:r>
      <w:r w:rsidRPr="00047AB2">
        <w:t>[</w:t>
      </w:r>
      <w:proofErr w:type="spellStart"/>
      <w:r w:rsidRPr="00047AB2">
        <w:t>APT</w:t>
      </w:r>
      <w:proofErr w:type="spellEnd"/>
      <w:r w:rsidRPr="00047AB2">
        <w:t>-2]/[</w:t>
      </w:r>
      <w:proofErr w:type="spellStart"/>
      <w:r w:rsidRPr="00047AB2">
        <w:t>IAP</w:t>
      </w:r>
      <w:proofErr w:type="spellEnd"/>
      <w:r w:rsidRPr="00047AB2">
        <w:t>-3]</w:t>
      </w:r>
    </w:p>
    <w:p w:rsidR="000A0DCF" w:rsidRPr="00047AB2" w:rsidRDefault="000A0DCF" w:rsidP="00724C04">
      <w:r w:rsidRPr="00047AB2">
        <w:t>Организация семинаров-практикумов/семинаров повлечет за собой расходы на путевые затраты для персонала МСЭ, путевые затраты для экспертов в некоторых случаях, стипендии, аренду конференц-залов и аудиовизуально</w:t>
      </w:r>
      <w:r w:rsidR="00724C04" w:rsidRPr="00047AB2">
        <w:t>го</w:t>
      </w:r>
      <w:r w:rsidRPr="00047AB2">
        <w:t xml:space="preserve"> оборудовани</w:t>
      </w:r>
      <w:r w:rsidR="00724C04" w:rsidRPr="00047AB2">
        <w:t>я</w:t>
      </w:r>
      <w:r w:rsidRPr="00047AB2">
        <w:t>, сметная сумма которых составляет 30 тыс. швейцарских франков на один семинар-практикум/семинар.</w:t>
      </w:r>
    </w:p>
    <w:p w:rsidR="000A0DCF" w:rsidRPr="00047AB2" w:rsidRDefault="000A0DCF" w:rsidP="000A0DCF">
      <w:r w:rsidRPr="00047AB2">
        <w:t>В смету возможных финансовых последствий включено указанное ниже число семинаров-практикумов в год:</w:t>
      </w:r>
    </w:p>
    <w:p w:rsidR="000A0DCF" w:rsidRPr="00047AB2" w:rsidRDefault="000A0DCF" w:rsidP="000A0DCF"/>
    <w:tbl>
      <w:tblPr>
        <w:tblStyle w:val="TableGrid8"/>
        <w:tblW w:w="0" w:type="auto"/>
        <w:jc w:val="center"/>
        <w:tblLook w:val="04A0" w:firstRow="1" w:lastRow="0" w:firstColumn="1" w:lastColumn="0" w:noHBand="0" w:noVBand="1"/>
      </w:tblPr>
      <w:tblGrid>
        <w:gridCol w:w="3975"/>
        <w:gridCol w:w="1701"/>
      </w:tblGrid>
      <w:tr w:rsidR="000A0DCF" w:rsidRPr="00047AB2" w:rsidTr="00047AB2">
        <w:trPr>
          <w:jc w:val="center"/>
        </w:trPr>
        <w:tc>
          <w:tcPr>
            <w:tcW w:w="3975" w:type="dxa"/>
          </w:tcPr>
          <w:p w:rsidR="000A0DCF" w:rsidRPr="00047AB2" w:rsidRDefault="000A0DCF" w:rsidP="000A0DCF">
            <w:pPr>
              <w:pStyle w:val="Tabletext"/>
            </w:pPr>
            <w:r w:rsidRPr="00047AB2">
              <w:t>Резолюция 77</w:t>
            </w:r>
          </w:p>
        </w:tc>
        <w:tc>
          <w:tcPr>
            <w:tcW w:w="1701" w:type="dxa"/>
            <w:vAlign w:val="bottom"/>
          </w:tcPr>
          <w:p w:rsidR="000A0DCF" w:rsidRPr="00047AB2" w:rsidRDefault="000A0DCF" w:rsidP="00047AB2">
            <w:pPr>
              <w:pStyle w:val="Tabletext"/>
              <w:jc w:val="right"/>
            </w:pPr>
            <w:r w:rsidRPr="00047AB2">
              <w:t>3</w:t>
            </w:r>
          </w:p>
        </w:tc>
      </w:tr>
      <w:tr w:rsidR="000A0DCF" w:rsidRPr="00047AB2" w:rsidTr="00047AB2">
        <w:trPr>
          <w:jc w:val="center"/>
        </w:trPr>
        <w:tc>
          <w:tcPr>
            <w:tcW w:w="3975" w:type="dxa"/>
          </w:tcPr>
          <w:p w:rsidR="000A0DCF" w:rsidRPr="00047AB2" w:rsidRDefault="000A0DCF" w:rsidP="000A0DCF">
            <w:pPr>
              <w:pStyle w:val="Tabletext"/>
            </w:pPr>
            <w:r w:rsidRPr="00047AB2">
              <w:rPr>
                <w:szCs w:val="24"/>
              </w:rPr>
              <w:t>Новая Резолюция [</w:t>
            </w:r>
            <w:proofErr w:type="spellStart"/>
            <w:r w:rsidRPr="00047AB2">
              <w:rPr>
                <w:szCs w:val="24"/>
              </w:rPr>
              <w:t>APT</w:t>
            </w:r>
            <w:proofErr w:type="spellEnd"/>
            <w:r w:rsidRPr="00047AB2">
              <w:rPr>
                <w:szCs w:val="24"/>
              </w:rPr>
              <w:t>-3]</w:t>
            </w:r>
          </w:p>
        </w:tc>
        <w:tc>
          <w:tcPr>
            <w:tcW w:w="1701" w:type="dxa"/>
            <w:vAlign w:val="bottom"/>
          </w:tcPr>
          <w:p w:rsidR="000A0DCF" w:rsidRPr="00047AB2" w:rsidRDefault="000A0DCF" w:rsidP="00047AB2">
            <w:pPr>
              <w:pStyle w:val="Tabletext"/>
              <w:jc w:val="right"/>
            </w:pPr>
            <w:r w:rsidRPr="00047AB2">
              <w:t>1</w:t>
            </w:r>
          </w:p>
        </w:tc>
      </w:tr>
      <w:tr w:rsidR="000A0DCF" w:rsidRPr="00047AB2" w:rsidTr="00047AB2">
        <w:trPr>
          <w:jc w:val="center"/>
        </w:trPr>
        <w:tc>
          <w:tcPr>
            <w:tcW w:w="3975" w:type="dxa"/>
          </w:tcPr>
          <w:p w:rsidR="000A0DCF" w:rsidRPr="00047AB2" w:rsidRDefault="000A0DCF" w:rsidP="000A0DCF">
            <w:pPr>
              <w:pStyle w:val="Tabletext"/>
            </w:pPr>
            <w:r w:rsidRPr="00047AB2">
              <w:rPr>
                <w:szCs w:val="24"/>
              </w:rPr>
              <w:t>Новая Резолюция [</w:t>
            </w:r>
            <w:proofErr w:type="spellStart"/>
            <w:r w:rsidRPr="00047AB2">
              <w:rPr>
                <w:szCs w:val="24"/>
              </w:rPr>
              <w:t>AFCP</w:t>
            </w:r>
            <w:proofErr w:type="spellEnd"/>
            <w:r w:rsidRPr="00047AB2">
              <w:rPr>
                <w:szCs w:val="24"/>
              </w:rPr>
              <w:t>-2]</w:t>
            </w:r>
          </w:p>
        </w:tc>
        <w:tc>
          <w:tcPr>
            <w:tcW w:w="1701" w:type="dxa"/>
            <w:vAlign w:val="bottom"/>
          </w:tcPr>
          <w:p w:rsidR="000A0DCF" w:rsidRPr="00047AB2" w:rsidRDefault="000A0DCF" w:rsidP="00047AB2">
            <w:pPr>
              <w:pStyle w:val="Tabletext"/>
              <w:jc w:val="right"/>
            </w:pPr>
            <w:r w:rsidRPr="00047AB2">
              <w:t>3</w:t>
            </w:r>
          </w:p>
        </w:tc>
      </w:tr>
      <w:tr w:rsidR="000A0DCF" w:rsidRPr="00047AB2" w:rsidTr="00047AB2">
        <w:trPr>
          <w:jc w:val="center"/>
        </w:trPr>
        <w:tc>
          <w:tcPr>
            <w:tcW w:w="3975" w:type="dxa"/>
          </w:tcPr>
          <w:p w:rsidR="000A0DCF" w:rsidRPr="00047AB2" w:rsidRDefault="000A0DCF" w:rsidP="000A0DCF">
            <w:pPr>
              <w:pStyle w:val="Tabletext"/>
            </w:pPr>
            <w:r w:rsidRPr="00047AB2">
              <w:rPr>
                <w:szCs w:val="24"/>
              </w:rPr>
              <w:t>Новая Резолюция [</w:t>
            </w:r>
            <w:proofErr w:type="spellStart"/>
            <w:r w:rsidRPr="00047AB2">
              <w:rPr>
                <w:szCs w:val="24"/>
              </w:rPr>
              <w:t>APT</w:t>
            </w:r>
            <w:proofErr w:type="spellEnd"/>
            <w:r w:rsidRPr="00047AB2">
              <w:rPr>
                <w:szCs w:val="24"/>
              </w:rPr>
              <w:t>-2]/[</w:t>
            </w:r>
            <w:proofErr w:type="spellStart"/>
            <w:r w:rsidRPr="00047AB2">
              <w:rPr>
                <w:szCs w:val="24"/>
              </w:rPr>
              <w:t>IAP</w:t>
            </w:r>
            <w:proofErr w:type="spellEnd"/>
            <w:r w:rsidRPr="00047AB2">
              <w:rPr>
                <w:szCs w:val="24"/>
              </w:rPr>
              <w:t>-3]</w:t>
            </w:r>
          </w:p>
        </w:tc>
        <w:tc>
          <w:tcPr>
            <w:tcW w:w="1701" w:type="dxa"/>
            <w:vAlign w:val="bottom"/>
          </w:tcPr>
          <w:p w:rsidR="000A0DCF" w:rsidRPr="00047AB2" w:rsidRDefault="000A0DCF" w:rsidP="00047AB2">
            <w:pPr>
              <w:pStyle w:val="Tabletext"/>
              <w:jc w:val="right"/>
            </w:pPr>
            <w:r w:rsidRPr="00047AB2">
              <w:t>1</w:t>
            </w:r>
          </w:p>
        </w:tc>
      </w:tr>
    </w:tbl>
    <w:p w:rsidR="000A0DCF" w:rsidRPr="00047AB2" w:rsidRDefault="000A0DCF" w:rsidP="00724C04"/>
    <w:p w:rsidR="000A0DCF" w:rsidRPr="00047AB2" w:rsidRDefault="000A0DCF" w:rsidP="00724C04">
      <w:pPr>
        <w:pStyle w:val="Headingb"/>
        <w:rPr>
          <w:lang w:val="ru-RU"/>
        </w:rPr>
      </w:pPr>
      <w:r w:rsidRPr="00047AB2">
        <w:rPr>
          <w:lang w:val="ru-RU"/>
        </w:rPr>
        <w:t xml:space="preserve">Кадровые ресурсы </w:t>
      </w:r>
      <w:proofErr w:type="spellStart"/>
      <w:r w:rsidRPr="00047AB2">
        <w:rPr>
          <w:lang w:val="ru-RU"/>
        </w:rPr>
        <w:t>БСЭ</w:t>
      </w:r>
      <w:proofErr w:type="spellEnd"/>
    </w:p>
    <w:p w:rsidR="000A0DCF" w:rsidRPr="00047AB2" w:rsidRDefault="000A0DCF" w:rsidP="00724C04">
      <w:r w:rsidRPr="00047AB2">
        <w:t>См. новую Резолюцию [</w:t>
      </w:r>
      <w:proofErr w:type="spellStart"/>
      <w:r w:rsidRPr="00047AB2">
        <w:t>AFCP</w:t>
      </w:r>
      <w:proofErr w:type="spellEnd"/>
      <w:r w:rsidRPr="00047AB2">
        <w:t>-2]</w:t>
      </w:r>
      <w:r w:rsidR="00724C04" w:rsidRPr="00047AB2">
        <w:t>.</w:t>
      </w:r>
    </w:p>
    <w:p w:rsidR="000A0DCF" w:rsidRPr="00047AB2" w:rsidRDefault="000A0DCF" w:rsidP="00724C04">
      <w:r w:rsidRPr="00047AB2">
        <w:t>Управление платформой для взаимного обучения, ведения диалога и обмена опытом в области цифровых финансовых услуг потребует дополнительного поста </w:t>
      </w:r>
      <w:proofErr w:type="spellStart"/>
      <w:r w:rsidRPr="00047AB2">
        <w:t>P2</w:t>
      </w:r>
      <w:proofErr w:type="spellEnd"/>
      <w:r w:rsidRPr="00047AB2">
        <w:t xml:space="preserve">. Ежегодные затраты на такой пост составляют 140 тыс. швейцарских франков (280 тыс. швейцарских франков </w:t>
      </w:r>
      <w:r w:rsidR="00724C04" w:rsidRPr="00047AB2">
        <w:t>н</w:t>
      </w:r>
      <w:r w:rsidRPr="00047AB2">
        <w:t>а двухгодичный период)</w:t>
      </w:r>
      <w:r w:rsidR="00724C04" w:rsidRPr="00047AB2">
        <w:t>.</w:t>
      </w:r>
    </w:p>
    <w:p w:rsidR="00724C04" w:rsidRPr="00047AB2" w:rsidRDefault="00724C04" w:rsidP="00724C04">
      <w:r w:rsidRPr="00047AB2">
        <w:br w:type="page"/>
      </w:r>
    </w:p>
    <w:p w:rsidR="000A0DCF" w:rsidRPr="00047AB2" w:rsidRDefault="000A0DCF" w:rsidP="00724C04">
      <w:pPr>
        <w:pStyle w:val="Annextitle"/>
      </w:pPr>
      <w:r w:rsidRPr="00047AB2">
        <w:lastRenderedPageBreak/>
        <w:t>Решения и Резолюции Ассамблеи (</w:t>
      </w:r>
      <w:proofErr w:type="spellStart"/>
      <w:r w:rsidRPr="00047AB2">
        <w:t>ВАСЭ</w:t>
      </w:r>
      <w:proofErr w:type="spellEnd"/>
      <w:r w:rsidRPr="00047AB2">
        <w:t xml:space="preserve">-16), </w:t>
      </w:r>
      <w:r w:rsidR="00724C04" w:rsidRPr="00047AB2">
        <w:br/>
      </w:r>
      <w:r w:rsidRPr="00047AB2">
        <w:t>имеющие потенциальные финансовые последствия</w:t>
      </w:r>
    </w:p>
    <w:tbl>
      <w:tblPr>
        <w:tblStyle w:val="TableGrid8"/>
        <w:tblW w:w="10173" w:type="dxa"/>
        <w:tblLook w:val="04A0" w:firstRow="1" w:lastRow="0" w:firstColumn="1" w:lastColumn="0" w:noHBand="0" w:noVBand="1"/>
      </w:tblPr>
      <w:tblGrid>
        <w:gridCol w:w="2122"/>
        <w:gridCol w:w="8051"/>
      </w:tblGrid>
      <w:tr w:rsidR="000A0DCF" w:rsidRPr="00047AB2" w:rsidTr="007C4B54">
        <w:tc>
          <w:tcPr>
            <w:tcW w:w="2122" w:type="dxa"/>
          </w:tcPr>
          <w:p w:rsidR="000A0DCF" w:rsidRPr="00047AB2" w:rsidRDefault="000A0DCF" w:rsidP="00724C04">
            <w:pPr>
              <w:pStyle w:val="Tabletext"/>
              <w:rPr>
                <w:rFonts w:ascii="Calibri" w:hAnsi="Calibri"/>
                <w:b/>
                <w:color w:val="800000"/>
                <w:szCs w:val="24"/>
              </w:rPr>
            </w:pPr>
            <w:r w:rsidRPr="00047AB2">
              <w:rPr>
                <w:szCs w:val="24"/>
              </w:rPr>
              <w:t>Резолюция 44</w:t>
            </w:r>
            <w:r w:rsidRPr="00047AB2">
              <w:rPr>
                <w:szCs w:val="24"/>
              </w:rPr>
              <w:br/>
              <w:t>Документ </w:t>
            </w:r>
            <w:hyperlink r:id="rId29" w:history="1">
              <w:r w:rsidRPr="00047AB2">
                <w:rPr>
                  <w:color w:val="0000FF"/>
                  <w:szCs w:val="24"/>
                  <w:u w:val="single"/>
                </w:rPr>
                <w:t>72</w:t>
              </w:r>
            </w:hyperlink>
          </w:p>
        </w:tc>
        <w:tc>
          <w:tcPr>
            <w:tcW w:w="8051" w:type="dxa"/>
          </w:tcPr>
          <w:p w:rsidR="000A0DCF" w:rsidRPr="00047AB2" w:rsidRDefault="000A0DCF" w:rsidP="00724C04">
            <w:pPr>
              <w:pStyle w:val="Tabletext"/>
              <w:rPr>
                <w:szCs w:val="24"/>
              </w:rPr>
            </w:pPr>
            <w:r w:rsidRPr="00047AB2">
              <w:t>Преодоление разрыва в стандартизации между развивающимися и развитыми странами</w:t>
            </w:r>
          </w:p>
        </w:tc>
      </w:tr>
      <w:tr w:rsidR="000A0DCF" w:rsidRPr="00047AB2" w:rsidTr="00BA7DD3">
        <w:tc>
          <w:tcPr>
            <w:tcW w:w="10173" w:type="dxa"/>
            <w:gridSpan w:val="2"/>
          </w:tcPr>
          <w:p w:rsidR="000A0DCF" w:rsidRPr="00047AB2" w:rsidRDefault="000A0DCF" w:rsidP="004542B5">
            <w:pPr>
              <w:pStyle w:val="Tabletext"/>
              <w:tabs>
                <w:tab w:val="clear" w:pos="284"/>
              </w:tabs>
              <w:ind w:left="567" w:hanging="567"/>
            </w:pPr>
            <w:r w:rsidRPr="00047AB2">
              <w:t>a)</w:t>
            </w:r>
            <w:r w:rsidRPr="00047AB2">
              <w:tab/>
            </w:r>
            <w:proofErr w:type="gramStart"/>
            <w:r w:rsidRPr="00047AB2">
              <w:t>В</w:t>
            </w:r>
            <w:proofErr w:type="gramEnd"/>
            <w:r w:rsidRPr="00047AB2">
              <w:t xml:space="preserve"> подпункте </w:t>
            </w:r>
            <w:proofErr w:type="spellStart"/>
            <w:r w:rsidRPr="00047AB2">
              <w:t>iii</w:t>
            </w:r>
            <w:proofErr w:type="spellEnd"/>
            <w:r w:rsidRPr="00047AB2">
              <w:t xml:space="preserve">) пункта 2 раздела </w:t>
            </w:r>
            <w:r w:rsidRPr="00047AB2">
              <w:rPr>
                <w:i/>
                <w:iCs/>
              </w:rPr>
              <w:t>решает</w:t>
            </w:r>
            <w:r w:rsidRPr="00047AB2">
              <w:t>: "содействия развивающимся странам в разработке стратегий в области создании национальных/международных испытательных лабораторий для появляющихся технологий". Данное положение также повторяется в Программе 2 Плана действий (Приложение).</w:t>
            </w:r>
          </w:p>
          <w:p w:rsidR="000A0DCF" w:rsidRPr="00047AB2" w:rsidRDefault="000A0DCF" w:rsidP="004542B5">
            <w:pPr>
              <w:pStyle w:val="Tabletext"/>
              <w:tabs>
                <w:tab w:val="clear" w:pos="284"/>
              </w:tabs>
              <w:ind w:left="567" w:hanging="567"/>
            </w:pPr>
            <w:r w:rsidRPr="00047AB2">
              <w:t>b)</w:t>
            </w:r>
            <w:r w:rsidRPr="00047AB2">
              <w:tab/>
            </w:r>
            <w:proofErr w:type="gramStart"/>
            <w:r w:rsidRPr="00047AB2">
              <w:t>В</w:t>
            </w:r>
            <w:proofErr w:type="gramEnd"/>
            <w:r w:rsidRPr="00047AB2">
              <w:t xml:space="preserve"> пункте 6 раздела </w:t>
            </w:r>
            <w:r w:rsidRPr="00047AB2">
              <w:rPr>
                <w:i/>
                <w:iCs/>
              </w:rPr>
              <w:t>решает</w:t>
            </w:r>
            <w:r w:rsidRPr="00047AB2">
              <w:t xml:space="preserve">: "что по запросам участников должен обеспечиваться устный перевод в ходе всего пленарного заседания и в рабочих группах исследовательских комиссий и на всем собрании </w:t>
            </w:r>
            <w:proofErr w:type="spellStart"/>
            <w:r w:rsidRPr="00047AB2">
              <w:t>КГСЭ</w:t>
            </w:r>
            <w:proofErr w:type="spellEnd"/>
            <w:r w:rsidRPr="00047AB2">
              <w:t xml:space="preserve">". </w:t>
            </w:r>
          </w:p>
          <w:p w:rsidR="000A0DCF" w:rsidRPr="00047AB2" w:rsidRDefault="000A0DCF" w:rsidP="004542B5">
            <w:pPr>
              <w:pStyle w:val="Tabletext"/>
              <w:tabs>
                <w:tab w:val="clear" w:pos="284"/>
              </w:tabs>
              <w:ind w:left="567" w:hanging="567"/>
            </w:pPr>
            <w:r w:rsidRPr="00047AB2">
              <w:t>c)</w:t>
            </w:r>
            <w:r w:rsidRPr="00047AB2">
              <w:tab/>
            </w:r>
            <w:proofErr w:type="gramStart"/>
            <w:r w:rsidRPr="00047AB2">
              <w:t>В</w:t>
            </w:r>
            <w:proofErr w:type="gramEnd"/>
            <w:r w:rsidRPr="00047AB2">
              <w:t xml:space="preserve"> пункте 14 радела </w:t>
            </w:r>
            <w:r w:rsidRPr="00047AB2">
              <w:rPr>
                <w:i/>
                <w:iCs/>
              </w:rPr>
              <w:t xml:space="preserve">поручает Директору </w:t>
            </w:r>
            <w:proofErr w:type="spellStart"/>
            <w:r w:rsidRPr="00047AB2">
              <w:rPr>
                <w:i/>
                <w:iCs/>
              </w:rPr>
              <w:t>БСЭ</w:t>
            </w:r>
            <w:proofErr w:type="spellEnd"/>
            <w:r w:rsidRPr="00047AB2">
              <w:t>: "предусмотреть дистанционное участие, где это возможно, для большего числа семинаров-практикумов, семинаров и форумов МСЭ-Т, содействуя расширению участия развивающихся стран".</w:t>
            </w:r>
          </w:p>
          <w:p w:rsidR="000A0DCF" w:rsidRPr="00047AB2" w:rsidRDefault="000A0DCF" w:rsidP="004542B5">
            <w:pPr>
              <w:pStyle w:val="Tabletext"/>
              <w:tabs>
                <w:tab w:val="clear" w:pos="284"/>
              </w:tabs>
              <w:ind w:left="567" w:hanging="567"/>
              <w:rPr>
                <w:highlight w:val="yellow"/>
              </w:rPr>
            </w:pPr>
            <w:r w:rsidRPr="00047AB2">
              <w:t>d)</w:t>
            </w:r>
            <w:r w:rsidRPr="00047AB2">
              <w:tab/>
              <w:t xml:space="preserve">В </w:t>
            </w:r>
            <w:r w:rsidRPr="00047AB2">
              <w:rPr>
                <w:i/>
                <w:iCs/>
              </w:rPr>
              <w:t xml:space="preserve">Программе </w:t>
            </w:r>
            <w:proofErr w:type="spellStart"/>
            <w:r w:rsidRPr="00047AB2">
              <w:rPr>
                <w:i/>
                <w:iCs/>
              </w:rPr>
              <w:t>III</w:t>
            </w:r>
            <w:proofErr w:type="spellEnd"/>
            <w:r w:rsidRPr="00047AB2">
              <w:rPr>
                <w:i/>
                <w:iCs/>
              </w:rPr>
              <w:t xml:space="preserve"> Плана действий</w:t>
            </w:r>
            <w:r w:rsidRPr="00047AB2">
              <w:t>: "Предоставление руководящих указаний и вспомогательных материалов развивающимся странам с целью оказания им помощи в разработке и проведении для студентов и аспирантов курсов по стандартизации в их университетах".</w:t>
            </w:r>
          </w:p>
        </w:tc>
      </w:tr>
    </w:tbl>
    <w:p w:rsidR="007C4B54" w:rsidRPr="00047AB2" w:rsidRDefault="007C4B54"/>
    <w:tbl>
      <w:tblPr>
        <w:tblStyle w:val="TableGrid8"/>
        <w:tblW w:w="10173" w:type="dxa"/>
        <w:tblLook w:val="04A0" w:firstRow="1" w:lastRow="0" w:firstColumn="1" w:lastColumn="0" w:noHBand="0" w:noVBand="1"/>
      </w:tblPr>
      <w:tblGrid>
        <w:gridCol w:w="2122"/>
        <w:gridCol w:w="8051"/>
      </w:tblGrid>
      <w:tr w:rsidR="000A0DCF" w:rsidRPr="00047AB2" w:rsidTr="007C4B54">
        <w:tc>
          <w:tcPr>
            <w:tcW w:w="2122" w:type="dxa"/>
          </w:tcPr>
          <w:p w:rsidR="000A0DCF" w:rsidRPr="00047AB2" w:rsidRDefault="000A0DCF" w:rsidP="00724C04">
            <w:pPr>
              <w:pStyle w:val="Tabletext"/>
              <w:rPr>
                <w:szCs w:val="24"/>
                <w:highlight w:val="yellow"/>
              </w:rPr>
            </w:pPr>
            <w:r w:rsidRPr="00047AB2">
              <w:rPr>
                <w:szCs w:val="24"/>
              </w:rPr>
              <w:t>Новая Резолюция</w:t>
            </w:r>
            <w:r w:rsidR="00724C04" w:rsidRPr="00047AB2">
              <w:rPr>
                <w:szCs w:val="24"/>
              </w:rPr>
              <w:t> </w:t>
            </w:r>
            <w:r w:rsidRPr="00047AB2">
              <w:rPr>
                <w:bCs/>
                <w:szCs w:val="24"/>
              </w:rPr>
              <w:t>[</w:t>
            </w:r>
            <w:proofErr w:type="spellStart"/>
            <w:r w:rsidRPr="00047AB2">
              <w:rPr>
                <w:bCs/>
                <w:szCs w:val="24"/>
              </w:rPr>
              <w:t>RCC</w:t>
            </w:r>
            <w:proofErr w:type="spellEnd"/>
            <w:r w:rsidRPr="00047AB2">
              <w:rPr>
                <w:bCs/>
                <w:szCs w:val="24"/>
              </w:rPr>
              <w:t>-3]</w:t>
            </w:r>
            <w:r w:rsidRPr="00047AB2">
              <w:rPr>
                <w:szCs w:val="24"/>
              </w:rPr>
              <w:br/>
              <w:t>Документ </w:t>
            </w:r>
            <w:hyperlink r:id="rId30" w:history="1">
              <w:r w:rsidRPr="00047AB2">
                <w:rPr>
                  <w:color w:val="0000FF"/>
                  <w:szCs w:val="24"/>
                  <w:u w:val="single"/>
                </w:rPr>
                <w:t>93</w:t>
              </w:r>
            </w:hyperlink>
          </w:p>
        </w:tc>
        <w:tc>
          <w:tcPr>
            <w:tcW w:w="8051" w:type="dxa"/>
          </w:tcPr>
          <w:p w:rsidR="000A0DCF" w:rsidRPr="00047AB2" w:rsidRDefault="000A0DCF" w:rsidP="00724C04">
            <w:pPr>
              <w:pStyle w:val="Tabletext"/>
              <w:rPr>
                <w:szCs w:val="24"/>
              </w:rPr>
            </w:pPr>
            <w:r w:rsidRPr="00047AB2">
              <w:t>Исследования, касающиеся защиты пользователей услуг</w:t>
            </w:r>
            <w:r w:rsidRPr="00047AB2">
              <w:rPr>
                <w:rFonts w:eastAsiaTheme="minorHAnsi"/>
              </w:rPr>
              <w:t xml:space="preserve"> электросвязи/</w:t>
            </w:r>
            <w:r w:rsidRPr="00047AB2">
              <w:t>ИКТ</w:t>
            </w:r>
          </w:p>
        </w:tc>
      </w:tr>
      <w:tr w:rsidR="000A0DCF" w:rsidRPr="00047AB2" w:rsidTr="00BA7DD3">
        <w:tc>
          <w:tcPr>
            <w:tcW w:w="10173" w:type="dxa"/>
            <w:gridSpan w:val="2"/>
          </w:tcPr>
          <w:p w:rsidR="000A0DCF" w:rsidRPr="00047AB2" w:rsidRDefault="000A0DCF" w:rsidP="005D568C">
            <w:pPr>
              <w:pStyle w:val="Tabletext"/>
              <w:rPr>
                <w:i/>
                <w:iCs/>
              </w:rPr>
            </w:pPr>
            <w:r w:rsidRPr="00047AB2">
              <w:rPr>
                <w:i/>
                <w:iCs/>
              </w:rPr>
              <w:t>предлагает Директору Бюро стандартизации электросвязи</w:t>
            </w:r>
          </w:p>
          <w:p w:rsidR="000A0DCF" w:rsidRPr="00047AB2" w:rsidRDefault="000A0DCF" w:rsidP="004542B5">
            <w:pPr>
              <w:pStyle w:val="Tabletext"/>
              <w:tabs>
                <w:tab w:val="clear" w:pos="284"/>
              </w:tabs>
            </w:pPr>
            <w:r w:rsidRPr="00047AB2">
              <w:t>1</w:t>
            </w:r>
            <w:r w:rsidRPr="00047AB2">
              <w:tab/>
              <w:t>оказывать помощь Директору Бюро развития электросвязи при выполнении Резолюции 196 (</w:t>
            </w:r>
            <w:proofErr w:type="spellStart"/>
            <w:r w:rsidRPr="00047AB2">
              <w:t>Пусан</w:t>
            </w:r>
            <w:proofErr w:type="spellEnd"/>
            <w:r w:rsidRPr="00047AB2">
              <w:t>, 2014 г.) Полномочной конференции;</w:t>
            </w:r>
          </w:p>
          <w:p w:rsidR="000A0DCF" w:rsidRPr="00047AB2" w:rsidRDefault="000A0DCF" w:rsidP="004542B5">
            <w:pPr>
              <w:pStyle w:val="Tabletext"/>
              <w:tabs>
                <w:tab w:val="clear" w:pos="284"/>
              </w:tabs>
              <w:rPr>
                <w:szCs w:val="24"/>
              </w:rPr>
            </w:pPr>
            <w:r w:rsidRPr="00047AB2">
              <w:t>2</w:t>
            </w:r>
            <w:r w:rsidRPr="00047AB2">
              <w:tab/>
              <w:t>укреплять отношения с другими организациями по разработке стандартов (</w:t>
            </w:r>
            <w:proofErr w:type="spellStart"/>
            <w:r w:rsidRPr="00047AB2">
              <w:t>ОРС</w:t>
            </w:r>
            <w:proofErr w:type="spellEnd"/>
            <w:r w:rsidRPr="00047AB2">
              <w:t>), участвующими в решении вопросов защиты пользователей услуг электросвязи/ИКТ</w:t>
            </w:r>
            <w:r w:rsidR="004542B5" w:rsidRPr="00047AB2">
              <w:t>.</w:t>
            </w:r>
          </w:p>
        </w:tc>
      </w:tr>
    </w:tbl>
    <w:p w:rsidR="007C4B54" w:rsidRPr="00047AB2" w:rsidRDefault="007C4B54"/>
    <w:tbl>
      <w:tblPr>
        <w:tblStyle w:val="TableGrid8"/>
        <w:tblW w:w="10173" w:type="dxa"/>
        <w:tblLook w:val="04A0" w:firstRow="1" w:lastRow="0" w:firstColumn="1" w:lastColumn="0" w:noHBand="0" w:noVBand="1"/>
      </w:tblPr>
      <w:tblGrid>
        <w:gridCol w:w="2122"/>
        <w:gridCol w:w="8051"/>
      </w:tblGrid>
      <w:tr w:rsidR="000A0DCF" w:rsidRPr="00047AB2" w:rsidTr="007C4B54">
        <w:tc>
          <w:tcPr>
            <w:tcW w:w="2122" w:type="dxa"/>
          </w:tcPr>
          <w:p w:rsidR="000A0DCF" w:rsidRPr="00047AB2" w:rsidRDefault="000A0DCF" w:rsidP="004542B5">
            <w:pPr>
              <w:pStyle w:val="Tabletext"/>
              <w:rPr>
                <w:szCs w:val="24"/>
                <w:highlight w:val="yellow"/>
              </w:rPr>
            </w:pPr>
            <w:r w:rsidRPr="00047AB2">
              <w:rPr>
                <w:szCs w:val="24"/>
              </w:rPr>
              <w:t>Резолюция 77</w:t>
            </w:r>
            <w:r w:rsidR="004542B5" w:rsidRPr="00047AB2">
              <w:rPr>
                <w:szCs w:val="24"/>
              </w:rPr>
              <w:br/>
            </w:r>
            <w:r w:rsidRPr="00047AB2">
              <w:rPr>
                <w:szCs w:val="24"/>
              </w:rPr>
              <w:t>Документ </w:t>
            </w:r>
            <w:hyperlink r:id="rId31" w:history="1">
              <w:r w:rsidRPr="00047AB2">
                <w:rPr>
                  <w:color w:val="0000FF"/>
                  <w:szCs w:val="24"/>
                  <w:u w:val="single"/>
                </w:rPr>
                <w:t>93</w:t>
              </w:r>
            </w:hyperlink>
          </w:p>
        </w:tc>
        <w:tc>
          <w:tcPr>
            <w:tcW w:w="8051" w:type="dxa"/>
          </w:tcPr>
          <w:p w:rsidR="000A0DCF" w:rsidRPr="00047AB2" w:rsidRDefault="000A0DCF" w:rsidP="004542B5">
            <w:pPr>
              <w:pStyle w:val="Tabletext"/>
              <w:rPr>
                <w:szCs w:val="24"/>
              </w:rPr>
            </w:pPr>
            <w:bookmarkStart w:id="13" w:name="_Toc349120809"/>
            <w:r w:rsidRPr="00047AB2">
              <w:t>Укрепление работы по стандартизации в области организации сетей с программируемыми параметрами в Секторе стандартизации электросвязи МСЭ</w:t>
            </w:r>
            <w:bookmarkEnd w:id="13"/>
          </w:p>
        </w:tc>
      </w:tr>
      <w:tr w:rsidR="000A0DCF" w:rsidRPr="00047AB2" w:rsidTr="00BA7DD3">
        <w:tc>
          <w:tcPr>
            <w:tcW w:w="10173" w:type="dxa"/>
            <w:gridSpan w:val="2"/>
          </w:tcPr>
          <w:p w:rsidR="000A0DCF" w:rsidRPr="00047AB2" w:rsidRDefault="000A0DCF" w:rsidP="0041081E">
            <w:pPr>
              <w:pStyle w:val="Tabletext"/>
              <w:rPr>
                <w:i/>
                <w:iCs/>
                <w:lang w:eastAsia="ko-KR"/>
              </w:rPr>
            </w:pPr>
            <w:r w:rsidRPr="00047AB2">
              <w:rPr>
                <w:i/>
                <w:iCs/>
              </w:rPr>
              <w:t>поручает Директору Бюро стандартизации электросвязи</w:t>
            </w:r>
          </w:p>
          <w:p w:rsidR="000A0DCF" w:rsidRPr="00047AB2" w:rsidRDefault="000A0DCF" w:rsidP="004542B5">
            <w:pPr>
              <w:pStyle w:val="Tabletext"/>
              <w:tabs>
                <w:tab w:val="clear" w:pos="284"/>
              </w:tabs>
              <w:rPr>
                <w:rFonts w:eastAsia="SimSun"/>
              </w:rPr>
            </w:pPr>
            <w:r w:rsidRPr="00047AB2">
              <w:rPr>
                <w:rFonts w:eastAsia="SimSun"/>
              </w:rPr>
              <w:t>1</w:t>
            </w:r>
            <w:r w:rsidRPr="00047AB2">
              <w:rPr>
                <w:rFonts w:eastAsia="SimSun"/>
              </w:rPr>
              <w:tab/>
              <w:t>оказывать необходимое содействие, с тем чтобы ускорить эти усилия, в частности, используя любую возможность в рамках выделенного бюджета, обмениваться мнениями с отраслью электросвязи/ИКТ, в том числе с помощью собраний главных директоров по технологиям (</w:t>
            </w:r>
            <w:proofErr w:type="spellStart"/>
            <w:r w:rsidRPr="00047AB2">
              <w:rPr>
                <w:rFonts w:eastAsia="SimSun"/>
              </w:rPr>
              <w:t>CTO</w:t>
            </w:r>
            <w:proofErr w:type="spellEnd"/>
            <w:r w:rsidRPr="00047AB2">
              <w:rPr>
                <w:rFonts w:eastAsia="SimSun"/>
              </w:rPr>
              <w:t>) (в соответствии с Резолюцией 68 (</w:t>
            </w:r>
            <w:proofErr w:type="spellStart"/>
            <w:r w:rsidRPr="00047AB2">
              <w:rPr>
                <w:rFonts w:eastAsia="SimSun"/>
              </w:rPr>
              <w:t>Пересм</w:t>
            </w:r>
            <w:proofErr w:type="spellEnd"/>
            <w:r w:rsidRPr="00047AB2">
              <w:rPr>
                <w:rFonts w:eastAsia="SimSun"/>
              </w:rPr>
              <w:t xml:space="preserve">. Дубай, 2012 г.) настоящей Ассамблеи), и, в частности, стимулировать участие отрасли в работе по стандартизации </w:t>
            </w:r>
            <w:proofErr w:type="spellStart"/>
            <w:r w:rsidRPr="00047AB2">
              <w:rPr>
                <w:rFonts w:eastAsia="SimSun"/>
              </w:rPr>
              <w:t>SDN</w:t>
            </w:r>
            <w:proofErr w:type="spellEnd"/>
            <w:r w:rsidRPr="00047AB2">
              <w:rPr>
                <w:rFonts w:eastAsia="SimSun"/>
              </w:rPr>
              <w:t xml:space="preserve"> в МСЭ T;</w:t>
            </w:r>
          </w:p>
          <w:p w:rsidR="000A0DCF" w:rsidRPr="00047AB2" w:rsidRDefault="000A0DCF" w:rsidP="004542B5">
            <w:pPr>
              <w:pStyle w:val="Tabletext"/>
              <w:tabs>
                <w:tab w:val="clear" w:pos="284"/>
              </w:tabs>
              <w:rPr>
                <w:szCs w:val="24"/>
              </w:rPr>
            </w:pPr>
            <w:r w:rsidRPr="00047AB2">
              <w:rPr>
                <w:rFonts w:eastAsia="SimSun"/>
              </w:rPr>
              <w:t>2</w:t>
            </w:r>
            <w:r w:rsidRPr="00047AB2">
              <w:rPr>
                <w:rFonts w:eastAsia="SimSun"/>
              </w:rPr>
              <w:tab/>
              <w:t xml:space="preserve">проводить вместе с другими соответствующими организациями семинары-практикумы по созданию потенциала в области </w:t>
            </w:r>
            <w:proofErr w:type="spellStart"/>
            <w:r w:rsidRPr="00047AB2">
              <w:rPr>
                <w:rFonts w:eastAsia="SimSun"/>
              </w:rPr>
              <w:t>SDN</w:t>
            </w:r>
            <w:proofErr w:type="spellEnd"/>
            <w:r w:rsidRPr="00047AB2">
              <w:rPr>
                <w:rFonts w:eastAsia="SimSun"/>
              </w:rPr>
              <w:t xml:space="preserve">, для того чтобы можно было преодолеть разрыв во внедрении технологий в развивающихся странах на начальных этапах реализации сетей на базе </w:t>
            </w:r>
            <w:proofErr w:type="spellStart"/>
            <w:r w:rsidRPr="00047AB2">
              <w:rPr>
                <w:rFonts w:eastAsia="SimSun"/>
              </w:rPr>
              <w:t>SDN</w:t>
            </w:r>
            <w:proofErr w:type="spellEnd"/>
            <w:r w:rsidRPr="00047AB2">
              <w:rPr>
                <w:rFonts w:eastAsia="SimSun"/>
              </w:rPr>
              <w:t xml:space="preserve">, проводить ежегодный семинар-практикум по </w:t>
            </w:r>
            <w:proofErr w:type="spellStart"/>
            <w:r w:rsidRPr="00047AB2">
              <w:rPr>
                <w:rFonts w:eastAsia="SimSun"/>
              </w:rPr>
              <w:t>SDN</w:t>
            </w:r>
            <w:proofErr w:type="spellEnd"/>
            <w:r w:rsidRPr="00047AB2">
              <w:rPr>
                <w:rFonts w:eastAsia="SimSun"/>
              </w:rPr>
              <w:t xml:space="preserve"> и </w:t>
            </w:r>
            <w:proofErr w:type="spellStart"/>
            <w:r w:rsidRPr="00047AB2">
              <w:rPr>
                <w:rFonts w:eastAsia="SimSun"/>
              </w:rPr>
              <w:t>NFV</w:t>
            </w:r>
            <w:proofErr w:type="spellEnd"/>
            <w:r w:rsidRPr="00047AB2">
              <w:rPr>
                <w:rFonts w:eastAsia="SimSun"/>
              </w:rPr>
              <w:t xml:space="preserve"> с представлением решений с открытыми исходными кодами для обмена информацией о ходе разработки стандартов </w:t>
            </w:r>
            <w:proofErr w:type="spellStart"/>
            <w:r w:rsidRPr="00047AB2">
              <w:rPr>
                <w:rFonts w:eastAsia="SimSun"/>
              </w:rPr>
              <w:t>SDN</w:t>
            </w:r>
            <w:proofErr w:type="spellEnd"/>
            <w:r w:rsidRPr="00047AB2">
              <w:rPr>
                <w:rFonts w:eastAsia="SimSun"/>
              </w:rPr>
              <w:t>/</w:t>
            </w:r>
            <w:proofErr w:type="spellStart"/>
            <w:r w:rsidRPr="00047AB2">
              <w:rPr>
                <w:rFonts w:eastAsia="SimSun"/>
              </w:rPr>
              <w:t>NFV</w:t>
            </w:r>
            <w:proofErr w:type="spellEnd"/>
            <w:r w:rsidRPr="00047AB2">
              <w:rPr>
                <w:rFonts w:eastAsia="SimSun"/>
              </w:rPr>
              <w:t xml:space="preserve"> и обмена практическим опытом в существующей сети операторов</w:t>
            </w:r>
            <w:r w:rsidR="004542B5" w:rsidRPr="00047AB2">
              <w:rPr>
                <w:rFonts w:eastAsia="SimSun"/>
              </w:rPr>
              <w:t>.</w:t>
            </w:r>
          </w:p>
        </w:tc>
      </w:tr>
    </w:tbl>
    <w:p w:rsidR="007C4B54" w:rsidRPr="00047AB2" w:rsidRDefault="007C4B54"/>
    <w:tbl>
      <w:tblPr>
        <w:tblStyle w:val="TableGrid8"/>
        <w:tblW w:w="10173" w:type="dxa"/>
        <w:tblLook w:val="04A0" w:firstRow="1" w:lastRow="0" w:firstColumn="1" w:lastColumn="0" w:noHBand="0" w:noVBand="1"/>
      </w:tblPr>
      <w:tblGrid>
        <w:gridCol w:w="2122"/>
        <w:gridCol w:w="8051"/>
      </w:tblGrid>
      <w:tr w:rsidR="000A0DCF" w:rsidRPr="00047AB2" w:rsidTr="004542B5">
        <w:tc>
          <w:tcPr>
            <w:tcW w:w="2122" w:type="dxa"/>
          </w:tcPr>
          <w:p w:rsidR="000A0DCF" w:rsidRPr="00047AB2" w:rsidRDefault="000A0DCF" w:rsidP="004542B5">
            <w:pPr>
              <w:pStyle w:val="Tabletext"/>
              <w:rPr>
                <w:szCs w:val="24"/>
                <w:highlight w:val="yellow"/>
              </w:rPr>
            </w:pPr>
            <w:r w:rsidRPr="00047AB2">
              <w:rPr>
                <w:szCs w:val="24"/>
              </w:rPr>
              <w:t>Новая Резолюция</w:t>
            </w:r>
            <w:r w:rsidR="004542B5" w:rsidRPr="00047AB2">
              <w:rPr>
                <w:szCs w:val="24"/>
              </w:rPr>
              <w:t> </w:t>
            </w:r>
            <w:r w:rsidRPr="00047AB2">
              <w:rPr>
                <w:bCs/>
                <w:szCs w:val="24"/>
              </w:rPr>
              <w:t>[</w:t>
            </w:r>
            <w:proofErr w:type="spellStart"/>
            <w:r w:rsidRPr="00047AB2">
              <w:rPr>
                <w:bCs/>
                <w:szCs w:val="24"/>
              </w:rPr>
              <w:t>APT</w:t>
            </w:r>
            <w:proofErr w:type="spellEnd"/>
            <w:r w:rsidRPr="00047AB2">
              <w:rPr>
                <w:bCs/>
                <w:szCs w:val="24"/>
              </w:rPr>
              <w:t>-3]</w:t>
            </w:r>
            <w:r w:rsidRPr="00047AB2">
              <w:rPr>
                <w:szCs w:val="24"/>
              </w:rPr>
              <w:br/>
              <w:t>Документ </w:t>
            </w:r>
            <w:hyperlink r:id="rId32" w:history="1">
              <w:r w:rsidRPr="00047AB2">
                <w:rPr>
                  <w:color w:val="0000FF"/>
                  <w:szCs w:val="24"/>
                  <w:u w:val="single"/>
                </w:rPr>
                <w:t>93</w:t>
              </w:r>
            </w:hyperlink>
          </w:p>
        </w:tc>
        <w:tc>
          <w:tcPr>
            <w:tcW w:w="8051" w:type="dxa"/>
          </w:tcPr>
          <w:p w:rsidR="000A0DCF" w:rsidRPr="00047AB2" w:rsidRDefault="000A0DCF" w:rsidP="004542B5">
            <w:pPr>
              <w:pStyle w:val="Tabletext"/>
              <w:rPr>
                <w:szCs w:val="24"/>
              </w:rPr>
            </w:pPr>
            <w:r w:rsidRPr="00047AB2">
              <w:t>Работа в секторе стандартизации электросвязи МСЭ по разработке стандартов для технологии данных о событиях на основе облачных вычислений</w:t>
            </w:r>
          </w:p>
        </w:tc>
      </w:tr>
      <w:tr w:rsidR="000A0DCF" w:rsidRPr="00047AB2" w:rsidTr="00BA7DD3">
        <w:tc>
          <w:tcPr>
            <w:tcW w:w="10173" w:type="dxa"/>
            <w:gridSpan w:val="2"/>
          </w:tcPr>
          <w:p w:rsidR="000A0DCF" w:rsidRPr="00047AB2" w:rsidRDefault="000A0DCF" w:rsidP="00392465">
            <w:pPr>
              <w:pStyle w:val="Tabletext"/>
              <w:rPr>
                <w:i/>
                <w:iCs/>
              </w:rPr>
            </w:pPr>
            <w:r w:rsidRPr="00047AB2">
              <w:rPr>
                <w:i/>
                <w:iCs/>
              </w:rPr>
              <w:t>поручает Директору Бюро стандартизации электросвязи</w:t>
            </w:r>
          </w:p>
          <w:p w:rsidR="000A0DCF" w:rsidRPr="00047AB2" w:rsidRDefault="000A0DCF" w:rsidP="004542B5">
            <w:pPr>
              <w:pStyle w:val="Tabletext"/>
              <w:tabs>
                <w:tab w:val="clear" w:pos="284"/>
              </w:tabs>
            </w:pPr>
            <w:r w:rsidRPr="00047AB2">
              <w:t>1</w:t>
            </w:r>
            <w:r w:rsidRPr="00047AB2">
              <w:tab/>
              <w:t>оказать необходимое содействие для ускорения разработки стандартов в отношении технологии данных о событиях на основе облачных вычислений, а также содействовать участию в этой работе и вкладу в нее Государств – Членов Союза, особенно из числа развивающихся стран;</w:t>
            </w:r>
          </w:p>
          <w:p w:rsidR="000A0DCF" w:rsidRPr="00047AB2" w:rsidRDefault="000A0DCF" w:rsidP="004542B5">
            <w:pPr>
              <w:pStyle w:val="Tabletext"/>
              <w:tabs>
                <w:tab w:val="clear" w:pos="284"/>
              </w:tabs>
            </w:pPr>
            <w:r w:rsidRPr="00047AB2">
              <w:t>2</w:t>
            </w:r>
            <w:r w:rsidRPr="00047AB2">
              <w:tab/>
              <w:t>организовать практикумы по сбору требований и мнений по этой тематике у широкого круга заинтересованных лиц</w:t>
            </w:r>
            <w:r w:rsidR="004542B5" w:rsidRPr="00047AB2">
              <w:t>.</w:t>
            </w:r>
          </w:p>
        </w:tc>
      </w:tr>
    </w:tbl>
    <w:p w:rsidR="007C4B54" w:rsidRPr="00047AB2" w:rsidRDefault="007C4B54"/>
    <w:tbl>
      <w:tblPr>
        <w:tblStyle w:val="TableGrid8"/>
        <w:tblW w:w="10173" w:type="dxa"/>
        <w:tblLook w:val="04A0" w:firstRow="1" w:lastRow="0" w:firstColumn="1" w:lastColumn="0" w:noHBand="0" w:noVBand="1"/>
      </w:tblPr>
      <w:tblGrid>
        <w:gridCol w:w="2122"/>
        <w:gridCol w:w="8051"/>
      </w:tblGrid>
      <w:tr w:rsidR="000A0DCF" w:rsidRPr="00047AB2" w:rsidTr="004542B5">
        <w:tc>
          <w:tcPr>
            <w:tcW w:w="2122" w:type="dxa"/>
          </w:tcPr>
          <w:p w:rsidR="000A0DCF" w:rsidRPr="00047AB2" w:rsidRDefault="000A0DCF" w:rsidP="004542B5">
            <w:pPr>
              <w:pStyle w:val="Tabletext"/>
              <w:keepNext/>
              <w:keepLines/>
              <w:rPr>
                <w:szCs w:val="24"/>
                <w:highlight w:val="yellow"/>
              </w:rPr>
            </w:pPr>
            <w:r w:rsidRPr="00047AB2">
              <w:rPr>
                <w:szCs w:val="24"/>
              </w:rPr>
              <w:lastRenderedPageBreak/>
              <w:t>Новая Резолюция</w:t>
            </w:r>
            <w:r w:rsidR="004542B5" w:rsidRPr="00047AB2">
              <w:rPr>
                <w:szCs w:val="24"/>
              </w:rPr>
              <w:t> </w:t>
            </w:r>
            <w:r w:rsidRPr="00047AB2">
              <w:rPr>
                <w:bCs/>
                <w:szCs w:val="24"/>
              </w:rPr>
              <w:t>[</w:t>
            </w:r>
            <w:proofErr w:type="spellStart"/>
            <w:r w:rsidRPr="00047AB2">
              <w:rPr>
                <w:bCs/>
                <w:szCs w:val="24"/>
              </w:rPr>
              <w:t>AFCP</w:t>
            </w:r>
            <w:proofErr w:type="spellEnd"/>
            <w:r w:rsidRPr="00047AB2">
              <w:rPr>
                <w:bCs/>
                <w:szCs w:val="24"/>
              </w:rPr>
              <w:t>-2]</w:t>
            </w:r>
            <w:r w:rsidRPr="00047AB2">
              <w:rPr>
                <w:szCs w:val="24"/>
              </w:rPr>
              <w:br/>
              <w:t>Документ </w:t>
            </w:r>
            <w:hyperlink r:id="rId33" w:history="1">
              <w:r w:rsidRPr="00047AB2">
                <w:rPr>
                  <w:color w:val="0000FF"/>
                  <w:szCs w:val="24"/>
                  <w:u w:val="single"/>
                </w:rPr>
                <w:t>100</w:t>
              </w:r>
            </w:hyperlink>
          </w:p>
        </w:tc>
        <w:tc>
          <w:tcPr>
            <w:tcW w:w="8051" w:type="dxa"/>
          </w:tcPr>
          <w:p w:rsidR="000A0DCF" w:rsidRPr="00047AB2" w:rsidRDefault="000A0DCF" w:rsidP="004542B5">
            <w:pPr>
              <w:pStyle w:val="Tabletext"/>
              <w:rPr>
                <w:szCs w:val="24"/>
              </w:rPr>
            </w:pPr>
            <w:r w:rsidRPr="00047AB2">
              <w:t>Содействие использованию ИКТ для сокращения разрыва в охвате финансовыми услугами</w:t>
            </w:r>
          </w:p>
        </w:tc>
      </w:tr>
      <w:tr w:rsidR="000A0DCF" w:rsidRPr="00047AB2" w:rsidTr="007C4B54"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0A0DCF" w:rsidRPr="00047AB2" w:rsidRDefault="000A0DCF" w:rsidP="000A1752">
            <w:pPr>
              <w:pStyle w:val="Tabletext"/>
            </w:pPr>
            <w:r w:rsidRPr="00047AB2">
              <w:t xml:space="preserve">В соответствии с разделом </w:t>
            </w:r>
            <w:r w:rsidRPr="00047AB2">
              <w:rPr>
                <w:i/>
                <w:iCs/>
              </w:rPr>
              <w:t>поручает Директору Бюро стандартизации электросвязи в сотрудничестве с Директорами других Бюро</w:t>
            </w:r>
          </w:p>
          <w:p w:rsidR="000A0DCF" w:rsidRPr="00047AB2" w:rsidRDefault="000A0DCF" w:rsidP="004542B5">
            <w:pPr>
              <w:pStyle w:val="Tabletext"/>
              <w:tabs>
                <w:tab w:val="clear" w:pos="284"/>
              </w:tabs>
            </w:pPr>
            <w:r w:rsidRPr="00047AB2">
              <w:t>2</w:t>
            </w:r>
            <w:r w:rsidRPr="00047AB2">
              <w:tab/>
              <w:t xml:space="preserve">содействовать в разработке отчетов и примеров передового опыта в области охвата цифровыми финансовыми услугами, учитывая соответствующие исследования, при условии, что они прямо относятся к мандату Союза и не дублируют работу, относящуюся в сфере ответственности других </w:t>
            </w:r>
            <w:proofErr w:type="spellStart"/>
            <w:r w:rsidRPr="00047AB2">
              <w:t>ОРС</w:t>
            </w:r>
            <w:proofErr w:type="spellEnd"/>
            <w:r w:rsidRPr="00047AB2">
              <w:t xml:space="preserve"> и учреждений;</w:t>
            </w:r>
          </w:p>
          <w:p w:rsidR="000A0DCF" w:rsidRPr="00047AB2" w:rsidRDefault="000A0DCF" w:rsidP="004542B5">
            <w:pPr>
              <w:pStyle w:val="Tabletext"/>
              <w:tabs>
                <w:tab w:val="clear" w:pos="284"/>
              </w:tabs>
            </w:pPr>
            <w:r w:rsidRPr="00047AB2">
              <w:t>3</w:t>
            </w:r>
            <w:r w:rsidRPr="00047AB2">
              <w:tab/>
              <w:t>создать платформу или, если это возможно, присоединиться к уже существующим платформам для взаимного обучения, ведения диалога и обмена опытом в области цифровых финансовых услуг между странами и регионами, регуляторными органами из секторов электросвязи и финансовых услуг, экспертами отрасли, а также международными и региональными организациями;</w:t>
            </w:r>
          </w:p>
          <w:p w:rsidR="000A0DCF" w:rsidRPr="00047AB2" w:rsidRDefault="000A0DCF" w:rsidP="004542B5">
            <w:pPr>
              <w:pStyle w:val="Tabletext"/>
              <w:tabs>
                <w:tab w:val="clear" w:pos="284"/>
              </w:tabs>
              <w:rPr>
                <w:szCs w:val="24"/>
              </w:rPr>
            </w:pPr>
            <w:r w:rsidRPr="00047AB2">
              <w:t>4</w:t>
            </w:r>
            <w:r w:rsidRPr="00047AB2">
              <w:tab/>
              <w:t xml:space="preserve">организовывать семинары-практикумы и семинары для Членов МСЭ в сотрудничестве с другими соответствующими </w:t>
            </w:r>
            <w:proofErr w:type="spellStart"/>
            <w:r w:rsidRPr="00047AB2">
              <w:t>ОРС</w:t>
            </w:r>
            <w:proofErr w:type="spellEnd"/>
            <w:r w:rsidRPr="00047AB2">
              <w:t xml:space="preserve"> и учреждениями, на которые возложена основная ответственность за разработку стандартов, внедрение и создание потенциала для финансовых услуг, чтобы повысить уровень осведомленности и определить конкретные потребности регуляторных органов и проблемы, связанные с расширением охвата финансовыми услугами.</w:t>
            </w:r>
          </w:p>
        </w:tc>
      </w:tr>
    </w:tbl>
    <w:p w:rsidR="007C4B54" w:rsidRPr="00047AB2" w:rsidRDefault="007C4B54"/>
    <w:tbl>
      <w:tblPr>
        <w:tblStyle w:val="TableGrid8"/>
        <w:tblW w:w="10173" w:type="dxa"/>
        <w:tblLook w:val="04A0" w:firstRow="1" w:lastRow="0" w:firstColumn="1" w:lastColumn="0" w:noHBand="0" w:noVBand="1"/>
      </w:tblPr>
      <w:tblGrid>
        <w:gridCol w:w="2122"/>
        <w:gridCol w:w="8051"/>
      </w:tblGrid>
      <w:tr w:rsidR="000A0DCF" w:rsidRPr="00047AB2" w:rsidTr="007C4B54">
        <w:tc>
          <w:tcPr>
            <w:tcW w:w="2122" w:type="dxa"/>
          </w:tcPr>
          <w:p w:rsidR="000A0DCF" w:rsidRPr="00047AB2" w:rsidRDefault="000A0DCF" w:rsidP="004542B5">
            <w:pPr>
              <w:pStyle w:val="Tabletext"/>
              <w:rPr>
                <w:szCs w:val="24"/>
                <w:highlight w:val="yellow"/>
              </w:rPr>
            </w:pPr>
            <w:r w:rsidRPr="00047AB2">
              <w:rPr>
                <w:szCs w:val="24"/>
              </w:rPr>
              <w:t>Новая Резолюция</w:t>
            </w:r>
            <w:r w:rsidR="004542B5" w:rsidRPr="00047AB2">
              <w:rPr>
                <w:szCs w:val="24"/>
              </w:rPr>
              <w:t> </w:t>
            </w:r>
            <w:r w:rsidRPr="00047AB2">
              <w:rPr>
                <w:bCs/>
                <w:szCs w:val="24"/>
              </w:rPr>
              <w:t>[</w:t>
            </w:r>
            <w:proofErr w:type="spellStart"/>
            <w:r w:rsidRPr="00047AB2">
              <w:rPr>
                <w:bCs/>
                <w:szCs w:val="24"/>
              </w:rPr>
              <w:t>APT</w:t>
            </w:r>
            <w:proofErr w:type="spellEnd"/>
            <w:r w:rsidRPr="00047AB2">
              <w:rPr>
                <w:bCs/>
                <w:szCs w:val="24"/>
              </w:rPr>
              <w:t>-2]/</w:t>
            </w:r>
            <w:r w:rsidR="004542B5" w:rsidRPr="00047AB2">
              <w:rPr>
                <w:bCs/>
                <w:szCs w:val="24"/>
              </w:rPr>
              <w:br/>
            </w:r>
            <w:r w:rsidRPr="00047AB2">
              <w:rPr>
                <w:bCs/>
                <w:szCs w:val="24"/>
              </w:rPr>
              <w:t>[</w:t>
            </w:r>
            <w:proofErr w:type="spellStart"/>
            <w:r w:rsidRPr="00047AB2">
              <w:rPr>
                <w:bCs/>
                <w:szCs w:val="24"/>
              </w:rPr>
              <w:t>IAP</w:t>
            </w:r>
            <w:proofErr w:type="spellEnd"/>
            <w:r w:rsidRPr="00047AB2">
              <w:rPr>
                <w:bCs/>
                <w:szCs w:val="24"/>
              </w:rPr>
              <w:t>-3]</w:t>
            </w:r>
            <w:r w:rsidRPr="00047AB2">
              <w:rPr>
                <w:szCs w:val="24"/>
              </w:rPr>
              <w:br/>
              <w:t>Документ </w:t>
            </w:r>
            <w:hyperlink r:id="rId34" w:history="1">
              <w:r w:rsidRPr="00047AB2">
                <w:rPr>
                  <w:color w:val="0000FF"/>
                  <w:szCs w:val="24"/>
                  <w:u w:val="single"/>
                </w:rPr>
                <w:t>100</w:t>
              </w:r>
            </w:hyperlink>
          </w:p>
        </w:tc>
        <w:tc>
          <w:tcPr>
            <w:tcW w:w="8051" w:type="dxa"/>
          </w:tcPr>
          <w:p w:rsidR="000A0DCF" w:rsidRPr="00047AB2" w:rsidRDefault="000A0DCF" w:rsidP="004542B5">
            <w:pPr>
              <w:pStyle w:val="Tabletext"/>
              <w:rPr>
                <w:szCs w:val="24"/>
              </w:rPr>
            </w:pPr>
            <w:r w:rsidRPr="00047AB2">
              <w:t>Совершенствование стандартизации интернета вещей и "умных" городов и сообществ в интересах глобального развития</w:t>
            </w:r>
          </w:p>
        </w:tc>
      </w:tr>
      <w:tr w:rsidR="000A0DCF" w:rsidRPr="00047AB2" w:rsidTr="00BA7DD3">
        <w:tc>
          <w:tcPr>
            <w:tcW w:w="10173" w:type="dxa"/>
            <w:gridSpan w:val="2"/>
          </w:tcPr>
          <w:p w:rsidR="000A0DCF" w:rsidRPr="00047AB2" w:rsidRDefault="000A0DCF" w:rsidP="008947D6">
            <w:pPr>
              <w:pStyle w:val="Tabletext"/>
            </w:pPr>
            <w:r w:rsidRPr="00047AB2">
              <w:t xml:space="preserve">В соответствии с разделом </w:t>
            </w:r>
            <w:r w:rsidRPr="00047AB2">
              <w:rPr>
                <w:i/>
                <w:iCs/>
              </w:rPr>
              <w:t>поручает Директору Бюро стандартизации электросвязи</w:t>
            </w:r>
          </w:p>
          <w:p w:rsidR="000A0DCF" w:rsidRPr="00047AB2" w:rsidRDefault="000A0DCF" w:rsidP="004542B5">
            <w:pPr>
              <w:pStyle w:val="Tabletext"/>
              <w:tabs>
                <w:tab w:val="clear" w:pos="284"/>
              </w:tabs>
            </w:pPr>
            <w:r w:rsidRPr="00047AB2">
              <w:t>2</w:t>
            </w:r>
            <w:r w:rsidRPr="00047AB2">
              <w:tab/>
              <w:t xml:space="preserve">осуществлять в сотрудничестве с Государствами-Членами и городами пилотные проекты в городах, связанные с деятельностью по оценке </w:t>
            </w:r>
            <w:proofErr w:type="spellStart"/>
            <w:r w:rsidRPr="00047AB2">
              <w:t>KPI</w:t>
            </w:r>
            <w:proofErr w:type="spellEnd"/>
            <w:r w:rsidRPr="00047AB2">
              <w:t xml:space="preserve"> </w:t>
            </w:r>
            <w:proofErr w:type="spellStart"/>
            <w:r w:rsidRPr="00047AB2">
              <w:t>SC&amp;C</w:t>
            </w:r>
            <w:proofErr w:type="spellEnd"/>
            <w:r w:rsidRPr="00047AB2">
              <w:t>, с целью содействия развертыванию и внедрению ста</w:t>
            </w:r>
            <w:r w:rsidR="004542B5" w:rsidRPr="00047AB2">
              <w:t xml:space="preserve">ндартов </w:t>
            </w:r>
            <w:proofErr w:type="spellStart"/>
            <w:r w:rsidR="004542B5" w:rsidRPr="00047AB2">
              <w:t>IoT</w:t>
            </w:r>
            <w:proofErr w:type="spellEnd"/>
            <w:r w:rsidR="004542B5" w:rsidRPr="00047AB2">
              <w:t xml:space="preserve"> и </w:t>
            </w:r>
            <w:proofErr w:type="spellStart"/>
            <w:r w:rsidR="004542B5" w:rsidRPr="00047AB2">
              <w:t>SC&amp;C</w:t>
            </w:r>
            <w:proofErr w:type="spellEnd"/>
            <w:r w:rsidR="004542B5" w:rsidRPr="00047AB2">
              <w:t xml:space="preserve"> во всем мире.</w:t>
            </w:r>
          </w:p>
          <w:p w:rsidR="004542B5" w:rsidRPr="00047AB2" w:rsidRDefault="004542B5" w:rsidP="004542B5">
            <w:pPr>
              <w:pStyle w:val="Tabletext"/>
              <w:tabs>
                <w:tab w:val="clear" w:pos="284"/>
              </w:tabs>
            </w:pPr>
          </w:p>
          <w:p w:rsidR="000A0DCF" w:rsidRPr="00047AB2" w:rsidRDefault="000A0DCF" w:rsidP="004542B5">
            <w:pPr>
              <w:pStyle w:val="Tabletext"/>
              <w:tabs>
                <w:tab w:val="clear" w:pos="284"/>
              </w:tabs>
            </w:pPr>
            <w:r w:rsidRPr="00047AB2">
              <w:t xml:space="preserve">В соответствии с разделом </w:t>
            </w:r>
            <w:r w:rsidRPr="00047AB2">
              <w:rPr>
                <w:i/>
                <w:iCs/>
              </w:rPr>
              <w:t>поручает Директору Бюро стандартизации электросвязи в сотрудничестве с Директорами Бюро развития электросвязи и Бюро радиосвязи</w:t>
            </w:r>
          </w:p>
          <w:p w:rsidR="000A0DCF" w:rsidRPr="00047AB2" w:rsidRDefault="000A0DCF" w:rsidP="004542B5">
            <w:pPr>
              <w:pStyle w:val="Tabletext"/>
              <w:tabs>
                <w:tab w:val="clear" w:pos="284"/>
              </w:tabs>
            </w:pPr>
            <w:r w:rsidRPr="00047AB2">
              <w:t>1</w:t>
            </w:r>
            <w:r w:rsidRPr="00047AB2">
              <w:tab/>
              <w:t>составлять отчеты, учитывая, в частности, потребности развивающихся стран, связанные с исследованиями интернета вещей и его приложений, сенсорных сетей, услуг и инфраструктуры;</w:t>
            </w:r>
          </w:p>
          <w:p w:rsidR="000A0DCF" w:rsidRPr="00047AB2" w:rsidRDefault="000A0DCF" w:rsidP="004542B5">
            <w:pPr>
              <w:pStyle w:val="Tabletext"/>
              <w:tabs>
                <w:tab w:val="clear" w:pos="284"/>
              </w:tabs>
              <w:rPr>
                <w:szCs w:val="24"/>
              </w:rPr>
            </w:pPr>
            <w:r w:rsidRPr="00047AB2">
              <w:t>2</w:t>
            </w:r>
            <w:r w:rsidRPr="00047AB2">
              <w:tab/>
              <w:t xml:space="preserve">продолжать распространение публикаций МСЭ по </w:t>
            </w:r>
            <w:proofErr w:type="spellStart"/>
            <w:r w:rsidRPr="00047AB2">
              <w:t>IoT</w:t>
            </w:r>
            <w:proofErr w:type="spellEnd"/>
            <w:r w:rsidRPr="00047AB2">
              <w:t xml:space="preserve"> и </w:t>
            </w:r>
            <w:proofErr w:type="spellStart"/>
            <w:r w:rsidRPr="00047AB2">
              <w:t>SC&amp;C</w:t>
            </w:r>
            <w:proofErr w:type="spellEnd"/>
            <w:r w:rsidRPr="00047AB2">
              <w:t>, а также организацию форумов, семинаров и семинаров-практикумов по этой теме с учетом, в частности, потребностей развивающихся стран.</w:t>
            </w:r>
          </w:p>
        </w:tc>
      </w:tr>
    </w:tbl>
    <w:p w:rsidR="000A0DCF" w:rsidRPr="00047AB2" w:rsidRDefault="000A0DCF" w:rsidP="0032202E">
      <w:pPr>
        <w:pStyle w:val="Reasons"/>
      </w:pPr>
    </w:p>
    <w:p w:rsidR="000A0DCF" w:rsidRPr="00047AB2" w:rsidRDefault="000A0DCF">
      <w:pPr>
        <w:jc w:val="center"/>
      </w:pPr>
      <w:r w:rsidRPr="00047AB2">
        <w:t>______________</w:t>
      </w:r>
    </w:p>
    <w:sectPr w:rsidR="000A0DCF" w:rsidRPr="00047AB2">
      <w:headerReference w:type="default" r:id="rId35"/>
      <w:footerReference w:type="even" r:id="rId36"/>
      <w:footerReference w:type="default" r:id="rId37"/>
      <w:footerReference w:type="first" r:id="rId3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06" w:rsidRDefault="00704006">
      <w:r>
        <w:separator/>
      </w:r>
    </w:p>
  </w:endnote>
  <w:endnote w:type="continuationSeparator" w:id="0">
    <w:p w:rsidR="00704006" w:rsidRDefault="0070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006" w:rsidRDefault="0070400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04006" w:rsidRDefault="0070400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33FFC">
      <w:rPr>
        <w:noProof/>
        <w:lang w:val="fr-FR"/>
      </w:rPr>
      <w:t>P:\RUS\ITU-T\CONF-T\WTSA16\000\077R-part1.docx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3FFC">
      <w:rPr>
        <w:noProof/>
      </w:rPr>
      <w:t>02.11.16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3FFC">
      <w:rPr>
        <w:noProof/>
      </w:rPr>
      <w:t>02.11.16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006" w:rsidRPr="00071916" w:rsidRDefault="00704006" w:rsidP="00071916">
    <w:pPr>
      <w:pStyle w:val="Footer"/>
      <w:rPr>
        <w:lang w:val="fr-CH"/>
      </w:rPr>
    </w:pPr>
    <w:r>
      <w:fldChar w:fldCharType="begin"/>
    </w:r>
    <w:r w:rsidRPr="00071916">
      <w:rPr>
        <w:lang w:val="fr-CH"/>
      </w:rPr>
      <w:instrText xml:space="preserve"> FILENAME \p \* MERGEFORMAT </w:instrText>
    </w:r>
    <w:r>
      <w:fldChar w:fldCharType="separate"/>
    </w:r>
    <w:r w:rsidR="00C33FFC">
      <w:rPr>
        <w:lang w:val="fr-CH"/>
      </w:rPr>
      <w:t>P:\RUS\ITU-T\CONF-T\WTSA16\000\077R-part1.docx</w:t>
    </w:r>
    <w:r>
      <w:fldChar w:fldCharType="end"/>
    </w:r>
    <w:r w:rsidRPr="00071916">
      <w:rPr>
        <w:lang w:val="fr-CH"/>
      </w:rPr>
      <w:t xml:space="preserve"> (407951)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006" w:rsidRPr="00071916" w:rsidRDefault="00704006" w:rsidP="00071916">
    <w:pPr>
      <w:pStyle w:val="Footer"/>
      <w:rPr>
        <w:lang w:val="fr-CH"/>
      </w:rPr>
    </w:pPr>
    <w:r>
      <w:fldChar w:fldCharType="begin"/>
    </w:r>
    <w:r w:rsidRPr="00071916">
      <w:rPr>
        <w:lang w:val="fr-CH"/>
      </w:rPr>
      <w:instrText xml:space="preserve"> FILENAME \p \* MERGEFORMAT </w:instrText>
    </w:r>
    <w:r>
      <w:fldChar w:fldCharType="separate"/>
    </w:r>
    <w:r w:rsidR="00C33FFC">
      <w:rPr>
        <w:lang w:val="fr-CH"/>
      </w:rPr>
      <w:t>P:\RUS\ITU-T\CONF-T\WTSA16\000\077R-part1.docx</w:t>
    </w:r>
    <w:r>
      <w:fldChar w:fldCharType="end"/>
    </w:r>
    <w:r w:rsidRPr="00071916">
      <w:rPr>
        <w:lang w:val="fr-CH"/>
      </w:rPr>
      <w:t xml:space="preserve"> (407951)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06" w:rsidRDefault="00704006">
      <w:r>
        <w:rPr>
          <w:b/>
        </w:rPr>
        <w:t>_______________</w:t>
      </w:r>
    </w:p>
  </w:footnote>
  <w:footnote w:type="continuationSeparator" w:id="0">
    <w:p w:rsidR="00704006" w:rsidRDefault="00704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006" w:rsidRPr="00434A7C" w:rsidRDefault="00704006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47AB2">
      <w:rPr>
        <w:noProof/>
      </w:rPr>
      <w:t>8</w:t>
    </w:r>
    <w:r>
      <w:fldChar w:fldCharType="end"/>
    </w:r>
  </w:p>
  <w:p w:rsidR="00704006" w:rsidRDefault="00704006" w:rsidP="005F1D14">
    <w:pPr>
      <w:pStyle w:val="Header"/>
      <w:rPr>
        <w:lang w:val="en-US"/>
      </w:rPr>
    </w:pPr>
    <w:proofErr w:type="spellStart"/>
    <w:r>
      <w:t>WTSA16</w:t>
    </w:r>
    <w:proofErr w:type="spellEnd"/>
    <w:r>
      <w:t>/77-R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51834C9F"/>
    <w:multiLevelType w:val="hybridMultilevel"/>
    <w:tmpl w:val="6428EBAC"/>
    <w:lvl w:ilvl="0" w:tplc="71DC690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47AB2"/>
    <w:rsid w:val="00053BC0"/>
    <w:rsid w:val="00071916"/>
    <w:rsid w:val="000769B8"/>
    <w:rsid w:val="00095D3D"/>
    <w:rsid w:val="000A0DCF"/>
    <w:rsid w:val="000A0EF3"/>
    <w:rsid w:val="000A1752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938BA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C7B32"/>
    <w:rsid w:val="002E533D"/>
    <w:rsid w:val="002E6229"/>
    <w:rsid w:val="00300F84"/>
    <w:rsid w:val="00306147"/>
    <w:rsid w:val="00321FCE"/>
    <w:rsid w:val="00344EB8"/>
    <w:rsid w:val="00346BEC"/>
    <w:rsid w:val="00392465"/>
    <w:rsid w:val="003C583C"/>
    <w:rsid w:val="003F0078"/>
    <w:rsid w:val="003F730F"/>
    <w:rsid w:val="0040677A"/>
    <w:rsid w:val="0041081E"/>
    <w:rsid w:val="00412A42"/>
    <w:rsid w:val="00432FFB"/>
    <w:rsid w:val="00434A7C"/>
    <w:rsid w:val="0045143A"/>
    <w:rsid w:val="004542B5"/>
    <w:rsid w:val="00491318"/>
    <w:rsid w:val="00493B34"/>
    <w:rsid w:val="00496734"/>
    <w:rsid w:val="004A58F4"/>
    <w:rsid w:val="004A5C92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B739C"/>
    <w:rsid w:val="005B7F7D"/>
    <w:rsid w:val="005C120B"/>
    <w:rsid w:val="005D1879"/>
    <w:rsid w:val="005D32B4"/>
    <w:rsid w:val="005D568C"/>
    <w:rsid w:val="005D79A3"/>
    <w:rsid w:val="005E1139"/>
    <w:rsid w:val="005E61DD"/>
    <w:rsid w:val="005F1D14"/>
    <w:rsid w:val="006023DF"/>
    <w:rsid w:val="006032F3"/>
    <w:rsid w:val="00620DD7"/>
    <w:rsid w:val="0062556C"/>
    <w:rsid w:val="00643693"/>
    <w:rsid w:val="00657DE0"/>
    <w:rsid w:val="00665A95"/>
    <w:rsid w:val="00687F04"/>
    <w:rsid w:val="00687F81"/>
    <w:rsid w:val="00692C06"/>
    <w:rsid w:val="006A281B"/>
    <w:rsid w:val="006A6E9B"/>
    <w:rsid w:val="006B50A6"/>
    <w:rsid w:val="006D60C3"/>
    <w:rsid w:val="007036B6"/>
    <w:rsid w:val="00704006"/>
    <w:rsid w:val="00724C04"/>
    <w:rsid w:val="00730A90"/>
    <w:rsid w:val="0073462F"/>
    <w:rsid w:val="007572AF"/>
    <w:rsid w:val="00763F4F"/>
    <w:rsid w:val="00775720"/>
    <w:rsid w:val="007772E3"/>
    <w:rsid w:val="00777F17"/>
    <w:rsid w:val="00794694"/>
    <w:rsid w:val="007A08B5"/>
    <w:rsid w:val="007A7F49"/>
    <w:rsid w:val="007C4B54"/>
    <w:rsid w:val="007F1E3A"/>
    <w:rsid w:val="00811633"/>
    <w:rsid w:val="00812452"/>
    <w:rsid w:val="00872232"/>
    <w:rsid w:val="00872FC8"/>
    <w:rsid w:val="008947D6"/>
    <w:rsid w:val="008A16DC"/>
    <w:rsid w:val="008B07D5"/>
    <w:rsid w:val="008B43F2"/>
    <w:rsid w:val="008C3257"/>
    <w:rsid w:val="008E431D"/>
    <w:rsid w:val="009119CC"/>
    <w:rsid w:val="00917C0A"/>
    <w:rsid w:val="0092220F"/>
    <w:rsid w:val="00922CD0"/>
    <w:rsid w:val="00941A02"/>
    <w:rsid w:val="009534EC"/>
    <w:rsid w:val="0097126C"/>
    <w:rsid w:val="009825E6"/>
    <w:rsid w:val="009860A5"/>
    <w:rsid w:val="00993F0B"/>
    <w:rsid w:val="009B5CC2"/>
    <w:rsid w:val="009D2439"/>
    <w:rsid w:val="009D5334"/>
    <w:rsid w:val="009E5FC8"/>
    <w:rsid w:val="00A138D0"/>
    <w:rsid w:val="00A141AF"/>
    <w:rsid w:val="00A2044F"/>
    <w:rsid w:val="00A2480D"/>
    <w:rsid w:val="00A4600A"/>
    <w:rsid w:val="00A57C04"/>
    <w:rsid w:val="00A61057"/>
    <w:rsid w:val="00A710E7"/>
    <w:rsid w:val="00A81026"/>
    <w:rsid w:val="00A85E0F"/>
    <w:rsid w:val="00A97EC0"/>
    <w:rsid w:val="00AA5082"/>
    <w:rsid w:val="00AC66E6"/>
    <w:rsid w:val="00B0332B"/>
    <w:rsid w:val="00B06F80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04318"/>
    <w:rsid w:val="00C20466"/>
    <w:rsid w:val="00C23ED6"/>
    <w:rsid w:val="00C27D42"/>
    <w:rsid w:val="00C30A6E"/>
    <w:rsid w:val="00C324A8"/>
    <w:rsid w:val="00C33FFC"/>
    <w:rsid w:val="00C4430B"/>
    <w:rsid w:val="00C46619"/>
    <w:rsid w:val="00C51090"/>
    <w:rsid w:val="00C56E7A"/>
    <w:rsid w:val="00C63928"/>
    <w:rsid w:val="00C72022"/>
    <w:rsid w:val="00CB166B"/>
    <w:rsid w:val="00CC47C6"/>
    <w:rsid w:val="00CC4DE6"/>
    <w:rsid w:val="00CE5E47"/>
    <w:rsid w:val="00CE5E7F"/>
    <w:rsid w:val="00CF020F"/>
    <w:rsid w:val="00D02058"/>
    <w:rsid w:val="00D02C9A"/>
    <w:rsid w:val="00D05113"/>
    <w:rsid w:val="00D10152"/>
    <w:rsid w:val="00D15F4D"/>
    <w:rsid w:val="00D46042"/>
    <w:rsid w:val="00D53715"/>
    <w:rsid w:val="00DC2D2A"/>
    <w:rsid w:val="00DE2EBA"/>
    <w:rsid w:val="00DF7BD9"/>
    <w:rsid w:val="00E003CD"/>
    <w:rsid w:val="00E109C8"/>
    <w:rsid w:val="00E11080"/>
    <w:rsid w:val="00E2253F"/>
    <w:rsid w:val="00E24E27"/>
    <w:rsid w:val="00E30B92"/>
    <w:rsid w:val="00E43B1B"/>
    <w:rsid w:val="00E47988"/>
    <w:rsid w:val="00E5155F"/>
    <w:rsid w:val="00E976C1"/>
    <w:rsid w:val="00EB6BCD"/>
    <w:rsid w:val="00EC1AE7"/>
    <w:rsid w:val="00EE1364"/>
    <w:rsid w:val="00EF7176"/>
    <w:rsid w:val="00F171BB"/>
    <w:rsid w:val="00F17CA4"/>
    <w:rsid w:val="00F32344"/>
    <w:rsid w:val="00F41201"/>
    <w:rsid w:val="00F454CF"/>
    <w:rsid w:val="00F518C9"/>
    <w:rsid w:val="00F55088"/>
    <w:rsid w:val="00F60D65"/>
    <w:rsid w:val="00F63A2A"/>
    <w:rsid w:val="00F65C19"/>
    <w:rsid w:val="00F70B84"/>
    <w:rsid w:val="00F761D2"/>
    <w:rsid w:val="00F77411"/>
    <w:rsid w:val="00F85CF7"/>
    <w:rsid w:val="00F97203"/>
    <w:rsid w:val="00FC63FD"/>
    <w:rsid w:val="00FE344F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table" w:customStyle="1" w:styleId="TableGrid8">
    <w:name w:val="Table Grid8"/>
    <w:basedOn w:val="TableNormal"/>
    <w:next w:val="TableGrid"/>
    <w:rsid w:val="009D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D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F73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T13-WTSA.16-161025-TD-GEN-0001/en" TargetMode="External"/><Relationship Id="rId18" Type="http://schemas.openxmlformats.org/officeDocument/2006/relationships/hyperlink" Target="http://www.itu.int/md/T13-WTSA.16-C-0033/en" TargetMode="External"/><Relationship Id="rId26" Type="http://schemas.openxmlformats.org/officeDocument/2006/relationships/hyperlink" Target="http://www.itu.int/md/T13-WTSA.16-C-0096/en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T13-WTSA.16-C-0032/en" TargetMode="External"/><Relationship Id="rId34" Type="http://schemas.openxmlformats.org/officeDocument/2006/relationships/hyperlink" Target="http://www.itu.int/md/T13-WTSA.16-C-0100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T13-WTSA.16-161025-TD-GEN-0003/en" TargetMode="External"/><Relationship Id="rId17" Type="http://schemas.openxmlformats.org/officeDocument/2006/relationships/hyperlink" Target="http://www.itu.int/md/T13-WTSA.16-C-0030/en" TargetMode="External"/><Relationship Id="rId25" Type="http://schemas.openxmlformats.org/officeDocument/2006/relationships/hyperlink" Target="http://www.itu.int/md/T13-WTSA.16-C-0093/en" TargetMode="External"/><Relationship Id="rId33" Type="http://schemas.openxmlformats.org/officeDocument/2006/relationships/hyperlink" Target="http://www.itu.int/md/T13-WTSA.16-C-0100/en" TargetMode="Externa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T13-WTSA.16-ADM-0027/en" TargetMode="External"/><Relationship Id="rId20" Type="http://schemas.openxmlformats.org/officeDocument/2006/relationships/hyperlink" Target="http://www.itu.int/md/T13-WTSA.16-C-0062/en" TargetMode="External"/><Relationship Id="rId29" Type="http://schemas.openxmlformats.org/officeDocument/2006/relationships/hyperlink" Target="http://www.itu.int/md/T13-WTSA.16-C-0072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www.itu.int/md/T13-WTSA.16-C-0063/en" TargetMode="External"/><Relationship Id="rId32" Type="http://schemas.openxmlformats.org/officeDocument/2006/relationships/hyperlink" Target="http://www.itu.int/md/T13-WTSA.16-C-0093/en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itu.int/md/T13-WTSA.16-ADM-0004/en" TargetMode="External"/><Relationship Id="rId23" Type="http://schemas.openxmlformats.org/officeDocument/2006/relationships/hyperlink" Target="http://www.itu.int/md/T13-WTSA.16-161025-TD-GEN-0010/en" TargetMode="External"/><Relationship Id="rId28" Type="http://schemas.openxmlformats.org/officeDocument/2006/relationships/hyperlink" Target="http://www.itu.int/md/T13-WTSA.16-C-0072/en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://www.itu.int/md/T13-WTSA.16-161025-TD-GEN-0010/en" TargetMode="External"/><Relationship Id="rId31" Type="http://schemas.openxmlformats.org/officeDocument/2006/relationships/hyperlink" Target="http://www.itu.int/md/T13-WTSA.16-C-0093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T13-WTSA.16-161025-TD-GEN-0004/en" TargetMode="External"/><Relationship Id="rId22" Type="http://schemas.openxmlformats.org/officeDocument/2006/relationships/hyperlink" Target="http://www.itu.int/md/T13-WTSA.16-C-0029/en" TargetMode="External"/><Relationship Id="rId27" Type="http://schemas.openxmlformats.org/officeDocument/2006/relationships/hyperlink" Target="http://www.itu.int/md/T13-WTSA.16-C-0100/en" TargetMode="External"/><Relationship Id="rId30" Type="http://schemas.openxmlformats.org/officeDocument/2006/relationships/hyperlink" Target="http://www.itu.int/md/T13-WTSA.16-C-0093/en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4bdcff6-632f-4ca6-93dd-bba713213de9" targetNamespace="http://schemas.microsoft.com/office/2006/metadata/properties" ma:root="true" ma:fieldsID="d41af5c836d734370eb92e7ee5f83852" ns2:_="" ns3:_="">
    <xsd:import namespace="996b2e75-67fd-4955-a3b0-5ab9934cb50b"/>
    <xsd:import namespace="04bdcff6-632f-4ca6-93dd-bba713213de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cff6-632f-4ca6-93dd-bba713213de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4bdcff6-632f-4ca6-93dd-bba713213de9">Documents Proposals Manager (DPM)</DPM_x0020_Author>
    <DPM_x0020_File_x0020_name xmlns="04bdcff6-632f-4ca6-93dd-bba713213de9">T13-WTSA.16-C-0077!!MSW-R</DPM_x0020_File_x0020_name>
    <DPM_x0020_Version xmlns="04bdcff6-632f-4ca6-93dd-bba713213de9">DPM_v2016.11.2.2_prod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4bdcff6-632f-4ca6-93dd-bba713213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4bdcff6-632f-4ca6-93dd-bba713213de9"/>
    <ds:schemaRef ds:uri="http://schemas.microsoft.com/office/2006/metadata/properties"/>
    <ds:schemaRef ds:uri="http://purl.org/dc/elements/1.1/"/>
    <ds:schemaRef ds:uri="996b2e75-67fd-4955-a3b0-5ab9934cb50b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EB3E20-7885-42AC-B596-B3C403CA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2590</Words>
  <Characters>18622</Characters>
  <Application>Microsoft Office Word</Application>
  <DocSecurity>0</DocSecurity>
  <Lines>155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T13-WTSA.16-C-0077!!MSW-R</vt:lpstr>
    </vt:vector>
  </TitlesOfParts>
  <Manager>General Secretariat - Pool</Manager>
  <Company>International Telecommunication Union (ITU)</Company>
  <LinksUpToDate>false</LinksUpToDate>
  <CharactersWithSpaces>21170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T13-WTSA.16-C-0077!!MSW-R</dc:title>
  <dc:subject>World Telecommunication Standardization Assembly</dc:subject>
  <dc:creator>Documents Proposals Manager (DPM)</dc:creator>
  <cp:keywords>DPM_v2016.11.2.2_prod</cp:keywords>
  <dc:description>Template used by DPM and CPI for the WTSA-16</dc:description>
  <cp:lastModifiedBy>Maloletkova, Svetlana</cp:lastModifiedBy>
  <cp:revision>7</cp:revision>
  <cp:lastPrinted>2016-11-02T15:54:00Z</cp:lastPrinted>
  <dcterms:created xsi:type="dcterms:W3CDTF">2016-11-02T15:24:00Z</dcterms:created>
  <dcterms:modified xsi:type="dcterms:W3CDTF">2016-11-02T16:04:00Z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