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673939">
            <w:pPr>
              <w:rPr>
                <w:rFonts w:ascii="Verdana" w:hAnsi="Verdana" w:cs="Times New Roman Bold"/>
                <w:b/>
                <w:bCs/>
                <w:sz w:val="22"/>
                <w:szCs w:val="22"/>
              </w:rPr>
            </w:pPr>
            <w:r>
              <w:rPr>
                <w:noProof/>
                <w:lang w:val="en-US" w:eastAsia="zh-CN"/>
              </w:rPr>
              <w:drawing>
                <wp:inline distT="0" distB="0" distL="0" distR="0" wp14:anchorId="48947CAE" wp14:editId="037FF156">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673939">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673939">
            <w:pPr>
              <w:spacing w:before="0"/>
              <w:jc w:val="right"/>
            </w:pPr>
            <w:r>
              <w:rPr>
                <w:noProof/>
                <w:lang w:val="en-US" w:eastAsia="zh-CN"/>
              </w:rPr>
              <w:drawing>
                <wp:inline distT="0" distB="0" distL="0" distR="0" wp14:anchorId="5E5A26B7" wp14:editId="438C1658">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673939">
            <w:pPr>
              <w:spacing w:before="0"/>
            </w:pPr>
          </w:p>
        </w:tc>
        <w:tc>
          <w:tcPr>
            <w:tcW w:w="3007" w:type="dxa"/>
            <w:gridSpan w:val="2"/>
            <w:tcBorders>
              <w:bottom w:val="single" w:sz="12" w:space="0" w:color="auto"/>
            </w:tcBorders>
          </w:tcPr>
          <w:p w:rsidR="00595780" w:rsidRDefault="00595780" w:rsidP="00673939">
            <w:pPr>
              <w:spacing w:before="0"/>
            </w:pPr>
          </w:p>
        </w:tc>
      </w:tr>
      <w:tr w:rsidR="001D581B" w:rsidTr="00530525">
        <w:trPr>
          <w:cantSplit/>
        </w:trPr>
        <w:tc>
          <w:tcPr>
            <w:tcW w:w="6804" w:type="dxa"/>
            <w:gridSpan w:val="2"/>
            <w:tcBorders>
              <w:top w:val="single" w:sz="12" w:space="0" w:color="auto"/>
            </w:tcBorders>
          </w:tcPr>
          <w:p w:rsidR="00595780" w:rsidRDefault="00595780" w:rsidP="00673939">
            <w:pPr>
              <w:spacing w:before="0"/>
            </w:pPr>
          </w:p>
        </w:tc>
        <w:tc>
          <w:tcPr>
            <w:tcW w:w="3007" w:type="dxa"/>
            <w:gridSpan w:val="2"/>
          </w:tcPr>
          <w:p w:rsidR="00595780" w:rsidRPr="002074EC" w:rsidRDefault="00595780" w:rsidP="00673939">
            <w:pPr>
              <w:spacing w:before="0"/>
              <w:rPr>
                <w:rFonts w:ascii="Verdana" w:hAnsi="Verdana"/>
                <w:b/>
                <w:bCs/>
                <w:sz w:val="20"/>
              </w:rPr>
            </w:pPr>
          </w:p>
        </w:tc>
      </w:tr>
      <w:tr w:rsidR="00C26BA2" w:rsidTr="00530525">
        <w:trPr>
          <w:cantSplit/>
        </w:trPr>
        <w:tc>
          <w:tcPr>
            <w:tcW w:w="6804" w:type="dxa"/>
            <w:gridSpan w:val="2"/>
          </w:tcPr>
          <w:p w:rsidR="00C26BA2" w:rsidRDefault="00673939" w:rsidP="00673939">
            <w:pPr>
              <w:spacing w:before="0"/>
            </w:pPr>
            <w:r w:rsidRPr="001C6F7A">
              <w:rPr>
                <w:rFonts w:ascii="Verdana" w:eastAsia="Times New Roman" w:hAnsi="Verdana" w:cs="Calibri"/>
                <w:b/>
                <w:sz w:val="20"/>
                <w:lang w:val="fr-FR"/>
              </w:rPr>
              <w:t>SÉANCE PLÉNIÈRE</w:t>
            </w:r>
          </w:p>
        </w:tc>
        <w:tc>
          <w:tcPr>
            <w:tcW w:w="3007" w:type="dxa"/>
            <w:gridSpan w:val="2"/>
          </w:tcPr>
          <w:p w:rsidR="00C26BA2" w:rsidRPr="002A6F8F" w:rsidRDefault="00673939" w:rsidP="00673939">
            <w:pPr>
              <w:spacing w:before="0"/>
              <w:rPr>
                <w:rFonts w:ascii="Verdana" w:hAnsi="Verdana"/>
                <w:sz w:val="20"/>
                <w:lang w:val="en-US"/>
              </w:rPr>
            </w:pPr>
            <w:r w:rsidRPr="001C6F7A">
              <w:rPr>
                <w:rFonts w:ascii="Verdana" w:eastAsia="Times New Roman" w:hAnsi="Verdana" w:cs="Times New Roman Bold"/>
                <w:b/>
                <w:bCs/>
                <w:sz w:val="20"/>
                <w:lang w:val="fr-FR"/>
              </w:rPr>
              <w:t>Document 77-F</w:t>
            </w:r>
            <w:r w:rsidRPr="002A6F8F">
              <w:rPr>
                <w:rFonts w:ascii="Verdana" w:hAnsi="Verdana"/>
                <w:b/>
                <w:sz w:val="20"/>
                <w:lang w:val="en-US"/>
              </w:rPr>
              <w:t xml:space="preserve"> </w:t>
            </w:r>
          </w:p>
        </w:tc>
      </w:tr>
      <w:tr w:rsidR="001D581B" w:rsidTr="00530525">
        <w:trPr>
          <w:cantSplit/>
        </w:trPr>
        <w:tc>
          <w:tcPr>
            <w:tcW w:w="6804" w:type="dxa"/>
            <w:gridSpan w:val="2"/>
          </w:tcPr>
          <w:p w:rsidR="00595780" w:rsidRDefault="00595780" w:rsidP="00673939">
            <w:pPr>
              <w:spacing w:before="0"/>
            </w:pPr>
          </w:p>
        </w:tc>
        <w:tc>
          <w:tcPr>
            <w:tcW w:w="3007" w:type="dxa"/>
            <w:gridSpan w:val="2"/>
          </w:tcPr>
          <w:p w:rsidR="00595780" w:rsidRDefault="00673939" w:rsidP="00673939">
            <w:pPr>
              <w:spacing w:before="0"/>
            </w:pPr>
            <w:r w:rsidRPr="001C6F7A">
              <w:rPr>
                <w:rFonts w:ascii="Verdana" w:eastAsia="Times New Roman" w:hAnsi="Verdana" w:cs="Times New Roman Bold"/>
                <w:b/>
                <w:bCs/>
                <w:sz w:val="20"/>
                <w:szCs w:val="24"/>
                <w:lang w:val="fr-FR"/>
              </w:rPr>
              <w:t>2 novembre 2016</w:t>
            </w:r>
          </w:p>
        </w:tc>
      </w:tr>
      <w:tr w:rsidR="001D581B" w:rsidTr="00530525">
        <w:trPr>
          <w:cantSplit/>
        </w:trPr>
        <w:tc>
          <w:tcPr>
            <w:tcW w:w="6804" w:type="dxa"/>
            <w:gridSpan w:val="2"/>
          </w:tcPr>
          <w:p w:rsidR="00595780" w:rsidRDefault="00595780" w:rsidP="00673939">
            <w:pPr>
              <w:spacing w:before="0"/>
            </w:pPr>
          </w:p>
        </w:tc>
        <w:tc>
          <w:tcPr>
            <w:tcW w:w="3007" w:type="dxa"/>
            <w:gridSpan w:val="2"/>
          </w:tcPr>
          <w:p w:rsidR="00595780" w:rsidRDefault="00673939" w:rsidP="00673939">
            <w:pPr>
              <w:spacing w:before="0"/>
            </w:pPr>
            <w:r>
              <w:rPr>
                <w:rFonts w:ascii="Verdana" w:hAnsi="Verdana"/>
                <w:b/>
                <w:sz w:val="20"/>
                <w:lang w:val="en-US"/>
              </w:rPr>
              <w:t>Original: anglais</w:t>
            </w:r>
          </w:p>
        </w:tc>
      </w:tr>
      <w:tr w:rsidR="000032AD" w:rsidTr="00530525">
        <w:trPr>
          <w:cantSplit/>
        </w:trPr>
        <w:tc>
          <w:tcPr>
            <w:tcW w:w="9811" w:type="dxa"/>
            <w:gridSpan w:val="4"/>
          </w:tcPr>
          <w:p w:rsidR="000032AD" w:rsidRPr="002074EC" w:rsidRDefault="000032AD" w:rsidP="00673939">
            <w:pPr>
              <w:spacing w:before="0"/>
              <w:rPr>
                <w:rFonts w:ascii="Verdana" w:hAnsi="Verdana"/>
                <w:b/>
                <w:bCs/>
                <w:sz w:val="20"/>
              </w:rPr>
            </w:pPr>
          </w:p>
        </w:tc>
      </w:tr>
      <w:tr w:rsidR="00595780" w:rsidRPr="00332CD1" w:rsidTr="00530525">
        <w:trPr>
          <w:cantSplit/>
        </w:trPr>
        <w:tc>
          <w:tcPr>
            <w:tcW w:w="9811" w:type="dxa"/>
            <w:gridSpan w:val="4"/>
          </w:tcPr>
          <w:p w:rsidR="00595780" w:rsidRPr="00673939" w:rsidRDefault="00673939" w:rsidP="00673939">
            <w:pPr>
              <w:pStyle w:val="Source"/>
              <w:rPr>
                <w:lang w:val="fr-FR"/>
              </w:rPr>
            </w:pPr>
            <w:r w:rsidRPr="00673939">
              <w:rPr>
                <w:lang w:val="fr-FR"/>
              </w:rPr>
              <w:t>Présidente de la Commission 2 (contrôle budgétaire)</w:t>
            </w:r>
          </w:p>
        </w:tc>
      </w:tr>
      <w:tr w:rsidR="00595780" w:rsidRPr="00332CD1" w:rsidTr="00530525">
        <w:trPr>
          <w:cantSplit/>
        </w:trPr>
        <w:tc>
          <w:tcPr>
            <w:tcW w:w="9811" w:type="dxa"/>
            <w:gridSpan w:val="4"/>
          </w:tcPr>
          <w:p w:rsidR="00595780" w:rsidRPr="00673939" w:rsidRDefault="00673939" w:rsidP="00332CD1">
            <w:pPr>
              <w:pStyle w:val="Title1"/>
              <w:rPr>
                <w:lang w:val="fr-FR"/>
              </w:rPr>
            </w:pPr>
            <w:r w:rsidRPr="001C6F7A">
              <w:rPr>
                <w:rFonts w:eastAsia="Times New Roman"/>
                <w:lang w:val="fr-FR"/>
              </w:rPr>
              <w:t>Rapport de la Commission de contrôle budgétaire (Commission 2)</w:t>
            </w:r>
            <w:r w:rsidR="00332CD1">
              <w:rPr>
                <w:rFonts w:eastAsia="Times New Roman"/>
                <w:lang w:val="fr-FR"/>
              </w:rPr>
              <w:t xml:space="preserve"> </w:t>
            </w:r>
            <w:r w:rsidRPr="001C6F7A">
              <w:rPr>
                <w:rFonts w:eastAsia="Times New Roman"/>
                <w:lang w:val="fr-FR"/>
              </w:rPr>
              <w:t>à la séance plénière</w:t>
            </w:r>
          </w:p>
        </w:tc>
      </w:tr>
      <w:tr w:rsidR="00595780" w:rsidRPr="00332CD1" w:rsidTr="00530525">
        <w:trPr>
          <w:cantSplit/>
        </w:trPr>
        <w:tc>
          <w:tcPr>
            <w:tcW w:w="9811" w:type="dxa"/>
            <w:gridSpan w:val="4"/>
          </w:tcPr>
          <w:p w:rsidR="00595780" w:rsidRPr="00A74930" w:rsidRDefault="00595780" w:rsidP="00673939">
            <w:pPr>
              <w:pStyle w:val="Title2"/>
              <w:rPr>
                <w:lang w:val="fr-CH"/>
              </w:rPr>
            </w:pPr>
          </w:p>
        </w:tc>
      </w:tr>
    </w:tbl>
    <w:p w:rsidR="00673939" w:rsidRPr="001C6F7A" w:rsidRDefault="00673939" w:rsidP="00332CD1">
      <w:pPr>
        <w:pStyle w:val="Heading1"/>
        <w:rPr>
          <w:lang w:val="fr-FR"/>
        </w:rPr>
      </w:pPr>
      <w:r w:rsidRPr="001C6F7A">
        <w:rPr>
          <w:lang w:val="fr-FR"/>
        </w:rPr>
        <w:t>1</w:t>
      </w:r>
      <w:r w:rsidRPr="001C6F7A">
        <w:rPr>
          <w:lang w:val="fr-FR"/>
        </w:rPr>
        <w:tab/>
        <w:t>Commission de contrôle budgétaire</w:t>
      </w:r>
    </w:p>
    <w:p w:rsidR="00673939" w:rsidRPr="001C6F7A" w:rsidRDefault="00673939" w:rsidP="00673939">
      <w:pPr>
        <w:rPr>
          <w:lang w:val="fr-FR"/>
        </w:rPr>
      </w:pPr>
      <w:r w:rsidRPr="001C6F7A">
        <w:rPr>
          <w:lang w:val="fr-FR"/>
        </w:rPr>
        <w:t>La Commission de contrôle budgétaire, présidée par Mme Weiling Xu (République populaire de Chine) assistée des Vice-Présidents, M. Santiago Reyes-Borda (Canada) et M. Dietmar Plesse (Allemagne), a tenu deux séances au cours de l'Assemblée mondiale de normalisation des télécommunications (AMNT-16) et a examiné les questions relevant de son mandat.</w:t>
      </w:r>
    </w:p>
    <w:p w:rsidR="00673939" w:rsidRPr="001C6F7A" w:rsidRDefault="00673939" w:rsidP="00332CD1">
      <w:pPr>
        <w:pStyle w:val="Heading1"/>
        <w:rPr>
          <w:lang w:val="fr-FR"/>
        </w:rPr>
      </w:pPr>
      <w:r w:rsidRPr="001C6F7A">
        <w:rPr>
          <w:lang w:val="fr-FR"/>
        </w:rPr>
        <w:t>2</w:t>
      </w:r>
      <w:r w:rsidRPr="001C6F7A">
        <w:rPr>
          <w:lang w:val="fr-FR"/>
        </w:rPr>
        <w:tab/>
        <w:t xml:space="preserve">Projet de programme de gestion du temps/Liste des propositions </w:t>
      </w:r>
      <w:r w:rsidR="00C150AE">
        <w:rPr>
          <w:lang w:val="fr-FR"/>
        </w:rPr>
        <w:t>à</w:t>
      </w:r>
      <w:r w:rsidRPr="001C6F7A">
        <w:rPr>
          <w:lang w:val="fr-FR"/>
        </w:rPr>
        <w:t xml:space="preserve"> examiner </w:t>
      </w:r>
      <w:r w:rsidR="00C150AE">
        <w:rPr>
          <w:lang w:val="fr-FR"/>
        </w:rPr>
        <w:t xml:space="preserve">par </w:t>
      </w:r>
      <w:r w:rsidRPr="001C6F7A">
        <w:rPr>
          <w:lang w:val="fr-FR"/>
        </w:rPr>
        <w:t>l'AMNT/Mandat</w:t>
      </w:r>
    </w:p>
    <w:p w:rsidR="00673939" w:rsidRPr="001C6F7A" w:rsidRDefault="00673939" w:rsidP="00332CD1">
      <w:pPr>
        <w:rPr>
          <w:lang w:val="fr-FR"/>
        </w:rPr>
      </w:pPr>
      <w:r w:rsidRPr="001C6F7A">
        <w:rPr>
          <w:lang w:val="fr-FR"/>
        </w:rPr>
        <w:t xml:space="preserve">Le projet de programme de gestion du temps, la liste des propositions à examiner et le mandat de la Commission 2 ont été présentés et approuvés (Documents </w:t>
      </w:r>
      <w:hyperlink r:id="rId10" w:history="1">
        <w:r w:rsidR="00332CD1" w:rsidRPr="00332CD1">
          <w:rPr>
            <w:rStyle w:val="Hyperlink"/>
            <w:rFonts w:asciiTheme="majorBidi" w:hAnsiTheme="majorBidi" w:cstheme="majorBidi"/>
            <w:szCs w:val="24"/>
            <w:lang w:val="fr-CH"/>
          </w:rPr>
          <w:t>DT/3</w:t>
        </w:r>
      </w:hyperlink>
      <w:r w:rsidRPr="001C6F7A">
        <w:rPr>
          <w:lang w:val="fr-FR"/>
        </w:rPr>
        <w:t xml:space="preserve">, </w:t>
      </w:r>
      <w:hyperlink r:id="rId11" w:history="1">
        <w:r w:rsidR="00332CD1" w:rsidRPr="00332CD1">
          <w:rPr>
            <w:rStyle w:val="Hyperlink"/>
            <w:rFonts w:asciiTheme="majorBidi" w:hAnsiTheme="majorBidi" w:cstheme="majorBidi"/>
            <w:szCs w:val="24"/>
            <w:lang w:val="fr-CH"/>
          </w:rPr>
          <w:t>DT/1</w:t>
        </w:r>
      </w:hyperlink>
      <w:r w:rsidRPr="001C6F7A">
        <w:rPr>
          <w:lang w:val="fr-FR"/>
        </w:rPr>
        <w:t xml:space="preserve">et </w:t>
      </w:r>
      <w:hyperlink r:id="rId12" w:history="1">
        <w:r w:rsidR="00332CD1" w:rsidRPr="00332CD1">
          <w:rPr>
            <w:rStyle w:val="Hyperlink"/>
            <w:rFonts w:asciiTheme="majorBidi" w:hAnsiTheme="majorBidi" w:cstheme="majorBidi"/>
            <w:szCs w:val="24"/>
            <w:lang w:val="fr-CH"/>
          </w:rPr>
          <w:t>DT/4</w:t>
        </w:r>
      </w:hyperlink>
      <w:r w:rsidRPr="001C6F7A">
        <w:rPr>
          <w:lang w:val="fr-FR"/>
        </w:rPr>
        <w:t xml:space="preserve">). Les ordres du jour des séances de la Commission 2 font l'objet des Documents </w:t>
      </w:r>
      <w:hyperlink r:id="rId13" w:history="1">
        <w:r w:rsidR="00332CD1" w:rsidRPr="00332CD1">
          <w:rPr>
            <w:rStyle w:val="Hyperlink"/>
            <w:rFonts w:asciiTheme="majorBidi" w:hAnsiTheme="majorBidi" w:cstheme="majorBidi"/>
            <w:szCs w:val="24"/>
            <w:lang w:val="fr-CH"/>
          </w:rPr>
          <w:t>ADM4</w:t>
        </w:r>
      </w:hyperlink>
      <w:r w:rsidRPr="001C6F7A">
        <w:rPr>
          <w:lang w:val="fr-FR"/>
        </w:rPr>
        <w:t xml:space="preserve"> et </w:t>
      </w:r>
      <w:hyperlink r:id="rId14" w:history="1">
        <w:r w:rsidR="00332CD1" w:rsidRPr="00332CD1">
          <w:rPr>
            <w:rStyle w:val="Hyperlink"/>
            <w:rFonts w:asciiTheme="majorBidi" w:hAnsiTheme="majorBidi" w:cstheme="majorBidi"/>
            <w:szCs w:val="24"/>
            <w:lang w:val="fr-CH"/>
          </w:rPr>
          <w:t>ADM27</w:t>
        </w:r>
      </w:hyperlink>
      <w:r w:rsidRPr="001C6F7A">
        <w:rPr>
          <w:lang w:val="fr-FR"/>
        </w:rPr>
        <w:t>.</w:t>
      </w:r>
    </w:p>
    <w:p w:rsidR="00673939" w:rsidRPr="00673939" w:rsidRDefault="00673939" w:rsidP="00332CD1">
      <w:pPr>
        <w:pStyle w:val="Heading1"/>
        <w:rPr>
          <w:lang w:val="fr-FR"/>
        </w:rPr>
      </w:pPr>
      <w:r w:rsidRPr="00673939">
        <w:rPr>
          <w:lang w:val="fr-FR"/>
        </w:rPr>
        <w:t>3</w:t>
      </w:r>
      <w:r w:rsidRPr="00673939">
        <w:rPr>
          <w:lang w:val="fr-FR"/>
        </w:rPr>
        <w:tab/>
        <w:t>Accord entre le Gouvernement de la République de Tunisie et l'UIT</w:t>
      </w:r>
    </w:p>
    <w:p w:rsidR="00673939" w:rsidRPr="001C6F7A" w:rsidRDefault="00673939" w:rsidP="00673939">
      <w:pPr>
        <w:rPr>
          <w:lang w:val="fr-FR"/>
        </w:rPr>
      </w:pPr>
      <w:r w:rsidRPr="001C6F7A">
        <w:rPr>
          <w:lang w:val="fr-FR"/>
        </w:rPr>
        <w:t>Conformément aux Résolutions 77 (Rév. Busan, 2014) et 5 (Kyoto, 1994) de la Conférence de plénipotentiaires ainsi qu'à la Résolution 83 (modifiée) du Conseil de l'UIT concernant l'organisation, le financement et la liquidation des comptes des conférences et réunions de l'UIT, le Gouvernement de la République de Tunisie et l'UIT ont conclu un accord relatif à l'organisation, à la tenue et au financement de l'Assemblée mondiale de normalisation des télécommunications (AMNT-16) ainsi qu'à l'organisation, à la tenue et au financement du Colloque mondial sur la normalisation (GSS) de l'Union internationale des télécommunications.</w:t>
      </w:r>
    </w:p>
    <w:p w:rsidR="00673939" w:rsidRPr="001C6F7A" w:rsidRDefault="00673939" w:rsidP="00332CD1">
      <w:pPr>
        <w:rPr>
          <w:lang w:val="fr-FR"/>
        </w:rPr>
      </w:pPr>
      <w:r w:rsidRPr="001C6F7A">
        <w:rPr>
          <w:lang w:val="fr-FR"/>
        </w:rPr>
        <w:t xml:space="preserve">La Commission de contrôle budgétaire a pris note de cet accord (Document </w:t>
      </w:r>
      <w:hyperlink r:id="rId15" w:history="1">
        <w:r w:rsidR="00332CD1" w:rsidRPr="00332CD1">
          <w:rPr>
            <w:rStyle w:val="Hyperlink"/>
            <w:rFonts w:asciiTheme="majorBidi" w:hAnsiTheme="majorBidi" w:cstheme="majorBidi"/>
            <w:szCs w:val="24"/>
            <w:lang w:val="fr-CH"/>
          </w:rPr>
          <w:t>30</w:t>
        </w:r>
      </w:hyperlink>
      <w:r w:rsidRPr="001C6F7A">
        <w:rPr>
          <w:lang w:val="fr-FR"/>
        </w:rPr>
        <w:t>) et a remercié chaleureusement le Gouvernement de la République de Tunisie pour la qualité de l'organisation de l'Assemblée et des moyens mis à sa disposition.</w:t>
      </w:r>
    </w:p>
    <w:p w:rsidR="00673939" w:rsidRPr="001C6F7A" w:rsidRDefault="00673939" w:rsidP="00332CD1">
      <w:pPr>
        <w:pStyle w:val="Heading1"/>
        <w:rPr>
          <w:lang w:val="fr-FR"/>
        </w:rPr>
      </w:pPr>
      <w:r w:rsidRPr="001C6F7A">
        <w:rPr>
          <w:lang w:val="fr-FR"/>
        </w:rPr>
        <w:lastRenderedPageBreak/>
        <w:t>4</w:t>
      </w:r>
      <w:r w:rsidRPr="001C6F7A">
        <w:rPr>
          <w:lang w:val="fr-FR"/>
        </w:rPr>
        <w:tab/>
        <w:t>Responsabilités financières des conférences</w:t>
      </w:r>
    </w:p>
    <w:p w:rsidR="00673939" w:rsidRPr="001C6F7A" w:rsidRDefault="00673939" w:rsidP="00332CD1">
      <w:pPr>
        <w:rPr>
          <w:lang w:val="fr-FR"/>
        </w:rPr>
      </w:pPr>
      <w:r w:rsidRPr="001C6F7A">
        <w:rPr>
          <w:lang w:val="fr-FR"/>
        </w:rPr>
        <w:t xml:space="preserve">L'attention de la Commission 2 a été attirée sur le numéro 115 (Article 18) de la Constitution de l'Union internationale des télécommunications et sur les numéros 488 et 489 (Article 34) de la Convention de l'Union internationale des télécommunications, concernant les responsabilités financières des conférences (Documents </w:t>
      </w:r>
      <w:hyperlink r:id="rId16" w:history="1">
        <w:r w:rsidR="00332CD1" w:rsidRPr="00332CD1">
          <w:rPr>
            <w:rStyle w:val="Hyperlink"/>
            <w:rFonts w:asciiTheme="majorBidi" w:hAnsiTheme="majorBidi" w:cstheme="majorBidi"/>
            <w:szCs w:val="24"/>
            <w:lang w:val="fr-CH"/>
          </w:rPr>
          <w:t>33</w:t>
        </w:r>
      </w:hyperlink>
      <w:r w:rsidRPr="001C6F7A">
        <w:rPr>
          <w:lang w:val="fr-FR"/>
        </w:rPr>
        <w:t xml:space="preserve"> et DT/</w:t>
      </w:r>
      <w:hyperlink r:id="rId17" w:history="1">
        <w:r w:rsidR="00332CD1" w:rsidRPr="00332CD1">
          <w:rPr>
            <w:rStyle w:val="Hyperlink"/>
            <w:rFonts w:asciiTheme="majorBidi" w:hAnsiTheme="majorBidi" w:cstheme="majorBidi"/>
            <w:szCs w:val="24"/>
            <w:lang w:val="fr-CH"/>
          </w:rPr>
          <w:t>10</w:t>
        </w:r>
      </w:hyperlink>
      <w:r w:rsidR="00332CD1">
        <w:rPr>
          <w:lang w:val="fr-FR"/>
        </w:rPr>
        <w:t>). A l'issue de la séance, le D</w:t>
      </w:r>
      <w:r w:rsidRPr="001C6F7A">
        <w:rPr>
          <w:lang w:val="fr-FR"/>
        </w:rPr>
        <w:t>ocument DT/</w:t>
      </w:r>
      <w:hyperlink r:id="rId18" w:history="1">
        <w:r w:rsidR="00332CD1" w:rsidRPr="00332CD1">
          <w:rPr>
            <w:rStyle w:val="Hyperlink"/>
            <w:rFonts w:asciiTheme="majorBidi" w:hAnsiTheme="majorBidi" w:cstheme="majorBidi"/>
            <w:szCs w:val="24"/>
            <w:lang w:val="fr-CH"/>
          </w:rPr>
          <w:t>10</w:t>
        </w:r>
      </w:hyperlink>
      <w:r w:rsidRPr="001C6F7A">
        <w:rPr>
          <w:lang w:val="fr-FR"/>
        </w:rPr>
        <w:t xml:space="preserve"> est devenu le Document </w:t>
      </w:r>
      <w:hyperlink r:id="rId19" w:history="1">
        <w:r w:rsidR="00332CD1" w:rsidRPr="00332CD1">
          <w:rPr>
            <w:rStyle w:val="Hyperlink"/>
            <w:rFonts w:asciiTheme="majorBidi" w:hAnsiTheme="majorBidi" w:cstheme="majorBidi"/>
            <w:szCs w:val="24"/>
            <w:lang w:val="fr-CH"/>
          </w:rPr>
          <w:t>62</w:t>
        </w:r>
      </w:hyperlink>
      <w:r w:rsidRPr="001C6F7A">
        <w:rPr>
          <w:lang w:val="fr-FR"/>
        </w:rPr>
        <w:t>.</w:t>
      </w:r>
    </w:p>
    <w:p w:rsidR="00673939" w:rsidRPr="00332CD1" w:rsidRDefault="00673939" w:rsidP="00332CD1">
      <w:pPr>
        <w:pStyle w:val="Heading1"/>
        <w:rPr>
          <w:lang w:val="fr-FR"/>
        </w:rPr>
      </w:pPr>
      <w:r w:rsidRPr="001C6F7A">
        <w:rPr>
          <w:lang w:val="fr-FR"/>
        </w:rPr>
        <w:t>5</w:t>
      </w:r>
      <w:r w:rsidRPr="001C6F7A">
        <w:rPr>
          <w:lang w:val="fr-FR"/>
        </w:rPr>
        <w:tab/>
        <w:t>Budget de l'Assemblée mondiale de normalisation des télécommunications (AMNT-16)</w:t>
      </w:r>
    </w:p>
    <w:p w:rsidR="00673939" w:rsidRPr="001C6F7A" w:rsidRDefault="00332CD1" w:rsidP="00673939">
      <w:pPr>
        <w:rPr>
          <w:lang w:val="fr-FR"/>
        </w:rPr>
      </w:pPr>
      <w:r>
        <w:rPr>
          <w:lang w:val="fr-FR"/>
        </w:rPr>
        <w:t>A</w:t>
      </w:r>
      <w:r w:rsidR="00673939" w:rsidRPr="001C6F7A">
        <w:rPr>
          <w:lang w:val="fr-FR"/>
        </w:rPr>
        <w:t xml:space="preserve"> sa session de 2015, le Conseil a approuvé, par sa Résolution 1375, le budget de l'Assemblée mondiale de normalisation des télécommunications (AMNT-16) pour l'exercice biennal 2016-2017, soit 2 154 000 CHF, dont 1 457 000 CHF pour la documentation.</w:t>
      </w:r>
    </w:p>
    <w:p w:rsidR="00673939" w:rsidRPr="001C6F7A" w:rsidRDefault="00673939" w:rsidP="00332CD1">
      <w:pPr>
        <w:rPr>
          <w:lang w:val="fr-FR"/>
        </w:rPr>
      </w:pPr>
      <w:r w:rsidRPr="001C6F7A">
        <w:rPr>
          <w:lang w:val="fr-FR"/>
        </w:rPr>
        <w:t>Les dépenses estimées de l'AMNT-16 au 31 octobre 2016 font apparaître un montant de 43 000 CHF de crédits non utilisés, sans tenir compte des coûts de documentation. On prévoit un excédent de dépenses de 23 000 CHF pour le coût de la documentation, en raison de volumes supérieurs aux prévisions. Le total des coûts, ceux de la documentation compris, devrait être inférieurs de 20 000 CHF au budget. (Voir le Document DT/</w:t>
      </w:r>
      <w:hyperlink r:id="rId20" w:history="1">
        <w:r w:rsidR="00332CD1" w:rsidRPr="00332CD1">
          <w:rPr>
            <w:rStyle w:val="Hyperlink"/>
            <w:rFonts w:asciiTheme="majorBidi" w:hAnsiTheme="majorBidi" w:cstheme="majorBidi"/>
            <w:szCs w:val="24"/>
            <w:lang w:val="fr-CH"/>
          </w:rPr>
          <w:t>52</w:t>
        </w:r>
      </w:hyperlink>
      <w:r w:rsidRPr="001C6F7A">
        <w:rPr>
          <w:lang w:val="fr-FR"/>
        </w:rPr>
        <w:t xml:space="preserve"> et l'Annexe A du présent rapport).</w:t>
      </w:r>
    </w:p>
    <w:p w:rsidR="00673939" w:rsidRPr="001C6F7A" w:rsidRDefault="00673939" w:rsidP="00332CD1">
      <w:pPr>
        <w:pStyle w:val="Heading1"/>
        <w:rPr>
          <w:lang w:val="fr-FR"/>
        </w:rPr>
      </w:pPr>
      <w:r w:rsidRPr="001C6F7A">
        <w:rPr>
          <w:lang w:val="fr-FR"/>
        </w:rPr>
        <w:t>6</w:t>
      </w:r>
      <w:r w:rsidRPr="001C6F7A">
        <w:rPr>
          <w:lang w:val="fr-FR"/>
        </w:rPr>
        <w:tab/>
        <w:t>Contributions aux dépenses de l'Assemblée mondiale de normalisation des télécommunications (AMNT-16)</w:t>
      </w:r>
    </w:p>
    <w:p w:rsidR="00673939" w:rsidRPr="001C6F7A" w:rsidRDefault="00673939" w:rsidP="00332CD1">
      <w:pPr>
        <w:rPr>
          <w:lang w:val="fr-FR"/>
        </w:rPr>
      </w:pPr>
      <w:r w:rsidRPr="001C6F7A">
        <w:rPr>
          <w:lang w:val="fr-FR"/>
        </w:rPr>
        <w:t xml:space="preserve">La Commission a pris note du montant que les organisations internationales non exonérées et les Membres de Secteur (sauf ceux du Secteur UIT-T) doivent payer au titre des dépenses de l'Assemblée (Document </w:t>
      </w:r>
      <w:hyperlink r:id="rId21" w:history="1">
        <w:r w:rsidR="00332CD1" w:rsidRPr="00332CD1">
          <w:rPr>
            <w:rStyle w:val="Hyperlink"/>
            <w:rFonts w:asciiTheme="majorBidi" w:hAnsiTheme="majorBidi" w:cstheme="majorBidi"/>
            <w:szCs w:val="24"/>
            <w:lang w:val="fr-CH"/>
          </w:rPr>
          <w:t>32</w:t>
        </w:r>
      </w:hyperlink>
      <w:r w:rsidRPr="001C6F7A">
        <w:rPr>
          <w:lang w:val="fr-FR"/>
        </w:rPr>
        <w:t>).</w:t>
      </w:r>
    </w:p>
    <w:p w:rsidR="00673939" w:rsidRPr="001C6F7A" w:rsidRDefault="00673939" w:rsidP="00673939">
      <w:pPr>
        <w:rPr>
          <w:lang w:val="fr-FR"/>
        </w:rPr>
      </w:pPr>
      <w:r w:rsidRPr="001C6F7A">
        <w:rPr>
          <w:lang w:val="fr-FR"/>
        </w:rPr>
        <w:t>Au 2 novembre 2016, aucune organisation ni aucun Membre de Secteur tenu de participer aux dépenses de la Conférence n'était enregistré.</w:t>
      </w:r>
    </w:p>
    <w:p w:rsidR="00673939" w:rsidRPr="001C6F7A" w:rsidRDefault="00673939" w:rsidP="00332CD1">
      <w:pPr>
        <w:pStyle w:val="Heading1"/>
        <w:rPr>
          <w:lang w:val="fr-FR"/>
        </w:rPr>
      </w:pPr>
      <w:r w:rsidRPr="001C6F7A">
        <w:rPr>
          <w:lang w:val="fr-FR"/>
        </w:rPr>
        <w:t>7</w:t>
      </w:r>
      <w:r w:rsidRPr="001C6F7A">
        <w:rPr>
          <w:lang w:val="fr-FR"/>
        </w:rPr>
        <w:tab/>
        <w:t>Rapport sur les estimations des besoins financiers jusqu'à l'AMNT-20 et dépenses de l'UIT</w:t>
      </w:r>
      <w:r w:rsidRPr="001C6F7A">
        <w:rPr>
          <w:lang w:val="fr-FR"/>
        </w:rPr>
        <w:noBreakHyphen/>
        <w:t>T pendant la période 2012-2016</w:t>
      </w:r>
    </w:p>
    <w:p w:rsidR="00673939" w:rsidRPr="001C6F7A" w:rsidRDefault="00673939" w:rsidP="00332CD1">
      <w:pPr>
        <w:rPr>
          <w:lang w:val="fr-FR"/>
        </w:rPr>
      </w:pPr>
      <w:r w:rsidRPr="001C6F7A">
        <w:rPr>
          <w:lang w:val="fr-FR"/>
        </w:rPr>
        <w:t>Le rapport sur les estimations des besoins financiers jusqu'à l'AMNT-20 et les dépenses de l'UIT</w:t>
      </w:r>
      <w:r w:rsidRPr="001C6F7A">
        <w:rPr>
          <w:lang w:val="fr-FR"/>
        </w:rPr>
        <w:noBreakHyphen/>
        <w:t xml:space="preserve">T pendant la période 2012-2016 (Document </w:t>
      </w:r>
      <w:hyperlink r:id="rId22" w:history="1">
        <w:r w:rsidR="00332CD1" w:rsidRPr="00332CD1">
          <w:rPr>
            <w:rStyle w:val="Hyperlink"/>
            <w:rFonts w:asciiTheme="majorBidi" w:hAnsiTheme="majorBidi" w:cstheme="majorBidi"/>
            <w:szCs w:val="24"/>
            <w:lang w:val="fr-CH"/>
          </w:rPr>
          <w:t>29</w:t>
        </w:r>
      </w:hyperlink>
      <w:r w:rsidRPr="001C6F7A">
        <w:rPr>
          <w:lang w:val="fr-FR"/>
        </w:rPr>
        <w:t xml:space="preserve">) a été présenté. S'agissant des besoins financiers pour la période allant jusqu'à 2020, la Commission a souligné qu'il est important d'optimiser l'utilisation des ressources de l'Union. Il a été rappelé que le budget pour l'exercice 2016-2017, approuvé par le Conseil à sa session de 2015 (Résolution 1375), et le Plan financier pour la période 2016-2019, approuvé par la Conférence de plénipotentiaires de 2014 (Décision 5), fixent déjà le cadre des dépenses pour la période 2016-2019. </w:t>
      </w:r>
      <w:r w:rsidR="00C150AE">
        <w:rPr>
          <w:lang w:val="fr-FR"/>
        </w:rPr>
        <w:t>Outre le</w:t>
      </w:r>
      <w:r w:rsidRPr="001C6F7A">
        <w:rPr>
          <w:lang w:val="fr-FR"/>
        </w:rPr>
        <w:t xml:space="preserve"> Document DT/</w:t>
      </w:r>
      <w:hyperlink r:id="rId23" w:history="1">
        <w:r w:rsidR="00332CD1" w:rsidRPr="00332CD1">
          <w:rPr>
            <w:rStyle w:val="Hyperlink"/>
            <w:rFonts w:asciiTheme="majorBidi" w:hAnsiTheme="majorBidi" w:cstheme="majorBidi"/>
            <w:szCs w:val="24"/>
            <w:lang w:val="fr-CH"/>
          </w:rPr>
          <w:t>10</w:t>
        </w:r>
      </w:hyperlink>
      <w:r w:rsidRPr="001C6F7A">
        <w:rPr>
          <w:lang w:val="fr-FR"/>
        </w:rPr>
        <w:t xml:space="preserve">, la Commission </w:t>
      </w:r>
      <w:r w:rsidR="00C150AE">
        <w:rPr>
          <w:lang w:val="fr-FR"/>
        </w:rPr>
        <w:t>a décidé qu'une note de la</w:t>
      </w:r>
      <w:r w:rsidRPr="001C6F7A">
        <w:rPr>
          <w:lang w:val="fr-FR"/>
        </w:rPr>
        <w:t xml:space="preserve"> Président</w:t>
      </w:r>
      <w:r w:rsidR="00C150AE">
        <w:rPr>
          <w:lang w:val="fr-FR"/>
        </w:rPr>
        <w:t xml:space="preserve">e de la Commission 2 aux Présidents de la Commission 3, de la Commission </w:t>
      </w:r>
      <w:r w:rsidRPr="001C6F7A">
        <w:rPr>
          <w:lang w:val="fr-FR"/>
        </w:rPr>
        <w:t xml:space="preserve">4 </w:t>
      </w:r>
      <w:r w:rsidR="00C150AE">
        <w:rPr>
          <w:lang w:val="fr-FR"/>
        </w:rPr>
        <w:t>et</w:t>
      </w:r>
      <w:r w:rsidRPr="001C6F7A">
        <w:rPr>
          <w:lang w:val="fr-FR"/>
        </w:rPr>
        <w:t xml:space="preserve"> des Groupes de travail </w:t>
      </w:r>
      <w:r w:rsidR="00C150AE">
        <w:rPr>
          <w:lang w:val="fr-FR"/>
        </w:rPr>
        <w:t xml:space="preserve">serait élaborée </w:t>
      </w:r>
      <w:r w:rsidRPr="001C6F7A">
        <w:rPr>
          <w:lang w:val="fr-FR"/>
        </w:rPr>
        <w:t xml:space="preserve">(Document </w:t>
      </w:r>
      <w:hyperlink r:id="rId24" w:history="1">
        <w:r w:rsidR="00332CD1" w:rsidRPr="00332CD1">
          <w:rPr>
            <w:rStyle w:val="Hyperlink"/>
            <w:rFonts w:asciiTheme="majorBidi" w:hAnsiTheme="majorBidi" w:cstheme="majorBidi"/>
            <w:szCs w:val="24"/>
            <w:lang w:val="fr-CH"/>
          </w:rPr>
          <w:t>63</w:t>
        </w:r>
      </w:hyperlink>
      <w:r w:rsidRPr="001C6F7A">
        <w:rPr>
          <w:lang w:val="fr-FR"/>
        </w:rPr>
        <w:t>).</w:t>
      </w:r>
    </w:p>
    <w:p w:rsidR="00673939" w:rsidRPr="001C6F7A" w:rsidRDefault="00673939" w:rsidP="00332CD1">
      <w:pPr>
        <w:pStyle w:val="Heading1"/>
        <w:rPr>
          <w:lang w:val="fr-FR"/>
        </w:rPr>
      </w:pPr>
      <w:r w:rsidRPr="001C6F7A">
        <w:rPr>
          <w:lang w:val="fr-FR"/>
        </w:rPr>
        <w:t>8</w:t>
      </w:r>
      <w:r w:rsidRPr="001C6F7A">
        <w:rPr>
          <w:lang w:val="fr-FR"/>
        </w:rPr>
        <w:tab/>
        <w:t>Incidences financières des Décisions et Résolutions de l'AMNT</w:t>
      </w:r>
      <w:r w:rsidRPr="001C6F7A">
        <w:rPr>
          <w:lang w:val="fr-FR"/>
        </w:rPr>
        <w:noBreakHyphen/>
        <w:t>16</w:t>
      </w:r>
    </w:p>
    <w:p w:rsidR="00673939" w:rsidRPr="001C6F7A" w:rsidRDefault="00673939" w:rsidP="00332CD1">
      <w:pPr>
        <w:rPr>
          <w:lang w:val="fr-FR"/>
        </w:rPr>
      </w:pPr>
      <w:r w:rsidRPr="001C6F7A">
        <w:rPr>
          <w:lang w:val="fr-FR"/>
        </w:rPr>
        <w:t>Au 31 octobre 2016, la Commission de contrôle budgétaire avait identifié plusieurs questions susceptibles d'avoir des répercussions financières (réf. Document DT/</w:t>
      </w:r>
      <w:hyperlink r:id="rId25" w:history="1">
        <w:r w:rsidR="00332CD1" w:rsidRPr="00332CD1">
          <w:rPr>
            <w:rStyle w:val="Hyperlink"/>
            <w:rFonts w:asciiTheme="majorBidi" w:hAnsiTheme="majorBidi" w:cstheme="majorBidi"/>
            <w:szCs w:val="24"/>
            <w:lang w:val="fr-CH"/>
          </w:rPr>
          <w:t>53</w:t>
        </w:r>
      </w:hyperlink>
      <w:r w:rsidRPr="001C6F7A">
        <w:rPr>
          <w:lang w:val="fr-FR"/>
        </w:rPr>
        <w:t>). Le Document DT/</w:t>
      </w:r>
      <w:hyperlink r:id="rId26" w:history="1">
        <w:r w:rsidR="00332CD1" w:rsidRPr="00332CD1">
          <w:rPr>
            <w:rStyle w:val="Hyperlink"/>
            <w:rFonts w:asciiTheme="majorBidi" w:hAnsiTheme="majorBidi" w:cstheme="majorBidi"/>
            <w:szCs w:val="24"/>
            <w:lang w:val="fr-CH"/>
          </w:rPr>
          <w:t>53</w:t>
        </w:r>
      </w:hyperlink>
      <w:r w:rsidRPr="001C6F7A">
        <w:rPr>
          <w:lang w:val="fr-FR"/>
        </w:rPr>
        <w:t xml:space="preserve"> a été examiné par la Commission 2, qui </w:t>
      </w:r>
      <w:r w:rsidR="00165A0A">
        <w:rPr>
          <w:lang w:val="fr-FR"/>
        </w:rPr>
        <w:t>a décidé d'en modifier</w:t>
      </w:r>
      <w:r w:rsidRPr="001C6F7A">
        <w:rPr>
          <w:lang w:val="fr-FR"/>
        </w:rPr>
        <w:t xml:space="preserve"> le titre comme suit: Première estimation des coûts des Décisions et Résolution</w:t>
      </w:r>
      <w:r w:rsidR="00165A0A">
        <w:rPr>
          <w:lang w:val="fr-FR"/>
        </w:rPr>
        <w:t>s</w:t>
      </w:r>
      <w:r w:rsidRPr="001C6F7A">
        <w:rPr>
          <w:lang w:val="fr-FR"/>
        </w:rPr>
        <w:t xml:space="preserve"> de l'Assemblée mondiale de normalisation des télécommunications (AMNT-16).</w:t>
      </w:r>
    </w:p>
    <w:p w:rsidR="00673939" w:rsidRPr="001C6F7A" w:rsidRDefault="00673939" w:rsidP="00165A0A">
      <w:pPr>
        <w:rPr>
          <w:lang w:val="fr-FR"/>
        </w:rPr>
      </w:pPr>
      <w:r w:rsidRPr="001C6F7A">
        <w:rPr>
          <w:lang w:val="fr-FR"/>
        </w:rPr>
        <w:lastRenderedPageBreak/>
        <w:t>Au cours de l'examen de</w:t>
      </w:r>
      <w:r w:rsidR="00165A0A">
        <w:rPr>
          <w:lang w:val="fr-FR"/>
        </w:rPr>
        <w:t xml:space="preserve">s </w:t>
      </w:r>
      <w:r w:rsidRPr="001C6F7A">
        <w:rPr>
          <w:lang w:val="fr-FR"/>
        </w:rPr>
        <w:t>incidence</w:t>
      </w:r>
      <w:r w:rsidR="00165A0A">
        <w:rPr>
          <w:lang w:val="fr-FR"/>
        </w:rPr>
        <w:t>s</w:t>
      </w:r>
      <w:r w:rsidRPr="001C6F7A">
        <w:rPr>
          <w:lang w:val="fr-FR"/>
        </w:rPr>
        <w:t xml:space="preserve"> financière</w:t>
      </w:r>
      <w:r w:rsidR="00165A0A">
        <w:rPr>
          <w:lang w:val="fr-FR"/>
        </w:rPr>
        <w:t>s</w:t>
      </w:r>
      <w:r w:rsidRPr="001C6F7A">
        <w:rPr>
          <w:lang w:val="fr-FR"/>
        </w:rPr>
        <w:t xml:space="preserve"> que pourrait avoir la </w:t>
      </w:r>
      <w:r w:rsidR="00165A0A" w:rsidRPr="001C6F7A">
        <w:rPr>
          <w:lang w:val="fr-FR"/>
        </w:rPr>
        <w:t>Résolution </w:t>
      </w:r>
      <w:r w:rsidR="00165A0A">
        <w:rPr>
          <w:lang w:val="fr-FR"/>
        </w:rPr>
        <w:t xml:space="preserve">44 </w:t>
      </w:r>
      <w:r w:rsidRPr="001C6F7A">
        <w:rPr>
          <w:lang w:val="fr-FR"/>
        </w:rPr>
        <w:t>révisée</w:t>
      </w:r>
      <w:r w:rsidR="00165A0A">
        <w:rPr>
          <w:lang w:val="fr-FR"/>
        </w:rPr>
        <w:t xml:space="preserve"> </w:t>
      </w:r>
      <w:r w:rsidRPr="001C6F7A">
        <w:rPr>
          <w:lang w:val="fr-FR"/>
        </w:rPr>
        <w:t xml:space="preserve">sur les dépenses liées à l'interprétation, la Commission 2 a fait part de ses préoccupations </w:t>
      </w:r>
      <w:r w:rsidR="00165A0A">
        <w:rPr>
          <w:lang w:val="fr-FR"/>
        </w:rPr>
        <w:t>quant à la</w:t>
      </w:r>
      <w:r w:rsidRPr="001C6F7A">
        <w:rPr>
          <w:lang w:val="fr-FR"/>
        </w:rPr>
        <w:t xml:space="preserve"> somme importante et a conseillé, si nécessaire, </w:t>
      </w:r>
      <w:r w:rsidR="00165A0A">
        <w:rPr>
          <w:lang w:val="fr-FR"/>
        </w:rPr>
        <w:t xml:space="preserve">de prendre en considération </w:t>
      </w:r>
      <w:r w:rsidRPr="001C6F7A">
        <w:rPr>
          <w:lang w:val="fr-FR"/>
        </w:rPr>
        <w:t>l'option la plus coûteuse (option 2) lors de la préparation du budget pour l'exercice 2018-2019.</w:t>
      </w:r>
    </w:p>
    <w:p w:rsidR="00673939" w:rsidRPr="001C6F7A" w:rsidRDefault="00673939" w:rsidP="00332CD1">
      <w:pPr>
        <w:rPr>
          <w:lang w:val="fr-FR"/>
        </w:rPr>
      </w:pPr>
      <w:r w:rsidRPr="001C6F7A">
        <w:rPr>
          <w:lang w:val="fr-FR"/>
        </w:rPr>
        <w:t>Le Secrétariat a confirmé que les options exami</w:t>
      </w:r>
      <w:r w:rsidR="00332CD1">
        <w:rPr>
          <w:lang w:val="fr-FR"/>
        </w:rPr>
        <w:t>nées dans le cadre de la</w:t>
      </w:r>
      <w:r w:rsidR="00165A0A" w:rsidRPr="001C6F7A">
        <w:rPr>
          <w:lang w:val="fr-FR"/>
        </w:rPr>
        <w:t xml:space="preserve"> Résolution 44</w:t>
      </w:r>
      <w:r w:rsidR="00165A0A">
        <w:rPr>
          <w:lang w:val="fr-FR"/>
        </w:rPr>
        <w:t xml:space="preserve"> </w:t>
      </w:r>
      <w:r w:rsidRPr="001C6F7A">
        <w:rPr>
          <w:lang w:val="fr-FR"/>
        </w:rPr>
        <w:t xml:space="preserve">révisée ne dépasseraient tout de même pas le plafond de 85 millions CHF pour la période 2016-2019, conformément à ce qui a été fixé par la Décision 5 de la Conférence de plénipotentiaires de 2014 (point 1.2 du </w:t>
      </w:r>
      <w:r w:rsidRPr="001C6F7A">
        <w:rPr>
          <w:i/>
          <w:iCs/>
          <w:lang w:val="fr-FR"/>
        </w:rPr>
        <w:t>décide</w:t>
      </w:r>
      <w:r w:rsidRPr="001C6F7A">
        <w:rPr>
          <w:lang w:val="fr-FR"/>
        </w:rPr>
        <w:t>). Une solution intermédiaire, comprise entre les deux options proposées, pourrait aussi être étudiée lors de la préparation du budget pour l'exercice 2018-2019.</w:t>
      </w:r>
    </w:p>
    <w:p w:rsidR="00673939" w:rsidRPr="001C6F7A" w:rsidRDefault="00332CD1" w:rsidP="00332CD1">
      <w:pPr>
        <w:rPr>
          <w:lang w:val="fr-FR"/>
        </w:rPr>
      </w:pPr>
      <w:r>
        <w:rPr>
          <w:lang w:val="fr-FR"/>
        </w:rPr>
        <w:t>A</w:t>
      </w:r>
      <w:r w:rsidR="00673939" w:rsidRPr="001C6F7A">
        <w:rPr>
          <w:lang w:val="fr-FR"/>
        </w:rPr>
        <w:t xml:space="preserve"> l'issue de sa deuxième séance, tenue le </w:t>
      </w:r>
      <w:r w:rsidR="00CB7DD6">
        <w:rPr>
          <w:lang w:val="fr-FR"/>
        </w:rPr>
        <w:t xml:space="preserve">mardi </w:t>
      </w:r>
      <w:r w:rsidR="00673939" w:rsidRPr="001C6F7A">
        <w:rPr>
          <w:lang w:val="fr-FR"/>
        </w:rPr>
        <w:t>1er novembre, la Commission 2 a reçu des demandes supplémentaires l'invitant à examiner les Résolutions nou</w:t>
      </w:r>
      <w:r>
        <w:rPr>
          <w:lang w:val="fr-FR"/>
        </w:rPr>
        <w:t>velles ou révisées susceptibles </w:t>
      </w:r>
      <w:r w:rsidR="00673939" w:rsidRPr="001C6F7A">
        <w:rPr>
          <w:lang w:val="fr-FR"/>
        </w:rPr>
        <w:t xml:space="preserve">d'avoir </w:t>
      </w:r>
      <w:r w:rsidR="00CB7DD6">
        <w:rPr>
          <w:lang w:val="fr-FR"/>
        </w:rPr>
        <w:t>des</w:t>
      </w:r>
      <w:r w:rsidR="00673939" w:rsidRPr="001C6F7A">
        <w:rPr>
          <w:lang w:val="fr-FR"/>
        </w:rPr>
        <w:t xml:space="preserve"> incidence</w:t>
      </w:r>
      <w:r w:rsidR="00CB7DD6">
        <w:rPr>
          <w:lang w:val="fr-FR"/>
        </w:rPr>
        <w:t>s</w:t>
      </w:r>
      <w:r w:rsidR="00673939" w:rsidRPr="001C6F7A">
        <w:rPr>
          <w:lang w:val="fr-FR"/>
        </w:rPr>
        <w:t xml:space="preserve"> financière</w:t>
      </w:r>
      <w:r w:rsidR="00CB7DD6">
        <w:rPr>
          <w:lang w:val="fr-FR"/>
        </w:rPr>
        <w:t>s</w:t>
      </w:r>
      <w:r w:rsidR="00673939" w:rsidRPr="001C6F7A">
        <w:rPr>
          <w:lang w:val="fr-FR"/>
        </w:rPr>
        <w:t xml:space="preserve"> et à donner son avis</w:t>
      </w:r>
      <w:r>
        <w:rPr>
          <w:lang w:val="fr-FR"/>
        </w:rPr>
        <w:t xml:space="preserve"> sur ces Résolutions (Documents </w:t>
      </w:r>
      <w:hyperlink r:id="rId27" w:history="1">
        <w:r w:rsidRPr="00332CD1">
          <w:rPr>
            <w:rStyle w:val="Hyperlink"/>
            <w:rFonts w:asciiTheme="majorBidi" w:hAnsiTheme="majorBidi" w:cstheme="majorBidi"/>
            <w:szCs w:val="24"/>
            <w:lang w:val="fr-CH"/>
          </w:rPr>
          <w:t>93</w:t>
        </w:r>
      </w:hyperlink>
      <w:r w:rsidR="00673939" w:rsidRPr="001C6F7A">
        <w:rPr>
          <w:lang w:val="fr-FR"/>
        </w:rPr>
        <w:t xml:space="preserve">, </w:t>
      </w:r>
      <w:hyperlink r:id="rId28" w:history="1">
        <w:r w:rsidRPr="00332CD1">
          <w:rPr>
            <w:rStyle w:val="Hyperlink"/>
            <w:rFonts w:asciiTheme="majorBidi" w:hAnsiTheme="majorBidi" w:cstheme="majorBidi"/>
            <w:szCs w:val="24"/>
            <w:lang w:val="fr-CH"/>
          </w:rPr>
          <w:t>96</w:t>
        </w:r>
      </w:hyperlink>
      <w:r w:rsidR="00673939" w:rsidRPr="001C6F7A">
        <w:rPr>
          <w:lang w:val="fr-FR"/>
        </w:rPr>
        <w:t xml:space="preserve"> et </w:t>
      </w:r>
      <w:hyperlink r:id="rId29" w:history="1">
        <w:r w:rsidRPr="00A97CBA">
          <w:rPr>
            <w:rStyle w:val="Hyperlink"/>
            <w:rFonts w:asciiTheme="majorBidi" w:hAnsiTheme="majorBidi" w:cstheme="majorBidi"/>
            <w:szCs w:val="24"/>
            <w:lang w:val="fr-CH"/>
          </w:rPr>
          <w:t>100</w:t>
        </w:r>
      </w:hyperlink>
      <w:r w:rsidR="00673939" w:rsidRPr="001C6F7A">
        <w:rPr>
          <w:lang w:val="fr-FR"/>
        </w:rPr>
        <w:t>).</w:t>
      </w:r>
    </w:p>
    <w:p w:rsidR="00673939" w:rsidRPr="001C6F7A" w:rsidRDefault="00673939" w:rsidP="00A74930">
      <w:pPr>
        <w:rPr>
          <w:lang w:val="fr-FR"/>
        </w:rPr>
      </w:pPr>
      <w:r w:rsidRPr="001C6F7A">
        <w:rPr>
          <w:lang w:val="fr-FR"/>
        </w:rPr>
        <w:t>Les incidences financières estimées sont fournies à titre indicatif et seront examinées ultérieurement par le Conseil à sa session de 2017, lors de l'adoption du budget pour 2018-2019. Le Plan financier pour la période 2016-2019, approuvé par la Conférence de plénipotentiaires de 2014</w:t>
      </w:r>
      <w:r w:rsidR="00A74930">
        <w:rPr>
          <w:lang w:val="fr-FR"/>
        </w:rPr>
        <w:t>,</w:t>
      </w:r>
      <w:r w:rsidRPr="001C6F7A">
        <w:rPr>
          <w:lang w:val="fr-FR"/>
        </w:rPr>
        <w:t xml:space="preserve"> fixant déjà le cadre des dépenses pour la période 2016-2019, le Secrétariat a informé la Commission 2 qu'il sera difficile d'équilibre le budget pour l'exercice 2018-2019 au vu de ces Décisions et Résolutions nécessitant des crédits financiers supplémentaires.</w:t>
      </w:r>
    </w:p>
    <w:p w:rsidR="00673939" w:rsidRPr="001C6F7A" w:rsidRDefault="00673939" w:rsidP="00673939">
      <w:pPr>
        <w:rPr>
          <w:lang w:val="fr-FR"/>
        </w:rPr>
      </w:pPr>
      <w:r w:rsidRPr="001C6F7A">
        <w:rPr>
          <w:lang w:val="fr-FR"/>
        </w:rPr>
        <w:t>Pour 2017, le TSB s'efforcera de répondre aux nouveaux besoins dans les limites du budget approuvé pour l'exercice 2016-2017, mais cela risque d’être difficile.</w:t>
      </w:r>
    </w:p>
    <w:p w:rsidR="00673939" w:rsidRPr="001C6F7A" w:rsidRDefault="00673939" w:rsidP="00673939">
      <w:pPr>
        <w:rPr>
          <w:lang w:val="fr-FR"/>
        </w:rPr>
      </w:pPr>
      <w:r w:rsidRPr="001C6F7A">
        <w:rPr>
          <w:lang w:val="fr-FR"/>
        </w:rPr>
        <w:t xml:space="preserve">On trouvera dans l'Annexe B un tableau synoptique des incidences financières possibles des Décisions et Résolutions de l'AMNT-16, </w:t>
      </w:r>
      <w:r w:rsidR="00A74930">
        <w:rPr>
          <w:lang w:val="fr-FR"/>
        </w:rPr>
        <w:t xml:space="preserve">l'évaluation des coûts </w:t>
      </w:r>
      <w:r w:rsidRPr="001C6F7A">
        <w:rPr>
          <w:lang w:val="fr-FR"/>
        </w:rPr>
        <w:t>ainsi que la liste des Décisions et Résolutions de l'AMNT</w:t>
      </w:r>
      <w:r w:rsidRPr="001C6F7A">
        <w:rPr>
          <w:lang w:val="fr-FR"/>
        </w:rPr>
        <w:noBreakHyphen/>
        <w:t>16 susceptibles d’avoir des incidences financières.</w:t>
      </w:r>
    </w:p>
    <w:p w:rsidR="00673939" w:rsidRPr="001C6F7A" w:rsidRDefault="00673939" w:rsidP="00673939">
      <w:pPr>
        <w:rPr>
          <w:lang w:val="fr-FR"/>
        </w:rPr>
      </w:pPr>
      <w:r w:rsidRPr="001C6F7A">
        <w:rPr>
          <w:lang w:val="fr-FR"/>
        </w:rPr>
        <w:t>En résumé, les dépenses supplémentaires engendrées par les diverses Décisions et Résolut</w:t>
      </w:r>
      <w:r w:rsidR="00332CD1">
        <w:rPr>
          <w:lang w:val="fr-FR"/>
        </w:rPr>
        <w:t>ions de </w:t>
      </w:r>
      <w:r w:rsidR="00A74930">
        <w:rPr>
          <w:lang w:val="fr-FR"/>
        </w:rPr>
        <w:t>l'AMNT-16 sont estimées</w:t>
      </w:r>
      <w:r w:rsidRPr="001C6F7A">
        <w:rPr>
          <w:lang w:val="fr-FR"/>
        </w:rPr>
        <w:t xml:space="preserve"> entre 1</w:t>
      </w:r>
      <w:r w:rsidR="00A74930">
        <w:rPr>
          <w:lang w:val="fr-FR"/>
        </w:rPr>
        <w:t> 342</w:t>
      </w:r>
      <w:r w:rsidRPr="001C6F7A">
        <w:rPr>
          <w:lang w:val="fr-FR"/>
        </w:rPr>
        <w:t> 000 CHF et 1 628 00</w:t>
      </w:r>
      <w:r w:rsidR="00332CD1">
        <w:rPr>
          <w:lang w:val="fr-FR"/>
        </w:rPr>
        <w:t>0 CHF pour l'option 1, et entre </w:t>
      </w:r>
      <w:r w:rsidRPr="001C6F7A">
        <w:rPr>
          <w:lang w:val="fr-FR"/>
        </w:rPr>
        <w:t>2 602 000 CHF et 3 788 00 CHF pour l'option 2, pour chaque exercice biennal.</w:t>
      </w:r>
    </w:p>
    <w:p w:rsidR="00673939" w:rsidRPr="001C6F7A" w:rsidRDefault="00673939" w:rsidP="00673939">
      <w:pPr>
        <w:rPr>
          <w:lang w:val="fr-FR"/>
        </w:rPr>
      </w:pPr>
      <w:r w:rsidRPr="001C6F7A">
        <w:rPr>
          <w:lang w:val="fr-FR"/>
        </w:rPr>
        <w:t>Il est demandé à la plénière d'examiner et d'approuver le présent rapport, qui sera ensuite transmis au Secrétaire général, ainsi que les commentaires de la plénière, pour soumission au Conseil à sa session de 2017.</w:t>
      </w:r>
    </w:p>
    <w:p w:rsidR="00673939" w:rsidRPr="001C6F7A" w:rsidRDefault="00332CD1" w:rsidP="00332CD1">
      <w:pPr>
        <w:tabs>
          <w:tab w:val="center" w:pos="7088"/>
        </w:tabs>
        <w:spacing w:before="840"/>
        <w:rPr>
          <w:lang w:val="fr-FR"/>
        </w:rPr>
      </w:pPr>
      <w:r>
        <w:rPr>
          <w:lang w:val="fr-FR"/>
        </w:rPr>
        <w:tab/>
      </w:r>
      <w:r>
        <w:rPr>
          <w:lang w:val="fr-FR"/>
        </w:rPr>
        <w:tab/>
      </w:r>
      <w:r>
        <w:rPr>
          <w:lang w:val="fr-FR"/>
        </w:rPr>
        <w:tab/>
      </w:r>
      <w:r>
        <w:rPr>
          <w:lang w:val="fr-FR"/>
        </w:rPr>
        <w:tab/>
      </w:r>
      <w:r w:rsidR="00673939" w:rsidRPr="001C6F7A">
        <w:rPr>
          <w:lang w:val="fr-FR"/>
        </w:rPr>
        <w:t>Mme Weiling XU (République populaire de Chine)</w:t>
      </w:r>
      <w:r w:rsidR="00673939" w:rsidRPr="001C6F7A">
        <w:rPr>
          <w:lang w:val="fr-FR"/>
        </w:rPr>
        <w:br/>
      </w:r>
      <w:r>
        <w:rPr>
          <w:lang w:val="fr-FR"/>
        </w:rPr>
        <w:tab/>
      </w:r>
      <w:r>
        <w:rPr>
          <w:lang w:val="fr-FR"/>
        </w:rPr>
        <w:tab/>
      </w:r>
      <w:r>
        <w:rPr>
          <w:lang w:val="fr-FR"/>
        </w:rPr>
        <w:tab/>
      </w:r>
      <w:r>
        <w:rPr>
          <w:lang w:val="fr-FR"/>
        </w:rPr>
        <w:tab/>
      </w:r>
      <w:r w:rsidR="00673939" w:rsidRPr="001C6F7A">
        <w:rPr>
          <w:lang w:val="fr-FR"/>
        </w:rPr>
        <w:t>Présidente de la Commission 2</w:t>
      </w:r>
    </w:p>
    <w:p w:rsidR="00332CD1" w:rsidRDefault="00673939" w:rsidP="00332CD1">
      <w:pPr>
        <w:spacing w:before="1560"/>
        <w:rPr>
          <w:lang w:val="fr-FR"/>
        </w:rPr>
      </w:pPr>
      <w:r w:rsidRPr="00332CD1">
        <w:rPr>
          <w:b/>
          <w:bCs/>
          <w:lang w:val="fr-FR"/>
        </w:rPr>
        <w:t>Annexes</w:t>
      </w:r>
      <w:r w:rsidRPr="001C6F7A">
        <w:rPr>
          <w:lang w:val="fr-FR"/>
        </w:rPr>
        <w:t>: 2</w:t>
      </w:r>
    </w:p>
    <w:p w:rsidR="00673939" w:rsidRPr="001C6F7A" w:rsidRDefault="00673939" w:rsidP="00673939">
      <w:pPr>
        <w:rPr>
          <w:lang w:val="fr-FR"/>
        </w:rPr>
      </w:pPr>
      <w:r w:rsidRPr="001C6F7A">
        <w:rPr>
          <w:lang w:val="fr-FR"/>
        </w:rPr>
        <w:br w:type="page"/>
      </w:r>
    </w:p>
    <w:p w:rsidR="00673939" w:rsidRPr="00A97CBA" w:rsidRDefault="00673939" w:rsidP="00A97CBA">
      <w:pPr>
        <w:pStyle w:val="AnnexNo"/>
        <w:rPr>
          <w:rStyle w:val="Strong"/>
          <w:b w:val="0"/>
          <w:bCs w:val="0"/>
        </w:rPr>
      </w:pPr>
      <w:r w:rsidRPr="00A97CBA">
        <w:rPr>
          <w:rStyle w:val="Strong"/>
          <w:b w:val="0"/>
          <w:bCs w:val="0"/>
        </w:rPr>
        <w:lastRenderedPageBreak/>
        <w:t>Annexe A</w:t>
      </w:r>
    </w:p>
    <w:p w:rsidR="00673939" w:rsidRPr="001C6F7A" w:rsidRDefault="00673939" w:rsidP="00673939">
      <w:pPr>
        <w:pStyle w:val="Annextitle"/>
        <w:rPr>
          <w:lang w:val="fr-FR"/>
        </w:rPr>
      </w:pPr>
      <w:r w:rsidRPr="001C6F7A">
        <w:rPr>
          <w:rStyle w:val="Strong"/>
          <w:szCs w:val="28"/>
          <w:lang w:val="fr-FR"/>
        </w:rPr>
        <w:t>Budget de l'Assemblée mondiale de normalisation des télécommunications (AMNT</w:t>
      </w:r>
      <w:r w:rsidRPr="001C6F7A">
        <w:rPr>
          <w:rStyle w:val="Strong"/>
          <w:szCs w:val="28"/>
          <w:lang w:val="fr-FR"/>
        </w:rPr>
        <w:noBreakHyphen/>
        <w:t>16)</w:t>
      </w:r>
    </w:p>
    <w:p w:rsidR="00673939" w:rsidRPr="001C6F7A" w:rsidRDefault="00673939" w:rsidP="00673939">
      <w:pPr>
        <w:jc w:val="center"/>
        <w:rPr>
          <w:lang w:val="fr-FR"/>
        </w:rPr>
      </w:pPr>
      <w:r>
        <w:rPr>
          <w:lang w:val="fr-FR"/>
        </w:rPr>
        <w:t>Situation a</w:t>
      </w:r>
      <w:r w:rsidRPr="001C6F7A">
        <w:rPr>
          <w:lang w:val="fr-FR"/>
        </w:rPr>
        <w:t>u 31 octobre 2016</w:t>
      </w:r>
    </w:p>
    <w:p w:rsidR="00673939" w:rsidRPr="001C6F7A" w:rsidRDefault="00673939" w:rsidP="00673939">
      <w:pPr>
        <w:jc w:val="right"/>
        <w:rPr>
          <w:i/>
          <w:iCs/>
          <w:lang w:val="fr-FR"/>
        </w:rPr>
      </w:pPr>
      <w:r>
        <w:rPr>
          <w:i/>
          <w:iCs/>
          <w:lang w:val="fr-FR"/>
        </w:rPr>
        <w:t>Montants e</w:t>
      </w:r>
      <w:r w:rsidRPr="001C6F7A">
        <w:rPr>
          <w:i/>
          <w:iCs/>
          <w:lang w:val="fr-FR"/>
        </w:rPr>
        <w:t>n milliers de francs suisses</w:t>
      </w:r>
    </w:p>
    <w:tbl>
      <w:tblPr>
        <w:tblStyle w:val="TableGrid"/>
        <w:tblW w:w="0" w:type="auto"/>
        <w:tblLook w:val="04A0" w:firstRow="1" w:lastRow="0" w:firstColumn="1" w:lastColumn="0" w:noHBand="0" w:noVBand="1"/>
      </w:tblPr>
      <w:tblGrid>
        <w:gridCol w:w="3397"/>
        <w:gridCol w:w="1276"/>
        <w:gridCol w:w="1985"/>
        <w:gridCol w:w="1701"/>
        <w:gridCol w:w="1270"/>
      </w:tblGrid>
      <w:tr w:rsidR="00673939" w:rsidRPr="00332CD1" w:rsidTr="00332CD1">
        <w:tc>
          <w:tcPr>
            <w:tcW w:w="3397" w:type="dxa"/>
            <w:vAlign w:val="center"/>
          </w:tcPr>
          <w:p w:rsidR="00673939" w:rsidRPr="00332CD1" w:rsidRDefault="00673939" w:rsidP="00332CD1">
            <w:pPr>
              <w:pStyle w:val="Tablehead"/>
              <w:rPr>
                <w:sz w:val="22"/>
                <w:szCs w:val="22"/>
              </w:rPr>
            </w:pPr>
            <w:r w:rsidRPr="00332CD1">
              <w:rPr>
                <w:sz w:val="22"/>
                <w:szCs w:val="22"/>
              </w:rPr>
              <w:t>Catégorie des dépenses</w:t>
            </w:r>
          </w:p>
        </w:tc>
        <w:tc>
          <w:tcPr>
            <w:tcW w:w="1276" w:type="dxa"/>
            <w:vAlign w:val="center"/>
          </w:tcPr>
          <w:p w:rsidR="00673939" w:rsidRPr="00332CD1" w:rsidRDefault="00673939" w:rsidP="00332CD1">
            <w:pPr>
              <w:pStyle w:val="Tablehead"/>
              <w:rPr>
                <w:sz w:val="22"/>
                <w:szCs w:val="22"/>
              </w:rPr>
            </w:pPr>
            <w:r w:rsidRPr="00332CD1">
              <w:rPr>
                <w:sz w:val="22"/>
                <w:szCs w:val="22"/>
              </w:rPr>
              <w:t>Budget</w:t>
            </w:r>
          </w:p>
        </w:tc>
        <w:tc>
          <w:tcPr>
            <w:tcW w:w="1985" w:type="dxa"/>
            <w:vAlign w:val="center"/>
          </w:tcPr>
          <w:p w:rsidR="00673939" w:rsidRPr="00332CD1" w:rsidRDefault="00673939" w:rsidP="00332CD1">
            <w:pPr>
              <w:pStyle w:val="Tablehead"/>
              <w:rPr>
                <w:sz w:val="22"/>
                <w:szCs w:val="22"/>
              </w:rPr>
            </w:pPr>
            <w:r w:rsidRPr="00332CD1">
              <w:rPr>
                <w:sz w:val="22"/>
                <w:szCs w:val="22"/>
              </w:rPr>
              <w:t>Dépenses engagées au 31 octobre 2016</w:t>
            </w:r>
          </w:p>
        </w:tc>
        <w:tc>
          <w:tcPr>
            <w:tcW w:w="1701" w:type="dxa"/>
            <w:vAlign w:val="center"/>
          </w:tcPr>
          <w:p w:rsidR="00673939" w:rsidRPr="00332CD1" w:rsidRDefault="00673939" w:rsidP="00332CD1">
            <w:pPr>
              <w:pStyle w:val="Tablehead"/>
              <w:rPr>
                <w:sz w:val="22"/>
                <w:szCs w:val="22"/>
              </w:rPr>
            </w:pPr>
            <w:r w:rsidRPr="00332CD1">
              <w:rPr>
                <w:sz w:val="22"/>
                <w:szCs w:val="22"/>
              </w:rPr>
              <w:t>Dépenses additionnelles estimées jusqu'à la fin de l'Assemblée</w:t>
            </w:r>
          </w:p>
        </w:tc>
        <w:tc>
          <w:tcPr>
            <w:tcW w:w="1270" w:type="dxa"/>
            <w:vAlign w:val="center"/>
          </w:tcPr>
          <w:p w:rsidR="00673939" w:rsidRPr="00332CD1" w:rsidRDefault="00673939" w:rsidP="00332CD1">
            <w:pPr>
              <w:pStyle w:val="Tablehead"/>
              <w:rPr>
                <w:sz w:val="22"/>
                <w:szCs w:val="22"/>
              </w:rPr>
            </w:pPr>
            <w:r w:rsidRPr="00332CD1">
              <w:rPr>
                <w:sz w:val="22"/>
                <w:szCs w:val="22"/>
              </w:rPr>
              <w:t>Solde prévu</w:t>
            </w:r>
          </w:p>
        </w:tc>
      </w:tr>
      <w:tr w:rsidR="00673939" w:rsidRPr="00332CD1" w:rsidTr="00332CD1">
        <w:tc>
          <w:tcPr>
            <w:tcW w:w="3397" w:type="dxa"/>
          </w:tcPr>
          <w:p w:rsidR="00673939" w:rsidRPr="00332CD1" w:rsidRDefault="00673939" w:rsidP="00673939">
            <w:pPr>
              <w:pStyle w:val="Tabletext"/>
              <w:rPr>
                <w:rFonts w:asciiTheme="majorBidi" w:hAnsiTheme="majorBidi" w:cstheme="majorBidi"/>
                <w:sz w:val="22"/>
                <w:szCs w:val="22"/>
                <w:lang w:val="fr-FR"/>
              </w:rPr>
            </w:pPr>
            <w:r w:rsidRPr="00332CD1">
              <w:rPr>
                <w:rFonts w:asciiTheme="majorBidi" w:hAnsiTheme="majorBidi" w:cstheme="majorBidi"/>
                <w:sz w:val="22"/>
                <w:szCs w:val="22"/>
                <w:lang w:val="fr-FR"/>
              </w:rPr>
              <w:t>Dépenses de personnel</w:t>
            </w:r>
          </w:p>
        </w:tc>
        <w:tc>
          <w:tcPr>
            <w:tcW w:w="1276" w:type="dxa"/>
          </w:tcPr>
          <w:p w:rsidR="00673939" w:rsidRPr="00332CD1" w:rsidRDefault="00673939" w:rsidP="00673939">
            <w:pPr>
              <w:pStyle w:val="Tabletext"/>
              <w:jc w:val="right"/>
              <w:rPr>
                <w:rFonts w:asciiTheme="majorBidi" w:hAnsiTheme="majorBidi" w:cstheme="majorBidi"/>
                <w:sz w:val="22"/>
                <w:szCs w:val="22"/>
                <w:lang w:val="fr-FR"/>
              </w:rPr>
            </w:pPr>
            <w:r w:rsidRPr="00332CD1">
              <w:rPr>
                <w:rFonts w:asciiTheme="majorBidi" w:hAnsiTheme="majorBidi" w:cstheme="majorBidi"/>
                <w:sz w:val="22"/>
                <w:szCs w:val="22"/>
                <w:lang w:val="fr-FR"/>
              </w:rPr>
              <w:t>466</w:t>
            </w:r>
          </w:p>
        </w:tc>
        <w:tc>
          <w:tcPr>
            <w:tcW w:w="1985" w:type="dxa"/>
          </w:tcPr>
          <w:p w:rsidR="00673939" w:rsidRPr="00332CD1" w:rsidRDefault="00673939" w:rsidP="00673939">
            <w:pPr>
              <w:pStyle w:val="Tabletext"/>
              <w:jc w:val="right"/>
              <w:rPr>
                <w:rFonts w:asciiTheme="majorBidi" w:hAnsiTheme="majorBidi" w:cstheme="majorBidi"/>
                <w:sz w:val="22"/>
                <w:szCs w:val="22"/>
                <w:lang w:val="fr-FR"/>
              </w:rPr>
            </w:pPr>
            <w:r w:rsidRPr="00332CD1">
              <w:rPr>
                <w:rFonts w:asciiTheme="majorBidi" w:hAnsiTheme="majorBidi" w:cstheme="majorBidi"/>
                <w:sz w:val="22"/>
                <w:szCs w:val="22"/>
                <w:lang w:val="fr-FR"/>
              </w:rPr>
              <w:t>320</w:t>
            </w:r>
          </w:p>
        </w:tc>
        <w:tc>
          <w:tcPr>
            <w:tcW w:w="1701" w:type="dxa"/>
          </w:tcPr>
          <w:p w:rsidR="00673939" w:rsidRPr="00332CD1" w:rsidRDefault="00673939" w:rsidP="00673939">
            <w:pPr>
              <w:pStyle w:val="Tabletext"/>
              <w:jc w:val="right"/>
              <w:rPr>
                <w:rFonts w:asciiTheme="majorBidi" w:hAnsiTheme="majorBidi" w:cstheme="majorBidi"/>
                <w:sz w:val="22"/>
                <w:szCs w:val="22"/>
                <w:lang w:val="fr-FR"/>
              </w:rPr>
            </w:pPr>
            <w:r w:rsidRPr="00332CD1">
              <w:rPr>
                <w:rFonts w:asciiTheme="majorBidi" w:hAnsiTheme="majorBidi" w:cstheme="majorBidi"/>
                <w:sz w:val="22"/>
                <w:szCs w:val="22"/>
                <w:lang w:val="fr-FR"/>
              </w:rPr>
              <w:t>170</w:t>
            </w:r>
          </w:p>
        </w:tc>
        <w:tc>
          <w:tcPr>
            <w:tcW w:w="1270" w:type="dxa"/>
          </w:tcPr>
          <w:p w:rsidR="00673939" w:rsidRPr="00332CD1" w:rsidRDefault="00332CD1" w:rsidP="00673939">
            <w:pPr>
              <w:pStyle w:val="Tabletext"/>
              <w:jc w:val="right"/>
              <w:rPr>
                <w:rFonts w:asciiTheme="majorBidi" w:hAnsiTheme="majorBidi" w:cstheme="majorBidi"/>
                <w:sz w:val="22"/>
                <w:szCs w:val="22"/>
                <w:lang w:val="fr-FR"/>
              </w:rPr>
            </w:pPr>
            <w:r>
              <w:rPr>
                <w:rFonts w:asciiTheme="majorBidi" w:hAnsiTheme="majorBidi" w:cstheme="majorBidi"/>
                <w:sz w:val="22"/>
                <w:szCs w:val="22"/>
                <w:lang w:val="fr-FR"/>
              </w:rPr>
              <w:t>–</w:t>
            </w:r>
            <w:r w:rsidR="00673939" w:rsidRPr="00332CD1">
              <w:rPr>
                <w:rFonts w:asciiTheme="majorBidi" w:hAnsiTheme="majorBidi" w:cstheme="majorBidi"/>
                <w:sz w:val="22"/>
                <w:szCs w:val="22"/>
                <w:lang w:val="fr-FR"/>
              </w:rPr>
              <w:t>24</w:t>
            </w:r>
          </w:p>
        </w:tc>
      </w:tr>
      <w:tr w:rsidR="00673939" w:rsidRPr="00332CD1" w:rsidTr="00332CD1">
        <w:tc>
          <w:tcPr>
            <w:tcW w:w="3397" w:type="dxa"/>
          </w:tcPr>
          <w:p w:rsidR="00673939" w:rsidRPr="00332CD1" w:rsidRDefault="00673939" w:rsidP="00673939">
            <w:pPr>
              <w:pStyle w:val="Tabletext"/>
              <w:rPr>
                <w:rFonts w:asciiTheme="majorBidi" w:hAnsiTheme="majorBidi" w:cstheme="majorBidi"/>
                <w:sz w:val="22"/>
                <w:szCs w:val="22"/>
                <w:lang w:val="fr-FR"/>
              </w:rPr>
            </w:pPr>
            <w:r w:rsidRPr="00332CD1">
              <w:rPr>
                <w:rFonts w:asciiTheme="majorBidi" w:hAnsiTheme="majorBidi" w:cstheme="majorBidi"/>
                <w:sz w:val="22"/>
                <w:szCs w:val="22"/>
                <w:lang w:val="fr-FR"/>
              </w:rPr>
              <w:t>Autres dépenses de personnel</w:t>
            </w:r>
          </w:p>
        </w:tc>
        <w:tc>
          <w:tcPr>
            <w:tcW w:w="1276" w:type="dxa"/>
          </w:tcPr>
          <w:p w:rsidR="00673939" w:rsidRPr="00332CD1" w:rsidRDefault="00673939" w:rsidP="00673939">
            <w:pPr>
              <w:pStyle w:val="Tabletext"/>
              <w:jc w:val="right"/>
              <w:rPr>
                <w:rFonts w:asciiTheme="majorBidi" w:hAnsiTheme="majorBidi" w:cstheme="majorBidi"/>
                <w:sz w:val="22"/>
                <w:szCs w:val="22"/>
                <w:lang w:val="fr-FR"/>
              </w:rPr>
            </w:pPr>
            <w:r w:rsidRPr="00332CD1">
              <w:rPr>
                <w:rFonts w:asciiTheme="majorBidi" w:hAnsiTheme="majorBidi" w:cstheme="majorBidi"/>
                <w:sz w:val="22"/>
                <w:szCs w:val="22"/>
                <w:lang w:val="fr-FR"/>
              </w:rPr>
              <w:t>31</w:t>
            </w:r>
          </w:p>
        </w:tc>
        <w:tc>
          <w:tcPr>
            <w:tcW w:w="1985" w:type="dxa"/>
          </w:tcPr>
          <w:p w:rsidR="00673939" w:rsidRPr="00332CD1" w:rsidRDefault="00673939" w:rsidP="00673939">
            <w:pPr>
              <w:pStyle w:val="Tabletext"/>
              <w:jc w:val="right"/>
              <w:rPr>
                <w:rFonts w:asciiTheme="majorBidi" w:hAnsiTheme="majorBidi" w:cstheme="majorBidi"/>
                <w:sz w:val="22"/>
                <w:szCs w:val="22"/>
                <w:lang w:val="fr-FR"/>
              </w:rPr>
            </w:pPr>
            <w:r w:rsidRPr="00332CD1">
              <w:rPr>
                <w:rFonts w:asciiTheme="majorBidi" w:hAnsiTheme="majorBidi" w:cstheme="majorBidi"/>
                <w:sz w:val="22"/>
                <w:szCs w:val="22"/>
                <w:lang w:val="fr-FR"/>
              </w:rPr>
              <w:t>2</w:t>
            </w:r>
          </w:p>
        </w:tc>
        <w:tc>
          <w:tcPr>
            <w:tcW w:w="1701" w:type="dxa"/>
          </w:tcPr>
          <w:p w:rsidR="00673939" w:rsidRPr="00332CD1" w:rsidRDefault="00673939" w:rsidP="00673939">
            <w:pPr>
              <w:pStyle w:val="Tabletext"/>
              <w:jc w:val="right"/>
              <w:rPr>
                <w:rFonts w:asciiTheme="majorBidi" w:hAnsiTheme="majorBidi" w:cstheme="majorBidi"/>
                <w:sz w:val="22"/>
                <w:szCs w:val="22"/>
                <w:lang w:val="fr-FR"/>
              </w:rPr>
            </w:pPr>
            <w:r w:rsidRPr="00332CD1">
              <w:rPr>
                <w:rFonts w:asciiTheme="majorBidi" w:hAnsiTheme="majorBidi" w:cstheme="majorBidi"/>
                <w:sz w:val="22"/>
                <w:szCs w:val="22"/>
                <w:lang w:val="fr-FR"/>
              </w:rPr>
              <w:t>1</w:t>
            </w:r>
          </w:p>
        </w:tc>
        <w:tc>
          <w:tcPr>
            <w:tcW w:w="1270" w:type="dxa"/>
          </w:tcPr>
          <w:p w:rsidR="00673939" w:rsidRPr="00332CD1" w:rsidRDefault="00673939" w:rsidP="00673939">
            <w:pPr>
              <w:pStyle w:val="Tabletext"/>
              <w:jc w:val="right"/>
              <w:rPr>
                <w:rFonts w:asciiTheme="majorBidi" w:hAnsiTheme="majorBidi" w:cstheme="majorBidi"/>
                <w:sz w:val="22"/>
                <w:szCs w:val="22"/>
                <w:lang w:val="fr-FR"/>
              </w:rPr>
            </w:pPr>
            <w:r w:rsidRPr="00332CD1">
              <w:rPr>
                <w:rFonts w:asciiTheme="majorBidi" w:hAnsiTheme="majorBidi" w:cstheme="majorBidi"/>
                <w:sz w:val="22"/>
                <w:szCs w:val="22"/>
                <w:lang w:val="fr-FR"/>
              </w:rPr>
              <w:t>28</w:t>
            </w:r>
          </w:p>
        </w:tc>
      </w:tr>
      <w:tr w:rsidR="00673939" w:rsidRPr="00332CD1" w:rsidTr="00332CD1">
        <w:tc>
          <w:tcPr>
            <w:tcW w:w="3397" w:type="dxa"/>
          </w:tcPr>
          <w:p w:rsidR="00673939" w:rsidRPr="00332CD1" w:rsidRDefault="00673939" w:rsidP="00673939">
            <w:pPr>
              <w:pStyle w:val="Tabletext"/>
              <w:rPr>
                <w:rFonts w:asciiTheme="majorBidi" w:hAnsiTheme="majorBidi" w:cstheme="majorBidi"/>
                <w:sz w:val="22"/>
                <w:szCs w:val="22"/>
                <w:lang w:val="fr-FR"/>
              </w:rPr>
            </w:pPr>
            <w:r w:rsidRPr="00332CD1">
              <w:rPr>
                <w:rFonts w:asciiTheme="majorBidi" w:hAnsiTheme="majorBidi" w:cstheme="majorBidi"/>
                <w:sz w:val="22"/>
                <w:szCs w:val="22"/>
                <w:lang w:val="fr-FR"/>
              </w:rPr>
              <w:t>Frais de mission</w:t>
            </w:r>
          </w:p>
        </w:tc>
        <w:tc>
          <w:tcPr>
            <w:tcW w:w="1276" w:type="dxa"/>
          </w:tcPr>
          <w:p w:rsidR="00673939" w:rsidRPr="00332CD1" w:rsidRDefault="00673939" w:rsidP="00673939">
            <w:pPr>
              <w:pStyle w:val="Tabletext"/>
              <w:jc w:val="right"/>
              <w:rPr>
                <w:rFonts w:asciiTheme="majorBidi" w:hAnsiTheme="majorBidi" w:cstheme="majorBidi"/>
                <w:sz w:val="22"/>
                <w:szCs w:val="22"/>
                <w:lang w:val="fr-FR"/>
              </w:rPr>
            </w:pPr>
            <w:r w:rsidRPr="00332CD1">
              <w:rPr>
                <w:rFonts w:asciiTheme="majorBidi" w:hAnsiTheme="majorBidi" w:cstheme="majorBidi"/>
                <w:sz w:val="22"/>
                <w:szCs w:val="22"/>
                <w:lang w:val="fr-FR"/>
              </w:rPr>
              <w:t>110</w:t>
            </w:r>
          </w:p>
        </w:tc>
        <w:tc>
          <w:tcPr>
            <w:tcW w:w="1985" w:type="dxa"/>
          </w:tcPr>
          <w:p w:rsidR="00673939" w:rsidRPr="00332CD1" w:rsidRDefault="00673939" w:rsidP="00673939">
            <w:pPr>
              <w:pStyle w:val="Tabletext"/>
              <w:jc w:val="right"/>
              <w:rPr>
                <w:rFonts w:asciiTheme="majorBidi" w:hAnsiTheme="majorBidi" w:cstheme="majorBidi"/>
                <w:sz w:val="22"/>
                <w:szCs w:val="22"/>
                <w:lang w:val="fr-FR"/>
              </w:rPr>
            </w:pPr>
            <w:r w:rsidRPr="00332CD1">
              <w:rPr>
                <w:rFonts w:asciiTheme="majorBidi" w:hAnsiTheme="majorBidi" w:cstheme="majorBidi"/>
                <w:sz w:val="22"/>
                <w:szCs w:val="22"/>
                <w:lang w:val="fr-FR"/>
              </w:rPr>
              <w:t>45</w:t>
            </w:r>
          </w:p>
        </w:tc>
        <w:tc>
          <w:tcPr>
            <w:tcW w:w="1701" w:type="dxa"/>
          </w:tcPr>
          <w:p w:rsidR="00673939" w:rsidRPr="00332CD1" w:rsidRDefault="00673939" w:rsidP="00673939">
            <w:pPr>
              <w:pStyle w:val="Tabletext"/>
              <w:jc w:val="right"/>
              <w:rPr>
                <w:rFonts w:asciiTheme="majorBidi" w:hAnsiTheme="majorBidi" w:cstheme="majorBidi"/>
                <w:sz w:val="22"/>
                <w:szCs w:val="22"/>
                <w:lang w:val="fr-FR"/>
              </w:rPr>
            </w:pPr>
            <w:r w:rsidRPr="00332CD1">
              <w:rPr>
                <w:rFonts w:asciiTheme="majorBidi" w:hAnsiTheme="majorBidi" w:cstheme="majorBidi"/>
                <w:sz w:val="22"/>
                <w:szCs w:val="22"/>
                <w:lang w:val="fr-FR"/>
              </w:rPr>
              <w:t>63</w:t>
            </w:r>
          </w:p>
        </w:tc>
        <w:tc>
          <w:tcPr>
            <w:tcW w:w="1270" w:type="dxa"/>
          </w:tcPr>
          <w:p w:rsidR="00673939" w:rsidRPr="00332CD1" w:rsidRDefault="00673939" w:rsidP="00673939">
            <w:pPr>
              <w:pStyle w:val="Tabletext"/>
              <w:jc w:val="right"/>
              <w:rPr>
                <w:rFonts w:asciiTheme="majorBidi" w:hAnsiTheme="majorBidi" w:cstheme="majorBidi"/>
                <w:sz w:val="22"/>
                <w:szCs w:val="22"/>
                <w:lang w:val="fr-FR"/>
              </w:rPr>
            </w:pPr>
            <w:r w:rsidRPr="00332CD1">
              <w:rPr>
                <w:rFonts w:asciiTheme="majorBidi" w:hAnsiTheme="majorBidi" w:cstheme="majorBidi"/>
                <w:sz w:val="22"/>
                <w:szCs w:val="22"/>
                <w:lang w:val="fr-FR"/>
              </w:rPr>
              <w:t>2</w:t>
            </w:r>
          </w:p>
        </w:tc>
      </w:tr>
      <w:tr w:rsidR="00673939" w:rsidRPr="00332CD1" w:rsidTr="00332CD1">
        <w:tc>
          <w:tcPr>
            <w:tcW w:w="3397" w:type="dxa"/>
          </w:tcPr>
          <w:p w:rsidR="00673939" w:rsidRPr="00332CD1" w:rsidRDefault="00673939" w:rsidP="00673939">
            <w:pPr>
              <w:pStyle w:val="Tabletext"/>
              <w:rPr>
                <w:rFonts w:asciiTheme="majorBidi" w:hAnsiTheme="majorBidi" w:cstheme="majorBidi"/>
                <w:sz w:val="22"/>
                <w:szCs w:val="22"/>
                <w:lang w:val="fr-FR"/>
              </w:rPr>
            </w:pPr>
            <w:r w:rsidRPr="00332CD1">
              <w:rPr>
                <w:rFonts w:asciiTheme="majorBidi" w:hAnsiTheme="majorBidi" w:cstheme="majorBidi"/>
                <w:sz w:val="22"/>
                <w:szCs w:val="22"/>
                <w:lang w:val="fr-FR"/>
              </w:rPr>
              <w:t>Services contractuels</w:t>
            </w:r>
          </w:p>
        </w:tc>
        <w:tc>
          <w:tcPr>
            <w:tcW w:w="1276" w:type="dxa"/>
          </w:tcPr>
          <w:p w:rsidR="00673939" w:rsidRPr="00332CD1" w:rsidRDefault="00673939" w:rsidP="00673939">
            <w:pPr>
              <w:pStyle w:val="Tabletext"/>
              <w:jc w:val="right"/>
              <w:rPr>
                <w:rFonts w:asciiTheme="majorBidi" w:hAnsiTheme="majorBidi" w:cstheme="majorBidi"/>
                <w:sz w:val="22"/>
                <w:szCs w:val="22"/>
                <w:lang w:val="fr-FR"/>
              </w:rPr>
            </w:pPr>
            <w:r w:rsidRPr="00332CD1">
              <w:rPr>
                <w:rFonts w:asciiTheme="majorBidi" w:hAnsiTheme="majorBidi" w:cstheme="majorBidi"/>
                <w:sz w:val="22"/>
                <w:szCs w:val="22"/>
                <w:lang w:val="fr-FR"/>
              </w:rPr>
              <w:t>60</w:t>
            </w:r>
          </w:p>
        </w:tc>
        <w:tc>
          <w:tcPr>
            <w:tcW w:w="1985" w:type="dxa"/>
          </w:tcPr>
          <w:p w:rsidR="00673939" w:rsidRPr="00332CD1" w:rsidRDefault="00673939" w:rsidP="00673939">
            <w:pPr>
              <w:pStyle w:val="Tabletext"/>
              <w:jc w:val="right"/>
              <w:rPr>
                <w:rFonts w:asciiTheme="majorBidi" w:hAnsiTheme="majorBidi" w:cstheme="majorBidi"/>
                <w:sz w:val="22"/>
                <w:szCs w:val="22"/>
                <w:lang w:val="fr-FR"/>
              </w:rPr>
            </w:pPr>
            <w:r w:rsidRPr="00332CD1">
              <w:rPr>
                <w:rFonts w:asciiTheme="majorBidi" w:hAnsiTheme="majorBidi" w:cstheme="majorBidi"/>
                <w:sz w:val="22"/>
                <w:szCs w:val="22"/>
                <w:lang w:val="fr-FR"/>
              </w:rPr>
              <w:t>37</w:t>
            </w:r>
          </w:p>
        </w:tc>
        <w:tc>
          <w:tcPr>
            <w:tcW w:w="1701" w:type="dxa"/>
          </w:tcPr>
          <w:p w:rsidR="00673939" w:rsidRPr="00332CD1" w:rsidRDefault="00673939" w:rsidP="00673939">
            <w:pPr>
              <w:pStyle w:val="Tabletext"/>
              <w:jc w:val="right"/>
              <w:rPr>
                <w:rFonts w:asciiTheme="majorBidi" w:hAnsiTheme="majorBidi" w:cstheme="majorBidi"/>
                <w:sz w:val="22"/>
                <w:szCs w:val="22"/>
                <w:lang w:val="fr-FR"/>
              </w:rPr>
            </w:pPr>
            <w:r w:rsidRPr="00332CD1">
              <w:rPr>
                <w:rFonts w:asciiTheme="majorBidi" w:hAnsiTheme="majorBidi" w:cstheme="majorBidi"/>
                <w:sz w:val="22"/>
                <w:szCs w:val="22"/>
                <w:lang w:val="fr-FR"/>
              </w:rPr>
              <w:t>3</w:t>
            </w:r>
          </w:p>
        </w:tc>
        <w:tc>
          <w:tcPr>
            <w:tcW w:w="1270" w:type="dxa"/>
          </w:tcPr>
          <w:p w:rsidR="00673939" w:rsidRPr="00332CD1" w:rsidRDefault="00673939" w:rsidP="00673939">
            <w:pPr>
              <w:pStyle w:val="Tabletext"/>
              <w:jc w:val="right"/>
              <w:rPr>
                <w:rFonts w:asciiTheme="majorBidi" w:hAnsiTheme="majorBidi" w:cstheme="majorBidi"/>
                <w:sz w:val="22"/>
                <w:szCs w:val="22"/>
                <w:lang w:val="fr-FR"/>
              </w:rPr>
            </w:pPr>
            <w:r w:rsidRPr="00332CD1">
              <w:rPr>
                <w:rFonts w:asciiTheme="majorBidi" w:hAnsiTheme="majorBidi" w:cstheme="majorBidi"/>
                <w:sz w:val="22"/>
                <w:szCs w:val="22"/>
                <w:lang w:val="fr-FR"/>
              </w:rPr>
              <w:t>20</w:t>
            </w:r>
          </w:p>
        </w:tc>
      </w:tr>
      <w:tr w:rsidR="00673939" w:rsidRPr="00332CD1" w:rsidTr="00332CD1">
        <w:tc>
          <w:tcPr>
            <w:tcW w:w="3397" w:type="dxa"/>
          </w:tcPr>
          <w:p w:rsidR="00673939" w:rsidRPr="00332CD1" w:rsidRDefault="00673939" w:rsidP="00673939">
            <w:pPr>
              <w:pStyle w:val="Tabletext"/>
              <w:rPr>
                <w:rFonts w:asciiTheme="majorBidi" w:hAnsiTheme="majorBidi" w:cstheme="majorBidi"/>
                <w:sz w:val="22"/>
                <w:szCs w:val="22"/>
                <w:lang w:val="fr-FR"/>
              </w:rPr>
            </w:pPr>
            <w:r w:rsidRPr="00332CD1">
              <w:rPr>
                <w:rFonts w:asciiTheme="majorBidi" w:hAnsiTheme="majorBidi" w:cstheme="majorBidi"/>
                <w:sz w:val="22"/>
                <w:szCs w:val="22"/>
                <w:lang w:val="fr-FR"/>
              </w:rPr>
              <w:t>Location et entretien</w:t>
            </w:r>
          </w:p>
        </w:tc>
        <w:tc>
          <w:tcPr>
            <w:tcW w:w="1276" w:type="dxa"/>
          </w:tcPr>
          <w:p w:rsidR="00673939" w:rsidRPr="00332CD1" w:rsidRDefault="00673939" w:rsidP="00673939">
            <w:pPr>
              <w:pStyle w:val="Tabletext"/>
              <w:jc w:val="right"/>
              <w:rPr>
                <w:rFonts w:asciiTheme="majorBidi" w:hAnsiTheme="majorBidi" w:cstheme="majorBidi"/>
                <w:sz w:val="22"/>
                <w:szCs w:val="22"/>
                <w:lang w:val="fr-FR"/>
              </w:rPr>
            </w:pPr>
            <w:r w:rsidRPr="00332CD1">
              <w:rPr>
                <w:rFonts w:asciiTheme="majorBidi" w:hAnsiTheme="majorBidi" w:cstheme="majorBidi"/>
                <w:sz w:val="22"/>
                <w:szCs w:val="22"/>
                <w:lang w:val="fr-FR"/>
              </w:rPr>
              <w:t>10</w:t>
            </w:r>
          </w:p>
        </w:tc>
        <w:tc>
          <w:tcPr>
            <w:tcW w:w="1985" w:type="dxa"/>
          </w:tcPr>
          <w:p w:rsidR="00673939" w:rsidRPr="00332CD1" w:rsidRDefault="00673939" w:rsidP="00673939">
            <w:pPr>
              <w:pStyle w:val="Tabletext"/>
              <w:jc w:val="right"/>
              <w:rPr>
                <w:rFonts w:asciiTheme="majorBidi" w:hAnsiTheme="majorBidi" w:cstheme="majorBidi"/>
                <w:sz w:val="22"/>
                <w:szCs w:val="22"/>
                <w:lang w:val="fr-FR"/>
              </w:rPr>
            </w:pPr>
            <w:r w:rsidRPr="00332CD1">
              <w:rPr>
                <w:rFonts w:asciiTheme="majorBidi" w:hAnsiTheme="majorBidi" w:cstheme="majorBidi"/>
                <w:sz w:val="22"/>
                <w:szCs w:val="22"/>
                <w:lang w:val="fr-FR"/>
              </w:rPr>
              <w:t>0</w:t>
            </w:r>
          </w:p>
        </w:tc>
        <w:tc>
          <w:tcPr>
            <w:tcW w:w="1701" w:type="dxa"/>
          </w:tcPr>
          <w:p w:rsidR="00673939" w:rsidRPr="00332CD1" w:rsidRDefault="00673939" w:rsidP="00673939">
            <w:pPr>
              <w:pStyle w:val="Tabletext"/>
              <w:jc w:val="right"/>
              <w:rPr>
                <w:rFonts w:asciiTheme="majorBidi" w:hAnsiTheme="majorBidi" w:cstheme="majorBidi"/>
                <w:sz w:val="22"/>
                <w:szCs w:val="22"/>
                <w:lang w:val="fr-FR"/>
              </w:rPr>
            </w:pPr>
            <w:r w:rsidRPr="00332CD1">
              <w:rPr>
                <w:rFonts w:asciiTheme="majorBidi" w:hAnsiTheme="majorBidi" w:cstheme="majorBidi"/>
                <w:sz w:val="22"/>
                <w:szCs w:val="22"/>
                <w:lang w:val="fr-FR"/>
              </w:rPr>
              <w:t>0</w:t>
            </w:r>
          </w:p>
        </w:tc>
        <w:tc>
          <w:tcPr>
            <w:tcW w:w="1270" w:type="dxa"/>
          </w:tcPr>
          <w:p w:rsidR="00673939" w:rsidRPr="00332CD1" w:rsidRDefault="00673939" w:rsidP="00673939">
            <w:pPr>
              <w:pStyle w:val="Tabletext"/>
              <w:jc w:val="right"/>
              <w:rPr>
                <w:rFonts w:asciiTheme="majorBidi" w:hAnsiTheme="majorBidi" w:cstheme="majorBidi"/>
                <w:sz w:val="22"/>
                <w:szCs w:val="22"/>
                <w:lang w:val="fr-FR"/>
              </w:rPr>
            </w:pPr>
            <w:r w:rsidRPr="00332CD1">
              <w:rPr>
                <w:rFonts w:asciiTheme="majorBidi" w:hAnsiTheme="majorBidi" w:cstheme="majorBidi"/>
                <w:sz w:val="22"/>
                <w:szCs w:val="22"/>
                <w:lang w:val="fr-FR"/>
              </w:rPr>
              <w:t>10</w:t>
            </w:r>
          </w:p>
        </w:tc>
      </w:tr>
      <w:tr w:rsidR="00673939" w:rsidRPr="00332CD1" w:rsidTr="00332CD1">
        <w:tc>
          <w:tcPr>
            <w:tcW w:w="3397" w:type="dxa"/>
          </w:tcPr>
          <w:p w:rsidR="00673939" w:rsidRPr="00332CD1" w:rsidRDefault="00673939" w:rsidP="00673939">
            <w:pPr>
              <w:pStyle w:val="Tabletext"/>
              <w:rPr>
                <w:rFonts w:asciiTheme="majorBidi" w:hAnsiTheme="majorBidi" w:cstheme="majorBidi"/>
                <w:sz w:val="22"/>
                <w:szCs w:val="22"/>
                <w:lang w:val="fr-FR"/>
              </w:rPr>
            </w:pPr>
            <w:r w:rsidRPr="00332CD1">
              <w:rPr>
                <w:rFonts w:asciiTheme="majorBidi" w:hAnsiTheme="majorBidi" w:cstheme="majorBidi"/>
                <w:sz w:val="22"/>
                <w:szCs w:val="22"/>
                <w:lang w:val="fr-FR"/>
              </w:rPr>
              <w:t>Matériels et fournitures</w:t>
            </w:r>
          </w:p>
        </w:tc>
        <w:tc>
          <w:tcPr>
            <w:tcW w:w="1276" w:type="dxa"/>
          </w:tcPr>
          <w:p w:rsidR="00673939" w:rsidRPr="00332CD1" w:rsidRDefault="00673939" w:rsidP="00673939">
            <w:pPr>
              <w:pStyle w:val="Tabletext"/>
              <w:jc w:val="right"/>
              <w:rPr>
                <w:rFonts w:asciiTheme="majorBidi" w:hAnsiTheme="majorBidi" w:cstheme="majorBidi"/>
                <w:sz w:val="22"/>
                <w:szCs w:val="22"/>
                <w:lang w:val="fr-FR"/>
              </w:rPr>
            </w:pPr>
            <w:r w:rsidRPr="00332CD1">
              <w:rPr>
                <w:rFonts w:asciiTheme="majorBidi" w:hAnsiTheme="majorBidi" w:cstheme="majorBidi"/>
                <w:sz w:val="22"/>
                <w:szCs w:val="22"/>
                <w:lang w:val="fr-FR"/>
              </w:rPr>
              <w:t>10</w:t>
            </w:r>
          </w:p>
        </w:tc>
        <w:tc>
          <w:tcPr>
            <w:tcW w:w="1985" w:type="dxa"/>
          </w:tcPr>
          <w:p w:rsidR="00673939" w:rsidRPr="00332CD1" w:rsidRDefault="00673939" w:rsidP="00673939">
            <w:pPr>
              <w:pStyle w:val="Tabletext"/>
              <w:jc w:val="right"/>
              <w:rPr>
                <w:rFonts w:asciiTheme="majorBidi" w:hAnsiTheme="majorBidi" w:cstheme="majorBidi"/>
                <w:sz w:val="22"/>
                <w:szCs w:val="22"/>
                <w:lang w:val="fr-FR"/>
              </w:rPr>
            </w:pPr>
            <w:r w:rsidRPr="00332CD1">
              <w:rPr>
                <w:rFonts w:asciiTheme="majorBidi" w:hAnsiTheme="majorBidi" w:cstheme="majorBidi"/>
                <w:sz w:val="22"/>
                <w:szCs w:val="22"/>
                <w:lang w:val="fr-FR"/>
              </w:rPr>
              <w:t>13</w:t>
            </w:r>
          </w:p>
        </w:tc>
        <w:tc>
          <w:tcPr>
            <w:tcW w:w="1701" w:type="dxa"/>
          </w:tcPr>
          <w:p w:rsidR="00673939" w:rsidRPr="00332CD1" w:rsidRDefault="00673939" w:rsidP="00673939">
            <w:pPr>
              <w:pStyle w:val="Tabletext"/>
              <w:jc w:val="right"/>
              <w:rPr>
                <w:rFonts w:asciiTheme="majorBidi" w:hAnsiTheme="majorBidi" w:cstheme="majorBidi"/>
                <w:sz w:val="22"/>
                <w:szCs w:val="22"/>
                <w:lang w:val="fr-FR"/>
              </w:rPr>
            </w:pPr>
            <w:r w:rsidRPr="00332CD1">
              <w:rPr>
                <w:rFonts w:asciiTheme="majorBidi" w:hAnsiTheme="majorBidi" w:cstheme="majorBidi"/>
                <w:sz w:val="22"/>
                <w:szCs w:val="22"/>
                <w:lang w:val="fr-FR"/>
              </w:rPr>
              <w:t>0</w:t>
            </w:r>
          </w:p>
        </w:tc>
        <w:tc>
          <w:tcPr>
            <w:tcW w:w="1270" w:type="dxa"/>
          </w:tcPr>
          <w:p w:rsidR="00673939" w:rsidRPr="00332CD1" w:rsidRDefault="00332CD1" w:rsidP="00673939">
            <w:pPr>
              <w:pStyle w:val="Tabletext"/>
              <w:jc w:val="right"/>
              <w:rPr>
                <w:rFonts w:asciiTheme="majorBidi" w:hAnsiTheme="majorBidi" w:cstheme="majorBidi"/>
                <w:sz w:val="22"/>
                <w:szCs w:val="22"/>
                <w:lang w:val="fr-FR"/>
              </w:rPr>
            </w:pPr>
            <w:r>
              <w:rPr>
                <w:rFonts w:asciiTheme="majorBidi" w:hAnsiTheme="majorBidi" w:cstheme="majorBidi"/>
                <w:sz w:val="22"/>
                <w:szCs w:val="22"/>
                <w:lang w:val="fr-FR"/>
              </w:rPr>
              <w:t>–</w:t>
            </w:r>
            <w:r w:rsidR="00673939" w:rsidRPr="00332CD1">
              <w:rPr>
                <w:rFonts w:asciiTheme="majorBidi" w:hAnsiTheme="majorBidi" w:cstheme="majorBidi"/>
                <w:sz w:val="22"/>
                <w:szCs w:val="22"/>
                <w:lang w:val="fr-FR"/>
              </w:rPr>
              <w:t>3</w:t>
            </w:r>
          </w:p>
        </w:tc>
      </w:tr>
      <w:tr w:rsidR="00673939" w:rsidRPr="00332CD1" w:rsidTr="00332CD1">
        <w:tc>
          <w:tcPr>
            <w:tcW w:w="3397" w:type="dxa"/>
          </w:tcPr>
          <w:p w:rsidR="00673939" w:rsidRPr="00332CD1" w:rsidRDefault="00673939" w:rsidP="00673939">
            <w:pPr>
              <w:pStyle w:val="Tabletext"/>
              <w:rPr>
                <w:rFonts w:asciiTheme="majorBidi" w:hAnsiTheme="majorBidi" w:cstheme="majorBidi"/>
                <w:sz w:val="22"/>
                <w:szCs w:val="22"/>
                <w:lang w:val="fr-FR"/>
              </w:rPr>
            </w:pPr>
            <w:r w:rsidRPr="00332CD1">
              <w:rPr>
                <w:rFonts w:asciiTheme="majorBidi" w:hAnsiTheme="majorBidi" w:cstheme="majorBidi"/>
                <w:sz w:val="22"/>
                <w:szCs w:val="22"/>
                <w:lang w:val="fr-FR"/>
              </w:rPr>
              <w:t>Dépenses diverses</w:t>
            </w:r>
          </w:p>
        </w:tc>
        <w:tc>
          <w:tcPr>
            <w:tcW w:w="1276" w:type="dxa"/>
          </w:tcPr>
          <w:p w:rsidR="00673939" w:rsidRPr="00332CD1" w:rsidRDefault="00673939" w:rsidP="00673939">
            <w:pPr>
              <w:pStyle w:val="Tabletext"/>
              <w:jc w:val="right"/>
              <w:rPr>
                <w:rFonts w:asciiTheme="majorBidi" w:hAnsiTheme="majorBidi" w:cstheme="majorBidi"/>
                <w:sz w:val="22"/>
                <w:szCs w:val="22"/>
                <w:lang w:val="fr-FR"/>
              </w:rPr>
            </w:pPr>
            <w:r w:rsidRPr="00332CD1">
              <w:rPr>
                <w:rFonts w:asciiTheme="majorBidi" w:hAnsiTheme="majorBidi" w:cstheme="majorBidi"/>
                <w:sz w:val="22"/>
                <w:szCs w:val="22"/>
                <w:lang w:val="fr-FR"/>
              </w:rPr>
              <w:t>10</w:t>
            </w:r>
          </w:p>
        </w:tc>
        <w:tc>
          <w:tcPr>
            <w:tcW w:w="1985" w:type="dxa"/>
          </w:tcPr>
          <w:p w:rsidR="00673939" w:rsidRPr="00332CD1" w:rsidRDefault="00673939" w:rsidP="00673939">
            <w:pPr>
              <w:pStyle w:val="Tabletext"/>
              <w:jc w:val="right"/>
              <w:rPr>
                <w:rFonts w:asciiTheme="majorBidi" w:hAnsiTheme="majorBidi" w:cstheme="majorBidi"/>
                <w:sz w:val="22"/>
                <w:szCs w:val="22"/>
                <w:lang w:val="fr-FR"/>
              </w:rPr>
            </w:pPr>
            <w:r w:rsidRPr="00332CD1">
              <w:rPr>
                <w:rFonts w:asciiTheme="majorBidi" w:hAnsiTheme="majorBidi" w:cstheme="majorBidi"/>
                <w:sz w:val="22"/>
                <w:szCs w:val="22"/>
                <w:lang w:val="fr-FR"/>
              </w:rPr>
              <w:t>0</w:t>
            </w:r>
          </w:p>
        </w:tc>
        <w:tc>
          <w:tcPr>
            <w:tcW w:w="1701" w:type="dxa"/>
          </w:tcPr>
          <w:p w:rsidR="00673939" w:rsidRPr="00332CD1" w:rsidRDefault="00673939" w:rsidP="00673939">
            <w:pPr>
              <w:pStyle w:val="Tabletext"/>
              <w:jc w:val="right"/>
              <w:rPr>
                <w:rFonts w:asciiTheme="majorBidi" w:hAnsiTheme="majorBidi" w:cstheme="majorBidi"/>
                <w:sz w:val="22"/>
                <w:szCs w:val="22"/>
                <w:lang w:val="fr-FR"/>
              </w:rPr>
            </w:pPr>
            <w:r w:rsidRPr="00332CD1">
              <w:rPr>
                <w:rFonts w:asciiTheme="majorBidi" w:hAnsiTheme="majorBidi" w:cstheme="majorBidi"/>
                <w:sz w:val="22"/>
                <w:szCs w:val="22"/>
                <w:lang w:val="fr-FR"/>
              </w:rPr>
              <w:t>0</w:t>
            </w:r>
          </w:p>
        </w:tc>
        <w:tc>
          <w:tcPr>
            <w:tcW w:w="1270" w:type="dxa"/>
          </w:tcPr>
          <w:p w:rsidR="00673939" w:rsidRPr="00332CD1" w:rsidRDefault="00673939" w:rsidP="00673939">
            <w:pPr>
              <w:pStyle w:val="Tabletext"/>
              <w:jc w:val="right"/>
              <w:rPr>
                <w:rFonts w:asciiTheme="majorBidi" w:hAnsiTheme="majorBidi" w:cstheme="majorBidi"/>
                <w:sz w:val="22"/>
                <w:szCs w:val="22"/>
                <w:lang w:val="fr-FR"/>
              </w:rPr>
            </w:pPr>
            <w:r w:rsidRPr="00332CD1">
              <w:rPr>
                <w:rFonts w:asciiTheme="majorBidi" w:hAnsiTheme="majorBidi" w:cstheme="majorBidi"/>
                <w:sz w:val="22"/>
                <w:szCs w:val="22"/>
                <w:lang w:val="fr-FR"/>
              </w:rPr>
              <w:t>10</w:t>
            </w:r>
          </w:p>
        </w:tc>
      </w:tr>
      <w:tr w:rsidR="00673939" w:rsidRPr="00332CD1" w:rsidTr="00332CD1">
        <w:tc>
          <w:tcPr>
            <w:tcW w:w="3397" w:type="dxa"/>
          </w:tcPr>
          <w:p w:rsidR="00673939" w:rsidRPr="00332CD1" w:rsidRDefault="00673939" w:rsidP="00673939">
            <w:pPr>
              <w:pStyle w:val="Tabletext"/>
              <w:rPr>
                <w:rFonts w:asciiTheme="majorBidi" w:hAnsiTheme="majorBidi" w:cstheme="majorBidi"/>
                <w:b/>
                <w:bCs/>
                <w:sz w:val="22"/>
                <w:szCs w:val="22"/>
                <w:lang w:val="fr-FR"/>
              </w:rPr>
            </w:pPr>
            <w:r w:rsidRPr="00332CD1">
              <w:rPr>
                <w:rFonts w:asciiTheme="majorBidi" w:hAnsiTheme="majorBidi" w:cstheme="majorBidi"/>
                <w:b/>
                <w:bCs/>
                <w:sz w:val="22"/>
                <w:szCs w:val="22"/>
                <w:lang w:val="fr-FR"/>
              </w:rPr>
              <w:t>Sous-total – Dépenses</w:t>
            </w:r>
          </w:p>
        </w:tc>
        <w:tc>
          <w:tcPr>
            <w:tcW w:w="1276" w:type="dxa"/>
          </w:tcPr>
          <w:p w:rsidR="00673939" w:rsidRPr="00332CD1" w:rsidRDefault="00673939" w:rsidP="00673939">
            <w:pPr>
              <w:pStyle w:val="Tabletext"/>
              <w:jc w:val="right"/>
              <w:rPr>
                <w:rFonts w:asciiTheme="majorBidi" w:hAnsiTheme="majorBidi" w:cstheme="majorBidi"/>
                <w:b/>
                <w:bCs/>
                <w:sz w:val="22"/>
                <w:szCs w:val="22"/>
                <w:lang w:val="fr-FR"/>
              </w:rPr>
            </w:pPr>
            <w:r w:rsidRPr="00332CD1">
              <w:rPr>
                <w:rFonts w:asciiTheme="majorBidi" w:hAnsiTheme="majorBidi" w:cstheme="majorBidi"/>
                <w:b/>
                <w:bCs/>
                <w:sz w:val="22"/>
                <w:szCs w:val="22"/>
                <w:lang w:val="fr-FR"/>
              </w:rPr>
              <w:t>697</w:t>
            </w:r>
          </w:p>
        </w:tc>
        <w:tc>
          <w:tcPr>
            <w:tcW w:w="1985" w:type="dxa"/>
          </w:tcPr>
          <w:p w:rsidR="00673939" w:rsidRPr="00332CD1" w:rsidRDefault="00673939" w:rsidP="00673939">
            <w:pPr>
              <w:pStyle w:val="Tabletext"/>
              <w:jc w:val="right"/>
              <w:rPr>
                <w:rFonts w:asciiTheme="majorBidi" w:hAnsiTheme="majorBidi" w:cstheme="majorBidi"/>
                <w:b/>
                <w:bCs/>
                <w:sz w:val="22"/>
                <w:szCs w:val="22"/>
                <w:lang w:val="fr-FR"/>
              </w:rPr>
            </w:pPr>
            <w:r w:rsidRPr="00332CD1">
              <w:rPr>
                <w:rFonts w:asciiTheme="majorBidi" w:hAnsiTheme="majorBidi" w:cstheme="majorBidi"/>
                <w:b/>
                <w:bCs/>
                <w:sz w:val="22"/>
                <w:szCs w:val="22"/>
                <w:lang w:val="fr-FR"/>
              </w:rPr>
              <w:t>417</w:t>
            </w:r>
          </w:p>
        </w:tc>
        <w:tc>
          <w:tcPr>
            <w:tcW w:w="1701" w:type="dxa"/>
          </w:tcPr>
          <w:p w:rsidR="00673939" w:rsidRPr="00332CD1" w:rsidRDefault="00673939" w:rsidP="00673939">
            <w:pPr>
              <w:pStyle w:val="Tabletext"/>
              <w:jc w:val="right"/>
              <w:rPr>
                <w:rFonts w:asciiTheme="majorBidi" w:hAnsiTheme="majorBidi" w:cstheme="majorBidi"/>
                <w:b/>
                <w:bCs/>
                <w:sz w:val="22"/>
                <w:szCs w:val="22"/>
                <w:lang w:val="fr-FR"/>
              </w:rPr>
            </w:pPr>
            <w:r w:rsidRPr="00332CD1">
              <w:rPr>
                <w:rFonts w:asciiTheme="majorBidi" w:hAnsiTheme="majorBidi" w:cstheme="majorBidi"/>
                <w:b/>
                <w:bCs/>
                <w:sz w:val="22"/>
                <w:szCs w:val="22"/>
                <w:lang w:val="fr-FR"/>
              </w:rPr>
              <w:t>236</w:t>
            </w:r>
          </w:p>
        </w:tc>
        <w:tc>
          <w:tcPr>
            <w:tcW w:w="1270" w:type="dxa"/>
          </w:tcPr>
          <w:p w:rsidR="00673939" w:rsidRPr="00332CD1" w:rsidRDefault="00673939" w:rsidP="00673939">
            <w:pPr>
              <w:pStyle w:val="Tabletext"/>
              <w:jc w:val="right"/>
              <w:rPr>
                <w:rFonts w:asciiTheme="majorBidi" w:hAnsiTheme="majorBidi" w:cstheme="majorBidi"/>
                <w:b/>
                <w:bCs/>
                <w:sz w:val="22"/>
                <w:szCs w:val="22"/>
                <w:lang w:val="fr-FR"/>
              </w:rPr>
            </w:pPr>
            <w:r w:rsidRPr="00332CD1">
              <w:rPr>
                <w:rFonts w:asciiTheme="majorBidi" w:hAnsiTheme="majorBidi" w:cstheme="majorBidi"/>
                <w:b/>
                <w:bCs/>
                <w:sz w:val="22"/>
                <w:szCs w:val="22"/>
                <w:lang w:val="fr-FR"/>
              </w:rPr>
              <w:t>43</w:t>
            </w:r>
          </w:p>
        </w:tc>
      </w:tr>
      <w:tr w:rsidR="00673939" w:rsidRPr="00332CD1" w:rsidTr="00332CD1">
        <w:tc>
          <w:tcPr>
            <w:tcW w:w="3397" w:type="dxa"/>
          </w:tcPr>
          <w:p w:rsidR="00673939" w:rsidRPr="00332CD1" w:rsidRDefault="00673939" w:rsidP="00673939">
            <w:pPr>
              <w:pStyle w:val="Tabletext"/>
              <w:rPr>
                <w:rFonts w:asciiTheme="majorBidi" w:hAnsiTheme="majorBidi" w:cstheme="majorBidi"/>
                <w:sz w:val="22"/>
                <w:szCs w:val="22"/>
                <w:lang w:val="fr-FR"/>
              </w:rPr>
            </w:pPr>
            <w:r w:rsidRPr="00332CD1">
              <w:rPr>
                <w:rFonts w:asciiTheme="majorBidi" w:hAnsiTheme="majorBidi" w:cstheme="majorBidi"/>
                <w:sz w:val="22"/>
                <w:szCs w:val="22"/>
                <w:lang w:val="fr-FR"/>
              </w:rPr>
              <w:t>Traduction (5 790 pages)</w:t>
            </w:r>
          </w:p>
        </w:tc>
        <w:tc>
          <w:tcPr>
            <w:tcW w:w="1276" w:type="dxa"/>
          </w:tcPr>
          <w:p w:rsidR="00673939" w:rsidRPr="00332CD1" w:rsidRDefault="00673939" w:rsidP="00673939">
            <w:pPr>
              <w:pStyle w:val="Tabletext"/>
              <w:jc w:val="right"/>
              <w:rPr>
                <w:rFonts w:asciiTheme="majorBidi" w:hAnsiTheme="majorBidi" w:cstheme="majorBidi"/>
                <w:sz w:val="22"/>
                <w:szCs w:val="22"/>
                <w:lang w:val="fr-FR"/>
              </w:rPr>
            </w:pPr>
            <w:r w:rsidRPr="00332CD1">
              <w:rPr>
                <w:rFonts w:asciiTheme="majorBidi" w:hAnsiTheme="majorBidi" w:cstheme="majorBidi"/>
                <w:sz w:val="22"/>
                <w:szCs w:val="22"/>
                <w:lang w:val="fr-FR"/>
              </w:rPr>
              <w:t>863</w:t>
            </w:r>
          </w:p>
        </w:tc>
        <w:tc>
          <w:tcPr>
            <w:tcW w:w="1985" w:type="dxa"/>
          </w:tcPr>
          <w:p w:rsidR="00673939" w:rsidRPr="00332CD1" w:rsidRDefault="00673939" w:rsidP="00673939">
            <w:pPr>
              <w:pStyle w:val="Tabletext"/>
              <w:jc w:val="right"/>
              <w:rPr>
                <w:rFonts w:asciiTheme="majorBidi" w:hAnsiTheme="majorBidi" w:cstheme="majorBidi"/>
                <w:sz w:val="22"/>
                <w:szCs w:val="22"/>
                <w:lang w:val="fr-FR"/>
              </w:rPr>
            </w:pPr>
            <w:r w:rsidRPr="00332CD1">
              <w:rPr>
                <w:rFonts w:asciiTheme="majorBidi" w:hAnsiTheme="majorBidi" w:cstheme="majorBidi"/>
                <w:sz w:val="22"/>
                <w:szCs w:val="22"/>
                <w:lang w:val="fr-FR"/>
              </w:rPr>
              <w:t>777</w:t>
            </w:r>
          </w:p>
        </w:tc>
        <w:tc>
          <w:tcPr>
            <w:tcW w:w="1701" w:type="dxa"/>
          </w:tcPr>
          <w:p w:rsidR="00673939" w:rsidRPr="00332CD1" w:rsidRDefault="00673939" w:rsidP="00673939">
            <w:pPr>
              <w:pStyle w:val="Tabletext"/>
              <w:jc w:val="right"/>
              <w:rPr>
                <w:rFonts w:asciiTheme="majorBidi" w:hAnsiTheme="majorBidi" w:cstheme="majorBidi"/>
                <w:sz w:val="22"/>
                <w:szCs w:val="22"/>
                <w:lang w:val="fr-FR"/>
              </w:rPr>
            </w:pPr>
            <w:r w:rsidRPr="00332CD1">
              <w:rPr>
                <w:rFonts w:asciiTheme="majorBidi" w:hAnsiTheme="majorBidi" w:cstheme="majorBidi"/>
                <w:sz w:val="22"/>
                <w:szCs w:val="22"/>
                <w:lang w:val="fr-FR"/>
              </w:rPr>
              <w:t>188</w:t>
            </w:r>
          </w:p>
        </w:tc>
        <w:tc>
          <w:tcPr>
            <w:tcW w:w="1270" w:type="dxa"/>
          </w:tcPr>
          <w:p w:rsidR="00673939" w:rsidRPr="00332CD1" w:rsidRDefault="00332CD1" w:rsidP="00673939">
            <w:pPr>
              <w:pStyle w:val="Tabletext"/>
              <w:jc w:val="right"/>
              <w:rPr>
                <w:rFonts w:asciiTheme="majorBidi" w:hAnsiTheme="majorBidi" w:cstheme="majorBidi"/>
                <w:sz w:val="22"/>
                <w:szCs w:val="22"/>
                <w:lang w:val="fr-FR"/>
              </w:rPr>
            </w:pPr>
            <w:r>
              <w:rPr>
                <w:rFonts w:asciiTheme="majorBidi" w:hAnsiTheme="majorBidi" w:cstheme="majorBidi"/>
                <w:sz w:val="22"/>
                <w:szCs w:val="22"/>
                <w:lang w:val="fr-FR"/>
              </w:rPr>
              <w:t>–</w:t>
            </w:r>
            <w:r w:rsidR="00673939" w:rsidRPr="00332CD1">
              <w:rPr>
                <w:rFonts w:asciiTheme="majorBidi" w:hAnsiTheme="majorBidi" w:cstheme="majorBidi"/>
                <w:sz w:val="22"/>
                <w:szCs w:val="22"/>
                <w:lang w:val="fr-FR"/>
              </w:rPr>
              <w:t>101</w:t>
            </w:r>
          </w:p>
        </w:tc>
      </w:tr>
      <w:tr w:rsidR="00673939" w:rsidRPr="00332CD1" w:rsidTr="00332CD1">
        <w:tc>
          <w:tcPr>
            <w:tcW w:w="3397" w:type="dxa"/>
          </w:tcPr>
          <w:p w:rsidR="00673939" w:rsidRPr="00332CD1" w:rsidRDefault="00673939" w:rsidP="00673939">
            <w:pPr>
              <w:pStyle w:val="Tabletext"/>
              <w:rPr>
                <w:rFonts w:asciiTheme="majorBidi" w:hAnsiTheme="majorBidi" w:cstheme="majorBidi"/>
                <w:sz w:val="22"/>
                <w:szCs w:val="22"/>
                <w:lang w:val="fr-FR"/>
              </w:rPr>
            </w:pPr>
            <w:r w:rsidRPr="00332CD1">
              <w:rPr>
                <w:rFonts w:asciiTheme="majorBidi" w:hAnsiTheme="majorBidi" w:cstheme="majorBidi"/>
                <w:sz w:val="22"/>
                <w:szCs w:val="22"/>
                <w:lang w:val="fr-FR"/>
              </w:rPr>
              <w:t>Dactylographie (5 790 pages)</w:t>
            </w:r>
          </w:p>
        </w:tc>
        <w:tc>
          <w:tcPr>
            <w:tcW w:w="1276" w:type="dxa"/>
          </w:tcPr>
          <w:p w:rsidR="00673939" w:rsidRPr="00332CD1" w:rsidRDefault="00673939" w:rsidP="00673939">
            <w:pPr>
              <w:pStyle w:val="Tabletext"/>
              <w:jc w:val="right"/>
              <w:rPr>
                <w:rFonts w:asciiTheme="majorBidi" w:hAnsiTheme="majorBidi" w:cstheme="majorBidi"/>
                <w:sz w:val="22"/>
                <w:szCs w:val="22"/>
                <w:lang w:val="fr-FR"/>
              </w:rPr>
            </w:pPr>
            <w:r w:rsidRPr="00332CD1">
              <w:rPr>
                <w:rFonts w:asciiTheme="majorBidi" w:hAnsiTheme="majorBidi" w:cstheme="majorBidi"/>
                <w:sz w:val="22"/>
                <w:szCs w:val="22"/>
                <w:lang w:val="fr-FR"/>
              </w:rPr>
              <w:t>345</w:t>
            </w:r>
          </w:p>
        </w:tc>
        <w:tc>
          <w:tcPr>
            <w:tcW w:w="1985" w:type="dxa"/>
          </w:tcPr>
          <w:p w:rsidR="00673939" w:rsidRPr="00332CD1" w:rsidRDefault="00673939" w:rsidP="00673939">
            <w:pPr>
              <w:pStyle w:val="Tabletext"/>
              <w:jc w:val="right"/>
              <w:rPr>
                <w:rFonts w:asciiTheme="majorBidi" w:hAnsiTheme="majorBidi" w:cstheme="majorBidi"/>
                <w:sz w:val="22"/>
                <w:szCs w:val="22"/>
                <w:lang w:val="fr-FR"/>
              </w:rPr>
            </w:pPr>
            <w:r w:rsidRPr="00332CD1">
              <w:rPr>
                <w:rFonts w:asciiTheme="majorBidi" w:hAnsiTheme="majorBidi" w:cstheme="majorBidi"/>
                <w:sz w:val="22"/>
                <w:szCs w:val="22"/>
                <w:lang w:val="fr-FR"/>
              </w:rPr>
              <w:t>403</w:t>
            </w:r>
          </w:p>
        </w:tc>
        <w:tc>
          <w:tcPr>
            <w:tcW w:w="1701" w:type="dxa"/>
          </w:tcPr>
          <w:p w:rsidR="00673939" w:rsidRPr="00332CD1" w:rsidRDefault="00673939" w:rsidP="00673939">
            <w:pPr>
              <w:pStyle w:val="Tabletext"/>
              <w:jc w:val="right"/>
              <w:rPr>
                <w:rFonts w:asciiTheme="majorBidi" w:hAnsiTheme="majorBidi" w:cstheme="majorBidi"/>
                <w:sz w:val="22"/>
                <w:szCs w:val="22"/>
                <w:lang w:val="fr-FR"/>
              </w:rPr>
            </w:pPr>
            <w:r w:rsidRPr="00332CD1">
              <w:rPr>
                <w:rFonts w:asciiTheme="majorBidi" w:hAnsiTheme="majorBidi" w:cstheme="majorBidi"/>
                <w:sz w:val="22"/>
                <w:szCs w:val="22"/>
                <w:lang w:val="fr-FR"/>
              </w:rPr>
              <w:t>98</w:t>
            </w:r>
          </w:p>
        </w:tc>
        <w:tc>
          <w:tcPr>
            <w:tcW w:w="1270" w:type="dxa"/>
          </w:tcPr>
          <w:p w:rsidR="00673939" w:rsidRPr="00332CD1" w:rsidRDefault="00332CD1" w:rsidP="00673939">
            <w:pPr>
              <w:pStyle w:val="Tabletext"/>
              <w:jc w:val="right"/>
              <w:rPr>
                <w:rFonts w:asciiTheme="majorBidi" w:hAnsiTheme="majorBidi" w:cstheme="majorBidi"/>
                <w:sz w:val="22"/>
                <w:szCs w:val="22"/>
                <w:lang w:val="fr-FR"/>
              </w:rPr>
            </w:pPr>
            <w:r>
              <w:rPr>
                <w:rFonts w:asciiTheme="majorBidi" w:hAnsiTheme="majorBidi" w:cstheme="majorBidi"/>
                <w:sz w:val="22"/>
                <w:szCs w:val="22"/>
                <w:lang w:val="fr-FR"/>
              </w:rPr>
              <w:t>–</w:t>
            </w:r>
            <w:r w:rsidR="00673939" w:rsidRPr="00332CD1">
              <w:rPr>
                <w:rFonts w:asciiTheme="majorBidi" w:hAnsiTheme="majorBidi" w:cstheme="majorBidi"/>
                <w:sz w:val="22"/>
                <w:szCs w:val="22"/>
                <w:lang w:val="fr-FR"/>
              </w:rPr>
              <w:t>156</w:t>
            </w:r>
          </w:p>
        </w:tc>
      </w:tr>
      <w:tr w:rsidR="00673939" w:rsidRPr="00332CD1" w:rsidTr="00332CD1">
        <w:tc>
          <w:tcPr>
            <w:tcW w:w="3397" w:type="dxa"/>
          </w:tcPr>
          <w:p w:rsidR="00673939" w:rsidRPr="00332CD1" w:rsidRDefault="00673939" w:rsidP="00673939">
            <w:pPr>
              <w:pStyle w:val="Tabletext"/>
              <w:rPr>
                <w:rFonts w:asciiTheme="majorBidi" w:hAnsiTheme="majorBidi" w:cstheme="majorBidi"/>
                <w:sz w:val="22"/>
                <w:szCs w:val="22"/>
                <w:lang w:val="fr-FR"/>
              </w:rPr>
            </w:pPr>
            <w:r w:rsidRPr="00332CD1">
              <w:rPr>
                <w:rFonts w:asciiTheme="majorBidi" w:hAnsiTheme="majorBidi" w:cstheme="majorBidi"/>
                <w:sz w:val="22"/>
                <w:szCs w:val="22"/>
                <w:lang w:val="fr-FR"/>
              </w:rPr>
              <w:t>Reprographie (1 700 000 pages)</w:t>
            </w:r>
          </w:p>
        </w:tc>
        <w:tc>
          <w:tcPr>
            <w:tcW w:w="1276" w:type="dxa"/>
          </w:tcPr>
          <w:p w:rsidR="00673939" w:rsidRPr="00332CD1" w:rsidRDefault="00673939" w:rsidP="00673939">
            <w:pPr>
              <w:pStyle w:val="Tabletext"/>
              <w:jc w:val="right"/>
              <w:rPr>
                <w:rFonts w:asciiTheme="majorBidi" w:hAnsiTheme="majorBidi" w:cstheme="majorBidi"/>
                <w:sz w:val="22"/>
                <w:szCs w:val="22"/>
                <w:lang w:val="fr-FR"/>
              </w:rPr>
            </w:pPr>
            <w:r w:rsidRPr="00332CD1">
              <w:rPr>
                <w:rFonts w:asciiTheme="majorBidi" w:hAnsiTheme="majorBidi" w:cstheme="majorBidi"/>
                <w:sz w:val="22"/>
                <w:szCs w:val="22"/>
                <w:lang w:val="fr-FR"/>
              </w:rPr>
              <w:t>249</w:t>
            </w:r>
          </w:p>
        </w:tc>
        <w:tc>
          <w:tcPr>
            <w:tcW w:w="1985" w:type="dxa"/>
          </w:tcPr>
          <w:p w:rsidR="00673939" w:rsidRPr="00332CD1" w:rsidRDefault="00673939" w:rsidP="00673939">
            <w:pPr>
              <w:pStyle w:val="Tabletext"/>
              <w:jc w:val="right"/>
              <w:rPr>
                <w:rFonts w:asciiTheme="majorBidi" w:hAnsiTheme="majorBidi" w:cstheme="majorBidi"/>
                <w:sz w:val="22"/>
                <w:szCs w:val="22"/>
                <w:lang w:val="fr-FR"/>
              </w:rPr>
            </w:pPr>
            <w:r w:rsidRPr="00332CD1">
              <w:rPr>
                <w:rFonts w:asciiTheme="majorBidi" w:hAnsiTheme="majorBidi" w:cstheme="majorBidi"/>
                <w:sz w:val="22"/>
                <w:szCs w:val="22"/>
                <w:lang w:val="fr-FR"/>
              </w:rPr>
              <w:t>0</w:t>
            </w:r>
          </w:p>
        </w:tc>
        <w:tc>
          <w:tcPr>
            <w:tcW w:w="1701" w:type="dxa"/>
          </w:tcPr>
          <w:p w:rsidR="00673939" w:rsidRPr="00332CD1" w:rsidRDefault="00673939" w:rsidP="00673939">
            <w:pPr>
              <w:pStyle w:val="Tabletext"/>
              <w:jc w:val="right"/>
              <w:rPr>
                <w:rFonts w:asciiTheme="majorBidi" w:hAnsiTheme="majorBidi" w:cstheme="majorBidi"/>
                <w:sz w:val="22"/>
                <w:szCs w:val="22"/>
                <w:lang w:val="fr-FR"/>
              </w:rPr>
            </w:pPr>
            <w:r w:rsidRPr="00332CD1">
              <w:rPr>
                <w:rFonts w:asciiTheme="majorBidi" w:hAnsiTheme="majorBidi" w:cstheme="majorBidi"/>
                <w:sz w:val="22"/>
                <w:szCs w:val="22"/>
                <w:lang w:val="fr-FR"/>
              </w:rPr>
              <w:t>15</w:t>
            </w:r>
          </w:p>
        </w:tc>
        <w:tc>
          <w:tcPr>
            <w:tcW w:w="1270" w:type="dxa"/>
          </w:tcPr>
          <w:p w:rsidR="00673939" w:rsidRPr="00332CD1" w:rsidRDefault="00673939" w:rsidP="00673939">
            <w:pPr>
              <w:pStyle w:val="Tabletext"/>
              <w:jc w:val="right"/>
              <w:rPr>
                <w:rFonts w:asciiTheme="majorBidi" w:hAnsiTheme="majorBidi" w:cstheme="majorBidi"/>
                <w:sz w:val="22"/>
                <w:szCs w:val="22"/>
                <w:lang w:val="fr-FR"/>
              </w:rPr>
            </w:pPr>
            <w:r w:rsidRPr="00332CD1">
              <w:rPr>
                <w:rFonts w:asciiTheme="majorBidi" w:hAnsiTheme="majorBidi" w:cstheme="majorBidi"/>
                <w:sz w:val="22"/>
                <w:szCs w:val="22"/>
                <w:lang w:val="fr-FR"/>
              </w:rPr>
              <w:t>234</w:t>
            </w:r>
          </w:p>
        </w:tc>
      </w:tr>
      <w:tr w:rsidR="00673939" w:rsidRPr="00332CD1" w:rsidTr="00332CD1">
        <w:tc>
          <w:tcPr>
            <w:tcW w:w="3397" w:type="dxa"/>
          </w:tcPr>
          <w:p w:rsidR="00673939" w:rsidRPr="00332CD1" w:rsidRDefault="00673939" w:rsidP="00673939">
            <w:pPr>
              <w:pStyle w:val="Tabletext"/>
              <w:rPr>
                <w:rFonts w:asciiTheme="majorBidi" w:hAnsiTheme="majorBidi" w:cstheme="majorBidi"/>
                <w:b/>
                <w:bCs/>
                <w:sz w:val="22"/>
                <w:szCs w:val="22"/>
                <w:lang w:val="fr-FR"/>
              </w:rPr>
            </w:pPr>
            <w:r w:rsidRPr="00332CD1">
              <w:rPr>
                <w:rFonts w:asciiTheme="majorBidi" w:hAnsiTheme="majorBidi" w:cstheme="majorBidi"/>
                <w:b/>
                <w:bCs/>
                <w:sz w:val="22"/>
                <w:szCs w:val="22"/>
                <w:lang w:val="fr-FR"/>
              </w:rPr>
              <w:t>Sous-total – Documentation</w:t>
            </w:r>
          </w:p>
        </w:tc>
        <w:tc>
          <w:tcPr>
            <w:tcW w:w="1276" w:type="dxa"/>
          </w:tcPr>
          <w:p w:rsidR="00673939" w:rsidRPr="00332CD1" w:rsidRDefault="00673939" w:rsidP="00673939">
            <w:pPr>
              <w:pStyle w:val="Tabletext"/>
              <w:jc w:val="right"/>
              <w:rPr>
                <w:rFonts w:asciiTheme="majorBidi" w:hAnsiTheme="majorBidi" w:cstheme="majorBidi"/>
                <w:b/>
                <w:bCs/>
                <w:sz w:val="22"/>
                <w:szCs w:val="22"/>
                <w:lang w:val="fr-FR"/>
              </w:rPr>
            </w:pPr>
            <w:r w:rsidRPr="00332CD1">
              <w:rPr>
                <w:rFonts w:asciiTheme="majorBidi" w:hAnsiTheme="majorBidi" w:cstheme="majorBidi"/>
                <w:b/>
                <w:bCs/>
                <w:sz w:val="22"/>
                <w:szCs w:val="22"/>
                <w:lang w:val="fr-FR"/>
              </w:rPr>
              <w:t>1 457</w:t>
            </w:r>
          </w:p>
        </w:tc>
        <w:tc>
          <w:tcPr>
            <w:tcW w:w="1985" w:type="dxa"/>
          </w:tcPr>
          <w:p w:rsidR="00673939" w:rsidRPr="00332CD1" w:rsidRDefault="00673939" w:rsidP="00673939">
            <w:pPr>
              <w:pStyle w:val="Tabletext"/>
              <w:jc w:val="right"/>
              <w:rPr>
                <w:rFonts w:asciiTheme="majorBidi" w:hAnsiTheme="majorBidi" w:cstheme="majorBidi"/>
                <w:b/>
                <w:bCs/>
                <w:sz w:val="22"/>
                <w:szCs w:val="22"/>
                <w:lang w:val="fr-FR"/>
              </w:rPr>
            </w:pPr>
            <w:r w:rsidRPr="00332CD1">
              <w:rPr>
                <w:rFonts w:asciiTheme="majorBidi" w:hAnsiTheme="majorBidi" w:cstheme="majorBidi"/>
                <w:b/>
                <w:bCs/>
                <w:sz w:val="22"/>
                <w:szCs w:val="22"/>
                <w:lang w:val="fr-FR"/>
              </w:rPr>
              <w:t>1 180</w:t>
            </w:r>
          </w:p>
        </w:tc>
        <w:tc>
          <w:tcPr>
            <w:tcW w:w="1701" w:type="dxa"/>
          </w:tcPr>
          <w:p w:rsidR="00673939" w:rsidRPr="00332CD1" w:rsidRDefault="00673939" w:rsidP="00673939">
            <w:pPr>
              <w:pStyle w:val="Tabletext"/>
              <w:jc w:val="right"/>
              <w:rPr>
                <w:rFonts w:asciiTheme="majorBidi" w:hAnsiTheme="majorBidi" w:cstheme="majorBidi"/>
                <w:b/>
                <w:bCs/>
                <w:sz w:val="22"/>
                <w:szCs w:val="22"/>
                <w:lang w:val="fr-FR"/>
              </w:rPr>
            </w:pPr>
            <w:r w:rsidRPr="00332CD1">
              <w:rPr>
                <w:rFonts w:asciiTheme="majorBidi" w:hAnsiTheme="majorBidi" w:cstheme="majorBidi"/>
                <w:b/>
                <w:bCs/>
                <w:sz w:val="22"/>
                <w:szCs w:val="22"/>
                <w:lang w:val="fr-FR"/>
              </w:rPr>
              <w:t>300</w:t>
            </w:r>
          </w:p>
        </w:tc>
        <w:tc>
          <w:tcPr>
            <w:tcW w:w="1270" w:type="dxa"/>
          </w:tcPr>
          <w:p w:rsidR="00673939" w:rsidRPr="00332CD1" w:rsidRDefault="00332CD1" w:rsidP="00673939">
            <w:pPr>
              <w:pStyle w:val="Tabletext"/>
              <w:jc w:val="right"/>
              <w:rPr>
                <w:rFonts w:asciiTheme="majorBidi" w:hAnsiTheme="majorBidi" w:cstheme="majorBidi"/>
                <w:b/>
                <w:bCs/>
                <w:sz w:val="22"/>
                <w:szCs w:val="22"/>
                <w:lang w:val="fr-FR"/>
              </w:rPr>
            </w:pPr>
            <w:r>
              <w:rPr>
                <w:rFonts w:asciiTheme="majorBidi" w:hAnsiTheme="majorBidi" w:cstheme="majorBidi"/>
                <w:sz w:val="22"/>
                <w:szCs w:val="22"/>
                <w:lang w:val="fr-FR"/>
              </w:rPr>
              <w:t>–</w:t>
            </w:r>
            <w:r w:rsidR="00673939" w:rsidRPr="00332CD1">
              <w:rPr>
                <w:rFonts w:asciiTheme="majorBidi" w:hAnsiTheme="majorBidi" w:cstheme="majorBidi"/>
                <w:b/>
                <w:bCs/>
                <w:sz w:val="22"/>
                <w:szCs w:val="22"/>
                <w:lang w:val="fr-FR"/>
              </w:rPr>
              <w:t>23</w:t>
            </w:r>
          </w:p>
        </w:tc>
      </w:tr>
      <w:tr w:rsidR="00673939" w:rsidRPr="00332CD1" w:rsidTr="00332CD1">
        <w:tc>
          <w:tcPr>
            <w:tcW w:w="3397" w:type="dxa"/>
          </w:tcPr>
          <w:p w:rsidR="00673939" w:rsidRPr="00332CD1" w:rsidRDefault="00673939" w:rsidP="00673939">
            <w:pPr>
              <w:pStyle w:val="Tabletext"/>
              <w:rPr>
                <w:rFonts w:asciiTheme="majorBidi" w:hAnsiTheme="majorBidi" w:cstheme="majorBidi"/>
                <w:b/>
                <w:bCs/>
                <w:sz w:val="22"/>
                <w:szCs w:val="22"/>
                <w:lang w:val="fr-FR"/>
              </w:rPr>
            </w:pPr>
            <w:r w:rsidRPr="00332CD1">
              <w:rPr>
                <w:rFonts w:asciiTheme="majorBidi" w:hAnsiTheme="majorBidi" w:cstheme="majorBidi"/>
                <w:b/>
                <w:bCs/>
                <w:sz w:val="22"/>
                <w:szCs w:val="22"/>
                <w:lang w:val="fr-FR"/>
              </w:rPr>
              <w:t>Total</w:t>
            </w:r>
          </w:p>
        </w:tc>
        <w:tc>
          <w:tcPr>
            <w:tcW w:w="1276" w:type="dxa"/>
          </w:tcPr>
          <w:p w:rsidR="00673939" w:rsidRPr="00332CD1" w:rsidRDefault="00673939" w:rsidP="00673939">
            <w:pPr>
              <w:pStyle w:val="Tabletext"/>
              <w:jc w:val="right"/>
              <w:rPr>
                <w:rFonts w:asciiTheme="majorBidi" w:hAnsiTheme="majorBidi" w:cstheme="majorBidi"/>
                <w:b/>
                <w:bCs/>
                <w:sz w:val="22"/>
                <w:szCs w:val="22"/>
                <w:lang w:val="fr-FR"/>
              </w:rPr>
            </w:pPr>
            <w:r w:rsidRPr="00332CD1">
              <w:rPr>
                <w:rFonts w:asciiTheme="majorBidi" w:hAnsiTheme="majorBidi" w:cstheme="majorBidi"/>
                <w:b/>
                <w:bCs/>
                <w:sz w:val="22"/>
                <w:szCs w:val="22"/>
                <w:lang w:val="fr-FR"/>
              </w:rPr>
              <w:t>2 154</w:t>
            </w:r>
          </w:p>
        </w:tc>
        <w:tc>
          <w:tcPr>
            <w:tcW w:w="1985" w:type="dxa"/>
          </w:tcPr>
          <w:p w:rsidR="00673939" w:rsidRPr="00332CD1" w:rsidRDefault="00673939" w:rsidP="00673939">
            <w:pPr>
              <w:pStyle w:val="Tabletext"/>
              <w:jc w:val="right"/>
              <w:rPr>
                <w:rFonts w:asciiTheme="majorBidi" w:hAnsiTheme="majorBidi" w:cstheme="majorBidi"/>
                <w:b/>
                <w:bCs/>
                <w:sz w:val="22"/>
                <w:szCs w:val="22"/>
                <w:lang w:val="fr-FR"/>
              </w:rPr>
            </w:pPr>
            <w:r w:rsidRPr="00332CD1">
              <w:rPr>
                <w:rFonts w:asciiTheme="majorBidi" w:hAnsiTheme="majorBidi" w:cstheme="majorBidi"/>
                <w:b/>
                <w:bCs/>
                <w:sz w:val="22"/>
                <w:szCs w:val="22"/>
                <w:lang w:val="fr-FR"/>
              </w:rPr>
              <w:t>1 597</w:t>
            </w:r>
          </w:p>
        </w:tc>
        <w:tc>
          <w:tcPr>
            <w:tcW w:w="1701" w:type="dxa"/>
          </w:tcPr>
          <w:p w:rsidR="00673939" w:rsidRPr="00332CD1" w:rsidRDefault="00673939" w:rsidP="00673939">
            <w:pPr>
              <w:pStyle w:val="Tabletext"/>
              <w:jc w:val="right"/>
              <w:rPr>
                <w:rFonts w:asciiTheme="majorBidi" w:hAnsiTheme="majorBidi" w:cstheme="majorBidi"/>
                <w:b/>
                <w:bCs/>
                <w:sz w:val="22"/>
                <w:szCs w:val="22"/>
                <w:lang w:val="fr-FR"/>
              </w:rPr>
            </w:pPr>
            <w:r w:rsidRPr="00332CD1">
              <w:rPr>
                <w:rFonts w:asciiTheme="majorBidi" w:hAnsiTheme="majorBidi" w:cstheme="majorBidi"/>
                <w:b/>
                <w:bCs/>
                <w:sz w:val="22"/>
                <w:szCs w:val="22"/>
                <w:lang w:val="fr-FR"/>
              </w:rPr>
              <w:t>537</w:t>
            </w:r>
          </w:p>
        </w:tc>
        <w:tc>
          <w:tcPr>
            <w:tcW w:w="1270" w:type="dxa"/>
          </w:tcPr>
          <w:p w:rsidR="00673939" w:rsidRPr="00332CD1" w:rsidRDefault="00673939" w:rsidP="00673939">
            <w:pPr>
              <w:pStyle w:val="Tabletext"/>
              <w:jc w:val="right"/>
              <w:rPr>
                <w:rFonts w:asciiTheme="majorBidi" w:hAnsiTheme="majorBidi" w:cstheme="majorBidi"/>
                <w:b/>
                <w:bCs/>
                <w:sz w:val="22"/>
                <w:szCs w:val="22"/>
                <w:lang w:val="fr-FR"/>
              </w:rPr>
            </w:pPr>
            <w:r w:rsidRPr="00332CD1">
              <w:rPr>
                <w:rFonts w:asciiTheme="majorBidi" w:hAnsiTheme="majorBidi" w:cstheme="majorBidi"/>
                <w:b/>
                <w:bCs/>
                <w:sz w:val="22"/>
                <w:szCs w:val="22"/>
                <w:lang w:val="fr-FR"/>
              </w:rPr>
              <w:t>20</w:t>
            </w:r>
          </w:p>
        </w:tc>
      </w:tr>
    </w:tbl>
    <w:p w:rsidR="00F776DF" w:rsidRDefault="00F776DF" w:rsidP="00673939">
      <w:pPr>
        <w:tabs>
          <w:tab w:val="clear" w:pos="1134"/>
          <w:tab w:val="clear" w:pos="1871"/>
          <w:tab w:val="clear" w:pos="2268"/>
        </w:tabs>
        <w:overflowPunct/>
        <w:autoSpaceDE/>
        <w:autoSpaceDN/>
        <w:adjustRightInd/>
        <w:spacing w:before="0"/>
        <w:textAlignment w:val="auto"/>
      </w:pPr>
    </w:p>
    <w:p w:rsidR="00F776DF" w:rsidRDefault="00F776DF" w:rsidP="00673939">
      <w:pPr>
        <w:tabs>
          <w:tab w:val="clear" w:pos="1134"/>
          <w:tab w:val="clear" w:pos="1871"/>
          <w:tab w:val="clear" w:pos="2268"/>
        </w:tabs>
        <w:overflowPunct/>
        <w:autoSpaceDE/>
        <w:autoSpaceDN/>
        <w:adjustRightInd/>
        <w:spacing w:before="0"/>
        <w:textAlignment w:val="auto"/>
      </w:pPr>
      <w:r>
        <w:br w:type="page"/>
      </w:r>
    </w:p>
    <w:p w:rsidR="006D4558" w:rsidRPr="00A97CBA" w:rsidRDefault="006D4558" w:rsidP="00A97CBA">
      <w:pPr>
        <w:pStyle w:val="AnnexNo"/>
        <w:rPr>
          <w:rStyle w:val="Strong"/>
          <w:b w:val="0"/>
          <w:bCs w:val="0"/>
        </w:rPr>
      </w:pPr>
      <w:r w:rsidRPr="00A97CBA">
        <w:rPr>
          <w:rStyle w:val="Strong"/>
          <w:b w:val="0"/>
          <w:bCs w:val="0"/>
        </w:rPr>
        <w:lastRenderedPageBreak/>
        <w:t>AnnexE B</w:t>
      </w:r>
    </w:p>
    <w:p w:rsidR="006D4558" w:rsidRPr="00532423" w:rsidRDefault="006D4558" w:rsidP="006D4558">
      <w:pPr>
        <w:pStyle w:val="Annextitle"/>
        <w:rPr>
          <w:lang w:val="fr-CH"/>
        </w:rPr>
      </w:pPr>
      <w:r w:rsidRPr="00532423">
        <w:rPr>
          <w:lang w:val="fr-CH"/>
        </w:rPr>
        <w:t>Incidences financières possibles des Décisions et des Résolutions</w:t>
      </w:r>
      <w:r>
        <w:rPr>
          <w:lang w:val="fr-CH"/>
        </w:rPr>
        <w:t xml:space="preserve"> </w:t>
      </w:r>
      <w:r>
        <w:rPr>
          <w:lang w:val="fr-CH"/>
        </w:rPr>
        <w:br/>
      </w:r>
      <w:r w:rsidRPr="00532423">
        <w:rPr>
          <w:lang w:val="fr-CH"/>
        </w:rPr>
        <w:t>de l'Assemblée (</w:t>
      </w:r>
      <w:r>
        <w:rPr>
          <w:lang w:val="fr-CH"/>
        </w:rPr>
        <w:t>AMNT</w:t>
      </w:r>
      <w:r w:rsidRPr="00532423">
        <w:rPr>
          <w:lang w:val="fr-CH"/>
        </w:rPr>
        <w:t>-16)</w:t>
      </w:r>
    </w:p>
    <w:tbl>
      <w:tblPr>
        <w:tblStyle w:val="TableGrid"/>
        <w:tblW w:w="0" w:type="auto"/>
        <w:tblInd w:w="392" w:type="dxa"/>
        <w:tblLayout w:type="fixed"/>
        <w:tblLook w:val="04A0" w:firstRow="1" w:lastRow="0" w:firstColumn="1" w:lastColumn="0" w:noHBand="0" w:noVBand="1"/>
      </w:tblPr>
      <w:tblGrid>
        <w:gridCol w:w="3572"/>
        <w:gridCol w:w="2410"/>
        <w:gridCol w:w="3255"/>
      </w:tblGrid>
      <w:tr w:rsidR="006D4558" w:rsidRPr="0009168C" w:rsidTr="000F3B7B">
        <w:trPr>
          <w:trHeight w:val="724"/>
        </w:trPr>
        <w:tc>
          <w:tcPr>
            <w:tcW w:w="3572" w:type="dxa"/>
          </w:tcPr>
          <w:p w:rsidR="006D4558" w:rsidRPr="0009168C" w:rsidRDefault="006D4558" w:rsidP="000F3B7B">
            <w:pPr>
              <w:pStyle w:val="Tablehead"/>
              <w:rPr>
                <w:rFonts w:asciiTheme="majorBidi" w:hAnsiTheme="majorBidi" w:cstheme="majorBidi"/>
                <w:szCs w:val="22"/>
                <w:lang w:val="fr-CH"/>
              </w:rPr>
            </w:pPr>
            <w:r w:rsidRPr="0009168C">
              <w:rPr>
                <w:rFonts w:asciiTheme="majorBidi" w:hAnsiTheme="majorBidi" w:cstheme="majorBidi"/>
                <w:szCs w:val="22"/>
                <w:lang w:val="fr-CH"/>
              </w:rPr>
              <w:t>Résolution</w:t>
            </w:r>
          </w:p>
        </w:tc>
        <w:tc>
          <w:tcPr>
            <w:tcW w:w="2410" w:type="dxa"/>
          </w:tcPr>
          <w:p w:rsidR="006D4558" w:rsidRPr="0009168C" w:rsidRDefault="006D4558" w:rsidP="000F3B7B">
            <w:pPr>
              <w:pStyle w:val="Tablehead"/>
              <w:rPr>
                <w:rFonts w:asciiTheme="majorBidi" w:hAnsiTheme="majorBidi" w:cstheme="majorBidi"/>
                <w:szCs w:val="22"/>
                <w:lang w:val="fr-CH"/>
              </w:rPr>
            </w:pPr>
            <w:r w:rsidRPr="0009168C">
              <w:rPr>
                <w:rFonts w:asciiTheme="majorBidi" w:hAnsiTheme="majorBidi" w:cstheme="majorBidi"/>
                <w:szCs w:val="22"/>
                <w:lang w:val="fr-CH"/>
              </w:rPr>
              <w:t>Catégorie de dépenses</w:t>
            </w:r>
          </w:p>
        </w:tc>
        <w:tc>
          <w:tcPr>
            <w:tcW w:w="3255" w:type="dxa"/>
          </w:tcPr>
          <w:p w:rsidR="006D4558" w:rsidRPr="0009168C" w:rsidRDefault="006D4558" w:rsidP="000F3B7B">
            <w:pPr>
              <w:pStyle w:val="Tablehead"/>
              <w:rPr>
                <w:rFonts w:asciiTheme="majorBidi" w:hAnsiTheme="majorBidi" w:cstheme="majorBidi"/>
                <w:szCs w:val="22"/>
                <w:lang w:val="fr-CH"/>
              </w:rPr>
            </w:pPr>
            <w:r w:rsidRPr="0009168C">
              <w:rPr>
                <w:rFonts w:asciiTheme="majorBidi" w:hAnsiTheme="majorBidi" w:cstheme="majorBidi"/>
                <w:szCs w:val="22"/>
                <w:lang w:val="fr-CH"/>
              </w:rPr>
              <w:t>En francs suisses</w:t>
            </w:r>
          </w:p>
        </w:tc>
      </w:tr>
      <w:tr w:rsidR="006D4558" w:rsidRPr="00332CD1" w:rsidTr="000F3B7B">
        <w:tc>
          <w:tcPr>
            <w:tcW w:w="3572" w:type="dxa"/>
          </w:tcPr>
          <w:p w:rsidR="006D4558" w:rsidRPr="0009168C" w:rsidRDefault="006D4558" w:rsidP="000F3B7B">
            <w:pPr>
              <w:pStyle w:val="Tabletext"/>
              <w:spacing w:before="120" w:after="120"/>
              <w:rPr>
                <w:rFonts w:asciiTheme="majorBidi" w:hAnsiTheme="majorBidi" w:cstheme="majorBidi"/>
                <w:bCs/>
                <w:szCs w:val="22"/>
                <w:lang w:val="fr-CH"/>
              </w:rPr>
            </w:pPr>
            <w:r w:rsidRPr="0009168C">
              <w:rPr>
                <w:rFonts w:asciiTheme="majorBidi" w:hAnsiTheme="majorBidi" w:cstheme="majorBidi"/>
                <w:bCs/>
                <w:szCs w:val="22"/>
                <w:lang w:val="fr-CH"/>
              </w:rPr>
              <w:t>Résolution 44</w:t>
            </w:r>
          </w:p>
        </w:tc>
        <w:tc>
          <w:tcPr>
            <w:tcW w:w="2410" w:type="dxa"/>
          </w:tcPr>
          <w:p w:rsidR="006D4558" w:rsidRPr="0009168C" w:rsidRDefault="006D4558" w:rsidP="000F3B7B">
            <w:pPr>
              <w:pStyle w:val="Tabletext"/>
              <w:spacing w:before="120" w:after="120"/>
              <w:rPr>
                <w:rFonts w:asciiTheme="majorBidi" w:hAnsiTheme="majorBidi" w:cstheme="majorBidi"/>
                <w:bCs/>
                <w:szCs w:val="22"/>
                <w:lang w:val="fr-CH"/>
              </w:rPr>
            </w:pPr>
            <w:r w:rsidRPr="0009168C">
              <w:rPr>
                <w:rFonts w:asciiTheme="majorBidi" w:hAnsiTheme="majorBidi" w:cstheme="majorBidi"/>
                <w:bCs/>
                <w:szCs w:val="22"/>
                <w:lang w:val="fr-CH"/>
              </w:rPr>
              <w:t>Interprétation</w:t>
            </w:r>
          </w:p>
        </w:tc>
        <w:tc>
          <w:tcPr>
            <w:tcW w:w="3255" w:type="dxa"/>
          </w:tcPr>
          <w:p w:rsidR="006D4558" w:rsidRPr="0009168C" w:rsidRDefault="006D4558" w:rsidP="000F3B7B">
            <w:pPr>
              <w:pStyle w:val="Tabletext"/>
              <w:spacing w:before="120" w:after="120"/>
              <w:rPr>
                <w:rFonts w:asciiTheme="majorBidi" w:hAnsiTheme="majorBidi" w:cstheme="majorBidi"/>
                <w:bCs/>
                <w:szCs w:val="22"/>
                <w:highlight w:val="yellow"/>
                <w:lang w:val="fr-CH"/>
              </w:rPr>
            </w:pPr>
            <w:r w:rsidRPr="0009168C">
              <w:rPr>
                <w:rFonts w:asciiTheme="majorBidi" w:hAnsiTheme="majorBidi" w:cstheme="majorBidi"/>
                <w:bCs/>
                <w:szCs w:val="22"/>
                <w:lang w:val="fr-CH"/>
              </w:rPr>
              <w:t>Entre 422 000 CHF et 708 000 CHF (option 1) ou entre 1 682 000 CHF et 2 868 000 CHF (option 2) par exercice biennal</w:t>
            </w:r>
          </w:p>
        </w:tc>
      </w:tr>
      <w:tr w:rsidR="006D4558" w:rsidRPr="0009168C" w:rsidTr="000F3B7B">
        <w:tc>
          <w:tcPr>
            <w:tcW w:w="3572" w:type="dxa"/>
          </w:tcPr>
          <w:p w:rsidR="006D4558" w:rsidRPr="0009168C" w:rsidRDefault="006D4558" w:rsidP="000F3B7B">
            <w:pPr>
              <w:pStyle w:val="Tabletext"/>
              <w:spacing w:before="120" w:after="120"/>
              <w:rPr>
                <w:rFonts w:asciiTheme="majorBidi" w:hAnsiTheme="majorBidi" w:cstheme="majorBidi"/>
                <w:bCs/>
                <w:szCs w:val="22"/>
                <w:lang w:val="fr-CH"/>
              </w:rPr>
            </w:pPr>
            <w:r w:rsidRPr="0009168C">
              <w:rPr>
                <w:rFonts w:asciiTheme="majorBidi" w:hAnsiTheme="majorBidi" w:cstheme="majorBidi"/>
                <w:bCs/>
                <w:szCs w:val="22"/>
                <w:lang w:val="fr-CH"/>
              </w:rPr>
              <w:t xml:space="preserve">Nouvelle Résolution [RCC-3] </w:t>
            </w:r>
            <w:r w:rsidRPr="006D4558">
              <w:rPr>
                <w:rFonts w:asciiTheme="majorBidi" w:hAnsiTheme="majorBidi" w:cstheme="majorBidi"/>
                <w:bCs/>
                <w:szCs w:val="22"/>
                <w:lang w:val="fr-CH"/>
              </w:rPr>
              <w:t>Etudes relatives à la protection des utilisateurs de services de télécommunication/TIC</w:t>
            </w:r>
          </w:p>
        </w:tc>
        <w:tc>
          <w:tcPr>
            <w:tcW w:w="2410" w:type="dxa"/>
          </w:tcPr>
          <w:p w:rsidR="006D4558" w:rsidRPr="0009168C" w:rsidRDefault="006D4558" w:rsidP="000F3B7B">
            <w:pPr>
              <w:pStyle w:val="Tabletext"/>
              <w:spacing w:before="120" w:after="120"/>
              <w:rPr>
                <w:rFonts w:asciiTheme="majorBidi" w:hAnsiTheme="majorBidi" w:cstheme="majorBidi"/>
                <w:bCs/>
                <w:szCs w:val="22"/>
                <w:lang w:val="fr-CH"/>
              </w:rPr>
            </w:pPr>
            <w:r w:rsidRPr="0009168C">
              <w:rPr>
                <w:rFonts w:asciiTheme="majorBidi" w:hAnsiTheme="majorBidi" w:cstheme="majorBidi"/>
                <w:bCs/>
                <w:szCs w:val="22"/>
                <w:lang w:val="fr-CH"/>
              </w:rPr>
              <w:t>Services de conseil</w:t>
            </w:r>
          </w:p>
        </w:tc>
        <w:tc>
          <w:tcPr>
            <w:tcW w:w="3255" w:type="dxa"/>
          </w:tcPr>
          <w:p w:rsidR="006D4558" w:rsidRPr="0009168C" w:rsidRDefault="006D4558" w:rsidP="000F3B7B">
            <w:pPr>
              <w:pStyle w:val="Tabletext"/>
              <w:spacing w:before="120" w:after="120"/>
              <w:rPr>
                <w:rFonts w:asciiTheme="majorBidi" w:hAnsiTheme="majorBidi" w:cstheme="majorBidi"/>
                <w:bCs/>
                <w:szCs w:val="22"/>
                <w:lang w:val="fr-CH"/>
              </w:rPr>
            </w:pPr>
            <w:r w:rsidRPr="0009168C">
              <w:rPr>
                <w:rFonts w:asciiTheme="majorBidi" w:hAnsiTheme="majorBidi" w:cstheme="majorBidi"/>
                <w:bCs/>
                <w:szCs w:val="22"/>
                <w:lang w:val="fr-CH"/>
              </w:rPr>
              <w:t>40 000 CHF par exercice biennal</w:t>
            </w:r>
          </w:p>
        </w:tc>
      </w:tr>
      <w:tr w:rsidR="006D4558" w:rsidRPr="0009168C" w:rsidTr="000F3B7B">
        <w:tc>
          <w:tcPr>
            <w:tcW w:w="3572" w:type="dxa"/>
          </w:tcPr>
          <w:p w:rsidR="006D4558" w:rsidRPr="0009168C" w:rsidRDefault="006D4558" w:rsidP="000F3B7B">
            <w:pPr>
              <w:pStyle w:val="Tabletext"/>
              <w:spacing w:before="120" w:after="120"/>
              <w:rPr>
                <w:rFonts w:asciiTheme="majorBidi" w:hAnsiTheme="majorBidi" w:cstheme="majorBidi"/>
                <w:bCs/>
                <w:szCs w:val="22"/>
                <w:lang w:val="fr-CH"/>
              </w:rPr>
            </w:pPr>
            <w:r w:rsidRPr="0009168C">
              <w:rPr>
                <w:rFonts w:asciiTheme="majorBidi" w:hAnsiTheme="majorBidi" w:cstheme="majorBidi"/>
                <w:bCs/>
                <w:szCs w:val="22"/>
                <w:lang w:val="fr-CH"/>
              </w:rPr>
              <w:t>Résolution 77</w:t>
            </w:r>
          </w:p>
        </w:tc>
        <w:tc>
          <w:tcPr>
            <w:tcW w:w="2410" w:type="dxa"/>
          </w:tcPr>
          <w:p w:rsidR="006D4558" w:rsidRPr="0009168C" w:rsidRDefault="006D4558" w:rsidP="000F3B7B">
            <w:pPr>
              <w:pStyle w:val="Tabletext"/>
              <w:spacing w:before="120" w:after="120"/>
              <w:rPr>
                <w:rFonts w:asciiTheme="majorBidi" w:hAnsiTheme="majorBidi" w:cstheme="majorBidi"/>
                <w:bCs/>
                <w:szCs w:val="22"/>
                <w:lang w:val="fr-CH"/>
              </w:rPr>
            </w:pPr>
            <w:r w:rsidRPr="0009168C">
              <w:rPr>
                <w:rFonts w:asciiTheme="majorBidi" w:hAnsiTheme="majorBidi" w:cstheme="majorBidi"/>
                <w:bCs/>
                <w:szCs w:val="22"/>
                <w:lang w:val="fr-CH"/>
              </w:rPr>
              <w:t>Ateliers</w:t>
            </w:r>
          </w:p>
        </w:tc>
        <w:tc>
          <w:tcPr>
            <w:tcW w:w="3255" w:type="dxa"/>
          </w:tcPr>
          <w:p w:rsidR="006D4558" w:rsidRPr="0009168C" w:rsidRDefault="006D4558" w:rsidP="000F3B7B">
            <w:pPr>
              <w:pStyle w:val="Tabletext"/>
              <w:spacing w:before="120" w:after="120"/>
              <w:rPr>
                <w:rFonts w:asciiTheme="majorBidi" w:hAnsiTheme="majorBidi" w:cstheme="majorBidi"/>
                <w:bCs/>
                <w:szCs w:val="22"/>
                <w:lang w:val="fr-CH"/>
              </w:rPr>
            </w:pPr>
            <w:r w:rsidRPr="0009168C">
              <w:rPr>
                <w:rFonts w:asciiTheme="majorBidi" w:hAnsiTheme="majorBidi" w:cstheme="majorBidi"/>
                <w:bCs/>
                <w:szCs w:val="22"/>
                <w:lang w:val="fr-CH"/>
              </w:rPr>
              <w:t>180 000 CHF par exercice biennal</w:t>
            </w:r>
          </w:p>
        </w:tc>
      </w:tr>
      <w:tr w:rsidR="006D4558" w:rsidRPr="0009168C" w:rsidTr="000F3B7B">
        <w:tc>
          <w:tcPr>
            <w:tcW w:w="3572" w:type="dxa"/>
          </w:tcPr>
          <w:p w:rsidR="006D4558" w:rsidRPr="0009168C" w:rsidRDefault="006D4558" w:rsidP="000F3B7B">
            <w:pPr>
              <w:pStyle w:val="Tabletext"/>
              <w:spacing w:before="120" w:after="120"/>
              <w:rPr>
                <w:rFonts w:asciiTheme="majorBidi" w:hAnsiTheme="majorBidi" w:cstheme="majorBidi"/>
                <w:bCs/>
                <w:szCs w:val="22"/>
                <w:lang w:val="fr-CH"/>
              </w:rPr>
            </w:pPr>
            <w:r w:rsidRPr="0009168C">
              <w:rPr>
                <w:rFonts w:asciiTheme="majorBidi" w:hAnsiTheme="majorBidi" w:cstheme="majorBidi"/>
                <w:bCs/>
                <w:szCs w:val="22"/>
                <w:lang w:val="fr-CH"/>
              </w:rPr>
              <w:t>Nouvelle Résolution [APT-3] Travaux de normalisation menés par le Secteur de la normalisation des télécommunications de l'UIT concernant les technologies</w:t>
            </w:r>
            <w:r w:rsidRPr="0009168C">
              <w:rPr>
                <w:rFonts w:asciiTheme="majorBidi" w:hAnsiTheme="majorBidi" w:cstheme="majorBidi"/>
                <w:bCs/>
                <w:szCs w:val="22"/>
                <w:lang w:val="fr-CH"/>
              </w:rPr>
              <w:br/>
              <w:t>de données d'incidents fondées sur le nuage</w:t>
            </w:r>
          </w:p>
        </w:tc>
        <w:tc>
          <w:tcPr>
            <w:tcW w:w="2410" w:type="dxa"/>
          </w:tcPr>
          <w:p w:rsidR="006D4558" w:rsidRPr="0009168C" w:rsidRDefault="006D4558" w:rsidP="000F3B7B">
            <w:pPr>
              <w:pStyle w:val="Tabletext"/>
              <w:spacing w:before="120" w:after="120"/>
              <w:rPr>
                <w:rFonts w:asciiTheme="majorBidi" w:hAnsiTheme="majorBidi" w:cstheme="majorBidi"/>
                <w:bCs/>
                <w:szCs w:val="22"/>
                <w:lang w:val="fr-CH"/>
              </w:rPr>
            </w:pPr>
            <w:r w:rsidRPr="0009168C">
              <w:rPr>
                <w:rFonts w:asciiTheme="majorBidi" w:hAnsiTheme="majorBidi" w:cstheme="majorBidi"/>
                <w:bCs/>
                <w:szCs w:val="22"/>
                <w:lang w:val="fr-CH"/>
              </w:rPr>
              <w:t>Ateliers</w:t>
            </w:r>
          </w:p>
        </w:tc>
        <w:tc>
          <w:tcPr>
            <w:tcW w:w="3255" w:type="dxa"/>
          </w:tcPr>
          <w:p w:rsidR="006D4558" w:rsidRPr="0009168C" w:rsidRDefault="006D4558" w:rsidP="000F3B7B">
            <w:pPr>
              <w:pStyle w:val="Tabletext"/>
              <w:spacing w:before="120" w:after="120"/>
              <w:rPr>
                <w:rFonts w:asciiTheme="majorBidi" w:hAnsiTheme="majorBidi" w:cstheme="majorBidi"/>
                <w:bCs/>
                <w:szCs w:val="22"/>
                <w:lang w:val="fr-CH"/>
              </w:rPr>
            </w:pPr>
            <w:r w:rsidRPr="0009168C">
              <w:rPr>
                <w:rFonts w:asciiTheme="majorBidi" w:hAnsiTheme="majorBidi" w:cstheme="majorBidi"/>
                <w:bCs/>
                <w:szCs w:val="22"/>
                <w:lang w:val="fr-CH"/>
              </w:rPr>
              <w:t>60 000 CHF par exercice biennal</w:t>
            </w:r>
          </w:p>
        </w:tc>
      </w:tr>
      <w:tr w:rsidR="006D4558" w:rsidRPr="0009168C" w:rsidTr="000F3B7B">
        <w:tc>
          <w:tcPr>
            <w:tcW w:w="3572" w:type="dxa"/>
          </w:tcPr>
          <w:p w:rsidR="006D4558" w:rsidRPr="0009168C" w:rsidRDefault="006D4558" w:rsidP="000F3B7B">
            <w:pPr>
              <w:pStyle w:val="Tabletext"/>
              <w:spacing w:before="120" w:after="120"/>
              <w:rPr>
                <w:rFonts w:asciiTheme="majorBidi" w:hAnsiTheme="majorBidi" w:cstheme="majorBidi"/>
                <w:bCs/>
                <w:szCs w:val="22"/>
                <w:lang w:val="fr-CH"/>
              </w:rPr>
            </w:pPr>
            <w:r w:rsidRPr="0009168C">
              <w:rPr>
                <w:rFonts w:asciiTheme="majorBidi" w:hAnsiTheme="majorBidi" w:cstheme="majorBidi"/>
                <w:bCs/>
                <w:szCs w:val="22"/>
                <w:lang w:val="fr-CH"/>
              </w:rPr>
              <w:t>Nouvelle Résolution [AFCP-2] Promouvoir l'utilisation des TIC pour réduire l'écart en matière d'inclusion financière</w:t>
            </w:r>
          </w:p>
        </w:tc>
        <w:tc>
          <w:tcPr>
            <w:tcW w:w="2410" w:type="dxa"/>
          </w:tcPr>
          <w:p w:rsidR="006D4558" w:rsidRPr="0009168C" w:rsidRDefault="006D4558" w:rsidP="000F3B7B">
            <w:pPr>
              <w:pStyle w:val="Tabletext"/>
              <w:spacing w:before="120" w:after="120"/>
              <w:rPr>
                <w:rFonts w:asciiTheme="majorBidi" w:hAnsiTheme="majorBidi" w:cstheme="majorBidi"/>
                <w:bCs/>
                <w:szCs w:val="22"/>
                <w:lang w:val="fr-CH"/>
              </w:rPr>
            </w:pPr>
            <w:r w:rsidRPr="0009168C">
              <w:rPr>
                <w:rFonts w:asciiTheme="majorBidi" w:hAnsiTheme="majorBidi" w:cstheme="majorBidi"/>
                <w:bCs/>
                <w:szCs w:val="22"/>
                <w:lang w:val="fr-CH"/>
              </w:rPr>
              <w:t>Personnel, services de conseil, ateliers/séminaires</w:t>
            </w:r>
          </w:p>
        </w:tc>
        <w:tc>
          <w:tcPr>
            <w:tcW w:w="3255" w:type="dxa"/>
          </w:tcPr>
          <w:p w:rsidR="006D4558" w:rsidRPr="0009168C" w:rsidRDefault="006D4558" w:rsidP="000F3B7B">
            <w:pPr>
              <w:pStyle w:val="Tabletext"/>
              <w:spacing w:before="120" w:after="120"/>
              <w:rPr>
                <w:rFonts w:asciiTheme="majorBidi" w:hAnsiTheme="majorBidi" w:cstheme="majorBidi"/>
                <w:bCs/>
                <w:szCs w:val="22"/>
                <w:lang w:val="fr-CH"/>
              </w:rPr>
            </w:pPr>
            <w:r w:rsidRPr="0009168C">
              <w:rPr>
                <w:rFonts w:asciiTheme="majorBidi" w:hAnsiTheme="majorBidi" w:cstheme="majorBidi"/>
                <w:bCs/>
                <w:szCs w:val="22"/>
                <w:lang w:val="fr-CH"/>
              </w:rPr>
              <w:t>580 000 CHF par exercice biennal</w:t>
            </w:r>
          </w:p>
        </w:tc>
      </w:tr>
      <w:tr w:rsidR="006D4558" w:rsidRPr="0009168C" w:rsidTr="000F3B7B">
        <w:tc>
          <w:tcPr>
            <w:tcW w:w="3572" w:type="dxa"/>
          </w:tcPr>
          <w:p w:rsidR="006D4558" w:rsidRPr="0009168C" w:rsidRDefault="006D4558" w:rsidP="000F3B7B">
            <w:pPr>
              <w:pStyle w:val="Tabletext"/>
              <w:spacing w:before="120" w:after="120"/>
              <w:rPr>
                <w:rFonts w:asciiTheme="majorBidi" w:hAnsiTheme="majorBidi" w:cstheme="majorBidi"/>
                <w:bCs/>
                <w:szCs w:val="22"/>
                <w:lang w:val="fr-CH"/>
              </w:rPr>
            </w:pPr>
            <w:r w:rsidRPr="0009168C">
              <w:rPr>
                <w:rFonts w:asciiTheme="majorBidi" w:hAnsiTheme="majorBidi" w:cstheme="majorBidi"/>
                <w:bCs/>
                <w:szCs w:val="22"/>
                <w:lang w:val="fr-CH"/>
              </w:rPr>
              <w:t>Nouvelle Résolution [APT</w:t>
            </w:r>
            <w:r w:rsidRPr="0009168C">
              <w:rPr>
                <w:rFonts w:asciiTheme="majorBidi" w:hAnsiTheme="majorBidi" w:cstheme="majorBidi"/>
                <w:bCs/>
                <w:szCs w:val="22"/>
                <w:lang w:val="fr-CH"/>
              </w:rPr>
              <w:noBreakHyphen/>
              <w:t xml:space="preserve">2]/[IAP-3] </w:t>
            </w:r>
            <w:r w:rsidRPr="006D4558">
              <w:rPr>
                <w:rFonts w:asciiTheme="majorBidi" w:hAnsiTheme="majorBidi" w:cstheme="majorBidi"/>
                <w:bCs/>
                <w:szCs w:val="22"/>
                <w:lang w:val="fr-CH"/>
              </w:rPr>
              <w:t>Renforcer la normalisation de l'Internet des objets ainsi que des villes et communautés intelligentes pour le développement à l'échelle mondiale</w:t>
            </w:r>
          </w:p>
        </w:tc>
        <w:tc>
          <w:tcPr>
            <w:tcW w:w="2410" w:type="dxa"/>
          </w:tcPr>
          <w:p w:rsidR="006D4558" w:rsidRPr="0009168C" w:rsidRDefault="006D4558" w:rsidP="000F3B7B">
            <w:pPr>
              <w:pStyle w:val="Tabletext"/>
              <w:spacing w:before="120" w:after="120"/>
              <w:rPr>
                <w:rFonts w:asciiTheme="majorBidi" w:hAnsiTheme="majorBidi" w:cstheme="majorBidi"/>
                <w:bCs/>
                <w:szCs w:val="22"/>
                <w:lang w:val="fr-CH"/>
              </w:rPr>
            </w:pPr>
            <w:r w:rsidRPr="0009168C">
              <w:rPr>
                <w:rFonts w:asciiTheme="majorBidi" w:hAnsiTheme="majorBidi" w:cstheme="majorBidi"/>
                <w:bCs/>
                <w:szCs w:val="22"/>
                <w:lang w:val="fr-CH"/>
              </w:rPr>
              <w:t>Ateliers</w:t>
            </w:r>
          </w:p>
        </w:tc>
        <w:tc>
          <w:tcPr>
            <w:tcW w:w="3255" w:type="dxa"/>
          </w:tcPr>
          <w:p w:rsidR="006D4558" w:rsidRPr="0009168C" w:rsidRDefault="006D4558" w:rsidP="000F3B7B">
            <w:pPr>
              <w:pStyle w:val="Tabletext"/>
              <w:spacing w:before="120" w:after="120"/>
              <w:rPr>
                <w:rFonts w:asciiTheme="majorBidi" w:hAnsiTheme="majorBidi" w:cstheme="majorBidi"/>
                <w:bCs/>
                <w:szCs w:val="22"/>
                <w:lang w:val="fr-CH"/>
              </w:rPr>
            </w:pPr>
            <w:r w:rsidRPr="0009168C">
              <w:rPr>
                <w:rFonts w:asciiTheme="majorBidi" w:hAnsiTheme="majorBidi" w:cstheme="majorBidi"/>
                <w:bCs/>
                <w:szCs w:val="22"/>
                <w:lang w:val="fr-CH"/>
              </w:rPr>
              <w:t>60 000 CHF</w:t>
            </w:r>
          </w:p>
        </w:tc>
      </w:tr>
      <w:tr w:rsidR="006D4558" w:rsidRPr="00332CD1" w:rsidTr="000F3B7B">
        <w:trPr>
          <w:trHeight w:val="888"/>
        </w:trPr>
        <w:tc>
          <w:tcPr>
            <w:tcW w:w="3572" w:type="dxa"/>
          </w:tcPr>
          <w:p w:rsidR="006D4558" w:rsidRPr="0009168C" w:rsidRDefault="006D4558" w:rsidP="000F3B7B">
            <w:pPr>
              <w:pStyle w:val="Tabletext"/>
              <w:spacing w:before="120" w:after="120"/>
              <w:rPr>
                <w:rFonts w:asciiTheme="majorBidi" w:hAnsiTheme="majorBidi" w:cstheme="majorBidi"/>
                <w:b/>
                <w:szCs w:val="22"/>
                <w:lang w:val="fr-CH"/>
              </w:rPr>
            </w:pPr>
            <w:r w:rsidRPr="0009168C">
              <w:rPr>
                <w:rFonts w:asciiTheme="majorBidi" w:hAnsiTheme="majorBidi" w:cstheme="majorBidi"/>
                <w:b/>
                <w:szCs w:val="22"/>
                <w:lang w:val="fr-CH"/>
              </w:rPr>
              <w:t>Total pour l'option 1 (</w:t>
            </w:r>
            <w:proofErr w:type="spellStart"/>
            <w:r w:rsidRPr="0009168C">
              <w:rPr>
                <w:rFonts w:asciiTheme="majorBidi" w:hAnsiTheme="majorBidi" w:cstheme="majorBidi"/>
                <w:b/>
                <w:szCs w:val="22"/>
                <w:lang w:val="fr-CH"/>
              </w:rPr>
              <w:t>Rés</w:t>
            </w:r>
            <w:proofErr w:type="spellEnd"/>
            <w:r w:rsidRPr="0009168C">
              <w:rPr>
                <w:rFonts w:asciiTheme="majorBidi" w:hAnsiTheme="majorBidi" w:cstheme="majorBidi"/>
                <w:b/>
                <w:szCs w:val="22"/>
                <w:lang w:val="fr-CH"/>
              </w:rPr>
              <w:t>. 44)</w:t>
            </w:r>
          </w:p>
        </w:tc>
        <w:tc>
          <w:tcPr>
            <w:tcW w:w="2410" w:type="dxa"/>
          </w:tcPr>
          <w:p w:rsidR="006D4558" w:rsidRPr="0009168C" w:rsidRDefault="006D4558" w:rsidP="000F3B7B">
            <w:pPr>
              <w:pStyle w:val="Tabletext"/>
              <w:spacing w:before="120" w:after="120"/>
              <w:rPr>
                <w:rFonts w:asciiTheme="majorBidi" w:hAnsiTheme="majorBidi" w:cstheme="majorBidi"/>
                <w:b/>
                <w:szCs w:val="22"/>
                <w:lang w:val="fr-CH"/>
              </w:rPr>
            </w:pPr>
          </w:p>
        </w:tc>
        <w:tc>
          <w:tcPr>
            <w:tcW w:w="3255" w:type="dxa"/>
          </w:tcPr>
          <w:p w:rsidR="006D4558" w:rsidRPr="0009168C" w:rsidRDefault="006D4558" w:rsidP="000F3B7B">
            <w:pPr>
              <w:pStyle w:val="Tabletext"/>
              <w:spacing w:before="120" w:after="120"/>
              <w:rPr>
                <w:rFonts w:asciiTheme="majorBidi" w:hAnsiTheme="majorBidi" w:cstheme="majorBidi"/>
                <w:b/>
                <w:szCs w:val="22"/>
                <w:lang w:val="fr-CH"/>
              </w:rPr>
            </w:pPr>
            <w:r w:rsidRPr="0009168C">
              <w:rPr>
                <w:rFonts w:asciiTheme="majorBidi" w:hAnsiTheme="majorBidi" w:cstheme="majorBidi"/>
                <w:b/>
                <w:szCs w:val="22"/>
                <w:lang w:val="fr-CH"/>
              </w:rPr>
              <w:t>Entre 1 342 000 CHF et 1 628 000 CHF par exercice biennal</w:t>
            </w:r>
          </w:p>
        </w:tc>
      </w:tr>
      <w:tr w:rsidR="006D4558" w:rsidRPr="00332CD1" w:rsidTr="000F3B7B">
        <w:trPr>
          <w:trHeight w:val="830"/>
        </w:trPr>
        <w:tc>
          <w:tcPr>
            <w:tcW w:w="3572" w:type="dxa"/>
          </w:tcPr>
          <w:p w:rsidR="006D4558" w:rsidRPr="0009168C" w:rsidRDefault="006D4558" w:rsidP="000F3B7B">
            <w:pPr>
              <w:pStyle w:val="Tabletext"/>
              <w:spacing w:before="120" w:after="120"/>
              <w:rPr>
                <w:rFonts w:asciiTheme="majorBidi" w:hAnsiTheme="majorBidi" w:cstheme="majorBidi"/>
                <w:b/>
                <w:szCs w:val="22"/>
                <w:lang w:val="fr-CH"/>
              </w:rPr>
            </w:pPr>
            <w:r w:rsidRPr="0009168C">
              <w:rPr>
                <w:rFonts w:asciiTheme="majorBidi" w:hAnsiTheme="majorBidi" w:cstheme="majorBidi"/>
                <w:b/>
                <w:szCs w:val="22"/>
                <w:lang w:val="fr-CH"/>
              </w:rPr>
              <w:t>Total pour l'option 2 (</w:t>
            </w:r>
            <w:proofErr w:type="spellStart"/>
            <w:r w:rsidRPr="0009168C">
              <w:rPr>
                <w:rFonts w:asciiTheme="majorBidi" w:hAnsiTheme="majorBidi" w:cstheme="majorBidi"/>
                <w:b/>
                <w:szCs w:val="22"/>
                <w:lang w:val="fr-CH"/>
              </w:rPr>
              <w:t>Rés</w:t>
            </w:r>
            <w:proofErr w:type="spellEnd"/>
            <w:r w:rsidRPr="0009168C">
              <w:rPr>
                <w:rFonts w:asciiTheme="majorBidi" w:hAnsiTheme="majorBidi" w:cstheme="majorBidi"/>
                <w:b/>
                <w:szCs w:val="22"/>
                <w:lang w:val="fr-CH"/>
              </w:rPr>
              <w:t>. 44)</w:t>
            </w:r>
          </w:p>
        </w:tc>
        <w:tc>
          <w:tcPr>
            <w:tcW w:w="2410" w:type="dxa"/>
          </w:tcPr>
          <w:p w:rsidR="006D4558" w:rsidRPr="0009168C" w:rsidRDefault="006D4558" w:rsidP="000F3B7B">
            <w:pPr>
              <w:pStyle w:val="Tabletext"/>
              <w:spacing w:before="120" w:after="120"/>
              <w:rPr>
                <w:rFonts w:asciiTheme="majorBidi" w:hAnsiTheme="majorBidi" w:cstheme="majorBidi"/>
                <w:b/>
                <w:szCs w:val="22"/>
                <w:lang w:val="fr-CH"/>
              </w:rPr>
            </w:pPr>
          </w:p>
        </w:tc>
        <w:tc>
          <w:tcPr>
            <w:tcW w:w="3255" w:type="dxa"/>
          </w:tcPr>
          <w:p w:rsidR="006D4558" w:rsidRPr="0009168C" w:rsidRDefault="006D4558" w:rsidP="000F3B7B">
            <w:pPr>
              <w:pStyle w:val="Tabletext"/>
              <w:spacing w:before="120" w:after="120"/>
              <w:rPr>
                <w:rFonts w:asciiTheme="majorBidi" w:hAnsiTheme="majorBidi" w:cstheme="majorBidi"/>
                <w:b/>
                <w:szCs w:val="22"/>
                <w:lang w:val="fr-CH"/>
              </w:rPr>
            </w:pPr>
            <w:r w:rsidRPr="0009168C">
              <w:rPr>
                <w:rFonts w:asciiTheme="majorBidi" w:hAnsiTheme="majorBidi" w:cstheme="majorBidi"/>
                <w:b/>
                <w:szCs w:val="22"/>
                <w:lang w:val="fr-CH"/>
              </w:rPr>
              <w:t>Entre 2 602 000 CHF et 3 788 000 CHF par exercice biennal</w:t>
            </w:r>
          </w:p>
        </w:tc>
      </w:tr>
    </w:tbl>
    <w:p w:rsidR="006D4558" w:rsidRPr="00532423" w:rsidRDefault="006D4558" w:rsidP="006D4558">
      <w:pPr>
        <w:rPr>
          <w:rFonts w:asciiTheme="majorBidi" w:hAnsiTheme="majorBidi" w:cstheme="majorBidi"/>
          <w:szCs w:val="24"/>
          <w:lang w:val="fr-CH"/>
        </w:rPr>
      </w:pPr>
    </w:p>
    <w:p w:rsidR="006D4558" w:rsidRPr="00532423" w:rsidRDefault="006D4558" w:rsidP="006D4558">
      <w:pPr>
        <w:rPr>
          <w:rFonts w:asciiTheme="majorBidi" w:hAnsiTheme="majorBidi" w:cstheme="majorBidi"/>
          <w:szCs w:val="24"/>
          <w:lang w:val="fr-CH"/>
        </w:rPr>
      </w:pPr>
    </w:p>
    <w:p w:rsidR="006D4558" w:rsidRDefault="006D4558" w:rsidP="006D4558">
      <w:pPr>
        <w:overflowPunct/>
        <w:autoSpaceDE/>
        <w:autoSpaceDN/>
        <w:adjustRightInd/>
        <w:spacing w:before="0" w:after="160" w:line="259" w:lineRule="auto"/>
        <w:textAlignment w:val="auto"/>
        <w:rPr>
          <w:lang w:val="fr-CH"/>
        </w:rPr>
      </w:pPr>
      <w:r>
        <w:rPr>
          <w:lang w:val="fr-CH"/>
        </w:rPr>
        <w:br w:type="page"/>
      </w:r>
    </w:p>
    <w:p w:rsidR="006D4558" w:rsidRPr="00532423" w:rsidRDefault="006D4558" w:rsidP="006D4558">
      <w:pPr>
        <w:jc w:val="center"/>
        <w:rPr>
          <w:lang w:val="fr-CH"/>
        </w:rPr>
      </w:pPr>
      <w:r w:rsidRPr="007F28C1">
        <w:rPr>
          <w:lang w:val="fr-CH"/>
        </w:rPr>
        <w:lastRenderedPageBreak/>
        <w:t>EVALUATION DES COÛTS</w:t>
      </w:r>
    </w:p>
    <w:p w:rsidR="006D4558" w:rsidRPr="00532423" w:rsidRDefault="006D4558" w:rsidP="006D4558">
      <w:pPr>
        <w:pStyle w:val="Headingb"/>
      </w:pPr>
      <w:r>
        <w:t>Interpré</w:t>
      </w:r>
      <w:r w:rsidRPr="00532423">
        <w:t>tation</w:t>
      </w:r>
    </w:p>
    <w:p w:rsidR="006D4558" w:rsidRPr="00532423" w:rsidRDefault="006D4558" w:rsidP="006D4558">
      <w:pPr>
        <w:rPr>
          <w:lang w:val="fr-CH"/>
        </w:rPr>
      </w:pPr>
      <w:r>
        <w:rPr>
          <w:lang w:val="fr-CH"/>
        </w:rPr>
        <w:t>Réf.</w:t>
      </w:r>
      <w:r w:rsidRPr="00532423">
        <w:rPr>
          <w:lang w:val="fr-CH"/>
        </w:rPr>
        <w:t xml:space="preserve"> Document </w:t>
      </w:r>
      <w:hyperlink r:id="rId30" w:history="1">
        <w:r w:rsidRPr="00532423">
          <w:rPr>
            <w:rStyle w:val="Hyperlink"/>
            <w:lang w:val="fr-CH"/>
          </w:rPr>
          <w:t>72</w:t>
        </w:r>
      </w:hyperlink>
      <w:r w:rsidRPr="00532423">
        <w:rPr>
          <w:lang w:val="fr-CH"/>
        </w:rPr>
        <w:t xml:space="preserve"> (</w:t>
      </w:r>
      <w:r>
        <w:rPr>
          <w:lang w:val="fr-CH"/>
        </w:rPr>
        <w:t xml:space="preserve">point 6 du </w:t>
      </w:r>
      <w:r w:rsidRPr="00BE5F48">
        <w:rPr>
          <w:i/>
          <w:iCs/>
          <w:lang w:val="fr-CH"/>
        </w:rPr>
        <w:t>décide</w:t>
      </w:r>
      <w:r>
        <w:rPr>
          <w:i/>
          <w:iCs/>
          <w:lang w:val="fr-CH"/>
        </w:rPr>
        <w:t xml:space="preserve"> </w:t>
      </w:r>
      <w:r>
        <w:rPr>
          <w:lang w:val="fr-CH"/>
        </w:rPr>
        <w:t xml:space="preserve">de la Résolution </w:t>
      </w:r>
      <w:proofErr w:type="gramStart"/>
      <w:r>
        <w:rPr>
          <w:lang w:val="fr-CH"/>
        </w:rPr>
        <w:t>44:</w:t>
      </w:r>
      <w:proofErr w:type="gramEnd"/>
      <w:r>
        <w:rPr>
          <w:lang w:val="fr-CH"/>
        </w:rPr>
        <w:t xml:space="preserve"> "</w:t>
      </w:r>
      <w:r w:rsidRPr="006D4558">
        <w:rPr>
          <w:lang w:val="fr-CH"/>
        </w:rPr>
        <w:t>que l'interprétation doit être assurée, selon les demandes des participants, pendant toute la durée des séances plénières et réunions des groupes de travail des commissions d'études ainsi que pendant toute la durée des réunions du GCNT</w:t>
      </w:r>
      <w:r w:rsidRPr="00532423">
        <w:rPr>
          <w:lang w:val="fr-CH"/>
        </w:rPr>
        <w:t>)</w:t>
      </w:r>
      <w:r>
        <w:rPr>
          <w:lang w:val="fr-CH"/>
        </w:rPr>
        <w:t>"</w:t>
      </w:r>
      <w:r w:rsidRPr="00532423">
        <w:rPr>
          <w:lang w:val="fr-CH"/>
        </w:rPr>
        <w:t>.</w:t>
      </w:r>
    </w:p>
    <w:p w:rsidR="006D4558" w:rsidRDefault="006D4558" w:rsidP="006D4558">
      <w:pPr>
        <w:rPr>
          <w:lang w:val="fr-CH"/>
        </w:rPr>
      </w:pPr>
      <w:r>
        <w:rPr>
          <w:lang w:val="fr-CH"/>
        </w:rPr>
        <w:t>Le budget de l'UIT-T pour l'interprétation en 2017 est de 313 000 CHF.</w:t>
      </w:r>
    </w:p>
    <w:p w:rsidR="006D4558" w:rsidRPr="00532423" w:rsidRDefault="006D4558" w:rsidP="006D4558">
      <w:pPr>
        <w:rPr>
          <w:lang w:val="fr-CH"/>
        </w:rPr>
      </w:pPr>
      <w:r>
        <w:rPr>
          <w:lang w:val="fr-CH"/>
        </w:rPr>
        <w:t xml:space="preserve">Le coût approximatif d'une journée d'interprétation est </w:t>
      </w:r>
      <w:proofErr w:type="gramStart"/>
      <w:r>
        <w:rPr>
          <w:lang w:val="fr-CH"/>
        </w:rPr>
        <w:t>de</w:t>
      </w:r>
      <w:r w:rsidRPr="00532423">
        <w:rPr>
          <w:lang w:val="fr-CH"/>
        </w:rPr>
        <w:t>:</w:t>
      </w:r>
      <w:proofErr w:type="gramEnd"/>
      <w:r w:rsidRPr="00532423">
        <w:rPr>
          <w:lang w:val="fr-CH"/>
        </w:rPr>
        <w:t xml:space="preserve"> </w:t>
      </w:r>
    </w:p>
    <w:p w:rsidR="006D4558" w:rsidRPr="00532423" w:rsidRDefault="006D4558" w:rsidP="006D4558">
      <w:pPr>
        <w:pStyle w:val="enumlev1"/>
        <w:rPr>
          <w:lang w:val="fr-CH"/>
        </w:rPr>
      </w:pPr>
      <w:r w:rsidRPr="000C4970">
        <w:rPr>
          <w:lang w:val="fr-CH"/>
        </w:rPr>
        <w:t>–</w:t>
      </w:r>
      <w:r>
        <w:rPr>
          <w:lang w:val="fr-CH"/>
        </w:rPr>
        <w:tab/>
      </w:r>
      <w:r w:rsidRPr="00532423">
        <w:rPr>
          <w:lang w:val="fr-CH"/>
        </w:rPr>
        <w:t>12</w:t>
      </w:r>
      <w:r>
        <w:rPr>
          <w:lang w:val="fr-CH"/>
        </w:rPr>
        <w:t> 000 </w:t>
      </w:r>
      <w:r w:rsidRPr="00532423">
        <w:rPr>
          <w:lang w:val="fr-CH"/>
        </w:rPr>
        <w:t xml:space="preserve">CHF </w:t>
      </w:r>
      <w:r>
        <w:rPr>
          <w:lang w:val="fr-CH"/>
        </w:rPr>
        <w:t xml:space="preserve">lorsque l'interprétation est assurée dans les 6 </w:t>
      </w:r>
      <w:proofErr w:type="gramStart"/>
      <w:r>
        <w:rPr>
          <w:lang w:val="fr-CH"/>
        </w:rPr>
        <w:t>langues;</w:t>
      </w:r>
      <w:proofErr w:type="gramEnd"/>
    </w:p>
    <w:p w:rsidR="006D4558" w:rsidRPr="00532423" w:rsidRDefault="006D4558" w:rsidP="006D4558">
      <w:pPr>
        <w:pStyle w:val="enumlev1"/>
        <w:rPr>
          <w:lang w:val="fr-CH"/>
        </w:rPr>
      </w:pPr>
      <w:r w:rsidRPr="000C4970">
        <w:rPr>
          <w:lang w:val="fr-CH"/>
        </w:rPr>
        <w:t>–</w:t>
      </w:r>
      <w:r>
        <w:rPr>
          <w:lang w:val="fr-CH"/>
        </w:rPr>
        <w:tab/>
      </w:r>
      <w:r w:rsidRPr="00532423">
        <w:rPr>
          <w:lang w:val="fr-CH"/>
        </w:rPr>
        <w:t>9</w:t>
      </w:r>
      <w:r>
        <w:rPr>
          <w:lang w:val="fr-CH"/>
        </w:rPr>
        <w:t> 000 </w:t>
      </w:r>
      <w:r w:rsidRPr="00532423">
        <w:rPr>
          <w:lang w:val="fr-CH"/>
        </w:rPr>
        <w:t xml:space="preserve">CHF </w:t>
      </w:r>
      <w:r>
        <w:rPr>
          <w:lang w:val="fr-CH"/>
        </w:rPr>
        <w:t xml:space="preserve">lorsque l'interprétation est assurée dans 5 </w:t>
      </w:r>
      <w:proofErr w:type="gramStart"/>
      <w:r>
        <w:rPr>
          <w:lang w:val="fr-CH"/>
        </w:rPr>
        <w:t>langues;</w:t>
      </w:r>
      <w:proofErr w:type="gramEnd"/>
    </w:p>
    <w:p w:rsidR="006D4558" w:rsidRPr="00532423" w:rsidRDefault="006D4558" w:rsidP="006D4558">
      <w:pPr>
        <w:pStyle w:val="enumlev1"/>
        <w:rPr>
          <w:lang w:val="fr-CH"/>
        </w:rPr>
      </w:pPr>
      <w:r w:rsidRPr="000C4970">
        <w:rPr>
          <w:lang w:val="fr-CH"/>
        </w:rPr>
        <w:t>–</w:t>
      </w:r>
      <w:r>
        <w:rPr>
          <w:lang w:val="fr-CH"/>
        </w:rPr>
        <w:tab/>
      </w:r>
      <w:r w:rsidRPr="00532423">
        <w:rPr>
          <w:lang w:val="fr-CH"/>
        </w:rPr>
        <w:t>7</w:t>
      </w:r>
      <w:r>
        <w:rPr>
          <w:lang w:val="fr-CH"/>
        </w:rPr>
        <w:t> 000 </w:t>
      </w:r>
      <w:r w:rsidRPr="00532423">
        <w:rPr>
          <w:lang w:val="fr-CH"/>
        </w:rPr>
        <w:t xml:space="preserve">CHF </w:t>
      </w:r>
      <w:r>
        <w:rPr>
          <w:lang w:val="fr-CH"/>
        </w:rPr>
        <w:t>lorsque l'interprétation est assurée dans 4 langues.</w:t>
      </w:r>
    </w:p>
    <w:p w:rsidR="006D4558" w:rsidRDefault="006D4558" w:rsidP="006D4558">
      <w:pPr>
        <w:rPr>
          <w:lang w:val="fr-CH"/>
        </w:rPr>
      </w:pPr>
      <w:r>
        <w:rPr>
          <w:lang w:val="fr-CH"/>
        </w:rPr>
        <w:t>Actuellement, l'interprétation est assurée aux réunions du GCNT pendant deux jours (séances d'ouverture et de clôture). Si l'interprétation devait être assurée pendant toute la durée des réunions du GCNT, les dépenses supplémentaires s'élèveraient à 36 000 CHF environ par réunion du GCNT (pour une réunion du GCNT d'une durée de 5 jours) ou à 24 000 CHF environ par réunion du GCNT (pour une réunion du GCNT d'une durée de 4 jours). Par exercice biennal, les incidences financières seraient comprises entre 72 000 CHF (3 réunions du GCNT de 4 jours) et 108 000 CHF (3 réunions du GCNT de 5 jours).</w:t>
      </w:r>
    </w:p>
    <w:p w:rsidR="006D4558" w:rsidRPr="00532423" w:rsidRDefault="006D4558" w:rsidP="006D4558">
      <w:pPr>
        <w:rPr>
          <w:lang w:val="fr-CH"/>
        </w:rPr>
      </w:pPr>
      <w:r w:rsidRPr="00532423">
        <w:rPr>
          <w:u w:val="single"/>
          <w:lang w:val="fr-CH"/>
        </w:rPr>
        <w:t>Option</w:t>
      </w:r>
      <w:r>
        <w:rPr>
          <w:u w:val="single"/>
          <w:lang w:val="fr-CH"/>
        </w:rPr>
        <w:t xml:space="preserve"> </w:t>
      </w:r>
      <w:r w:rsidRPr="00532423">
        <w:rPr>
          <w:u w:val="single"/>
          <w:lang w:val="fr-CH"/>
        </w:rPr>
        <w:t>1</w:t>
      </w:r>
    </w:p>
    <w:p w:rsidR="006D4558" w:rsidRDefault="006D4558" w:rsidP="006D4558">
      <w:pPr>
        <w:rPr>
          <w:lang w:val="fr-CH"/>
        </w:rPr>
      </w:pPr>
      <w:r>
        <w:rPr>
          <w:lang w:val="fr-CH"/>
        </w:rPr>
        <w:t>Actuellement, l'interprétation est assurée pour les séances de clôture des réunions des commissions d'études. La fourniture d'un service d'interprétation pour les séances plénières des commissions d'études (séances d'ouverture et de clôture) et pour les réunions isolées des groupes de travail (séances d'ouverture et de clôture) se traduirait par 25 journées d'interprétation supplémentaires. On peut estimer que les incidences financières seraient comprises entre 350 000 CHF et 600 000 CHF par exercice biennal, en fonction du nombre de langues requises.</w:t>
      </w:r>
    </w:p>
    <w:p w:rsidR="006D4558" w:rsidRPr="00532423" w:rsidRDefault="006D4558" w:rsidP="006D4558">
      <w:pPr>
        <w:rPr>
          <w:lang w:val="fr-CH"/>
        </w:rPr>
      </w:pPr>
    </w:p>
    <w:tbl>
      <w:tblPr>
        <w:tblStyle w:val="TableGrid"/>
        <w:tblW w:w="0" w:type="auto"/>
        <w:tblLook w:val="04A0" w:firstRow="1" w:lastRow="0" w:firstColumn="1" w:lastColumn="0" w:noHBand="0" w:noVBand="1"/>
      </w:tblPr>
      <w:tblGrid>
        <w:gridCol w:w="1944"/>
        <w:gridCol w:w="1923"/>
        <w:gridCol w:w="1515"/>
        <w:gridCol w:w="1984"/>
        <w:gridCol w:w="2263"/>
      </w:tblGrid>
      <w:tr w:rsidR="006D4558" w:rsidRPr="00332CD1" w:rsidTr="000F3B7B">
        <w:tc>
          <w:tcPr>
            <w:tcW w:w="1944" w:type="dxa"/>
          </w:tcPr>
          <w:p w:rsidR="006D4558" w:rsidRPr="00532423" w:rsidRDefault="006D4558" w:rsidP="000F3B7B">
            <w:pPr>
              <w:pStyle w:val="Tabletext"/>
              <w:jc w:val="center"/>
              <w:rPr>
                <w:lang w:val="fr-CH"/>
              </w:rPr>
            </w:pPr>
            <w:r>
              <w:rPr>
                <w:lang w:val="fr-CH"/>
              </w:rPr>
              <w:t>Nombre de journées d'interprétation supplémentaires</w:t>
            </w:r>
          </w:p>
        </w:tc>
        <w:tc>
          <w:tcPr>
            <w:tcW w:w="1923" w:type="dxa"/>
          </w:tcPr>
          <w:p w:rsidR="006D4558" w:rsidRPr="00532423" w:rsidRDefault="006D4558" w:rsidP="000F3B7B">
            <w:pPr>
              <w:pStyle w:val="Tabletext"/>
              <w:jc w:val="center"/>
              <w:rPr>
                <w:lang w:val="fr-CH"/>
              </w:rPr>
            </w:pPr>
            <w:r>
              <w:rPr>
                <w:lang w:val="fr-CH"/>
              </w:rPr>
              <w:t>Nombre de langues</w:t>
            </w:r>
          </w:p>
        </w:tc>
        <w:tc>
          <w:tcPr>
            <w:tcW w:w="1515" w:type="dxa"/>
          </w:tcPr>
          <w:p w:rsidR="006D4558" w:rsidRPr="00532423" w:rsidRDefault="006D4558" w:rsidP="000F3B7B">
            <w:pPr>
              <w:pStyle w:val="Tabletext"/>
              <w:jc w:val="center"/>
              <w:rPr>
                <w:lang w:val="fr-CH"/>
              </w:rPr>
            </w:pPr>
            <w:r>
              <w:rPr>
                <w:lang w:val="fr-CH"/>
              </w:rPr>
              <w:t>Coût par jour (en milliers de CHF</w:t>
            </w:r>
            <w:r w:rsidRPr="00532423">
              <w:rPr>
                <w:lang w:val="fr-CH"/>
              </w:rPr>
              <w:t>)</w:t>
            </w:r>
          </w:p>
        </w:tc>
        <w:tc>
          <w:tcPr>
            <w:tcW w:w="1984" w:type="dxa"/>
          </w:tcPr>
          <w:p w:rsidR="006D4558" w:rsidRPr="00532423" w:rsidRDefault="006D4558" w:rsidP="000F3B7B">
            <w:pPr>
              <w:pStyle w:val="Tabletext"/>
              <w:jc w:val="center"/>
              <w:rPr>
                <w:lang w:val="fr-CH"/>
              </w:rPr>
            </w:pPr>
            <w:r>
              <w:rPr>
                <w:lang w:val="fr-CH"/>
              </w:rPr>
              <w:t xml:space="preserve">Dépenses supplémentaires par an </w:t>
            </w:r>
            <w:r w:rsidRPr="00532423">
              <w:rPr>
                <w:lang w:val="fr-CH"/>
              </w:rPr>
              <w:t>(</w:t>
            </w:r>
            <w:r>
              <w:rPr>
                <w:lang w:val="fr-CH"/>
              </w:rPr>
              <w:t>en milliers de CHF</w:t>
            </w:r>
            <w:r w:rsidRPr="00532423">
              <w:rPr>
                <w:lang w:val="fr-CH"/>
              </w:rPr>
              <w:t>)</w:t>
            </w:r>
          </w:p>
        </w:tc>
        <w:tc>
          <w:tcPr>
            <w:tcW w:w="2263" w:type="dxa"/>
          </w:tcPr>
          <w:p w:rsidR="006D4558" w:rsidRPr="00532423" w:rsidRDefault="006D4558" w:rsidP="000F3B7B">
            <w:pPr>
              <w:pStyle w:val="Tabletext"/>
              <w:jc w:val="center"/>
              <w:rPr>
                <w:lang w:val="fr-CH"/>
              </w:rPr>
            </w:pPr>
            <w:r>
              <w:rPr>
                <w:lang w:val="fr-CH"/>
              </w:rPr>
              <w:t>Dépenses supplémentaires par exercice biennal (en milliers de CHF</w:t>
            </w:r>
            <w:r w:rsidRPr="00532423">
              <w:rPr>
                <w:lang w:val="fr-CH"/>
              </w:rPr>
              <w:t>)</w:t>
            </w:r>
          </w:p>
        </w:tc>
      </w:tr>
      <w:tr w:rsidR="006D4558" w:rsidRPr="00532423" w:rsidTr="000F3B7B">
        <w:tc>
          <w:tcPr>
            <w:tcW w:w="1944" w:type="dxa"/>
          </w:tcPr>
          <w:p w:rsidR="006D4558" w:rsidRPr="00532423" w:rsidRDefault="006D4558" w:rsidP="000F3B7B">
            <w:pPr>
              <w:pStyle w:val="Tabletext"/>
              <w:jc w:val="center"/>
              <w:rPr>
                <w:lang w:val="fr-CH"/>
              </w:rPr>
            </w:pPr>
            <w:r w:rsidRPr="00532423">
              <w:rPr>
                <w:lang w:val="fr-CH"/>
              </w:rPr>
              <w:t>25</w:t>
            </w:r>
          </w:p>
        </w:tc>
        <w:tc>
          <w:tcPr>
            <w:tcW w:w="1923" w:type="dxa"/>
          </w:tcPr>
          <w:p w:rsidR="006D4558" w:rsidRPr="00532423" w:rsidRDefault="006D4558" w:rsidP="000F3B7B">
            <w:pPr>
              <w:pStyle w:val="Tabletext"/>
              <w:jc w:val="center"/>
              <w:rPr>
                <w:lang w:val="fr-CH"/>
              </w:rPr>
            </w:pPr>
            <w:r w:rsidRPr="00532423">
              <w:rPr>
                <w:lang w:val="fr-CH"/>
              </w:rPr>
              <w:t>6</w:t>
            </w:r>
          </w:p>
        </w:tc>
        <w:tc>
          <w:tcPr>
            <w:tcW w:w="1515" w:type="dxa"/>
          </w:tcPr>
          <w:p w:rsidR="006D4558" w:rsidRPr="00532423" w:rsidRDefault="006D4558" w:rsidP="000F3B7B">
            <w:pPr>
              <w:pStyle w:val="Tabletext"/>
              <w:jc w:val="right"/>
              <w:rPr>
                <w:lang w:val="fr-CH"/>
              </w:rPr>
            </w:pPr>
            <w:r w:rsidRPr="00532423">
              <w:rPr>
                <w:lang w:val="fr-CH"/>
              </w:rPr>
              <w:t>12</w:t>
            </w:r>
          </w:p>
        </w:tc>
        <w:tc>
          <w:tcPr>
            <w:tcW w:w="1984" w:type="dxa"/>
          </w:tcPr>
          <w:p w:rsidR="006D4558" w:rsidRPr="00532423" w:rsidRDefault="006D4558" w:rsidP="000F3B7B">
            <w:pPr>
              <w:pStyle w:val="Tabletext"/>
              <w:jc w:val="right"/>
              <w:rPr>
                <w:lang w:val="fr-CH"/>
              </w:rPr>
            </w:pPr>
            <w:r w:rsidRPr="00532423">
              <w:rPr>
                <w:lang w:val="fr-CH"/>
              </w:rPr>
              <w:t>300</w:t>
            </w:r>
          </w:p>
        </w:tc>
        <w:tc>
          <w:tcPr>
            <w:tcW w:w="2263" w:type="dxa"/>
          </w:tcPr>
          <w:p w:rsidR="006D4558" w:rsidRPr="00532423" w:rsidRDefault="006D4558" w:rsidP="000F3B7B">
            <w:pPr>
              <w:pStyle w:val="Tabletext"/>
              <w:jc w:val="right"/>
              <w:rPr>
                <w:lang w:val="fr-CH"/>
              </w:rPr>
            </w:pPr>
            <w:r w:rsidRPr="00532423">
              <w:rPr>
                <w:lang w:val="fr-CH"/>
              </w:rPr>
              <w:t>600</w:t>
            </w:r>
          </w:p>
        </w:tc>
      </w:tr>
      <w:tr w:rsidR="006D4558" w:rsidRPr="00532423" w:rsidTr="000F3B7B">
        <w:tc>
          <w:tcPr>
            <w:tcW w:w="1944" w:type="dxa"/>
          </w:tcPr>
          <w:p w:rsidR="006D4558" w:rsidRPr="00532423" w:rsidRDefault="006D4558" w:rsidP="000F3B7B">
            <w:pPr>
              <w:pStyle w:val="Tabletext"/>
              <w:jc w:val="center"/>
              <w:rPr>
                <w:lang w:val="fr-CH"/>
              </w:rPr>
            </w:pPr>
            <w:r w:rsidRPr="00532423">
              <w:rPr>
                <w:lang w:val="fr-CH"/>
              </w:rPr>
              <w:t>25</w:t>
            </w:r>
          </w:p>
        </w:tc>
        <w:tc>
          <w:tcPr>
            <w:tcW w:w="1923" w:type="dxa"/>
          </w:tcPr>
          <w:p w:rsidR="006D4558" w:rsidRPr="00532423" w:rsidRDefault="006D4558" w:rsidP="000F3B7B">
            <w:pPr>
              <w:pStyle w:val="Tabletext"/>
              <w:jc w:val="center"/>
              <w:rPr>
                <w:lang w:val="fr-CH"/>
              </w:rPr>
            </w:pPr>
            <w:r w:rsidRPr="00532423">
              <w:rPr>
                <w:lang w:val="fr-CH"/>
              </w:rPr>
              <w:t>5</w:t>
            </w:r>
          </w:p>
        </w:tc>
        <w:tc>
          <w:tcPr>
            <w:tcW w:w="1515" w:type="dxa"/>
          </w:tcPr>
          <w:p w:rsidR="006D4558" w:rsidRPr="00532423" w:rsidRDefault="006D4558" w:rsidP="000F3B7B">
            <w:pPr>
              <w:pStyle w:val="Tabletext"/>
              <w:jc w:val="right"/>
              <w:rPr>
                <w:lang w:val="fr-CH"/>
              </w:rPr>
            </w:pPr>
            <w:r w:rsidRPr="00532423">
              <w:rPr>
                <w:lang w:val="fr-CH"/>
              </w:rPr>
              <w:t>9</w:t>
            </w:r>
          </w:p>
        </w:tc>
        <w:tc>
          <w:tcPr>
            <w:tcW w:w="1984" w:type="dxa"/>
          </w:tcPr>
          <w:p w:rsidR="006D4558" w:rsidRPr="00532423" w:rsidRDefault="006D4558" w:rsidP="000F3B7B">
            <w:pPr>
              <w:pStyle w:val="Tabletext"/>
              <w:jc w:val="right"/>
              <w:rPr>
                <w:lang w:val="fr-CH"/>
              </w:rPr>
            </w:pPr>
            <w:r w:rsidRPr="00532423">
              <w:rPr>
                <w:lang w:val="fr-CH"/>
              </w:rPr>
              <w:t>225</w:t>
            </w:r>
          </w:p>
        </w:tc>
        <w:tc>
          <w:tcPr>
            <w:tcW w:w="2263" w:type="dxa"/>
          </w:tcPr>
          <w:p w:rsidR="006D4558" w:rsidRPr="00532423" w:rsidRDefault="006D4558" w:rsidP="000F3B7B">
            <w:pPr>
              <w:pStyle w:val="Tabletext"/>
              <w:jc w:val="right"/>
              <w:rPr>
                <w:lang w:val="fr-CH"/>
              </w:rPr>
            </w:pPr>
            <w:r w:rsidRPr="00532423">
              <w:rPr>
                <w:lang w:val="fr-CH"/>
              </w:rPr>
              <w:t>450</w:t>
            </w:r>
          </w:p>
        </w:tc>
      </w:tr>
      <w:tr w:rsidR="006D4558" w:rsidRPr="00532423" w:rsidTr="000F3B7B">
        <w:tc>
          <w:tcPr>
            <w:tcW w:w="1944" w:type="dxa"/>
          </w:tcPr>
          <w:p w:rsidR="006D4558" w:rsidRPr="00532423" w:rsidRDefault="006D4558" w:rsidP="000F3B7B">
            <w:pPr>
              <w:pStyle w:val="Tabletext"/>
              <w:jc w:val="center"/>
              <w:rPr>
                <w:lang w:val="fr-CH"/>
              </w:rPr>
            </w:pPr>
            <w:r w:rsidRPr="00532423">
              <w:rPr>
                <w:lang w:val="fr-CH"/>
              </w:rPr>
              <w:t>25</w:t>
            </w:r>
          </w:p>
        </w:tc>
        <w:tc>
          <w:tcPr>
            <w:tcW w:w="1923" w:type="dxa"/>
          </w:tcPr>
          <w:p w:rsidR="006D4558" w:rsidRPr="00532423" w:rsidRDefault="006D4558" w:rsidP="000F3B7B">
            <w:pPr>
              <w:pStyle w:val="Tabletext"/>
              <w:jc w:val="center"/>
              <w:rPr>
                <w:lang w:val="fr-CH"/>
              </w:rPr>
            </w:pPr>
            <w:r w:rsidRPr="00532423">
              <w:rPr>
                <w:lang w:val="fr-CH"/>
              </w:rPr>
              <w:t>4</w:t>
            </w:r>
          </w:p>
        </w:tc>
        <w:tc>
          <w:tcPr>
            <w:tcW w:w="1515" w:type="dxa"/>
          </w:tcPr>
          <w:p w:rsidR="006D4558" w:rsidRPr="00532423" w:rsidRDefault="006D4558" w:rsidP="000F3B7B">
            <w:pPr>
              <w:pStyle w:val="Tabletext"/>
              <w:jc w:val="right"/>
              <w:rPr>
                <w:lang w:val="fr-CH"/>
              </w:rPr>
            </w:pPr>
            <w:r w:rsidRPr="00532423">
              <w:rPr>
                <w:lang w:val="fr-CH"/>
              </w:rPr>
              <w:t>7</w:t>
            </w:r>
          </w:p>
        </w:tc>
        <w:tc>
          <w:tcPr>
            <w:tcW w:w="1984" w:type="dxa"/>
          </w:tcPr>
          <w:p w:rsidR="006D4558" w:rsidRPr="00532423" w:rsidRDefault="006D4558" w:rsidP="000F3B7B">
            <w:pPr>
              <w:pStyle w:val="Tabletext"/>
              <w:jc w:val="right"/>
              <w:rPr>
                <w:lang w:val="fr-CH"/>
              </w:rPr>
            </w:pPr>
            <w:r w:rsidRPr="00532423">
              <w:rPr>
                <w:lang w:val="fr-CH"/>
              </w:rPr>
              <w:t>175</w:t>
            </w:r>
          </w:p>
        </w:tc>
        <w:tc>
          <w:tcPr>
            <w:tcW w:w="2263" w:type="dxa"/>
          </w:tcPr>
          <w:p w:rsidR="006D4558" w:rsidRPr="00532423" w:rsidRDefault="006D4558" w:rsidP="000F3B7B">
            <w:pPr>
              <w:pStyle w:val="Tabletext"/>
              <w:jc w:val="right"/>
              <w:rPr>
                <w:lang w:val="fr-CH"/>
              </w:rPr>
            </w:pPr>
            <w:r w:rsidRPr="00532423">
              <w:rPr>
                <w:lang w:val="fr-CH"/>
              </w:rPr>
              <w:t>350</w:t>
            </w:r>
          </w:p>
        </w:tc>
      </w:tr>
    </w:tbl>
    <w:p w:rsidR="006D4558" w:rsidRPr="00532423" w:rsidRDefault="006D4558" w:rsidP="006D4558">
      <w:pPr>
        <w:rPr>
          <w:lang w:val="fr-CH"/>
        </w:rPr>
      </w:pPr>
    </w:p>
    <w:p w:rsidR="006D4558" w:rsidRPr="00532423" w:rsidRDefault="006D4558" w:rsidP="006D4558">
      <w:pPr>
        <w:rPr>
          <w:u w:val="single"/>
          <w:lang w:val="fr-CH"/>
        </w:rPr>
      </w:pPr>
      <w:r>
        <w:rPr>
          <w:u w:val="single"/>
          <w:lang w:val="fr-CH"/>
        </w:rPr>
        <w:t>Option 2</w:t>
      </w:r>
    </w:p>
    <w:p w:rsidR="006D4558" w:rsidRDefault="006D4558" w:rsidP="006D4558">
      <w:pPr>
        <w:rPr>
          <w:lang w:val="fr-CH"/>
        </w:rPr>
      </w:pPr>
      <w:r>
        <w:rPr>
          <w:lang w:val="fr-CH"/>
        </w:rPr>
        <w:t>La fourniture d'un service d'interprétation pour les séances plénières des commissions d'études (séances d'ouverture et de clôture) et pour les séances plénières de tous les groupes de travail (séances d'ouverture et de clôture) se traduirait par 115 journées d'interprétation supplémentaires. On peut estimer que les incidences financières maximales seraient comprises entre 1 610 000 CHF et 2 760 000 CHF par exercice biennal,</w:t>
      </w:r>
      <w:r w:rsidRPr="00856E21">
        <w:rPr>
          <w:lang w:val="fr-CH"/>
        </w:rPr>
        <w:t xml:space="preserve"> </w:t>
      </w:r>
      <w:r>
        <w:rPr>
          <w:lang w:val="fr-CH"/>
        </w:rPr>
        <w:t>en fonction du nombre de langues requises.</w:t>
      </w:r>
    </w:p>
    <w:p w:rsidR="00957CFB" w:rsidRDefault="00957CFB" w:rsidP="006D4558">
      <w:pPr>
        <w:rPr>
          <w:lang w:val="fr-CH"/>
        </w:rPr>
      </w:pPr>
      <w:r>
        <w:rPr>
          <w:lang w:val="fr-CH"/>
        </w:rPr>
        <w:br w:type="page"/>
      </w:r>
    </w:p>
    <w:p w:rsidR="006D4558" w:rsidRDefault="006D4558" w:rsidP="006D4558">
      <w:pPr>
        <w:rPr>
          <w:lang w:val="fr-CH"/>
        </w:rPr>
      </w:pPr>
    </w:p>
    <w:tbl>
      <w:tblPr>
        <w:tblStyle w:val="TableGrid"/>
        <w:tblW w:w="0" w:type="auto"/>
        <w:tblLook w:val="04A0" w:firstRow="1" w:lastRow="0" w:firstColumn="1" w:lastColumn="0" w:noHBand="0" w:noVBand="1"/>
      </w:tblPr>
      <w:tblGrid>
        <w:gridCol w:w="1944"/>
        <w:gridCol w:w="1923"/>
        <w:gridCol w:w="1515"/>
        <w:gridCol w:w="1984"/>
        <w:gridCol w:w="2263"/>
      </w:tblGrid>
      <w:tr w:rsidR="006D4558" w:rsidRPr="00332CD1" w:rsidTr="000F3B7B">
        <w:tc>
          <w:tcPr>
            <w:tcW w:w="1944" w:type="dxa"/>
          </w:tcPr>
          <w:p w:rsidR="006D4558" w:rsidRPr="00532423" w:rsidRDefault="006D4558" w:rsidP="000F3B7B">
            <w:pPr>
              <w:pStyle w:val="Tabletext"/>
              <w:jc w:val="center"/>
              <w:rPr>
                <w:lang w:val="fr-CH"/>
              </w:rPr>
            </w:pPr>
            <w:r>
              <w:rPr>
                <w:lang w:val="fr-CH"/>
              </w:rPr>
              <w:t>Nombre de journées d'interprétation supplémentaires</w:t>
            </w:r>
          </w:p>
        </w:tc>
        <w:tc>
          <w:tcPr>
            <w:tcW w:w="1923" w:type="dxa"/>
          </w:tcPr>
          <w:p w:rsidR="006D4558" w:rsidRPr="00532423" w:rsidRDefault="006D4558" w:rsidP="000F3B7B">
            <w:pPr>
              <w:pStyle w:val="Tabletext"/>
              <w:jc w:val="center"/>
              <w:rPr>
                <w:lang w:val="fr-CH"/>
              </w:rPr>
            </w:pPr>
            <w:r>
              <w:rPr>
                <w:lang w:val="fr-CH"/>
              </w:rPr>
              <w:t>Nombre de langues</w:t>
            </w:r>
          </w:p>
        </w:tc>
        <w:tc>
          <w:tcPr>
            <w:tcW w:w="1515" w:type="dxa"/>
          </w:tcPr>
          <w:p w:rsidR="006D4558" w:rsidRPr="00532423" w:rsidRDefault="006D4558" w:rsidP="000F3B7B">
            <w:pPr>
              <w:pStyle w:val="Tabletext"/>
              <w:jc w:val="center"/>
              <w:rPr>
                <w:lang w:val="fr-CH"/>
              </w:rPr>
            </w:pPr>
            <w:r>
              <w:rPr>
                <w:lang w:val="fr-CH"/>
              </w:rPr>
              <w:t>Coût par jour (en milliers de CHF</w:t>
            </w:r>
            <w:r w:rsidRPr="00532423">
              <w:rPr>
                <w:lang w:val="fr-CH"/>
              </w:rPr>
              <w:t>)</w:t>
            </w:r>
          </w:p>
        </w:tc>
        <w:tc>
          <w:tcPr>
            <w:tcW w:w="1984" w:type="dxa"/>
          </w:tcPr>
          <w:p w:rsidR="006D4558" w:rsidRPr="00532423" w:rsidRDefault="006D4558" w:rsidP="000F3B7B">
            <w:pPr>
              <w:pStyle w:val="Tabletext"/>
              <w:jc w:val="center"/>
              <w:rPr>
                <w:lang w:val="fr-CH"/>
              </w:rPr>
            </w:pPr>
            <w:r>
              <w:rPr>
                <w:lang w:val="fr-CH"/>
              </w:rPr>
              <w:t xml:space="preserve">Dépenses supplémentaires par an </w:t>
            </w:r>
            <w:r w:rsidRPr="00532423">
              <w:rPr>
                <w:lang w:val="fr-CH"/>
              </w:rPr>
              <w:t>(</w:t>
            </w:r>
            <w:r>
              <w:rPr>
                <w:lang w:val="fr-CH"/>
              </w:rPr>
              <w:t>en milliers de CHF</w:t>
            </w:r>
            <w:r w:rsidRPr="00532423">
              <w:rPr>
                <w:lang w:val="fr-CH"/>
              </w:rPr>
              <w:t>)</w:t>
            </w:r>
          </w:p>
        </w:tc>
        <w:tc>
          <w:tcPr>
            <w:tcW w:w="2263" w:type="dxa"/>
          </w:tcPr>
          <w:p w:rsidR="006D4558" w:rsidRPr="00532423" w:rsidRDefault="006D4558" w:rsidP="000F3B7B">
            <w:pPr>
              <w:pStyle w:val="Tabletext"/>
              <w:jc w:val="center"/>
              <w:rPr>
                <w:lang w:val="fr-CH"/>
              </w:rPr>
            </w:pPr>
            <w:r>
              <w:rPr>
                <w:lang w:val="fr-CH"/>
              </w:rPr>
              <w:t>Dépenses supplémentaires par exercice biennal (en milliers de CHF</w:t>
            </w:r>
            <w:r w:rsidRPr="00532423">
              <w:rPr>
                <w:lang w:val="fr-CH"/>
              </w:rPr>
              <w:t>)</w:t>
            </w:r>
          </w:p>
        </w:tc>
      </w:tr>
      <w:tr w:rsidR="006D4558" w:rsidRPr="00532423" w:rsidTr="000F3B7B">
        <w:tc>
          <w:tcPr>
            <w:tcW w:w="1944" w:type="dxa"/>
          </w:tcPr>
          <w:p w:rsidR="006D4558" w:rsidRPr="00532423" w:rsidRDefault="006D4558" w:rsidP="000F3B7B">
            <w:pPr>
              <w:pStyle w:val="Tabletext"/>
              <w:jc w:val="center"/>
              <w:rPr>
                <w:lang w:val="fr-CH"/>
              </w:rPr>
            </w:pPr>
            <w:r w:rsidRPr="00532423">
              <w:rPr>
                <w:lang w:val="fr-CH"/>
              </w:rPr>
              <w:t>115</w:t>
            </w:r>
          </w:p>
        </w:tc>
        <w:tc>
          <w:tcPr>
            <w:tcW w:w="1923" w:type="dxa"/>
          </w:tcPr>
          <w:p w:rsidR="006D4558" w:rsidRPr="00532423" w:rsidRDefault="006D4558" w:rsidP="000F3B7B">
            <w:pPr>
              <w:pStyle w:val="Tabletext"/>
              <w:jc w:val="center"/>
              <w:rPr>
                <w:lang w:val="fr-CH"/>
              </w:rPr>
            </w:pPr>
            <w:r w:rsidRPr="00532423">
              <w:rPr>
                <w:lang w:val="fr-CH"/>
              </w:rPr>
              <w:t>6</w:t>
            </w:r>
          </w:p>
        </w:tc>
        <w:tc>
          <w:tcPr>
            <w:tcW w:w="1515" w:type="dxa"/>
          </w:tcPr>
          <w:p w:rsidR="006D4558" w:rsidRPr="00532423" w:rsidRDefault="006D4558" w:rsidP="000F3B7B">
            <w:pPr>
              <w:pStyle w:val="Tabletext"/>
              <w:jc w:val="right"/>
              <w:rPr>
                <w:lang w:val="fr-CH"/>
              </w:rPr>
            </w:pPr>
            <w:r w:rsidRPr="00532423">
              <w:rPr>
                <w:lang w:val="fr-CH"/>
              </w:rPr>
              <w:t>12</w:t>
            </w:r>
          </w:p>
        </w:tc>
        <w:tc>
          <w:tcPr>
            <w:tcW w:w="1984" w:type="dxa"/>
          </w:tcPr>
          <w:p w:rsidR="006D4558" w:rsidRPr="00532423" w:rsidRDefault="006D4558" w:rsidP="000F3B7B">
            <w:pPr>
              <w:pStyle w:val="Tabletext"/>
              <w:jc w:val="right"/>
              <w:rPr>
                <w:lang w:val="fr-CH"/>
              </w:rPr>
            </w:pPr>
            <w:r w:rsidRPr="00532423">
              <w:rPr>
                <w:lang w:val="fr-CH"/>
              </w:rPr>
              <w:t>1</w:t>
            </w:r>
            <w:r>
              <w:rPr>
                <w:lang w:val="fr-CH"/>
              </w:rPr>
              <w:t> </w:t>
            </w:r>
            <w:r w:rsidRPr="00532423">
              <w:rPr>
                <w:lang w:val="fr-CH"/>
              </w:rPr>
              <w:t>380</w:t>
            </w:r>
          </w:p>
        </w:tc>
        <w:tc>
          <w:tcPr>
            <w:tcW w:w="2263" w:type="dxa"/>
          </w:tcPr>
          <w:p w:rsidR="006D4558" w:rsidRPr="00532423" w:rsidRDefault="006D4558" w:rsidP="000F3B7B">
            <w:pPr>
              <w:pStyle w:val="Tabletext"/>
              <w:jc w:val="right"/>
              <w:rPr>
                <w:lang w:val="fr-CH"/>
              </w:rPr>
            </w:pPr>
            <w:r w:rsidRPr="00532423">
              <w:rPr>
                <w:lang w:val="fr-CH"/>
              </w:rPr>
              <w:t>2</w:t>
            </w:r>
            <w:r>
              <w:rPr>
                <w:lang w:val="fr-CH"/>
              </w:rPr>
              <w:t> </w:t>
            </w:r>
            <w:r w:rsidRPr="00532423">
              <w:rPr>
                <w:lang w:val="fr-CH"/>
              </w:rPr>
              <w:t>760</w:t>
            </w:r>
          </w:p>
        </w:tc>
      </w:tr>
      <w:tr w:rsidR="006D4558" w:rsidRPr="00532423" w:rsidTr="000F3B7B">
        <w:tc>
          <w:tcPr>
            <w:tcW w:w="1944" w:type="dxa"/>
          </w:tcPr>
          <w:p w:rsidR="006D4558" w:rsidRPr="00532423" w:rsidRDefault="006D4558" w:rsidP="000F3B7B">
            <w:pPr>
              <w:pStyle w:val="Tabletext"/>
              <w:jc w:val="center"/>
              <w:rPr>
                <w:lang w:val="fr-CH"/>
              </w:rPr>
            </w:pPr>
            <w:r w:rsidRPr="00532423">
              <w:rPr>
                <w:lang w:val="fr-CH"/>
              </w:rPr>
              <w:t>115</w:t>
            </w:r>
          </w:p>
        </w:tc>
        <w:tc>
          <w:tcPr>
            <w:tcW w:w="1923" w:type="dxa"/>
          </w:tcPr>
          <w:p w:rsidR="006D4558" w:rsidRPr="00532423" w:rsidRDefault="006D4558" w:rsidP="000F3B7B">
            <w:pPr>
              <w:pStyle w:val="Tabletext"/>
              <w:jc w:val="center"/>
              <w:rPr>
                <w:lang w:val="fr-CH"/>
              </w:rPr>
            </w:pPr>
            <w:r w:rsidRPr="00532423">
              <w:rPr>
                <w:lang w:val="fr-CH"/>
              </w:rPr>
              <w:t>5</w:t>
            </w:r>
          </w:p>
        </w:tc>
        <w:tc>
          <w:tcPr>
            <w:tcW w:w="1515" w:type="dxa"/>
          </w:tcPr>
          <w:p w:rsidR="006D4558" w:rsidRPr="00532423" w:rsidRDefault="006D4558" w:rsidP="000F3B7B">
            <w:pPr>
              <w:pStyle w:val="Tabletext"/>
              <w:jc w:val="right"/>
              <w:rPr>
                <w:lang w:val="fr-CH"/>
              </w:rPr>
            </w:pPr>
            <w:r w:rsidRPr="00532423">
              <w:rPr>
                <w:lang w:val="fr-CH"/>
              </w:rPr>
              <w:t>9</w:t>
            </w:r>
          </w:p>
        </w:tc>
        <w:tc>
          <w:tcPr>
            <w:tcW w:w="1984" w:type="dxa"/>
          </w:tcPr>
          <w:p w:rsidR="006D4558" w:rsidRPr="00532423" w:rsidRDefault="006D4558" w:rsidP="000F3B7B">
            <w:pPr>
              <w:pStyle w:val="Tabletext"/>
              <w:jc w:val="right"/>
              <w:rPr>
                <w:lang w:val="fr-CH"/>
              </w:rPr>
            </w:pPr>
            <w:r w:rsidRPr="00532423">
              <w:rPr>
                <w:lang w:val="fr-CH"/>
              </w:rPr>
              <w:t>1</w:t>
            </w:r>
            <w:r>
              <w:rPr>
                <w:lang w:val="fr-CH"/>
              </w:rPr>
              <w:t> </w:t>
            </w:r>
            <w:r w:rsidRPr="00532423">
              <w:rPr>
                <w:lang w:val="fr-CH"/>
              </w:rPr>
              <w:t>035</w:t>
            </w:r>
          </w:p>
        </w:tc>
        <w:tc>
          <w:tcPr>
            <w:tcW w:w="2263" w:type="dxa"/>
          </w:tcPr>
          <w:p w:rsidR="006D4558" w:rsidRPr="00532423" w:rsidRDefault="006D4558" w:rsidP="000F3B7B">
            <w:pPr>
              <w:pStyle w:val="Tabletext"/>
              <w:jc w:val="right"/>
              <w:rPr>
                <w:lang w:val="fr-CH"/>
              </w:rPr>
            </w:pPr>
            <w:r w:rsidRPr="00532423">
              <w:rPr>
                <w:lang w:val="fr-CH"/>
              </w:rPr>
              <w:t>2</w:t>
            </w:r>
            <w:r>
              <w:rPr>
                <w:lang w:val="fr-CH"/>
              </w:rPr>
              <w:t> </w:t>
            </w:r>
            <w:r w:rsidRPr="00532423">
              <w:rPr>
                <w:lang w:val="fr-CH"/>
              </w:rPr>
              <w:t>070</w:t>
            </w:r>
          </w:p>
        </w:tc>
      </w:tr>
      <w:tr w:rsidR="006D4558" w:rsidRPr="00532423" w:rsidTr="000F3B7B">
        <w:tc>
          <w:tcPr>
            <w:tcW w:w="1944" w:type="dxa"/>
          </w:tcPr>
          <w:p w:rsidR="006D4558" w:rsidRPr="00532423" w:rsidRDefault="006D4558" w:rsidP="000F3B7B">
            <w:pPr>
              <w:pStyle w:val="Tabletext"/>
              <w:jc w:val="center"/>
              <w:rPr>
                <w:lang w:val="fr-CH"/>
              </w:rPr>
            </w:pPr>
            <w:r w:rsidRPr="00532423">
              <w:rPr>
                <w:lang w:val="fr-CH"/>
              </w:rPr>
              <w:t>115</w:t>
            </w:r>
          </w:p>
        </w:tc>
        <w:tc>
          <w:tcPr>
            <w:tcW w:w="1923" w:type="dxa"/>
          </w:tcPr>
          <w:p w:rsidR="006D4558" w:rsidRPr="00532423" w:rsidRDefault="006D4558" w:rsidP="000F3B7B">
            <w:pPr>
              <w:pStyle w:val="Tabletext"/>
              <w:jc w:val="center"/>
              <w:rPr>
                <w:lang w:val="fr-CH"/>
              </w:rPr>
            </w:pPr>
            <w:r w:rsidRPr="00532423">
              <w:rPr>
                <w:lang w:val="fr-CH"/>
              </w:rPr>
              <w:t>4</w:t>
            </w:r>
          </w:p>
        </w:tc>
        <w:tc>
          <w:tcPr>
            <w:tcW w:w="1515" w:type="dxa"/>
          </w:tcPr>
          <w:p w:rsidR="006D4558" w:rsidRPr="00532423" w:rsidRDefault="006D4558" w:rsidP="000F3B7B">
            <w:pPr>
              <w:pStyle w:val="Tabletext"/>
              <w:jc w:val="right"/>
              <w:rPr>
                <w:lang w:val="fr-CH"/>
              </w:rPr>
            </w:pPr>
            <w:r w:rsidRPr="00532423">
              <w:rPr>
                <w:lang w:val="fr-CH"/>
              </w:rPr>
              <w:t>7</w:t>
            </w:r>
          </w:p>
        </w:tc>
        <w:tc>
          <w:tcPr>
            <w:tcW w:w="1984" w:type="dxa"/>
          </w:tcPr>
          <w:p w:rsidR="006D4558" w:rsidRPr="00532423" w:rsidRDefault="006D4558" w:rsidP="000F3B7B">
            <w:pPr>
              <w:pStyle w:val="Tabletext"/>
              <w:jc w:val="right"/>
              <w:rPr>
                <w:lang w:val="fr-CH"/>
              </w:rPr>
            </w:pPr>
            <w:r w:rsidRPr="00532423">
              <w:rPr>
                <w:lang w:val="fr-CH"/>
              </w:rPr>
              <w:t>805</w:t>
            </w:r>
          </w:p>
        </w:tc>
        <w:tc>
          <w:tcPr>
            <w:tcW w:w="2263" w:type="dxa"/>
          </w:tcPr>
          <w:p w:rsidR="006D4558" w:rsidRPr="00532423" w:rsidRDefault="006D4558" w:rsidP="000F3B7B">
            <w:pPr>
              <w:pStyle w:val="Tabletext"/>
              <w:jc w:val="right"/>
              <w:rPr>
                <w:lang w:val="fr-CH"/>
              </w:rPr>
            </w:pPr>
            <w:r w:rsidRPr="00532423">
              <w:rPr>
                <w:lang w:val="fr-CH"/>
              </w:rPr>
              <w:t>1</w:t>
            </w:r>
            <w:r>
              <w:rPr>
                <w:lang w:val="fr-CH"/>
              </w:rPr>
              <w:t> </w:t>
            </w:r>
            <w:r w:rsidRPr="00532423">
              <w:rPr>
                <w:lang w:val="fr-CH"/>
              </w:rPr>
              <w:t>610</w:t>
            </w:r>
          </w:p>
        </w:tc>
      </w:tr>
    </w:tbl>
    <w:p w:rsidR="006D4558" w:rsidRPr="00532423" w:rsidRDefault="006D4558" w:rsidP="006D4558">
      <w:pPr>
        <w:rPr>
          <w:highlight w:val="yellow"/>
          <w:lang w:val="fr-CH"/>
        </w:rPr>
      </w:pPr>
    </w:p>
    <w:p w:rsidR="006D4558" w:rsidRPr="00532423" w:rsidRDefault="006D4558" w:rsidP="006D4558">
      <w:pPr>
        <w:pStyle w:val="Headingb"/>
      </w:pPr>
      <w:r>
        <w:t>Services de conseil</w:t>
      </w:r>
    </w:p>
    <w:p w:rsidR="006D4558" w:rsidRPr="00532423" w:rsidRDefault="006D4558" w:rsidP="006D4558">
      <w:pPr>
        <w:rPr>
          <w:rFonts w:asciiTheme="majorBidi" w:hAnsiTheme="majorBidi" w:cstheme="majorBidi"/>
          <w:bCs/>
          <w:szCs w:val="24"/>
          <w:lang w:val="fr-CH"/>
        </w:rPr>
      </w:pPr>
      <w:r>
        <w:rPr>
          <w:rFonts w:asciiTheme="majorBidi" w:hAnsiTheme="majorBidi" w:cstheme="majorBidi"/>
          <w:bCs/>
          <w:szCs w:val="24"/>
          <w:lang w:val="fr-CH"/>
        </w:rPr>
        <w:t xml:space="preserve">Réf. nouvelle Résolution </w:t>
      </w:r>
      <w:r w:rsidRPr="00532423">
        <w:rPr>
          <w:rFonts w:asciiTheme="majorBidi" w:hAnsiTheme="majorBidi" w:cstheme="majorBidi"/>
          <w:bCs/>
          <w:szCs w:val="24"/>
          <w:lang w:val="fr-CH"/>
        </w:rPr>
        <w:t>[RCC-3]</w:t>
      </w:r>
      <w:r>
        <w:rPr>
          <w:rFonts w:asciiTheme="majorBidi" w:hAnsiTheme="majorBidi" w:cstheme="majorBidi"/>
          <w:bCs/>
          <w:szCs w:val="24"/>
          <w:lang w:val="fr-CH"/>
        </w:rPr>
        <w:t xml:space="preserve"> et nouvelle Résolution </w:t>
      </w:r>
      <w:r w:rsidRPr="00532423">
        <w:rPr>
          <w:rFonts w:asciiTheme="majorBidi" w:hAnsiTheme="majorBidi" w:cstheme="majorBidi"/>
          <w:bCs/>
          <w:szCs w:val="24"/>
          <w:lang w:val="fr-CH"/>
        </w:rPr>
        <w:t>[AFCP-2]</w:t>
      </w:r>
    </w:p>
    <w:p w:rsidR="006D4558" w:rsidRDefault="006D4558" w:rsidP="006D4558">
      <w:pPr>
        <w:rPr>
          <w:rFonts w:asciiTheme="majorBidi" w:hAnsiTheme="majorBidi" w:cstheme="majorBidi"/>
          <w:bCs/>
          <w:lang w:val="fr-CH"/>
        </w:rPr>
      </w:pPr>
      <w:r>
        <w:rPr>
          <w:rFonts w:asciiTheme="majorBidi" w:hAnsiTheme="majorBidi" w:cstheme="majorBidi"/>
          <w:bCs/>
          <w:lang w:val="fr-CH"/>
        </w:rPr>
        <w:t xml:space="preserve">La mise en œuvre de ce qui précède nécessitera </w:t>
      </w:r>
      <w:r w:rsidRPr="00DE1DE7">
        <w:rPr>
          <w:rFonts w:asciiTheme="majorBidi" w:hAnsiTheme="majorBidi" w:cstheme="majorBidi"/>
          <w:bCs/>
          <w:lang w:val="fr-CH"/>
        </w:rPr>
        <w:t>le recrutement d'experts dans le cadre de contrats</w:t>
      </w:r>
      <w:r>
        <w:rPr>
          <w:rFonts w:asciiTheme="majorBidi" w:hAnsiTheme="majorBidi" w:cstheme="majorBidi"/>
          <w:bCs/>
          <w:lang w:val="fr-CH"/>
        </w:rPr>
        <w:t xml:space="preserve"> </w:t>
      </w:r>
      <w:r w:rsidRPr="00DE1DE7">
        <w:rPr>
          <w:rFonts w:asciiTheme="majorBidi" w:hAnsiTheme="majorBidi" w:cstheme="majorBidi"/>
          <w:bCs/>
          <w:lang w:val="fr-CH"/>
        </w:rPr>
        <w:t>d'engagements spéciaux (SSA) portant</w:t>
      </w:r>
      <w:r>
        <w:rPr>
          <w:rFonts w:asciiTheme="majorBidi" w:hAnsiTheme="majorBidi" w:cstheme="majorBidi"/>
          <w:bCs/>
          <w:lang w:val="fr-CH"/>
        </w:rPr>
        <w:t xml:space="preserve"> sur l'élaboration de rapports et d'études.</w:t>
      </w:r>
    </w:p>
    <w:p w:rsidR="006D4558" w:rsidRPr="00532423" w:rsidRDefault="006D4558" w:rsidP="006D4558">
      <w:pPr>
        <w:pStyle w:val="Headingb"/>
      </w:pPr>
      <w:r>
        <w:t>Atelier/séminaires</w:t>
      </w:r>
    </w:p>
    <w:p w:rsidR="006D4558" w:rsidRPr="00532423" w:rsidRDefault="006D4558" w:rsidP="006D4558">
      <w:pPr>
        <w:rPr>
          <w:rFonts w:asciiTheme="majorBidi" w:hAnsiTheme="majorBidi" w:cstheme="majorBidi"/>
          <w:bCs/>
          <w:szCs w:val="24"/>
          <w:lang w:val="fr-CH"/>
        </w:rPr>
      </w:pPr>
      <w:r w:rsidRPr="00532423">
        <w:rPr>
          <w:rFonts w:asciiTheme="majorBidi" w:hAnsiTheme="majorBidi" w:cstheme="majorBidi"/>
          <w:bCs/>
          <w:szCs w:val="24"/>
          <w:lang w:val="fr-CH"/>
        </w:rPr>
        <w:t>R</w:t>
      </w:r>
      <w:r>
        <w:rPr>
          <w:rFonts w:asciiTheme="majorBidi" w:hAnsiTheme="majorBidi" w:cstheme="majorBidi"/>
          <w:bCs/>
          <w:szCs w:val="24"/>
          <w:lang w:val="fr-CH"/>
        </w:rPr>
        <w:t>é</w:t>
      </w:r>
      <w:r w:rsidRPr="00532423">
        <w:rPr>
          <w:rFonts w:asciiTheme="majorBidi" w:hAnsiTheme="majorBidi" w:cstheme="majorBidi"/>
          <w:bCs/>
          <w:szCs w:val="24"/>
          <w:lang w:val="fr-CH"/>
        </w:rPr>
        <w:t>f. R</w:t>
      </w:r>
      <w:r>
        <w:rPr>
          <w:rFonts w:asciiTheme="majorBidi" w:hAnsiTheme="majorBidi" w:cstheme="majorBidi"/>
          <w:bCs/>
          <w:szCs w:val="24"/>
          <w:lang w:val="fr-CH"/>
        </w:rPr>
        <w:t>é</w:t>
      </w:r>
      <w:r w:rsidRPr="00532423">
        <w:rPr>
          <w:rFonts w:asciiTheme="majorBidi" w:hAnsiTheme="majorBidi" w:cstheme="majorBidi"/>
          <w:bCs/>
          <w:szCs w:val="24"/>
          <w:lang w:val="fr-CH"/>
        </w:rPr>
        <w:t>solution 77,</w:t>
      </w:r>
      <w:r>
        <w:rPr>
          <w:rFonts w:asciiTheme="majorBidi" w:hAnsiTheme="majorBidi" w:cstheme="majorBidi"/>
          <w:bCs/>
          <w:szCs w:val="24"/>
          <w:lang w:val="fr-CH"/>
        </w:rPr>
        <w:t xml:space="preserve"> nouvelle Résolution </w:t>
      </w:r>
      <w:r w:rsidRPr="00532423">
        <w:rPr>
          <w:rFonts w:asciiTheme="majorBidi" w:hAnsiTheme="majorBidi" w:cstheme="majorBidi"/>
          <w:bCs/>
          <w:szCs w:val="24"/>
          <w:lang w:val="fr-CH"/>
        </w:rPr>
        <w:t xml:space="preserve">[APT-3], </w:t>
      </w:r>
      <w:r>
        <w:rPr>
          <w:rFonts w:asciiTheme="majorBidi" w:hAnsiTheme="majorBidi" w:cstheme="majorBidi"/>
          <w:bCs/>
          <w:szCs w:val="24"/>
          <w:lang w:val="fr-CH"/>
        </w:rPr>
        <w:t xml:space="preserve">nouvelle Résolution </w:t>
      </w:r>
      <w:r w:rsidRPr="00532423">
        <w:rPr>
          <w:rFonts w:asciiTheme="majorBidi" w:hAnsiTheme="majorBidi" w:cstheme="majorBidi"/>
          <w:bCs/>
          <w:szCs w:val="24"/>
          <w:lang w:val="fr-CH"/>
        </w:rPr>
        <w:t xml:space="preserve">[AFCP-2] </w:t>
      </w:r>
      <w:r>
        <w:rPr>
          <w:rFonts w:asciiTheme="majorBidi" w:hAnsiTheme="majorBidi" w:cstheme="majorBidi"/>
          <w:bCs/>
          <w:szCs w:val="24"/>
          <w:lang w:val="fr-CH"/>
        </w:rPr>
        <w:t>et</w:t>
      </w:r>
      <w:r w:rsidRPr="00532423">
        <w:rPr>
          <w:rFonts w:asciiTheme="majorBidi" w:hAnsiTheme="majorBidi" w:cstheme="majorBidi"/>
          <w:bCs/>
          <w:szCs w:val="24"/>
          <w:lang w:val="fr-CH"/>
        </w:rPr>
        <w:t xml:space="preserve"> </w:t>
      </w:r>
      <w:r>
        <w:rPr>
          <w:rFonts w:asciiTheme="majorBidi" w:hAnsiTheme="majorBidi" w:cstheme="majorBidi"/>
          <w:bCs/>
          <w:szCs w:val="24"/>
          <w:lang w:val="fr-CH"/>
        </w:rPr>
        <w:t>nouvelle Résolution</w:t>
      </w:r>
      <w:r w:rsidRPr="00532423">
        <w:rPr>
          <w:rFonts w:asciiTheme="majorBidi" w:hAnsiTheme="majorBidi" w:cstheme="majorBidi"/>
          <w:bCs/>
          <w:szCs w:val="24"/>
          <w:lang w:val="fr-CH"/>
        </w:rPr>
        <w:t xml:space="preserve"> [APT-2]/[IAP-3]</w:t>
      </w:r>
    </w:p>
    <w:p w:rsidR="006D4558" w:rsidRDefault="006D4558" w:rsidP="006D4558">
      <w:pPr>
        <w:rPr>
          <w:rFonts w:asciiTheme="majorBidi" w:hAnsiTheme="majorBidi" w:cstheme="majorBidi"/>
          <w:bCs/>
          <w:szCs w:val="24"/>
          <w:lang w:val="fr-CH"/>
        </w:rPr>
      </w:pPr>
      <w:r>
        <w:rPr>
          <w:rFonts w:asciiTheme="majorBidi" w:hAnsiTheme="majorBidi" w:cstheme="majorBidi"/>
          <w:bCs/>
          <w:szCs w:val="24"/>
          <w:lang w:val="fr-CH"/>
        </w:rPr>
        <w:t>L'organisation d'ateliers/de séminaire entraîne des frais de voyage pour le personnel de l'UIT, des frais de voyage pour les experts dans certains cas, l'octroi de bourses, la location de salles de réunion et d'équipements audiovisuels, pour un montant estimé à 30 000 CHF par atelier/séminaire.</w:t>
      </w:r>
    </w:p>
    <w:p w:rsidR="006D4558" w:rsidRDefault="006D4558" w:rsidP="006D4558">
      <w:pPr>
        <w:rPr>
          <w:rFonts w:asciiTheme="majorBidi" w:hAnsiTheme="majorBidi" w:cstheme="majorBidi"/>
          <w:bCs/>
          <w:lang w:val="fr-CH"/>
        </w:rPr>
      </w:pPr>
      <w:r>
        <w:rPr>
          <w:rFonts w:asciiTheme="majorBidi" w:hAnsiTheme="majorBidi" w:cstheme="majorBidi"/>
          <w:bCs/>
          <w:lang w:val="fr-CH"/>
        </w:rPr>
        <w:t xml:space="preserve">Le nombre ci-après d'ateliers par an est pris en compte dans l'estimation des incidences </w:t>
      </w:r>
      <w:proofErr w:type="gramStart"/>
      <w:r>
        <w:rPr>
          <w:rFonts w:asciiTheme="majorBidi" w:hAnsiTheme="majorBidi" w:cstheme="majorBidi"/>
          <w:bCs/>
          <w:lang w:val="fr-CH"/>
        </w:rPr>
        <w:t>possibles:</w:t>
      </w:r>
      <w:proofErr w:type="gramEnd"/>
    </w:p>
    <w:p w:rsidR="006D4558" w:rsidRDefault="006D4558" w:rsidP="006D4558">
      <w:pPr>
        <w:spacing w:before="0"/>
        <w:rPr>
          <w:lang w:val="fr-CH"/>
        </w:rPr>
      </w:pPr>
    </w:p>
    <w:tbl>
      <w:tblPr>
        <w:tblStyle w:val="TableGrid"/>
        <w:tblW w:w="0" w:type="auto"/>
        <w:jc w:val="center"/>
        <w:tblLook w:val="04A0" w:firstRow="1" w:lastRow="0" w:firstColumn="1" w:lastColumn="0" w:noHBand="0" w:noVBand="1"/>
      </w:tblPr>
      <w:tblGrid>
        <w:gridCol w:w="3975"/>
        <w:gridCol w:w="1701"/>
      </w:tblGrid>
      <w:tr w:rsidR="006D4558" w:rsidRPr="00532423" w:rsidTr="000F3B7B">
        <w:trPr>
          <w:jc w:val="center"/>
        </w:trPr>
        <w:tc>
          <w:tcPr>
            <w:tcW w:w="3975" w:type="dxa"/>
          </w:tcPr>
          <w:p w:rsidR="006D4558" w:rsidRPr="00532423" w:rsidRDefault="006D4558" w:rsidP="000F3B7B">
            <w:pPr>
              <w:rPr>
                <w:rFonts w:asciiTheme="majorBidi" w:hAnsiTheme="majorBidi" w:cstheme="majorBidi"/>
                <w:bCs/>
                <w:lang w:val="fr-CH"/>
              </w:rPr>
            </w:pPr>
            <w:r w:rsidRPr="00532423">
              <w:rPr>
                <w:rFonts w:asciiTheme="majorBidi" w:hAnsiTheme="majorBidi" w:cstheme="majorBidi"/>
                <w:bCs/>
                <w:szCs w:val="24"/>
                <w:lang w:val="fr-CH"/>
              </w:rPr>
              <w:t>R</w:t>
            </w:r>
            <w:r>
              <w:rPr>
                <w:rFonts w:asciiTheme="majorBidi" w:hAnsiTheme="majorBidi" w:cstheme="majorBidi"/>
                <w:bCs/>
                <w:szCs w:val="24"/>
                <w:lang w:val="fr-CH"/>
              </w:rPr>
              <w:t>é</w:t>
            </w:r>
            <w:r w:rsidRPr="00532423">
              <w:rPr>
                <w:rFonts w:asciiTheme="majorBidi" w:hAnsiTheme="majorBidi" w:cstheme="majorBidi"/>
                <w:bCs/>
                <w:szCs w:val="24"/>
                <w:lang w:val="fr-CH"/>
              </w:rPr>
              <w:t xml:space="preserve">solution </w:t>
            </w:r>
            <w:r w:rsidRPr="00532423">
              <w:rPr>
                <w:rFonts w:asciiTheme="majorBidi" w:hAnsiTheme="majorBidi" w:cstheme="majorBidi"/>
                <w:bCs/>
                <w:lang w:val="fr-CH"/>
              </w:rPr>
              <w:t>77</w:t>
            </w:r>
          </w:p>
        </w:tc>
        <w:tc>
          <w:tcPr>
            <w:tcW w:w="1701" w:type="dxa"/>
          </w:tcPr>
          <w:p w:rsidR="006D4558" w:rsidRPr="00532423" w:rsidRDefault="006D4558" w:rsidP="000F3B7B">
            <w:pPr>
              <w:jc w:val="center"/>
              <w:rPr>
                <w:rFonts w:asciiTheme="majorBidi" w:hAnsiTheme="majorBidi" w:cstheme="majorBidi"/>
                <w:bCs/>
                <w:lang w:val="fr-CH"/>
              </w:rPr>
            </w:pPr>
            <w:r w:rsidRPr="00532423">
              <w:rPr>
                <w:rFonts w:asciiTheme="majorBidi" w:hAnsiTheme="majorBidi" w:cstheme="majorBidi"/>
                <w:bCs/>
                <w:lang w:val="fr-CH"/>
              </w:rPr>
              <w:t>3</w:t>
            </w:r>
          </w:p>
        </w:tc>
      </w:tr>
      <w:tr w:rsidR="006D4558" w:rsidRPr="00532423" w:rsidTr="000F3B7B">
        <w:trPr>
          <w:jc w:val="center"/>
        </w:trPr>
        <w:tc>
          <w:tcPr>
            <w:tcW w:w="3975" w:type="dxa"/>
          </w:tcPr>
          <w:p w:rsidR="006D4558" w:rsidRPr="00532423" w:rsidRDefault="006D4558" w:rsidP="000F3B7B">
            <w:pPr>
              <w:rPr>
                <w:rFonts w:asciiTheme="majorBidi" w:hAnsiTheme="majorBidi" w:cstheme="majorBidi"/>
                <w:bCs/>
                <w:lang w:val="fr-CH"/>
              </w:rPr>
            </w:pPr>
            <w:r>
              <w:rPr>
                <w:rFonts w:asciiTheme="majorBidi" w:hAnsiTheme="majorBidi" w:cstheme="majorBidi"/>
                <w:bCs/>
                <w:szCs w:val="24"/>
                <w:lang w:val="fr-CH"/>
              </w:rPr>
              <w:t xml:space="preserve">Nouvelle Résolution </w:t>
            </w:r>
            <w:r w:rsidRPr="00532423">
              <w:rPr>
                <w:rFonts w:asciiTheme="majorBidi" w:hAnsiTheme="majorBidi" w:cstheme="majorBidi"/>
                <w:bCs/>
                <w:szCs w:val="24"/>
                <w:lang w:val="fr-CH"/>
              </w:rPr>
              <w:t>[APT-3]</w:t>
            </w:r>
          </w:p>
        </w:tc>
        <w:tc>
          <w:tcPr>
            <w:tcW w:w="1701" w:type="dxa"/>
          </w:tcPr>
          <w:p w:rsidR="006D4558" w:rsidRPr="00532423" w:rsidRDefault="006D4558" w:rsidP="000F3B7B">
            <w:pPr>
              <w:jc w:val="center"/>
              <w:rPr>
                <w:rFonts w:asciiTheme="majorBidi" w:hAnsiTheme="majorBidi" w:cstheme="majorBidi"/>
                <w:bCs/>
                <w:lang w:val="fr-CH"/>
              </w:rPr>
            </w:pPr>
            <w:r w:rsidRPr="00532423">
              <w:rPr>
                <w:rFonts w:asciiTheme="majorBidi" w:hAnsiTheme="majorBidi" w:cstheme="majorBidi"/>
                <w:bCs/>
                <w:lang w:val="fr-CH"/>
              </w:rPr>
              <w:t>1</w:t>
            </w:r>
          </w:p>
        </w:tc>
      </w:tr>
      <w:tr w:rsidR="006D4558" w:rsidRPr="00532423" w:rsidTr="000F3B7B">
        <w:trPr>
          <w:jc w:val="center"/>
        </w:trPr>
        <w:tc>
          <w:tcPr>
            <w:tcW w:w="3975" w:type="dxa"/>
          </w:tcPr>
          <w:p w:rsidR="006D4558" w:rsidRPr="00532423" w:rsidRDefault="006D4558" w:rsidP="000F3B7B">
            <w:pPr>
              <w:rPr>
                <w:rFonts w:asciiTheme="majorBidi" w:hAnsiTheme="majorBidi" w:cstheme="majorBidi"/>
                <w:bCs/>
                <w:lang w:val="fr-CH"/>
              </w:rPr>
            </w:pPr>
            <w:r>
              <w:rPr>
                <w:rFonts w:asciiTheme="majorBidi" w:hAnsiTheme="majorBidi" w:cstheme="majorBidi"/>
                <w:bCs/>
                <w:szCs w:val="24"/>
                <w:lang w:val="fr-CH"/>
              </w:rPr>
              <w:t xml:space="preserve">Nouvelle Résolution </w:t>
            </w:r>
            <w:r w:rsidRPr="00532423">
              <w:rPr>
                <w:rFonts w:asciiTheme="majorBidi" w:hAnsiTheme="majorBidi" w:cstheme="majorBidi"/>
                <w:bCs/>
                <w:szCs w:val="24"/>
                <w:lang w:val="fr-CH"/>
              </w:rPr>
              <w:t>[AFCP-2]</w:t>
            </w:r>
          </w:p>
        </w:tc>
        <w:tc>
          <w:tcPr>
            <w:tcW w:w="1701" w:type="dxa"/>
          </w:tcPr>
          <w:p w:rsidR="006D4558" w:rsidRPr="00532423" w:rsidRDefault="006D4558" w:rsidP="000F3B7B">
            <w:pPr>
              <w:jc w:val="center"/>
              <w:rPr>
                <w:rFonts w:asciiTheme="majorBidi" w:hAnsiTheme="majorBidi" w:cstheme="majorBidi"/>
                <w:bCs/>
                <w:lang w:val="fr-CH"/>
              </w:rPr>
            </w:pPr>
            <w:r w:rsidRPr="00532423">
              <w:rPr>
                <w:rFonts w:asciiTheme="majorBidi" w:hAnsiTheme="majorBidi" w:cstheme="majorBidi"/>
                <w:bCs/>
                <w:lang w:val="fr-CH"/>
              </w:rPr>
              <w:t>3</w:t>
            </w:r>
          </w:p>
        </w:tc>
      </w:tr>
      <w:tr w:rsidR="006D4558" w:rsidRPr="00532423" w:rsidTr="000F3B7B">
        <w:trPr>
          <w:jc w:val="center"/>
        </w:trPr>
        <w:tc>
          <w:tcPr>
            <w:tcW w:w="3975" w:type="dxa"/>
          </w:tcPr>
          <w:p w:rsidR="006D4558" w:rsidRPr="00532423" w:rsidRDefault="006D4558" w:rsidP="000F3B7B">
            <w:pPr>
              <w:rPr>
                <w:rFonts w:asciiTheme="majorBidi" w:hAnsiTheme="majorBidi" w:cstheme="majorBidi"/>
                <w:bCs/>
                <w:lang w:val="fr-CH"/>
              </w:rPr>
            </w:pPr>
            <w:r>
              <w:rPr>
                <w:rFonts w:asciiTheme="majorBidi" w:hAnsiTheme="majorBidi" w:cstheme="majorBidi"/>
                <w:bCs/>
                <w:szCs w:val="24"/>
                <w:lang w:val="fr-CH"/>
              </w:rPr>
              <w:t xml:space="preserve">Nouvelle Résolution </w:t>
            </w:r>
            <w:r w:rsidRPr="00532423">
              <w:rPr>
                <w:rFonts w:asciiTheme="majorBidi" w:hAnsiTheme="majorBidi" w:cstheme="majorBidi"/>
                <w:bCs/>
                <w:szCs w:val="24"/>
                <w:lang w:val="fr-CH"/>
              </w:rPr>
              <w:t>[APT-2]/[IAP-3]</w:t>
            </w:r>
          </w:p>
        </w:tc>
        <w:tc>
          <w:tcPr>
            <w:tcW w:w="1701" w:type="dxa"/>
          </w:tcPr>
          <w:p w:rsidR="006D4558" w:rsidRPr="00532423" w:rsidRDefault="006D4558" w:rsidP="000F3B7B">
            <w:pPr>
              <w:jc w:val="center"/>
              <w:rPr>
                <w:rFonts w:asciiTheme="majorBidi" w:hAnsiTheme="majorBidi" w:cstheme="majorBidi"/>
                <w:bCs/>
                <w:lang w:val="fr-CH"/>
              </w:rPr>
            </w:pPr>
            <w:r w:rsidRPr="00532423">
              <w:rPr>
                <w:rFonts w:asciiTheme="majorBidi" w:hAnsiTheme="majorBidi" w:cstheme="majorBidi"/>
                <w:bCs/>
                <w:lang w:val="fr-CH"/>
              </w:rPr>
              <w:t>1</w:t>
            </w:r>
          </w:p>
        </w:tc>
      </w:tr>
    </w:tbl>
    <w:p w:rsidR="006D4558" w:rsidRPr="00532423" w:rsidRDefault="006D4558" w:rsidP="006D4558">
      <w:pPr>
        <w:pStyle w:val="Headingb"/>
      </w:pPr>
      <w:r w:rsidRPr="00923FDD">
        <w:t>Ressources humaines du TSB</w:t>
      </w:r>
    </w:p>
    <w:p w:rsidR="006D4558" w:rsidRPr="00532423" w:rsidRDefault="006D4558" w:rsidP="006D4558">
      <w:pPr>
        <w:rPr>
          <w:rFonts w:asciiTheme="majorBidi" w:hAnsiTheme="majorBidi" w:cstheme="majorBidi"/>
          <w:bCs/>
          <w:lang w:val="fr-CH"/>
        </w:rPr>
      </w:pPr>
      <w:r w:rsidRPr="00532423">
        <w:rPr>
          <w:rFonts w:asciiTheme="majorBidi" w:hAnsiTheme="majorBidi" w:cstheme="majorBidi"/>
          <w:bCs/>
          <w:szCs w:val="24"/>
          <w:lang w:val="fr-CH"/>
        </w:rPr>
        <w:t>R</w:t>
      </w:r>
      <w:r>
        <w:rPr>
          <w:rFonts w:asciiTheme="majorBidi" w:hAnsiTheme="majorBidi" w:cstheme="majorBidi"/>
          <w:bCs/>
          <w:szCs w:val="24"/>
          <w:lang w:val="fr-CH"/>
        </w:rPr>
        <w:t>é</w:t>
      </w:r>
      <w:r w:rsidRPr="00532423">
        <w:rPr>
          <w:rFonts w:asciiTheme="majorBidi" w:hAnsiTheme="majorBidi" w:cstheme="majorBidi"/>
          <w:bCs/>
          <w:szCs w:val="24"/>
          <w:lang w:val="fr-CH"/>
        </w:rPr>
        <w:t xml:space="preserve">f. </w:t>
      </w:r>
      <w:r>
        <w:rPr>
          <w:rFonts w:asciiTheme="majorBidi" w:hAnsiTheme="majorBidi" w:cstheme="majorBidi"/>
          <w:bCs/>
          <w:szCs w:val="24"/>
          <w:lang w:val="fr-CH"/>
        </w:rPr>
        <w:t xml:space="preserve">nouvelle Résolution </w:t>
      </w:r>
      <w:r w:rsidRPr="00532423">
        <w:rPr>
          <w:rFonts w:asciiTheme="majorBidi" w:hAnsiTheme="majorBidi" w:cstheme="majorBidi"/>
          <w:bCs/>
          <w:szCs w:val="24"/>
          <w:lang w:val="fr-CH"/>
        </w:rPr>
        <w:t>[AFCP-2]</w:t>
      </w:r>
    </w:p>
    <w:p w:rsidR="006D4558" w:rsidRDefault="006D4558" w:rsidP="006D4558">
      <w:pPr>
        <w:rPr>
          <w:rFonts w:asciiTheme="majorBidi" w:hAnsiTheme="majorBidi" w:cstheme="majorBidi"/>
          <w:bCs/>
          <w:lang w:val="fr-CH"/>
        </w:rPr>
      </w:pPr>
      <w:r>
        <w:rPr>
          <w:rFonts w:asciiTheme="majorBidi" w:hAnsiTheme="majorBidi" w:cstheme="majorBidi"/>
          <w:bCs/>
          <w:lang w:val="fr-CH"/>
        </w:rPr>
        <w:t>La gestion de la plate-forme pour l'apprentissage par les pairs, le dialogue et le partage de données d'expérience dans le domaine des services financiers numériques nécessitera la création d'un poste P2 supplémentaire, dont le coût annuel s'élève à 140 000 CHF (280 000 CHF par exercice biennal).</w:t>
      </w:r>
    </w:p>
    <w:p w:rsidR="006D4558" w:rsidRDefault="006D4558" w:rsidP="006D4558">
      <w:pPr>
        <w:rPr>
          <w:lang w:val="fr-CH"/>
        </w:rPr>
      </w:pPr>
      <w:r>
        <w:rPr>
          <w:lang w:val="fr-CH"/>
        </w:rPr>
        <w:br w:type="page"/>
      </w:r>
    </w:p>
    <w:p w:rsidR="006D4558" w:rsidRPr="00957CFB" w:rsidRDefault="006D4558" w:rsidP="00957CFB">
      <w:pPr>
        <w:pStyle w:val="Tabletitle"/>
        <w:rPr>
          <w:sz w:val="24"/>
          <w:szCs w:val="24"/>
          <w:lang w:val="fr-CH"/>
        </w:rPr>
      </w:pPr>
      <w:r w:rsidRPr="00957CFB">
        <w:rPr>
          <w:sz w:val="24"/>
          <w:szCs w:val="24"/>
          <w:lang w:val="fr-CH"/>
        </w:rPr>
        <w:lastRenderedPageBreak/>
        <w:t xml:space="preserve">Décisions et Résolutions de l'Assemblée (AMNT-16) susceptibles </w:t>
      </w:r>
      <w:r w:rsidR="00957CFB">
        <w:rPr>
          <w:sz w:val="24"/>
          <w:szCs w:val="24"/>
          <w:lang w:val="fr-CH"/>
        </w:rPr>
        <w:br/>
      </w:r>
      <w:r w:rsidRPr="00957CFB">
        <w:rPr>
          <w:sz w:val="24"/>
          <w:szCs w:val="24"/>
          <w:lang w:val="fr-CH"/>
        </w:rPr>
        <w:t>d'avoir des incidences financières</w:t>
      </w:r>
    </w:p>
    <w:tbl>
      <w:tblPr>
        <w:tblStyle w:val="TableGrid"/>
        <w:tblW w:w="10173" w:type="dxa"/>
        <w:tblLook w:val="04A0" w:firstRow="1" w:lastRow="0" w:firstColumn="1" w:lastColumn="0" w:noHBand="0" w:noVBand="1"/>
      </w:tblPr>
      <w:tblGrid>
        <w:gridCol w:w="1951"/>
        <w:gridCol w:w="8222"/>
      </w:tblGrid>
      <w:tr w:rsidR="006D4558" w:rsidRPr="00957CFB" w:rsidTr="000F3B7B">
        <w:tc>
          <w:tcPr>
            <w:tcW w:w="1951" w:type="dxa"/>
          </w:tcPr>
          <w:p w:rsidR="006D4558" w:rsidRPr="00957CFB" w:rsidRDefault="006D4558" w:rsidP="000F3B7B">
            <w:pPr>
              <w:pStyle w:val="Tabletext"/>
              <w:spacing w:before="120" w:after="120"/>
              <w:rPr>
                <w:sz w:val="24"/>
                <w:szCs w:val="24"/>
                <w:lang w:val="fr-CH"/>
              </w:rPr>
            </w:pPr>
            <w:r w:rsidRPr="00957CFB">
              <w:rPr>
                <w:sz w:val="24"/>
                <w:szCs w:val="24"/>
                <w:lang w:val="fr-CH"/>
              </w:rPr>
              <w:t>Résolution 44</w:t>
            </w:r>
            <w:r w:rsidRPr="00957CFB">
              <w:rPr>
                <w:sz w:val="24"/>
                <w:szCs w:val="24"/>
                <w:lang w:val="fr-CH"/>
              </w:rPr>
              <w:br/>
              <w:t xml:space="preserve">Document </w:t>
            </w:r>
            <w:hyperlink r:id="rId31" w:history="1">
              <w:r w:rsidRPr="00957CFB">
                <w:rPr>
                  <w:rStyle w:val="Hyperlink"/>
                  <w:sz w:val="24"/>
                  <w:szCs w:val="24"/>
                  <w:lang w:val="fr-CH"/>
                </w:rPr>
                <w:t>72</w:t>
              </w:r>
            </w:hyperlink>
          </w:p>
        </w:tc>
        <w:tc>
          <w:tcPr>
            <w:tcW w:w="8222" w:type="dxa"/>
          </w:tcPr>
          <w:p w:rsidR="006D4558" w:rsidRPr="00957CFB" w:rsidRDefault="006D4558" w:rsidP="000F3B7B">
            <w:pPr>
              <w:pStyle w:val="Tabletext"/>
              <w:spacing w:before="120" w:after="120"/>
              <w:rPr>
                <w:sz w:val="24"/>
                <w:szCs w:val="24"/>
                <w:lang w:val="fr-CH"/>
              </w:rPr>
            </w:pPr>
            <w:r w:rsidRPr="00957CFB">
              <w:rPr>
                <w:sz w:val="24"/>
                <w:szCs w:val="24"/>
                <w:lang w:val="fr-CH"/>
              </w:rPr>
              <w:t>Réduire l'écart en matière de normalisation entre pays en développement et pays développés</w:t>
            </w:r>
          </w:p>
        </w:tc>
      </w:tr>
      <w:tr w:rsidR="006D4558" w:rsidRPr="00332CD1" w:rsidTr="000F3B7B">
        <w:tc>
          <w:tcPr>
            <w:tcW w:w="10173" w:type="dxa"/>
            <w:gridSpan w:val="2"/>
          </w:tcPr>
          <w:p w:rsidR="006D4558" w:rsidRPr="00532423" w:rsidRDefault="006D4558" w:rsidP="000F3B7B">
            <w:pPr>
              <w:pStyle w:val="Tabletext"/>
              <w:tabs>
                <w:tab w:val="clear" w:pos="284"/>
              </w:tabs>
              <w:spacing w:before="120" w:after="120"/>
              <w:ind w:left="567" w:hanging="567"/>
              <w:rPr>
                <w:sz w:val="24"/>
                <w:szCs w:val="24"/>
                <w:lang w:val="fr-CH"/>
              </w:rPr>
            </w:pPr>
            <w:r w:rsidRPr="00532423">
              <w:rPr>
                <w:sz w:val="24"/>
                <w:szCs w:val="24"/>
                <w:lang w:val="fr-CH"/>
              </w:rPr>
              <w:t>a)</w:t>
            </w:r>
            <w:r w:rsidRPr="00532423">
              <w:rPr>
                <w:sz w:val="24"/>
                <w:szCs w:val="24"/>
                <w:lang w:val="fr-CH"/>
              </w:rPr>
              <w:tab/>
            </w:r>
            <w:r>
              <w:rPr>
                <w:sz w:val="24"/>
                <w:szCs w:val="24"/>
                <w:lang w:val="fr-CH"/>
              </w:rPr>
              <w:t xml:space="preserve">Le </w:t>
            </w:r>
            <w:r w:rsidRPr="006D4558">
              <w:rPr>
                <w:sz w:val="24"/>
                <w:szCs w:val="24"/>
                <w:lang w:val="fr-CH"/>
              </w:rPr>
              <w:t xml:space="preserve">point 2 </w:t>
            </w:r>
            <w:r w:rsidRPr="006D4558">
              <w:rPr>
                <w:i/>
                <w:iCs/>
                <w:sz w:val="24"/>
                <w:szCs w:val="24"/>
                <w:lang w:val="fr-CH"/>
              </w:rPr>
              <w:t>iii)</w:t>
            </w:r>
            <w:r w:rsidRPr="006D4558">
              <w:rPr>
                <w:sz w:val="24"/>
                <w:szCs w:val="24"/>
                <w:lang w:val="fr-CH"/>
              </w:rPr>
              <w:t xml:space="preserve"> du </w:t>
            </w:r>
            <w:proofErr w:type="gramStart"/>
            <w:r w:rsidRPr="006D4558">
              <w:rPr>
                <w:i/>
                <w:iCs/>
                <w:sz w:val="24"/>
                <w:szCs w:val="24"/>
                <w:lang w:val="fr-CH"/>
              </w:rPr>
              <w:t>décide</w:t>
            </w:r>
            <w:r w:rsidRPr="006D4558">
              <w:rPr>
                <w:sz w:val="24"/>
                <w:szCs w:val="24"/>
                <w:lang w:val="fr-CH"/>
              </w:rPr>
              <w:t>:</w:t>
            </w:r>
            <w:proofErr w:type="gramEnd"/>
            <w:r w:rsidRPr="006D4558">
              <w:rPr>
                <w:i/>
                <w:iCs/>
                <w:sz w:val="24"/>
                <w:szCs w:val="24"/>
                <w:lang w:val="fr-CH"/>
              </w:rPr>
              <w:t xml:space="preserve"> </w:t>
            </w:r>
            <w:r w:rsidRPr="006D4558">
              <w:rPr>
                <w:sz w:val="24"/>
                <w:szCs w:val="24"/>
                <w:lang w:val="fr-CH"/>
              </w:rPr>
              <w:t>"aider les pays en développement à élaborer des stratégies pour mettre en place des laboratoires de test nationaux ou internationaux pour les nouvelles technologies". Cette mesure figure également dans le Programme 2 du Plan d'action (présenté en Annexe).</w:t>
            </w:r>
            <w:r w:rsidRPr="00532423">
              <w:rPr>
                <w:sz w:val="24"/>
                <w:szCs w:val="24"/>
                <w:lang w:val="fr-CH"/>
              </w:rPr>
              <w:t xml:space="preserve"> </w:t>
            </w:r>
          </w:p>
          <w:p w:rsidR="006D4558" w:rsidRPr="00532423" w:rsidRDefault="006D4558" w:rsidP="000F3B7B">
            <w:pPr>
              <w:pStyle w:val="Tabletext"/>
              <w:tabs>
                <w:tab w:val="clear" w:pos="284"/>
              </w:tabs>
              <w:spacing w:before="120" w:after="120"/>
              <w:ind w:left="567" w:hanging="567"/>
              <w:rPr>
                <w:sz w:val="24"/>
                <w:szCs w:val="24"/>
                <w:lang w:val="fr-CH"/>
              </w:rPr>
            </w:pPr>
            <w:r w:rsidRPr="00532423">
              <w:rPr>
                <w:sz w:val="24"/>
                <w:szCs w:val="24"/>
                <w:lang w:val="fr-CH"/>
              </w:rPr>
              <w:t>b)</w:t>
            </w:r>
            <w:r w:rsidRPr="00532423">
              <w:rPr>
                <w:sz w:val="24"/>
                <w:szCs w:val="24"/>
                <w:lang w:val="fr-CH"/>
              </w:rPr>
              <w:tab/>
            </w:r>
            <w:r w:rsidRPr="006D4558">
              <w:rPr>
                <w:sz w:val="24"/>
                <w:szCs w:val="24"/>
                <w:lang w:val="fr-CH"/>
              </w:rPr>
              <w:t xml:space="preserve">Le point 6 du </w:t>
            </w:r>
            <w:proofErr w:type="gramStart"/>
            <w:r w:rsidRPr="006D4558">
              <w:rPr>
                <w:i/>
                <w:iCs/>
                <w:sz w:val="24"/>
                <w:szCs w:val="24"/>
                <w:lang w:val="fr-CH"/>
              </w:rPr>
              <w:t>décide</w:t>
            </w:r>
            <w:r w:rsidRPr="006D4558">
              <w:rPr>
                <w:sz w:val="24"/>
                <w:szCs w:val="24"/>
                <w:lang w:val="fr-CH"/>
              </w:rPr>
              <w:t>:</w:t>
            </w:r>
            <w:proofErr w:type="gramEnd"/>
            <w:r w:rsidRPr="006D4558">
              <w:rPr>
                <w:sz w:val="24"/>
                <w:szCs w:val="24"/>
                <w:lang w:val="fr-CH"/>
              </w:rPr>
              <w:t xml:space="preserve"> "que l'interprétation doit être assurée, selon les demandes des participants, pendant toute la durée des séances plénières et réunions des groupes de travail des commissions d'études ainsi que pendant toute la durée des réunions du GCNT".</w:t>
            </w:r>
          </w:p>
          <w:p w:rsidR="006D4558" w:rsidRPr="00532423" w:rsidRDefault="006D4558" w:rsidP="000F3B7B">
            <w:pPr>
              <w:pStyle w:val="Tabletext"/>
              <w:tabs>
                <w:tab w:val="clear" w:pos="284"/>
              </w:tabs>
              <w:spacing w:before="120" w:after="120"/>
              <w:ind w:left="567" w:hanging="567"/>
              <w:rPr>
                <w:sz w:val="24"/>
                <w:szCs w:val="24"/>
                <w:lang w:val="fr-CH"/>
              </w:rPr>
            </w:pPr>
            <w:r w:rsidRPr="00532423">
              <w:rPr>
                <w:sz w:val="24"/>
                <w:szCs w:val="24"/>
                <w:lang w:val="fr-CH"/>
              </w:rPr>
              <w:t>c)</w:t>
            </w:r>
            <w:r w:rsidRPr="00532423">
              <w:rPr>
                <w:sz w:val="24"/>
                <w:szCs w:val="24"/>
                <w:lang w:val="fr-CH"/>
              </w:rPr>
              <w:tab/>
            </w:r>
            <w:r w:rsidRPr="006D4558">
              <w:rPr>
                <w:sz w:val="24"/>
                <w:szCs w:val="24"/>
                <w:lang w:val="fr-CH"/>
              </w:rPr>
              <w:t xml:space="preserve">Le point 14 du </w:t>
            </w:r>
            <w:r w:rsidRPr="006D4558">
              <w:rPr>
                <w:i/>
                <w:iCs/>
                <w:sz w:val="24"/>
                <w:szCs w:val="24"/>
                <w:lang w:val="fr-CH"/>
              </w:rPr>
              <w:t xml:space="preserve">charge le Directeur du Bureau de la normalisation des </w:t>
            </w:r>
            <w:proofErr w:type="gramStart"/>
            <w:r w:rsidRPr="006D4558">
              <w:rPr>
                <w:i/>
                <w:iCs/>
                <w:sz w:val="24"/>
                <w:szCs w:val="24"/>
                <w:lang w:val="fr-CH"/>
              </w:rPr>
              <w:t>télécommunications</w:t>
            </w:r>
            <w:r w:rsidRPr="006D4558">
              <w:rPr>
                <w:sz w:val="24"/>
                <w:szCs w:val="24"/>
                <w:lang w:val="fr-CH"/>
              </w:rPr>
              <w:t>:</w:t>
            </w:r>
            <w:proofErr w:type="gramEnd"/>
            <w:r w:rsidRPr="006D4558">
              <w:rPr>
                <w:sz w:val="24"/>
                <w:szCs w:val="24"/>
                <w:lang w:val="fr-CH"/>
              </w:rPr>
              <w:t xml:space="preserve"> "de fournir dans la mesure du possible un service de participation à distance, pour un plus grand nombre d'ateliers, de séminaires et de forums de l'UIT-T, de façon à encourager une participation accrue des pays en développement".</w:t>
            </w:r>
          </w:p>
          <w:p w:rsidR="006D4558" w:rsidRPr="00532423" w:rsidRDefault="006D4558" w:rsidP="000F3B7B">
            <w:pPr>
              <w:pStyle w:val="Tabletext"/>
              <w:tabs>
                <w:tab w:val="clear" w:pos="284"/>
              </w:tabs>
              <w:spacing w:before="120" w:after="120"/>
              <w:ind w:left="567" w:hanging="567"/>
              <w:rPr>
                <w:sz w:val="24"/>
                <w:szCs w:val="24"/>
                <w:highlight w:val="yellow"/>
                <w:lang w:val="fr-CH"/>
              </w:rPr>
            </w:pPr>
            <w:r w:rsidRPr="00532423">
              <w:rPr>
                <w:sz w:val="24"/>
                <w:szCs w:val="24"/>
                <w:lang w:val="fr-CH"/>
              </w:rPr>
              <w:t>d)</w:t>
            </w:r>
            <w:r w:rsidRPr="00532423">
              <w:rPr>
                <w:sz w:val="24"/>
                <w:szCs w:val="24"/>
                <w:lang w:val="fr-CH"/>
              </w:rPr>
              <w:tab/>
            </w:r>
            <w:r w:rsidRPr="006D4558">
              <w:rPr>
                <w:sz w:val="24"/>
                <w:szCs w:val="24"/>
                <w:lang w:val="fr-CH"/>
              </w:rPr>
              <w:t xml:space="preserve">La disposition qui figure dans le </w:t>
            </w:r>
            <w:r w:rsidRPr="006D4558">
              <w:rPr>
                <w:i/>
                <w:iCs/>
                <w:sz w:val="24"/>
                <w:szCs w:val="24"/>
                <w:lang w:val="fr-CH"/>
              </w:rPr>
              <w:t xml:space="preserve">Programme III du Plan </w:t>
            </w:r>
            <w:proofErr w:type="gramStart"/>
            <w:r w:rsidRPr="006D4558">
              <w:rPr>
                <w:i/>
                <w:iCs/>
                <w:sz w:val="24"/>
                <w:szCs w:val="24"/>
                <w:lang w:val="fr-CH"/>
              </w:rPr>
              <w:t>d'action</w:t>
            </w:r>
            <w:r w:rsidRPr="006D4558">
              <w:rPr>
                <w:sz w:val="24"/>
                <w:szCs w:val="24"/>
                <w:lang w:val="fr-CH"/>
              </w:rPr>
              <w:t>:</w:t>
            </w:r>
            <w:proofErr w:type="gramEnd"/>
            <w:r w:rsidRPr="006D4558">
              <w:rPr>
                <w:sz w:val="24"/>
                <w:szCs w:val="24"/>
                <w:lang w:val="fr-CH"/>
              </w:rPr>
              <w:t xml:space="preserve"> "Fournir des indications et du matériel d'appui aux pays en développement afin de les aider à concevoir et à dispenser, dans leurs universités, des cours en matière de normalisation destinés aux étudiants de tous les cycles".</w:t>
            </w:r>
          </w:p>
        </w:tc>
      </w:tr>
      <w:tr w:rsidR="006D4558" w:rsidRPr="00332CD1" w:rsidTr="000F3B7B">
        <w:tc>
          <w:tcPr>
            <w:tcW w:w="1951" w:type="dxa"/>
          </w:tcPr>
          <w:p w:rsidR="006D4558" w:rsidRPr="00532423" w:rsidRDefault="006D4558" w:rsidP="000F3B7B">
            <w:pPr>
              <w:pStyle w:val="Tabletext"/>
              <w:spacing w:before="120" w:after="120"/>
              <w:rPr>
                <w:sz w:val="24"/>
                <w:szCs w:val="24"/>
                <w:highlight w:val="yellow"/>
                <w:lang w:val="fr-CH"/>
              </w:rPr>
            </w:pPr>
            <w:r w:rsidRPr="00532423">
              <w:rPr>
                <w:sz w:val="24"/>
                <w:szCs w:val="24"/>
                <w:lang w:val="fr-CH"/>
              </w:rPr>
              <w:t>N</w:t>
            </w:r>
            <w:r>
              <w:rPr>
                <w:sz w:val="24"/>
                <w:szCs w:val="24"/>
                <w:lang w:val="fr-CH"/>
              </w:rPr>
              <w:t>ouvelle Résolution</w:t>
            </w:r>
            <w:r w:rsidRPr="00532423">
              <w:rPr>
                <w:sz w:val="24"/>
                <w:szCs w:val="24"/>
                <w:lang w:val="fr-CH"/>
              </w:rPr>
              <w:t xml:space="preserve"> </w:t>
            </w:r>
            <w:r w:rsidRPr="00532423">
              <w:rPr>
                <w:rFonts w:asciiTheme="majorBidi" w:hAnsiTheme="majorBidi" w:cstheme="majorBidi"/>
                <w:bCs/>
                <w:sz w:val="24"/>
                <w:szCs w:val="24"/>
                <w:lang w:val="fr-CH"/>
              </w:rPr>
              <w:t>[RCC-3]</w:t>
            </w:r>
            <w:r w:rsidRPr="00532423">
              <w:rPr>
                <w:sz w:val="24"/>
                <w:szCs w:val="24"/>
                <w:lang w:val="fr-CH"/>
              </w:rPr>
              <w:br/>
              <w:t xml:space="preserve">Document </w:t>
            </w:r>
            <w:hyperlink r:id="rId32" w:history="1">
              <w:r w:rsidRPr="00532423">
                <w:rPr>
                  <w:rStyle w:val="Hyperlink"/>
                  <w:sz w:val="24"/>
                  <w:szCs w:val="24"/>
                  <w:lang w:val="fr-CH"/>
                </w:rPr>
                <w:t>93</w:t>
              </w:r>
            </w:hyperlink>
          </w:p>
        </w:tc>
        <w:tc>
          <w:tcPr>
            <w:tcW w:w="8222" w:type="dxa"/>
          </w:tcPr>
          <w:p w:rsidR="006D4558" w:rsidRPr="00532423" w:rsidRDefault="006D4558" w:rsidP="000F3B7B">
            <w:pPr>
              <w:pStyle w:val="Tabletext"/>
              <w:spacing w:before="120" w:after="120"/>
              <w:rPr>
                <w:sz w:val="24"/>
                <w:szCs w:val="24"/>
                <w:lang w:val="fr-CH"/>
              </w:rPr>
            </w:pPr>
            <w:proofErr w:type="spellStart"/>
            <w:r w:rsidRPr="006D4558">
              <w:rPr>
                <w:sz w:val="24"/>
                <w:szCs w:val="24"/>
                <w:lang w:val="fr-CH"/>
              </w:rPr>
              <w:t>Etudes</w:t>
            </w:r>
            <w:proofErr w:type="spellEnd"/>
            <w:r w:rsidRPr="006D4558">
              <w:rPr>
                <w:sz w:val="24"/>
                <w:szCs w:val="24"/>
                <w:lang w:val="fr-CH"/>
              </w:rPr>
              <w:t xml:space="preserve"> relatives à la protection des utilisateurs de services de télécommunication/TIC</w:t>
            </w:r>
          </w:p>
        </w:tc>
      </w:tr>
      <w:tr w:rsidR="006D4558" w:rsidRPr="00332CD1" w:rsidTr="000F3B7B">
        <w:tc>
          <w:tcPr>
            <w:tcW w:w="10173" w:type="dxa"/>
            <w:gridSpan w:val="2"/>
          </w:tcPr>
          <w:p w:rsidR="006D4558" w:rsidRPr="00532423" w:rsidRDefault="006D4558" w:rsidP="000F3B7B">
            <w:pPr>
              <w:pStyle w:val="Call"/>
              <w:spacing w:before="120"/>
              <w:rPr>
                <w:lang w:val="fr-CH"/>
              </w:rPr>
            </w:pPr>
            <w:r w:rsidRPr="006D4558">
              <w:rPr>
                <w:lang w:val="fr-CH"/>
              </w:rPr>
              <w:t>invite le Directeur du Bureau de la normalisation des télécommunications</w:t>
            </w:r>
            <w:r w:rsidRPr="00532423">
              <w:rPr>
                <w:lang w:val="fr-CH"/>
              </w:rPr>
              <w:t xml:space="preserve"> </w:t>
            </w:r>
          </w:p>
          <w:p w:rsidR="006D4558" w:rsidRPr="00532423" w:rsidRDefault="006D4558" w:rsidP="000F3B7B">
            <w:pPr>
              <w:rPr>
                <w:lang w:val="fr-CH"/>
              </w:rPr>
            </w:pPr>
            <w:r w:rsidRPr="00532423">
              <w:rPr>
                <w:lang w:val="fr-CH"/>
              </w:rPr>
              <w:t>1</w:t>
            </w:r>
            <w:r w:rsidRPr="00532423">
              <w:rPr>
                <w:lang w:val="fr-CH"/>
              </w:rPr>
              <w:tab/>
            </w:r>
            <w:r w:rsidRPr="006D4558">
              <w:rPr>
                <w:lang w:val="fr-CH"/>
              </w:rPr>
              <w:t xml:space="preserve">à fournir une assistance au Directeur du Bureau de développement des télécommunications pour la mise en œuvre de la Résolution 196 (Busan, 2014) de la Conférence de </w:t>
            </w:r>
            <w:proofErr w:type="gramStart"/>
            <w:r w:rsidRPr="006D4558">
              <w:rPr>
                <w:lang w:val="fr-CH"/>
              </w:rPr>
              <w:t>plénipotentiaires</w:t>
            </w:r>
            <w:r w:rsidRPr="00532423">
              <w:rPr>
                <w:lang w:val="fr-CH"/>
              </w:rPr>
              <w:t>;</w:t>
            </w:r>
            <w:proofErr w:type="gramEnd"/>
          </w:p>
          <w:p w:rsidR="006D4558" w:rsidRPr="00532423" w:rsidRDefault="006D4558" w:rsidP="000F3B7B">
            <w:pPr>
              <w:rPr>
                <w:lang w:val="fr-CH"/>
              </w:rPr>
            </w:pPr>
            <w:r w:rsidRPr="00532423">
              <w:rPr>
                <w:lang w:val="fr-CH"/>
              </w:rPr>
              <w:t>2</w:t>
            </w:r>
            <w:r w:rsidRPr="00532423">
              <w:rPr>
                <w:lang w:val="fr-CH"/>
              </w:rPr>
              <w:tab/>
            </w:r>
            <w:r w:rsidRPr="00C90EFF">
              <w:rPr>
                <w:lang w:val="fr-CH"/>
              </w:rPr>
              <w:t>à renforcer les relations avec d'autres organisations de normalisation qui s'efforcent de résoudre les problèmes liés à la protection des utilisateurs de services de télécommunication/TIC</w:t>
            </w:r>
            <w:r w:rsidRPr="00532423">
              <w:rPr>
                <w:lang w:val="fr-CH"/>
              </w:rPr>
              <w:t>,</w:t>
            </w:r>
          </w:p>
          <w:p w:rsidR="006D4558" w:rsidRPr="00532423" w:rsidRDefault="006D4558" w:rsidP="000F3B7B">
            <w:pPr>
              <w:pStyle w:val="Tabletext"/>
              <w:spacing w:before="120" w:after="120"/>
              <w:rPr>
                <w:sz w:val="24"/>
                <w:szCs w:val="24"/>
                <w:lang w:val="fr-CH"/>
              </w:rPr>
            </w:pPr>
            <w:r w:rsidRPr="00532423">
              <w:rPr>
                <w:sz w:val="24"/>
                <w:szCs w:val="24"/>
                <w:lang w:val="fr-CH"/>
              </w:rPr>
              <w:t xml:space="preserve"> </w:t>
            </w:r>
          </w:p>
        </w:tc>
      </w:tr>
    </w:tbl>
    <w:p w:rsidR="006D4558" w:rsidRPr="00532423" w:rsidRDefault="006D4558" w:rsidP="006D4558">
      <w:pPr>
        <w:rPr>
          <w:lang w:val="fr-CH"/>
        </w:rPr>
      </w:pPr>
    </w:p>
    <w:p w:rsidR="006D4558" w:rsidRDefault="006D4558" w:rsidP="006D4558">
      <w:pPr>
        <w:overflowPunct/>
        <w:autoSpaceDE/>
        <w:autoSpaceDN/>
        <w:adjustRightInd/>
        <w:spacing w:before="0" w:after="160" w:line="259" w:lineRule="auto"/>
        <w:textAlignment w:val="auto"/>
        <w:rPr>
          <w:lang w:val="fr-CH"/>
        </w:rPr>
      </w:pPr>
      <w:r>
        <w:rPr>
          <w:lang w:val="fr-CH"/>
        </w:rPr>
        <w:br w:type="page"/>
      </w:r>
    </w:p>
    <w:p w:rsidR="006D4558" w:rsidRPr="00532423" w:rsidRDefault="006D4558" w:rsidP="006D4558">
      <w:pPr>
        <w:overflowPunct/>
        <w:autoSpaceDE/>
        <w:autoSpaceDN/>
        <w:adjustRightInd/>
        <w:spacing w:before="0"/>
        <w:textAlignment w:val="auto"/>
        <w:rPr>
          <w:lang w:val="fr-CH"/>
        </w:rPr>
      </w:pPr>
    </w:p>
    <w:tbl>
      <w:tblPr>
        <w:tblStyle w:val="TableGrid"/>
        <w:tblW w:w="10173" w:type="dxa"/>
        <w:tblLook w:val="04A0" w:firstRow="1" w:lastRow="0" w:firstColumn="1" w:lastColumn="0" w:noHBand="0" w:noVBand="1"/>
      </w:tblPr>
      <w:tblGrid>
        <w:gridCol w:w="1951"/>
        <w:gridCol w:w="8222"/>
      </w:tblGrid>
      <w:tr w:rsidR="006D4558" w:rsidRPr="00332CD1" w:rsidTr="000F3B7B">
        <w:tc>
          <w:tcPr>
            <w:tcW w:w="1951" w:type="dxa"/>
          </w:tcPr>
          <w:p w:rsidR="006D4558" w:rsidRPr="00532423" w:rsidRDefault="006D4558" w:rsidP="000F3B7B">
            <w:pPr>
              <w:pStyle w:val="Tabletext"/>
              <w:spacing w:before="120" w:after="120"/>
              <w:rPr>
                <w:sz w:val="24"/>
                <w:szCs w:val="24"/>
                <w:lang w:val="fr-CH"/>
              </w:rPr>
            </w:pPr>
            <w:r w:rsidRPr="00532423">
              <w:rPr>
                <w:sz w:val="24"/>
                <w:szCs w:val="24"/>
                <w:lang w:val="fr-CH"/>
              </w:rPr>
              <w:t>R</w:t>
            </w:r>
            <w:r>
              <w:rPr>
                <w:sz w:val="24"/>
                <w:szCs w:val="24"/>
                <w:lang w:val="fr-CH"/>
              </w:rPr>
              <w:t>é</w:t>
            </w:r>
            <w:r w:rsidRPr="00532423">
              <w:rPr>
                <w:sz w:val="24"/>
                <w:szCs w:val="24"/>
                <w:lang w:val="fr-CH"/>
              </w:rPr>
              <w:t>solution 77</w:t>
            </w:r>
          </w:p>
          <w:p w:rsidR="006D4558" w:rsidRPr="00532423" w:rsidRDefault="006D4558" w:rsidP="000F3B7B">
            <w:pPr>
              <w:pStyle w:val="Tabletext"/>
              <w:spacing w:before="120" w:after="120"/>
              <w:rPr>
                <w:sz w:val="24"/>
                <w:szCs w:val="24"/>
                <w:highlight w:val="yellow"/>
                <w:lang w:val="fr-CH"/>
              </w:rPr>
            </w:pPr>
            <w:r w:rsidRPr="00532423">
              <w:rPr>
                <w:sz w:val="24"/>
                <w:szCs w:val="24"/>
                <w:lang w:val="fr-CH"/>
              </w:rPr>
              <w:t xml:space="preserve">Document </w:t>
            </w:r>
            <w:hyperlink r:id="rId33" w:history="1">
              <w:r w:rsidRPr="00532423">
                <w:rPr>
                  <w:rStyle w:val="Hyperlink"/>
                  <w:sz w:val="24"/>
                  <w:szCs w:val="24"/>
                  <w:lang w:val="fr-CH"/>
                </w:rPr>
                <w:t>93</w:t>
              </w:r>
            </w:hyperlink>
          </w:p>
        </w:tc>
        <w:tc>
          <w:tcPr>
            <w:tcW w:w="8222" w:type="dxa"/>
          </w:tcPr>
          <w:p w:rsidR="006D4558" w:rsidRPr="00532423" w:rsidRDefault="006D4558" w:rsidP="000F3B7B">
            <w:pPr>
              <w:pStyle w:val="Tabletext"/>
              <w:spacing w:before="120" w:after="120"/>
              <w:rPr>
                <w:sz w:val="24"/>
                <w:szCs w:val="24"/>
                <w:lang w:val="fr-CH"/>
              </w:rPr>
            </w:pPr>
            <w:r w:rsidRPr="005E3EC1">
              <w:rPr>
                <w:sz w:val="24"/>
                <w:szCs w:val="24"/>
                <w:lang w:val="fr-CH"/>
              </w:rPr>
              <w:t>Renforcer les travaux de normalisation au sein du Secteur de la normalisation des télécommunications de l'UIT sur les réseaux pilotés par logiciel</w:t>
            </w:r>
          </w:p>
          <w:p w:rsidR="006D4558" w:rsidRPr="00532423" w:rsidRDefault="006D4558" w:rsidP="000F3B7B">
            <w:pPr>
              <w:pStyle w:val="Tabletext"/>
              <w:spacing w:before="120" w:after="120"/>
              <w:rPr>
                <w:sz w:val="24"/>
                <w:szCs w:val="24"/>
                <w:lang w:val="fr-CH"/>
              </w:rPr>
            </w:pPr>
          </w:p>
        </w:tc>
      </w:tr>
      <w:tr w:rsidR="006D4558" w:rsidRPr="00332CD1" w:rsidTr="000F3B7B">
        <w:tc>
          <w:tcPr>
            <w:tcW w:w="10173" w:type="dxa"/>
            <w:gridSpan w:val="2"/>
          </w:tcPr>
          <w:p w:rsidR="006D4558" w:rsidRPr="00532423" w:rsidRDefault="006D4558" w:rsidP="000F3B7B">
            <w:pPr>
              <w:pStyle w:val="Call"/>
              <w:rPr>
                <w:lang w:val="fr-CH" w:eastAsia="ko-KR"/>
              </w:rPr>
            </w:pPr>
            <w:r w:rsidRPr="006D4558">
              <w:rPr>
                <w:lang w:val="fr-CH"/>
              </w:rPr>
              <w:t>charge le Directeur du Bureau de la normalisation des télécommunications</w:t>
            </w:r>
          </w:p>
          <w:p w:rsidR="006D4558" w:rsidRPr="00532423" w:rsidRDefault="006D4558" w:rsidP="000F3B7B">
            <w:pPr>
              <w:rPr>
                <w:rFonts w:eastAsia="SimSun"/>
                <w:lang w:val="fr-CH" w:eastAsia="zh-CN"/>
              </w:rPr>
            </w:pPr>
            <w:r w:rsidRPr="00532423">
              <w:rPr>
                <w:rFonts w:eastAsia="SimSun"/>
                <w:lang w:val="fr-CH" w:eastAsia="zh-CN"/>
              </w:rPr>
              <w:t>1</w:t>
            </w:r>
            <w:r w:rsidRPr="00532423">
              <w:rPr>
                <w:rFonts w:eastAsia="SimSun"/>
                <w:lang w:val="fr-CH" w:eastAsia="zh-CN"/>
              </w:rPr>
              <w:tab/>
            </w:r>
            <w:r w:rsidRPr="006D4558">
              <w:rPr>
                <w:lang w:val="fr-CH"/>
              </w:rPr>
              <w:t>de fournir l'assistance nécessaire en vue d'accélérer les travaux, en particulier en mettant à profit toutes les occasions, dans le cadre du budget alloué, pour échanger des vues avec le secteur des télécommunications/TIC, notamment par l'intermédiaire des réunions des directeurs techniques (au titre de la Résolution 68 (</w:t>
            </w:r>
            <w:proofErr w:type="spellStart"/>
            <w:r w:rsidRPr="006D4558">
              <w:rPr>
                <w:lang w:val="fr-CH"/>
              </w:rPr>
              <w:t>Rév.Dubaï</w:t>
            </w:r>
            <w:proofErr w:type="spellEnd"/>
            <w:r w:rsidRPr="006D4558">
              <w:rPr>
                <w:lang w:val="fr-CH"/>
              </w:rPr>
              <w:t>, 2012) de la présente Assemblée) et, en particulier, pour encourager la participation du secteur aux travaux de normalisation sur les réseaux SDN effectués à l'UIT</w:t>
            </w:r>
            <w:r w:rsidRPr="006D4558">
              <w:rPr>
                <w:lang w:val="fr-CH"/>
              </w:rPr>
              <w:noBreakHyphen/>
              <w:t>T</w:t>
            </w:r>
            <w:r w:rsidRPr="00532423">
              <w:rPr>
                <w:rFonts w:eastAsia="SimSun"/>
                <w:lang w:val="fr-CH" w:eastAsia="zh-CN"/>
              </w:rPr>
              <w:t>;</w:t>
            </w:r>
          </w:p>
          <w:p w:rsidR="006D4558" w:rsidRPr="00532423" w:rsidRDefault="006D4558" w:rsidP="000F3B7B">
            <w:pPr>
              <w:rPr>
                <w:rFonts w:eastAsia="SimSun"/>
                <w:lang w:val="fr-CH" w:eastAsia="zh-CN"/>
              </w:rPr>
            </w:pPr>
            <w:proofErr w:type="gramStart"/>
            <w:r w:rsidRPr="00532423">
              <w:rPr>
                <w:rFonts w:eastAsia="SimSun"/>
                <w:lang w:val="fr-CH" w:eastAsia="zh-CN"/>
              </w:rPr>
              <w:t>2</w:t>
            </w:r>
            <w:r w:rsidRPr="00532423">
              <w:rPr>
                <w:rFonts w:eastAsia="SimSun"/>
                <w:lang w:val="fr-CH" w:eastAsia="zh-CN"/>
              </w:rPr>
              <w:tab/>
            </w:r>
            <w:r w:rsidRPr="006D4558">
              <w:rPr>
                <w:rFonts w:eastAsia="SimSun"/>
                <w:lang w:val="fr-CH" w:eastAsia="zh-CN"/>
              </w:rPr>
              <w:t xml:space="preserve">d'organiser des ateliers, aux côtés d'autres organisations concernées, pour renforcer les capacités dans le domaine des réseaux SDN, afin de réduire l'écart concernant l'adoption de cette technologie dans les pays en développement au tout début de la mise en </w:t>
            </w:r>
            <w:proofErr w:type="spellStart"/>
            <w:r w:rsidRPr="006D4558">
              <w:rPr>
                <w:rFonts w:eastAsia="SimSun"/>
                <w:lang w:val="fr-CH" w:eastAsia="zh-CN"/>
              </w:rPr>
              <w:t>oeuvre</w:t>
            </w:r>
            <w:proofErr w:type="spellEnd"/>
            <w:r w:rsidRPr="006D4558">
              <w:rPr>
                <w:rFonts w:eastAsia="SimSun"/>
                <w:lang w:val="fr-CH" w:eastAsia="zh-CN"/>
              </w:rPr>
              <w:t xml:space="preserve"> des réseaux fondés sur la technologie SDN, et d'organiser un atelier annuel sur les technologies SDN et NFV incluant des solutions fondées sur des logiciels à code source ouvert afin de faire connaître l'état d'avancement de la normalisation en matière de technologies SDN et NFV et de partager les données d'expérience concrètes concernant l'utilisation de ces technologies dans les réseaux actuels des opérateurs</w:t>
            </w:r>
            <w:r w:rsidRPr="00532423">
              <w:rPr>
                <w:rFonts w:eastAsia="SimSun"/>
                <w:lang w:val="fr-CH" w:eastAsia="zh-CN"/>
              </w:rPr>
              <w:t>,</w:t>
            </w:r>
            <w:proofErr w:type="gramEnd"/>
          </w:p>
          <w:p w:rsidR="006D4558" w:rsidRPr="00532423" w:rsidRDefault="006D4558" w:rsidP="000F3B7B">
            <w:pPr>
              <w:rPr>
                <w:szCs w:val="24"/>
                <w:lang w:val="fr-CH"/>
              </w:rPr>
            </w:pPr>
          </w:p>
        </w:tc>
      </w:tr>
    </w:tbl>
    <w:p w:rsidR="006D4558" w:rsidRPr="00532423" w:rsidRDefault="006D4558" w:rsidP="006D4558">
      <w:pPr>
        <w:rPr>
          <w:lang w:val="fr-CH"/>
        </w:rPr>
      </w:pPr>
    </w:p>
    <w:tbl>
      <w:tblPr>
        <w:tblStyle w:val="TableGrid"/>
        <w:tblW w:w="10173" w:type="dxa"/>
        <w:tblLook w:val="04A0" w:firstRow="1" w:lastRow="0" w:firstColumn="1" w:lastColumn="0" w:noHBand="0" w:noVBand="1"/>
      </w:tblPr>
      <w:tblGrid>
        <w:gridCol w:w="1951"/>
        <w:gridCol w:w="8222"/>
      </w:tblGrid>
      <w:tr w:rsidR="006D4558" w:rsidRPr="00332CD1" w:rsidTr="000F3B7B">
        <w:tc>
          <w:tcPr>
            <w:tcW w:w="1951" w:type="dxa"/>
          </w:tcPr>
          <w:p w:rsidR="006D4558" w:rsidRPr="00532423" w:rsidRDefault="006D4558" w:rsidP="000F3B7B">
            <w:pPr>
              <w:pStyle w:val="Tabletext"/>
              <w:spacing w:before="120" w:after="120"/>
              <w:rPr>
                <w:sz w:val="24"/>
                <w:szCs w:val="24"/>
                <w:highlight w:val="yellow"/>
                <w:lang w:val="fr-CH"/>
              </w:rPr>
            </w:pPr>
            <w:r>
              <w:rPr>
                <w:sz w:val="24"/>
                <w:szCs w:val="24"/>
                <w:lang w:val="fr-CH"/>
              </w:rPr>
              <w:t>Nouvelle</w:t>
            </w:r>
            <w:r w:rsidRPr="00532423">
              <w:rPr>
                <w:sz w:val="24"/>
                <w:szCs w:val="24"/>
                <w:lang w:val="fr-CH"/>
              </w:rPr>
              <w:t xml:space="preserve"> R</w:t>
            </w:r>
            <w:r>
              <w:rPr>
                <w:sz w:val="24"/>
                <w:szCs w:val="24"/>
                <w:lang w:val="fr-CH"/>
              </w:rPr>
              <w:t>é</w:t>
            </w:r>
            <w:r w:rsidRPr="00532423">
              <w:rPr>
                <w:sz w:val="24"/>
                <w:szCs w:val="24"/>
                <w:lang w:val="fr-CH"/>
              </w:rPr>
              <w:t xml:space="preserve">solution </w:t>
            </w:r>
            <w:r w:rsidRPr="00532423">
              <w:rPr>
                <w:rFonts w:asciiTheme="majorBidi" w:hAnsiTheme="majorBidi" w:cstheme="majorBidi"/>
                <w:bCs/>
                <w:sz w:val="24"/>
                <w:szCs w:val="24"/>
                <w:lang w:val="fr-CH"/>
              </w:rPr>
              <w:t>[APT</w:t>
            </w:r>
            <w:r>
              <w:rPr>
                <w:rFonts w:asciiTheme="majorBidi" w:hAnsiTheme="majorBidi" w:cstheme="majorBidi"/>
                <w:bCs/>
                <w:sz w:val="24"/>
                <w:szCs w:val="24"/>
                <w:lang w:val="fr-CH"/>
              </w:rPr>
              <w:noBreakHyphen/>
            </w:r>
            <w:r w:rsidRPr="00532423">
              <w:rPr>
                <w:rFonts w:asciiTheme="majorBidi" w:hAnsiTheme="majorBidi" w:cstheme="majorBidi"/>
                <w:bCs/>
                <w:sz w:val="24"/>
                <w:szCs w:val="24"/>
                <w:lang w:val="fr-CH"/>
              </w:rPr>
              <w:t>3]</w:t>
            </w:r>
            <w:r w:rsidRPr="00532423">
              <w:rPr>
                <w:sz w:val="24"/>
                <w:szCs w:val="24"/>
                <w:lang w:val="fr-CH"/>
              </w:rPr>
              <w:br/>
              <w:t xml:space="preserve">Document </w:t>
            </w:r>
            <w:hyperlink r:id="rId34" w:history="1">
              <w:r w:rsidRPr="00532423">
                <w:rPr>
                  <w:rStyle w:val="Hyperlink"/>
                  <w:sz w:val="24"/>
                  <w:szCs w:val="24"/>
                  <w:lang w:val="fr-CH"/>
                </w:rPr>
                <w:t>93</w:t>
              </w:r>
            </w:hyperlink>
          </w:p>
        </w:tc>
        <w:tc>
          <w:tcPr>
            <w:tcW w:w="8222" w:type="dxa"/>
          </w:tcPr>
          <w:p w:rsidR="006D4558" w:rsidRPr="00532423" w:rsidRDefault="006D4558" w:rsidP="000F3B7B">
            <w:pPr>
              <w:pStyle w:val="Tabletext"/>
              <w:spacing w:after="120"/>
              <w:rPr>
                <w:sz w:val="24"/>
                <w:szCs w:val="24"/>
                <w:lang w:val="fr-CH"/>
              </w:rPr>
            </w:pPr>
            <w:r w:rsidRPr="002428B2">
              <w:rPr>
                <w:sz w:val="24"/>
                <w:szCs w:val="24"/>
                <w:lang w:val="fr-CH"/>
              </w:rPr>
              <w:t>Travaux de normalisation menés par le Secteur de la normalisation des télécommunications de l'UIT concernant les technologies</w:t>
            </w:r>
            <w:r>
              <w:rPr>
                <w:sz w:val="24"/>
                <w:szCs w:val="24"/>
                <w:lang w:val="fr-CH"/>
              </w:rPr>
              <w:t xml:space="preserve"> </w:t>
            </w:r>
            <w:r w:rsidRPr="002428B2">
              <w:rPr>
                <w:sz w:val="24"/>
                <w:szCs w:val="24"/>
                <w:lang w:val="fr-CH"/>
              </w:rPr>
              <w:t>de données d'incidents fondées sur le nuage</w:t>
            </w:r>
          </w:p>
        </w:tc>
      </w:tr>
      <w:tr w:rsidR="006D4558" w:rsidRPr="00332CD1" w:rsidTr="000F3B7B">
        <w:tc>
          <w:tcPr>
            <w:tcW w:w="10173" w:type="dxa"/>
            <w:gridSpan w:val="2"/>
          </w:tcPr>
          <w:p w:rsidR="006D4558" w:rsidRPr="00532423" w:rsidRDefault="006D4558" w:rsidP="000F3B7B">
            <w:pPr>
              <w:pStyle w:val="Call"/>
              <w:rPr>
                <w:lang w:val="fr-CH"/>
              </w:rPr>
            </w:pPr>
            <w:r w:rsidRPr="001668EF">
              <w:rPr>
                <w:lang w:val="fr-CH"/>
              </w:rPr>
              <w:t>charge le directeur du Bureau de la normalisation des télécommunications</w:t>
            </w:r>
          </w:p>
          <w:p w:rsidR="006D4558" w:rsidRPr="00532423" w:rsidRDefault="006D4558" w:rsidP="000F3B7B">
            <w:pPr>
              <w:rPr>
                <w:lang w:val="fr-CH"/>
              </w:rPr>
            </w:pPr>
            <w:r w:rsidRPr="00532423">
              <w:rPr>
                <w:lang w:val="fr-CH"/>
              </w:rPr>
              <w:t>1</w:t>
            </w:r>
            <w:r w:rsidRPr="00532423">
              <w:rPr>
                <w:lang w:val="fr-CH"/>
              </w:rPr>
              <w:tab/>
            </w:r>
            <w:r w:rsidRPr="00630642">
              <w:rPr>
                <w:lang w:val="fr-CH"/>
              </w:rPr>
              <w:t xml:space="preserve">de fournir l'assistance nécessaire afin d'accélérer les travaux de normalisation sur les technologies de données d'incidents fondées sur le nuage et d'encourager la participation et les contributions des </w:t>
            </w:r>
            <w:proofErr w:type="spellStart"/>
            <w:r w:rsidRPr="00630642">
              <w:rPr>
                <w:lang w:val="fr-CH"/>
              </w:rPr>
              <w:t>Etats</w:t>
            </w:r>
            <w:proofErr w:type="spellEnd"/>
            <w:r w:rsidRPr="00630642">
              <w:rPr>
                <w:lang w:val="fr-CH"/>
              </w:rPr>
              <w:t xml:space="preserve"> Membres, en particulier des pays en </w:t>
            </w:r>
            <w:proofErr w:type="gramStart"/>
            <w:r w:rsidRPr="00630642">
              <w:rPr>
                <w:lang w:val="fr-CH"/>
              </w:rPr>
              <w:t>développement</w:t>
            </w:r>
            <w:r w:rsidRPr="00532423">
              <w:rPr>
                <w:lang w:val="fr-CH"/>
              </w:rPr>
              <w:t>;</w:t>
            </w:r>
            <w:proofErr w:type="gramEnd"/>
          </w:p>
          <w:p w:rsidR="006D4558" w:rsidRPr="00532423" w:rsidRDefault="006D4558" w:rsidP="000F3B7B">
            <w:pPr>
              <w:spacing w:after="100"/>
              <w:rPr>
                <w:szCs w:val="24"/>
                <w:lang w:val="fr-CH"/>
              </w:rPr>
            </w:pPr>
            <w:r w:rsidRPr="00532423">
              <w:rPr>
                <w:lang w:val="fr-CH"/>
              </w:rPr>
              <w:t>2</w:t>
            </w:r>
            <w:r w:rsidRPr="00532423">
              <w:rPr>
                <w:lang w:val="fr-CH"/>
              </w:rPr>
              <w:tab/>
            </w:r>
            <w:r w:rsidRPr="0004115A">
              <w:rPr>
                <w:lang w:val="fr-CH"/>
              </w:rPr>
              <w:t>d'organiser un ou plusieurs ateliers afin qu'un large éventail de partie prenantes différentes fassent part de leurs besoins et présentent des contributions sur cette question</w:t>
            </w:r>
            <w:r w:rsidRPr="00532423">
              <w:rPr>
                <w:lang w:val="fr-CH"/>
              </w:rPr>
              <w:t>,</w:t>
            </w:r>
          </w:p>
        </w:tc>
      </w:tr>
    </w:tbl>
    <w:p w:rsidR="006D4558" w:rsidRDefault="006D4558" w:rsidP="006D4558">
      <w:pPr>
        <w:rPr>
          <w:lang w:val="fr-CH"/>
        </w:rPr>
      </w:pPr>
    </w:p>
    <w:p w:rsidR="006D4558" w:rsidRDefault="006D4558" w:rsidP="006D4558">
      <w:pPr>
        <w:rPr>
          <w:lang w:val="fr-CH"/>
        </w:rPr>
      </w:pPr>
      <w:r>
        <w:rPr>
          <w:lang w:val="fr-CH"/>
        </w:rPr>
        <w:br w:type="page"/>
      </w:r>
    </w:p>
    <w:p w:rsidR="006D4558" w:rsidRPr="00532423" w:rsidRDefault="006D4558" w:rsidP="006D4558">
      <w:pPr>
        <w:rPr>
          <w:lang w:val="fr-CH"/>
        </w:rPr>
      </w:pPr>
    </w:p>
    <w:tbl>
      <w:tblPr>
        <w:tblStyle w:val="TableGrid"/>
        <w:tblW w:w="10173" w:type="dxa"/>
        <w:tblLook w:val="04A0" w:firstRow="1" w:lastRow="0" w:firstColumn="1" w:lastColumn="0" w:noHBand="0" w:noVBand="1"/>
      </w:tblPr>
      <w:tblGrid>
        <w:gridCol w:w="1951"/>
        <w:gridCol w:w="8222"/>
      </w:tblGrid>
      <w:tr w:rsidR="006D4558" w:rsidRPr="00332CD1" w:rsidTr="000F3B7B">
        <w:tc>
          <w:tcPr>
            <w:tcW w:w="1951" w:type="dxa"/>
          </w:tcPr>
          <w:p w:rsidR="006D4558" w:rsidRPr="00532423" w:rsidRDefault="006D4558" w:rsidP="000F3B7B">
            <w:pPr>
              <w:pStyle w:val="Tabletext"/>
              <w:spacing w:before="120" w:after="120"/>
              <w:rPr>
                <w:sz w:val="24"/>
                <w:szCs w:val="24"/>
                <w:highlight w:val="yellow"/>
                <w:lang w:val="fr-CH"/>
              </w:rPr>
            </w:pPr>
            <w:r>
              <w:rPr>
                <w:sz w:val="24"/>
                <w:szCs w:val="24"/>
                <w:lang w:val="fr-CH"/>
              </w:rPr>
              <w:t>Nouvelle</w:t>
            </w:r>
            <w:r w:rsidRPr="00532423">
              <w:rPr>
                <w:sz w:val="24"/>
                <w:szCs w:val="24"/>
                <w:lang w:val="fr-CH"/>
              </w:rPr>
              <w:t xml:space="preserve"> R</w:t>
            </w:r>
            <w:r>
              <w:rPr>
                <w:sz w:val="24"/>
                <w:szCs w:val="24"/>
                <w:lang w:val="fr-CH"/>
              </w:rPr>
              <w:t>é</w:t>
            </w:r>
            <w:r w:rsidRPr="00532423">
              <w:rPr>
                <w:sz w:val="24"/>
                <w:szCs w:val="24"/>
                <w:lang w:val="fr-CH"/>
              </w:rPr>
              <w:t xml:space="preserve">solution </w:t>
            </w:r>
            <w:r w:rsidRPr="00532423">
              <w:rPr>
                <w:rFonts w:asciiTheme="majorBidi" w:hAnsiTheme="majorBidi" w:cstheme="majorBidi"/>
                <w:bCs/>
                <w:sz w:val="24"/>
                <w:szCs w:val="24"/>
                <w:lang w:val="fr-CH"/>
              </w:rPr>
              <w:t>[AFCP-2]</w:t>
            </w:r>
            <w:r w:rsidRPr="00532423">
              <w:rPr>
                <w:sz w:val="24"/>
                <w:szCs w:val="24"/>
                <w:lang w:val="fr-CH"/>
              </w:rPr>
              <w:br/>
              <w:t xml:space="preserve">Document </w:t>
            </w:r>
            <w:hyperlink r:id="rId35" w:history="1">
              <w:r w:rsidRPr="00532423">
                <w:rPr>
                  <w:rStyle w:val="Hyperlink"/>
                  <w:sz w:val="24"/>
                  <w:szCs w:val="24"/>
                  <w:lang w:val="fr-CH"/>
                </w:rPr>
                <w:t>100</w:t>
              </w:r>
            </w:hyperlink>
          </w:p>
        </w:tc>
        <w:tc>
          <w:tcPr>
            <w:tcW w:w="8222" w:type="dxa"/>
          </w:tcPr>
          <w:p w:rsidR="006D4558" w:rsidRPr="00532423" w:rsidRDefault="006D4558" w:rsidP="000F3B7B">
            <w:pPr>
              <w:pStyle w:val="Tabletext"/>
              <w:spacing w:after="120"/>
              <w:rPr>
                <w:sz w:val="24"/>
                <w:szCs w:val="24"/>
                <w:lang w:val="fr-CH"/>
              </w:rPr>
            </w:pPr>
            <w:r w:rsidRPr="007541A1">
              <w:rPr>
                <w:sz w:val="24"/>
                <w:szCs w:val="24"/>
                <w:lang w:val="fr-CH"/>
              </w:rPr>
              <w:t>Promouvoir l'utilisation des TIC pour réduire l'écart en matière d'inclusion financière</w:t>
            </w:r>
          </w:p>
        </w:tc>
      </w:tr>
      <w:tr w:rsidR="006D4558" w:rsidRPr="00332CD1" w:rsidTr="000F3B7B">
        <w:tc>
          <w:tcPr>
            <w:tcW w:w="10173" w:type="dxa"/>
            <w:gridSpan w:val="2"/>
          </w:tcPr>
          <w:p w:rsidR="006D4558" w:rsidRPr="00532423" w:rsidRDefault="006D4558" w:rsidP="000F3B7B">
            <w:pPr>
              <w:pStyle w:val="Call"/>
              <w:rPr>
                <w:lang w:val="fr-CH"/>
              </w:rPr>
            </w:pPr>
            <w:r w:rsidRPr="006D4558">
              <w:rPr>
                <w:i w:val="0"/>
                <w:iCs/>
                <w:lang w:val="fr-CH"/>
              </w:rPr>
              <w:t>Dans "</w:t>
            </w:r>
            <w:r w:rsidRPr="00820C33">
              <w:rPr>
                <w:lang w:val="fr-CH"/>
              </w:rPr>
              <w:t>charge le Directeur du bureau de la normalisation des télécommunications, en collaboration avec les Directeurs des autres Bureaux</w:t>
            </w:r>
            <w:r w:rsidRPr="006D4558">
              <w:rPr>
                <w:i w:val="0"/>
                <w:iCs/>
                <w:lang w:val="fr-CH"/>
              </w:rPr>
              <w:t>"</w:t>
            </w:r>
          </w:p>
          <w:p w:rsidR="006D4558" w:rsidRPr="00532423" w:rsidRDefault="006D4558" w:rsidP="000F3B7B">
            <w:pPr>
              <w:rPr>
                <w:lang w:val="fr-CH"/>
              </w:rPr>
            </w:pPr>
            <w:r w:rsidRPr="00532423">
              <w:rPr>
                <w:lang w:val="fr-CH"/>
              </w:rPr>
              <w:t>2</w:t>
            </w:r>
            <w:r w:rsidRPr="00532423">
              <w:rPr>
                <w:lang w:val="fr-CH"/>
              </w:rPr>
              <w:tab/>
            </w:r>
            <w:r w:rsidRPr="008A7ACA">
              <w:rPr>
                <w:lang w:val="fr-CH"/>
              </w:rPr>
              <w:t>d'appuyer l'élaboration de rapports et de bonnes pratiques sur l'inclusion financière numérique en tenant compte des études pertinentes, à condition que ces rapports et bonnes pratiques relèvent clairement du mandat de l'Union et ne fassent pas double emploi avec des travaux relevant de la compétence d'autres organismes de normalisation et institutions</w:t>
            </w:r>
            <w:r w:rsidRPr="00532423">
              <w:rPr>
                <w:lang w:val="fr-CH"/>
              </w:rPr>
              <w:t>;</w:t>
            </w:r>
          </w:p>
          <w:p w:rsidR="006D4558" w:rsidRPr="00532423" w:rsidRDefault="006D4558" w:rsidP="000F3B7B">
            <w:pPr>
              <w:rPr>
                <w:lang w:val="fr-CH"/>
              </w:rPr>
            </w:pPr>
            <w:r w:rsidRPr="00532423">
              <w:rPr>
                <w:lang w:val="fr-CH"/>
              </w:rPr>
              <w:t>3</w:t>
            </w:r>
            <w:r w:rsidRPr="00532423">
              <w:rPr>
                <w:lang w:val="fr-CH"/>
              </w:rPr>
              <w:tab/>
            </w:r>
            <w:r w:rsidRPr="005F11F7">
              <w:rPr>
                <w:lang w:val="fr-CH"/>
              </w:rPr>
              <w:t>de mettre en place une plate-forme ou, lorsque cela est possible, de se connecter à celles qui existent déjà, pour l'apprentissage par les pairs, le dialogue et le partage de données d'expérience dans le domaine des services financiers numériques entre les pays et les régions, les régulateurs des services de télécommunication et les régulateurs des services financiers, les experts du secteur privé et les organisations internationales et régionales</w:t>
            </w:r>
            <w:r w:rsidRPr="00532423">
              <w:rPr>
                <w:lang w:val="fr-CH"/>
              </w:rPr>
              <w:t>;</w:t>
            </w:r>
          </w:p>
          <w:p w:rsidR="006D4558" w:rsidRPr="00532423" w:rsidRDefault="006D4558" w:rsidP="000F3B7B">
            <w:pPr>
              <w:rPr>
                <w:lang w:val="fr-CH"/>
              </w:rPr>
            </w:pPr>
            <w:proofErr w:type="gramStart"/>
            <w:r w:rsidRPr="00532423">
              <w:rPr>
                <w:lang w:val="fr-CH"/>
              </w:rPr>
              <w:t>4</w:t>
            </w:r>
            <w:r w:rsidRPr="00532423">
              <w:rPr>
                <w:lang w:val="fr-CH"/>
              </w:rPr>
              <w:tab/>
            </w:r>
            <w:r w:rsidRPr="000D5D2F">
              <w:rPr>
                <w:lang w:val="fr-CH"/>
              </w:rPr>
              <w:t xml:space="preserve">d'organiser des ateliers et des séminaires à l'intention des membres de l'UIT, en collaboration avec d'autres organismes de normalisation et institutions ayant la responsabilité première pour ce qui est de l'élaboration et de la mise en </w:t>
            </w:r>
            <w:proofErr w:type="spellStart"/>
            <w:r w:rsidRPr="000D5D2F">
              <w:rPr>
                <w:lang w:val="fr-CH"/>
              </w:rPr>
              <w:t>oeuvre</w:t>
            </w:r>
            <w:proofErr w:type="spellEnd"/>
            <w:r w:rsidRPr="000D5D2F">
              <w:rPr>
                <w:lang w:val="fr-CH"/>
              </w:rPr>
              <w:t xml:space="preserve"> de normes sur les services financiers et du renforcement des capacités en la matière, afin de les sensibiliser à cette question et d'identifier les besoins particuliers des régulateurs et les problèmes particuliers auxquels ceux-ci sont confrontés en ce qui concerne l'amélioration de l'inclusion financière</w:t>
            </w:r>
            <w:r w:rsidRPr="00532423">
              <w:rPr>
                <w:lang w:val="fr-CH"/>
              </w:rPr>
              <w:t>;</w:t>
            </w:r>
            <w:proofErr w:type="gramEnd"/>
          </w:p>
          <w:p w:rsidR="006D4558" w:rsidRPr="00532423" w:rsidRDefault="006D4558" w:rsidP="000F3B7B">
            <w:pPr>
              <w:pStyle w:val="enumlev1"/>
              <w:rPr>
                <w:szCs w:val="24"/>
                <w:lang w:val="fr-CH"/>
              </w:rPr>
            </w:pPr>
          </w:p>
        </w:tc>
      </w:tr>
    </w:tbl>
    <w:p w:rsidR="006D4558" w:rsidRPr="00532423" w:rsidRDefault="006D4558" w:rsidP="006D4558">
      <w:pPr>
        <w:rPr>
          <w:lang w:val="fr-CH"/>
        </w:rPr>
      </w:pPr>
    </w:p>
    <w:p w:rsidR="006D4558" w:rsidRDefault="006D4558" w:rsidP="006D4558">
      <w:pPr>
        <w:overflowPunct/>
        <w:autoSpaceDE/>
        <w:autoSpaceDN/>
        <w:adjustRightInd/>
        <w:spacing w:before="0" w:after="160" w:line="259" w:lineRule="auto"/>
        <w:textAlignment w:val="auto"/>
        <w:rPr>
          <w:lang w:val="fr-CH"/>
        </w:rPr>
      </w:pPr>
      <w:r>
        <w:rPr>
          <w:lang w:val="fr-CH"/>
        </w:rPr>
        <w:br w:type="page"/>
      </w:r>
    </w:p>
    <w:p w:rsidR="006D4558" w:rsidRPr="00532423" w:rsidRDefault="006D4558" w:rsidP="006D4558">
      <w:pPr>
        <w:rPr>
          <w:lang w:val="fr-CH"/>
        </w:rPr>
      </w:pPr>
    </w:p>
    <w:tbl>
      <w:tblPr>
        <w:tblStyle w:val="TableGrid"/>
        <w:tblW w:w="10173" w:type="dxa"/>
        <w:tblLook w:val="04A0" w:firstRow="1" w:lastRow="0" w:firstColumn="1" w:lastColumn="0" w:noHBand="0" w:noVBand="1"/>
      </w:tblPr>
      <w:tblGrid>
        <w:gridCol w:w="1951"/>
        <w:gridCol w:w="8222"/>
      </w:tblGrid>
      <w:tr w:rsidR="006D4558" w:rsidRPr="00332CD1" w:rsidTr="000F3B7B">
        <w:tc>
          <w:tcPr>
            <w:tcW w:w="1951" w:type="dxa"/>
          </w:tcPr>
          <w:p w:rsidR="006D4558" w:rsidRPr="00532423" w:rsidRDefault="006D4558" w:rsidP="000F3B7B">
            <w:pPr>
              <w:pStyle w:val="Tabletext"/>
              <w:spacing w:before="120" w:after="120"/>
              <w:rPr>
                <w:sz w:val="24"/>
                <w:szCs w:val="24"/>
                <w:highlight w:val="yellow"/>
                <w:lang w:val="fr-CH"/>
              </w:rPr>
            </w:pPr>
            <w:r>
              <w:rPr>
                <w:sz w:val="24"/>
                <w:szCs w:val="24"/>
                <w:lang w:val="fr-CH"/>
              </w:rPr>
              <w:t>Nouvelle</w:t>
            </w:r>
            <w:r w:rsidRPr="00532423">
              <w:rPr>
                <w:sz w:val="24"/>
                <w:szCs w:val="24"/>
                <w:lang w:val="fr-CH"/>
              </w:rPr>
              <w:t xml:space="preserve"> R</w:t>
            </w:r>
            <w:r>
              <w:rPr>
                <w:sz w:val="24"/>
                <w:szCs w:val="24"/>
                <w:lang w:val="fr-CH"/>
              </w:rPr>
              <w:t>é</w:t>
            </w:r>
            <w:r w:rsidRPr="00532423">
              <w:rPr>
                <w:sz w:val="24"/>
                <w:szCs w:val="24"/>
                <w:lang w:val="fr-CH"/>
              </w:rPr>
              <w:t xml:space="preserve">solution </w:t>
            </w:r>
            <w:r w:rsidRPr="00532423">
              <w:rPr>
                <w:rFonts w:asciiTheme="majorBidi" w:hAnsiTheme="majorBidi" w:cstheme="majorBidi"/>
                <w:bCs/>
                <w:sz w:val="24"/>
                <w:szCs w:val="24"/>
                <w:lang w:val="fr-CH"/>
              </w:rPr>
              <w:t>[APT</w:t>
            </w:r>
            <w:r>
              <w:rPr>
                <w:rFonts w:asciiTheme="majorBidi" w:hAnsiTheme="majorBidi" w:cstheme="majorBidi"/>
                <w:bCs/>
                <w:sz w:val="24"/>
                <w:szCs w:val="24"/>
                <w:lang w:val="fr-CH"/>
              </w:rPr>
              <w:noBreakHyphen/>
            </w:r>
            <w:r w:rsidRPr="00532423">
              <w:rPr>
                <w:rFonts w:asciiTheme="majorBidi" w:hAnsiTheme="majorBidi" w:cstheme="majorBidi"/>
                <w:bCs/>
                <w:sz w:val="24"/>
                <w:szCs w:val="24"/>
                <w:lang w:val="fr-CH"/>
              </w:rPr>
              <w:t>2]/[IAP-3]</w:t>
            </w:r>
            <w:r w:rsidRPr="00532423">
              <w:rPr>
                <w:sz w:val="24"/>
                <w:szCs w:val="24"/>
                <w:lang w:val="fr-CH"/>
              </w:rPr>
              <w:br/>
              <w:t xml:space="preserve">Document </w:t>
            </w:r>
            <w:hyperlink r:id="rId36" w:history="1">
              <w:r w:rsidRPr="00532423">
                <w:rPr>
                  <w:rStyle w:val="Hyperlink"/>
                  <w:sz w:val="24"/>
                  <w:szCs w:val="24"/>
                  <w:lang w:val="fr-CH"/>
                </w:rPr>
                <w:t>100</w:t>
              </w:r>
            </w:hyperlink>
          </w:p>
        </w:tc>
        <w:tc>
          <w:tcPr>
            <w:tcW w:w="8222" w:type="dxa"/>
          </w:tcPr>
          <w:p w:rsidR="006D4558" w:rsidRPr="00532423" w:rsidRDefault="006D4558" w:rsidP="000F3B7B">
            <w:pPr>
              <w:pStyle w:val="Tabletext"/>
              <w:spacing w:after="120"/>
              <w:rPr>
                <w:sz w:val="24"/>
                <w:szCs w:val="24"/>
                <w:lang w:val="fr-CH"/>
              </w:rPr>
            </w:pPr>
            <w:r w:rsidRPr="006D4558">
              <w:rPr>
                <w:sz w:val="24"/>
                <w:szCs w:val="24"/>
                <w:lang w:val="fr-CH"/>
              </w:rPr>
              <w:t>Renforcer la normalisation de l'Internet des objets ainsi que des villes et communautés intelligentes pour le développement à l'échelle mondiale</w:t>
            </w:r>
          </w:p>
        </w:tc>
      </w:tr>
      <w:tr w:rsidR="006D4558" w:rsidRPr="00332CD1" w:rsidTr="000F3B7B">
        <w:tc>
          <w:tcPr>
            <w:tcW w:w="10173" w:type="dxa"/>
            <w:gridSpan w:val="2"/>
          </w:tcPr>
          <w:p w:rsidR="006D4558" w:rsidRPr="00532423" w:rsidRDefault="006D4558" w:rsidP="000F3B7B">
            <w:pPr>
              <w:pStyle w:val="Call"/>
              <w:spacing w:before="120"/>
              <w:rPr>
                <w:lang w:val="fr-CH"/>
              </w:rPr>
            </w:pPr>
            <w:r w:rsidRPr="006D4558">
              <w:rPr>
                <w:i w:val="0"/>
                <w:iCs/>
                <w:lang w:val="fr-CH"/>
              </w:rPr>
              <w:t>Dans "</w:t>
            </w:r>
            <w:r w:rsidRPr="003E21C0">
              <w:rPr>
                <w:lang w:val="fr-CH"/>
              </w:rPr>
              <w:t>charge le Directeur du Bureau de la normalisation des télécommunications</w:t>
            </w:r>
            <w:r w:rsidRPr="006D4558">
              <w:rPr>
                <w:i w:val="0"/>
                <w:iCs/>
                <w:lang w:val="fr-CH"/>
              </w:rPr>
              <w:t>"</w:t>
            </w:r>
          </w:p>
          <w:p w:rsidR="006D4558" w:rsidRPr="00532423" w:rsidRDefault="006D4558" w:rsidP="000F3B7B">
            <w:pPr>
              <w:rPr>
                <w:lang w:val="fr-CH"/>
              </w:rPr>
            </w:pPr>
            <w:r w:rsidRPr="00532423">
              <w:rPr>
                <w:lang w:val="fr-CH"/>
              </w:rPr>
              <w:t>2</w:t>
            </w:r>
            <w:r w:rsidRPr="00532423">
              <w:rPr>
                <w:lang w:val="fr-CH"/>
              </w:rPr>
              <w:tab/>
            </w:r>
            <w:r w:rsidRPr="00D52141">
              <w:rPr>
                <w:lang w:val="fr-CH"/>
              </w:rPr>
              <w:t xml:space="preserve">de mener, en collaboration avec les </w:t>
            </w:r>
            <w:proofErr w:type="spellStart"/>
            <w:r w:rsidRPr="00D52141">
              <w:rPr>
                <w:lang w:val="fr-CH"/>
              </w:rPr>
              <w:t>Etats</w:t>
            </w:r>
            <w:proofErr w:type="spellEnd"/>
            <w:r w:rsidRPr="00D52141">
              <w:rPr>
                <w:lang w:val="fr-CH"/>
              </w:rPr>
              <w:t xml:space="preserve"> Membres et les villes, des projets pilotes dans des villes concernant les activités d'évaluation des indicateurs fondamentaux de performance relatifs aux villes et communautés intelligentes, en vue de faciliter le déploiement et la mise en </w:t>
            </w:r>
            <w:proofErr w:type="spellStart"/>
            <w:r w:rsidRPr="00D52141">
              <w:rPr>
                <w:lang w:val="fr-CH"/>
              </w:rPr>
              <w:t>oeuvre</w:t>
            </w:r>
            <w:proofErr w:type="spellEnd"/>
            <w:r w:rsidRPr="00D52141">
              <w:rPr>
                <w:lang w:val="fr-CH"/>
              </w:rPr>
              <w:t xml:space="preserve"> à l'échelle mondiale des normes relatives à l'Internet des objets et aux villes et communautés intelligentes</w:t>
            </w:r>
            <w:r w:rsidRPr="006D4558">
              <w:rPr>
                <w:lang w:val="fr-CH"/>
              </w:rPr>
              <w:t>;</w:t>
            </w:r>
          </w:p>
          <w:p w:rsidR="006D4558" w:rsidRPr="00532423" w:rsidRDefault="006D4558" w:rsidP="000F3B7B">
            <w:pPr>
              <w:pStyle w:val="Call"/>
              <w:rPr>
                <w:iCs/>
                <w:lang w:val="fr-CH"/>
              </w:rPr>
            </w:pPr>
            <w:r w:rsidRPr="006D4558">
              <w:rPr>
                <w:i w:val="0"/>
                <w:iCs/>
                <w:lang w:val="fr-CH"/>
              </w:rPr>
              <w:t>Dans</w:t>
            </w:r>
            <w:r w:rsidRPr="006D4558">
              <w:rPr>
                <w:lang w:val="fr-CH"/>
              </w:rPr>
              <w:t xml:space="preserve"> "</w:t>
            </w:r>
            <w:r w:rsidRPr="00542BBA">
              <w:rPr>
                <w:lang w:val="fr-CH"/>
              </w:rPr>
              <w:t>charge le Directeur du Bureau de la normalisation des télécommunications, en collaboration avec les Directeurs du Bureau de développement des télécommunications et du Bureau des radiocommunications</w:t>
            </w:r>
            <w:r w:rsidRPr="006D4558">
              <w:rPr>
                <w:lang w:val="fr-CH"/>
              </w:rPr>
              <w:t>"</w:t>
            </w:r>
          </w:p>
          <w:p w:rsidR="006D4558" w:rsidRPr="00532423" w:rsidRDefault="006D4558" w:rsidP="000F3B7B">
            <w:pPr>
              <w:rPr>
                <w:lang w:val="fr-CH"/>
              </w:rPr>
            </w:pPr>
            <w:r w:rsidRPr="00532423">
              <w:rPr>
                <w:lang w:val="fr-CH"/>
              </w:rPr>
              <w:t>1</w:t>
            </w:r>
            <w:r w:rsidRPr="00532423">
              <w:rPr>
                <w:lang w:val="fr-CH"/>
              </w:rPr>
              <w:tab/>
            </w:r>
            <w:r w:rsidRPr="00762F86">
              <w:rPr>
                <w:lang w:val="fr-CH"/>
              </w:rPr>
              <w:t xml:space="preserve">d'élaborer des rapports tenant compte, en particulier, des besoins des pays en développement en ce qui concerne les études relatives à l'Internet des objets et à ses applications, aux réseaux de capteurs, aux services et aux </w:t>
            </w:r>
            <w:proofErr w:type="gramStart"/>
            <w:r w:rsidRPr="00762F86">
              <w:rPr>
                <w:lang w:val="fr-CH"/>
              </w:rPr>
              <w:t>infrastructures</w:t>
            </w:r>
            <w:r w:rsidRPr="00532423">
              <w:rPr>
                <w:lang w:val="fr-CH"/>
              </w:rPr>
              <w:t>;</w:t>
            </w:r>
            <w:proofErr w:type="gramEnd"/>
          </w:p>
          <w:p w:rsidR="006D4558" w:rsidRPr="00532423" w:rsidRDefault="006D4558" w:rsidP="000F3B7B">
            <w:pPr>
              <w:rPr>
                <w:lang w:val="fr-CH"/>
              </w:rPr>
            </w:pPr>
            <w:r w:rsidRPr="00532423">
              <w:rPr>
                <w:lang w:val="fr-CH"/>
              </w:rPr>
              <w:t>2</w:t>
            </w:r>
            <w:r w:rsidRPr="00532423">
              <w:rPr>
                <w:lang w:val="fr-CH"/>
              </w:rPr>
              <w:tab/>
            </w:r>
            <w:r w:rsidRPr="00762F86">
              <w:rPr>
                <w:lang w:val="fr-CH"/>
              </w:rPr>
              <w:t>de continuer de diffuser les publications de l'UIT sur l'Internet des objets et les villes et communautés intelligentes, et d'organiser des forums, des séminaires et des ateliers sur le sujet, compte tenu, en particulier, des besoins des pays en développement</w:t>
            </w:r>
            <w:r w:rsidRPr="00532423">
              <w:rPr>
                <w:lang w:val="fr-CH"/>
              </w:rPr>
              <w:t>,</w:t>
            </w:r>
          </w:p>
          <w:p w:rsidR="006D4558" w:rsidRPr="00532423" w:rsidRDefault="006D4558" w:rsidP="000F3B7B">
            <w:pPr>
              <w:pStyle w:val="enumlev1"/>
              <w:rPr>
                <w:szCs w:val="24"/>
                <w:lang w:val="fr-CH"/>
              </w:rPr>
            </w:pPr>
          </w:p>
        </w:tc>
      </w:tr>
    </w:tbl>
    <w:p w:rsidR="006D4558" w:rsidRDefault="006D4558" w:rsidP="006D4558">
      <w:pPr>
        <w:pStyle w:val="Reasons"/>
        <w:rPr>
          <w:lang w:val="fr-CH"/>
        </w:rPr>
      </w:pPr>
      <w:bookmarkStart w:id="0" w:name="_GoBack"/>
      <w:bookmarkEnd w:id="0"/>
    </w:p>
    <w:p w:rsidR="006D4558" w:rsidRDefault="006D4558" w:rsidP="006D4558">
      <w:pPr>
        <w:jc w:val="center"/>
      </w:pPr>
      <w:r>
        <w:t>______________</w:t>
      </w:r>
    </w:p>
    <w:sectPr w:rsidR="006D4558" w:rsidSect="0039169B">
      <w:headerReference w:type="default" r:id="rId37"/>
      <w:footerReference w:type="even" r:id="rId38"/>
      <w:footerReference w:type="default" r:id="rId39"/>
      <w:footerReference w:type="first" r:id="rId40"/>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939" w:rsidRDefault="00673939">
      <w:r>
        <w:separator/>
      </w:r>
    </w:p>
  </w:endnote>
  <w:endnote w:type="continuationSeparator" w:id="0">
    <w:p w:rsidR="00673939" w:rsidRDefault="00673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26703" w:rsidRDefault="00E45D05">
    <w:pPr>
      <w:ind w:right="360"/>
    </w:pPr>
    <w:r>
      <w:fldChar w:fldCharType="begin"/>
    </w:r>
    <w:r w:rsidRPr="00526703">
      <w:instrText xml:space="preserve"> FILENAME \p  \* MERGEFORMAT </w:instrText>
    </w:r>
    <w:r>
      <w:fldChar w:fldCharType="separate"/>
    </w:r>
    <w:r w:rsidR="00957670" w:rsidRPr="00526703">
      <w:rPr>
        <w:noProof/>
      </w:rPr>
      <w:t>E:\Dropbox\ProposalSharing\WTSA-16\Template\WTSA16-F.docx</w:t>
    </w:r>
    <w:r>
      <w:fldChar w:fldCharType="end"/>
    </w:r>
    <w:r w:rsidRPr="00526703">
      <w:tab/>
    </w:r>
    <w:r>
      <w:fldChar w:fldCharType="begin"/>
    </w:r>
    <w:r>
      <w:instrText xml:space="preserve"> SAVEDATE \@ DD.MM.YY </w:instrText>
    </w:r>
    <w:r>
      <w:fldChar w:fldCharType="separate"/>
    </w:r>
    <w:r w:rsidR="00332CD1">
      <w:rPr>
        <w:noProof/>
      </w:rPr>
      <w:t>02.11.16</w:t>
    </w:r>
    <w:r>
      <w:fldChar w:fldCharType="end"/>
    </w:r>
    <w:r w:rsidRPr="00526703">
      <w:tab/>
    </w:r>
    <w:r>
      <w:fldChar w:fldCharType="begin"/>
    </w:r>
    <w:r>
      <w:instrText xml:space="preserve"> PRINTDATE \@ DD.MM.YY </w:instrText>
    </w:r>
    <w:r>
      <w:fldChar w:fldCharType="separate"/>
    </w:r>
    <w:r w:rsidR="00957670">
      <w:rPr>
        <w:noProof/>
      </w:rPr>
      <w:t>07.06.16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62325" w:rsidRDefault="00E45D05" w:rsidP="00526703">
    <w:pPr>
      <w:pStyle w:val="Footer"/>
      <w:rPr>
        <w:lang w:val="fr-CH"/>
      </w:rPr>
    </w:pPr>
    <w:r>
      <w:fldChar w:fldCharType="begin"/>
    </w:r>
    <w:r w:rsidRPr="00462325">
      <w:rPr>
        <w:lang w:val="fr-CH"/>
      </w:rPr>
      <w:instrText xml:space="preserve"> FILENAME \p  \* MERGEFORMAT </w:instrText>
    </w:r>
    <w:r>
      <w:fldChar w:fldCharType="separate"/>
    </w:r>
    <w:r w:rsidR="00462325" w:rsidRPr="00462325">
      <w:rPr>
        <w:lang w:val="fr-CH"/>
      </w:rPr>
      <w:t>P:\FRA\ITU-T\CONF-T\WTSA16\000\077F.docx</w:t>
    </w:r>
    <w:r>
      <w:fldChar w:fldCharType="end"/>
    </w:r>
    <w:r w:rsidR="00462325" w:rsidRPr="00462325">
      <w:rPr>
        <w:lang w:val="fr-CH"/>
      </w:rPr>
      <w:t xml:space="preserve"> (407951)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C150AE" w:rsidRDefault="00987C1F" w:rsidP="00526703">
    <w:pPr>
      <w:pStyle w:val="Footer"/>
      <w:rPr>
        <w:lang w:val="fr-FR"/>
      </w:rPr>
    </w:pPr>
    <w:r>
      <w:fldChar w:fldCharType="begin"/>
    </w:r>
    <w:r w:rsidRPr="00C150AE">
      <w:rPr>
        <w:lang w:val="fr-FR"/>
      </w:rPr>
      <w:instrText xml:space="preserve"> FILENAME \p  \* MERGEFORMAT </w:instrText>
    </w:r>
    <w:r>
      <w:fldChar w:fldCharType="separate"/>
    </w:r>
    <w:r w:rsidR="00C150AE" w:rsidRPr="00C150AE">
      <w:rPr>
        <w:lang w:val="fr-FR"/>
      </w:rPr>
      <w:t>P:\FRA\ITU-T\CONF-T\WTSA16\000\077F.docx</w:t>
    </w:r>
    <w:r>
      <w:fldChar w:fldCharType="end"/>
    </w:r>
    <w:r w:rsidR="00C150AE" w:rsidRPr="00C150AE">
      <w:rPr>
        <w:lang w:val="fr-FR"/>
      </w:rPr>
      <w:t xml:space="preserve"> (407951)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939" w:rsidRDefault="00673939">
      <w:r>
        <w:rPr>
          <w:b/>
        </w:rPr>
        <w:t>_______________</w:t>
      </w:r>
    </w:p>
  </w:footnote>
  <w:footnote w:type="continuationSeparator" w:id="0">
    <w:p w:rsidR="00673939" w:rsidRDefault="00673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957CFB">
      <w:rPr>
        <w:noProof/>
      </w:rPr>
      <w:t>11</w:t>
    </w:r>
    <w:r>
      <w:fldChar w:fldCharType="end"/>
    </w:r>
  </w:p>
  <w:p w:rsidR="00987C1F" w:rsidRDefault="00E07AF5" w:rsidP="00C150AE">
    <w:pPr>
      <w:pStyle w:val="Header"/>
    </w:pPr>
    <w:r>
      <w:t>AMNT16</w:t>
    </w:r>
    <w:r w:rsidR="00C150AE">
      <w:t>/77-F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6491"/>
    <w:rsid w:val="00091346"/>
    <w:rsid w:val="0009706C"/>
    <w:rsid w:val="000A14AF"/>
    <w:rsid w:val="000F73FF"/>
    <w:rsid w:val="00114CF7"/>
    <w:rsid w:val="00123B68"/>
    <w:rsid w:val="00126F2E"/>
    <w:rsid w:val="00146F6F"/>
    <w:rsid w:val="00164C14"/>
    <w:rsid w:val="00165A0A"/>
    <w:rsid w:val="00187BD9"/>
    <w:rsid w:val="00190B55"/>
    <w:rsid w:val="001978FA"/>
    <w:rsid w:val="001A0F27"/>
    <w:rsid w:val="001C3B5F"/>
    <w:rsid w:val="001D058F"/>
    <w:rsid w:val="001D581B"/>
    <w:rsid w:val="001D77E9"/>
    <w:rsid w:val="001E1430"/>
    <w:rsid w:val="002009EA"/>
    <w:rsid w:val="00202CA0"/>
    <w:rsid w:val="00216B6D"/>
    <w:rsid w:val="00250AF4"/>
    <w:rsid w:val="00271316"/>
    <w:rsid w:val="002B2A75"/>
    <w:rsid w:val="002D58BE"/>
    <w:rsid w:val="002E210D"/>
    <w:rsid w:val="003236A6"/>
    <w:rsid w:val="00332C56"/>
    <w:rsid w:val="00332CD1"/>
    <w:rsid w:val="00345A52"/>
    <w:rsid w:val="00377BD3"/>
    <w:rsid w:val="003832C0"/>
    <w:rsid w:val="00384088"/>
    <w:rsid w:val="0039169B"/>
    <w:rsid w:val="003A7F8C"/>
    <w:rsid w:val="003B532E"/>
    <w:rsid w:val="003D0F8B"/>
    <w:rsid w:val="004054F5"/>
    <w:rsid w:val="004079B0"/>
    <w:rsid w:val="0041348E"/>
    <w:rsid w:val="00417AD4"/>
    <w:rsid w:val="00444030"/>
    <w:rsid w:val="004508E2"/>
    <w:rsid w:val="00462325"/>
    <w:rsid w:val="00476533"/>
    <w:rsid w:val="00492075"/>
    <w:rsid w:val="004969AD"/>
    <w:rsid w:val="004A26C4"/>
    <w:rsid w:val="004B13CB"/>
    <w:rsid w:val="004D5D5C"/>
    <w:rsid w:val="004E42A3"/>
    <w:rsid w:val="0050139F"/>
    <w:rsid w:val="00526703"/>
    <w:rsid w:val="00530525"/>
    <w:rsid w:val="0055140B"/>
    <w:rsid w:val="00595780"/>
    <w:rsid w:val="005964AB"/>
    <w:rsid w:val="005C099A"/>
    <w:rsid w:val="005C31A5"/>
    <w:rsid w:val="005E10C9"/>
    <w:rsid w:val="005E61DD"/>
    <w:rsid w:val="006023DF"/>
    <w:rsid w:val="00657DE0"/>
    <w:rsid w:val="00673939"/>
    <w:rsid w:val="00685313"/>
    <w:rsid w:val="0069092B"/>
    <w:rsid w:val="00692833"/>
    <w:rsid w:val="006A6E9B"/>
    <w:rsid w:val="006B249F"/>
    <w:rsid w:val="006B7C2A"/>
    <w:rsid w:val="006C23DA"/>
    <w:rsid w:val="006D4558"/>
    <w:rsid w:val="006E013B"/>
    <w:rsid w:val="006E3D45"/>
    <w:rsid w:val="006F580E"/>
    <w:rsid w:val="007149F9"/>
    <w:rsid w:val="00733A30"/>
    <w:rsid w:val="00745AEE"/>
    <w:rsid w:val="00750F10"/>
    <w:rsid w:val="007742CA"/>
    <w:rsid w:val="00790D70"/>
    <w:rsid w:val="007D5320"/>
    <w:rsid w:val="008006C5"/>
    <w:rsid w:val="00800972"/>
    <w:rsid w:val="00804475"/>
    <w:rsid w:val="00811633"/>
    <w:rsid w:val="00813B79"/>
    <w:rsid w:val="00864CD2"/>
    <w:rsid w:val="00872FC8"/>
    <w:rsid w:val="008845D0"/>
    <w:rsid w:val="008A69FB"/>
    <w:rsid w:val="008B1AEA"/>
    <w:rsid w:val="008B43F2"/>
    <w:rsid w:val="008B6CFF"/>
    <w:rsid w:val="008C27E9"/>
    <w:rsid w:val="008C6BAA"/>
    <w:rsid w:val="0092425C"/>
    <w:rsid w:val="009274B4"/>
    <w:rsid w:val="00934EA2"/>
    <w:rsid w:val="00940614"/>
    <w:rsid w:val="00944A5C"/>
    <w:rsid w:val="00952A66"/>
    <w:rsid w:val="00957670"/>
    <w:rsid w:val="00957CFB"/>
    <w:rsid w:val="00987C1F"/>
    <w:rsid w:val="009C3191"/>
    <w:rsid w:val="009C56E5"/>
    <w:rsid w:val="009E5FC8"/>
    <w:rsid w:val="009E687A"/>
    <w:rsid w:val="009F63E2"/>
    <w:rsid w:val="00A066F1"/>
    <w:rsid w:val="00A141AF"/>
    <w:rsid w:val="00A16D29"/>
    <w:rsid w:val="00A30305"/>
    <w:rsid w:val="00A31D2D"/>
    <w:rsid w:val="00A4600A"/>
    <w:rsid w:val="00A538A6"/>
    <w:rsid w:val="00A54C25"/>
    <w:rsid w:val="00A710E7"/>
    <w:rsid w:val="00A7372E"/>
    <w:rsid w:val="00A74930"/>
    <w:rsid w:val="00A811DC"/>
    <w:rsid w:val="00A90939"/>
    <w:rsid w:val="00A93B85"/>
    <w:rsid w:val="00A94A88"/>
    <w:rsid w:val="00A97CBA"/>
    <w:rsid w:val="00AA0B18"/>
    <w:rsid w:val="00AA666F"/>
    <w:rsid w:val="00AB5A50"/>
    <w:rsid w:val="00AB7C5F"/>
    <w:rsid w:val="00AF7173"/>
    <w:rsid w:val="00B31EF6"/>
    <w:rsid w:val="00B639E9"/>
    <w:rsid w:val="00B817CD"/>
    <w:rsid w:val="00B94AD0"/>
    <w:rsid w:val="00BA5265"/>
    <w:rsid w:val="00BB3A95"/>
    <w:rsid w:val="00BB6D50"/>
    <w:rsid w:val="00C0018F"/>
    <w:rsid w:val="00C150AE"/>
    <w:rsid w:val="00C16A5A"/>
    <w:rsid w:val="00C20466"/>
    <w:rsid w:val="00C214ED"/>
    <w:rsid w:val="00C234E6"/>
    <w:rsid w:val="00C26BA2"/>
    <w:rsid w:val="00C324A8"/>
    <w:rsid w:val="00C54517"/>
    <w:rsid w:val="00C64CD8"/>
    <w:rsid w:val="00C97C68"/>
    <w:rsid w:val="00CA1A47"/>
    <w:rsid w:val="00CB7DD6"/>
    <w:rsid w:val="00CC247A"/>
    <w:rsid w:val="00CE388F"/>
    <w:rsid w:val="00CE5E47"/>
    <w:rsid w:val="00CF020F"/>
    <w:rsid w:val="00CF1E9D"/>
    <w:rsid w:val="00CF2B5B"/>
    <w:rsid w:val="00D14CE0"/>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26226"/>
    <w:rsid w:val="00E45D05"/>
    <w:rsid w:val="00E55816"/>
    <w:rsid w:val="00E55AEF"/>
    <w:rsid w:val="00E84ED7"/>
    <w:rsid w:val="00E917FD"/>
    <w:rsid w:val="00E976C1"/>
    <w:rsid w:val="00EA12E5"/>
    <w:rsid w:val="00EB55C6"/>
    <w:rsid w:val="00EF2B09"/>
    <w:rsid w:val="00F02766"/>
    <w:rsid w:val="00F05BD4"/>
    <w:rsid w:val="00F6155B"/>
    <w:rsid w:val="00F65C19"/>
    <w:rsid w:val="00F7356B"/>
    <w:rsid w:val="00F776DF"/>
    <w:rsid w:val="00F840C7"/>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styleId="Strong">
    <w:name w:val="Strong"/>
    <w:basedOn w:val="DefaultParagraphFont"/>
    <w:uiPriority w:val="22"/>
    <w:qFormat/>
    <w:rsid w:val="00673939"/>
    <w:rPr>
      <w:b/>
      <w:bCs/>
    </w:rPr>
  </w:style>
  <w:style w:type="table" w:styleId="TableGrid">
    <w:name w:val="Table Grid"/>
    <w:basedOn w:val="TableNormal"/>
    <w:rsid w:val="006739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D4558"/>
    <w:rPr>
      <w:color w:val="0000FF" w:themeColor="hyperlink"/>
      <w:u w:val="single"/>
    </w:rPr>
  </w:style>
  <w:style w:type="character" w:customStyle="1" w:styleId="CallChar">
    <w:name w:val="Call Char"/>
    <w:link w:val="Call"/>
    <w:rsid w:val="006D4558"/>
    <w:rPr>
      <w:rFonts w:ascii="Times New Roman" w:hAnsi="Times New Roman"/>
      <w:i/>
      <w:sz w:val="24"/>
      <w:lang w:val="en-GB" w:eastAsia="en-US"/>
    </w:rPr>
  </w:style>
  <w:style w:type="character" w:customStyle="1" w:styleId="enumlev1Char">
    <w:name w:val="enumlev1 Char"/>
    <w:link w:val="enumlev1"/>
    <w:rsid w:val="006D455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T13-WTSA.16-ADM-0004/en" TargetMode="External"/><Relationship Id="rId18" Type="http://schemas.openxmlformats.org/officeDocument/2006/relationships/hyperlink" Target="http://www.itu.int/md/T13-WTSA.16-161025-TD-GEN-0010/en" TargetMode="External"/><Relationship Id="rId26" Type="http://schemas.openxmlformats.org/officeDocument/2006/relationships/hyperlink" Target="http://www.itu.int/md/T13-WTSA.16-161025-TD-GEN-0053/en"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tu.int/md/T13-WTSA.16-C-0032/en" TargetMode="External"/><Relationship Id="rId34" Type="http://schemas.openxmlformats.org/officeDocument/2006/relationships/hyperlink" Target="http://www.itu.int/md/T13-WTSA.16-C-0093/en"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T13-WTSA.16-161025-TD-GEN-0004/en" TargetMode="External"/><Relationship Id="rId17" Type="http://schemas.openxmlformats.org/officeDocument/2006/relationships/hyperlink" Target="http://www.itu.int/md/T13-WTSA.16-161025-TD-GEN-0010/en" TargetMode="External"/><Relationship Id="rId25" Type="http://schemas.openxmlformats.org/officeDocument/2006/relationships/hyperlink" Target="http://www.itu.int/md/T13-WTSA.16-161025-TD-GEN-0053/en" TargetMode="External"/><Relationship Id="rId33" Type="http://schemas.openxmlformats.org/officeDocument/2006/relationships/hyperlink" Target="http://www.itu.int/md/T13-WTSA.16-C-0093/en"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md/T13-WTSA.16-C-0033/en" TargetMode="External"/><Relationship Id="rId20" Type="http://schemas.openxmlformats.org/officeDocument/2006/relationships/hyperlink" Target="http://www.itu.int/md/T13-WTSA.16-161025-TD-GEN-0052/en" TargetMode="External"/><Relationship Id="rId29" Type="http://schemas.openxmlformats.org/officeDocument/2006/relationships/hyperlink" Target="http://www.itu.int/md/T13-WTSA.16-C-0100/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WTSA.16-161025-TD-GEN-0001/en" TargetMode="External"/><Relationship Id="rId24" Type="http://schemas.openxmlformats.org/officeDocument/2006/relationships/hyperlink" Target="http://www.itu.int/md/T13-WTSA.16-C-0063/en" TargetMode="External"/><Relationship Id="rId32" Type="http://schemas.openxmlformats.org/officeDocument/2006/relationships/hyperlink" Target="http://www.itu.int/md/T13-WTSA.16-C-0093/en" TargetMode="External"/><Relationship Id="rId37" Type="http://schemas.openxmlformats.org/officeDocument/2006/relationships/header" Target="head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tu.int/md/T13-WTSA.16-C-0030/en" TargetMode="External"/><Relationship Id="rId23" Type="http://schemas.openxmlformats.org/officeDocument/2006/relationships/hyperlink" Target="http://www.itu.int/md/T13-WTSA.16-161025-TD-GEN-0010/en" TargetMode="External"/><Relationship Id="rId28" Type="http://schemas.openxmlformats.org/officeDocument/2006/relationships/hyperlink" Target="http://www.itu.int/md/T13-WTSA.16-C-0096/en" TargetMode="External"/><Relationship Id="rId36" Type="http://schemas.openxmlformats.org/officeDocument/2006/relationships/hyperlink" Target="http://www.itu.int/md/T13-WTSA.16-C-0100/en" TargetMode="External"/><Relationship Id="rId10" Type="http://schemas.openxmlformats.org/officeDocument/2006/relationships/hyperlink" Target="http://www.itu.int/md/T13-WTSA.16-161025-TD-GEN-0003/en" TargetMode="External"/><Relationship Id="rId19" Type="http://schemas.openxmlformats.org/officeDocument/2006/relationships/hyperlink" Target="http://www.itu.int/md/T13-WTSA.16-C-0062/en" TargetMode="External"/><Relationship Id="rId31" Type="http://schemas.openxmlformats.org/officeDocument/2006/relationships/hyperlink" Target="http://www.itu.int/md/T13-WTSA.16-C-0072/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md/T13-WTSA.16-ADM-0027/en" TargetMode="External"/><Relationship Id="rId22" Type="http://schemas.openxmlformats.org/officeDocument/2006/relationships/hyperlink" Target="http://www.itu.int/md/T13-WTSA.16-C-0029/en" TargetMode="External"/><Relationship Id="rId27" Type="http://schemas.openxmlformats.org/officeDocument/2006/relationships/hyperlink" Target="http://www.itu.int/md/T13-WTSA.16-C-0093/en" TargetMode="External"/><Relationship Id="rId30" Type="http://schemas.openxmlformats.org/officeDocument/2006/relationships/hyperlink" Target="http://www.itu.int/md/T13-WTSA.16-C-0072/en" TargetMode="External"/><Relationship Id="rId35" Type="http://schemas.openxmlformats.org/officeDocument/2006/relationships/hyperlink" Target="http://www.itu.int/md/T13-WTSA.16-C-0100/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9DF8C-6D55-43E8-99EB-3D27D24B4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3226</Words>
  <Characters>19806</Characters>
  <Application>Microsoft Office Word</Application>
  <DocSecurity>0</DocSecurity>
  <Lines>165</Lines>
  <Paragraphs>45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22987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Devos, Augusta</dc:creator>
  <dc:description>Template used by DPM and CPI for the WTSA-16</dc:description>
  <cp:lastModifiedBy>Royer, Veronique</cp:lastModifiedBy>
  <cp:revision>11</cp:revision>
  <cp:lastPrinted>2016-06-07T13:22:00Z</cp:lastPrinted>
  <dcterms:created xsi:type="dcterms:W3CDTF">2016-11-02T14:49:00Z</dcterms:created>
  <dcterms:modified xsi:type="dcterms:W3CDTF">2016-11-02T15:22:00Z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