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A41B5E" w:rsidTr="00F00DDC">
        <w:trPr>
          <w:cantSplit/>
        </w:trPr>
        <w:tc>
          <w:tcPr>
            <w:tcW w:w="1357" w:type="dxa"/>
            <w:vAlign w:val="center"/>
          </w:tcPr>
          <w:p w:rsidR="00BC7D84" w:rsidRPr="00A41B5E" w:rsidRDefault="00BC7D84" w:rsidP="00F00DDC">
            <w:pPr>
              <w:pStyle w:val="TopHeader"/>
              <w:rPr>
                <w:sz w:val="22"/>
                <w:szCs w:val="22"/>
              </w:rPr>
            </w:pPr>
            <w:r w:rsidRPr="00A41B5E">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A41B5E" w:rsidRDefault="00BC7D84" w:rsidP="00E94DBA">
            <w:pPr>
              <w:pStyle w:val="TopHeader"/>
              <w:rPr>
                <w:sz w:val="22"/>
                <w:szCs w:val="22"/>
              </w:rPr>
            </w:pPr>
            <w:r w:rsidRPr="00A41B5E">
              <w:t>World Telecommunication Standardization Assembly (</w:t>
            </w:r>
            <w:r w:rsidR="00E37107" w:rsidRPr="00A41B5E">
              <w:t>WTSA</w:t>
            </w:r>
            <w:r w:rsidR="00E37107" w:rsidRPr="00A41B5E">
              <w:noBreakHyphen/>
              <w:t>16</w:t>
            </w:r>
            <w:r w:rsidRPr="00A41B5E">
              <w:t>)</w:t>
            </w:r>
            <w:r w:rsidRPr="00A41B5E">
              <w:br/>
            </w:r>
            <w:r w:rsidRPr="00A41B5E">
              <w:rPr>
                <w:sz w:val="20"/>
                <w:szCs w:val="20"/>
              </w:rPr>
              <w:t>Hammamet, 25 October - 3 November 2016</w:t>
            </w:r>
          </w:p>
        </w:tc>
        <w:tc>
          <w:tcPr>
            <w:tcW w:w="1804" w:type="dxa"/>
            <w:vAlign w:val="center"/>
          </w:tcPr>
          <w:p w:rsidR="00BC7D84" w:rsidRPr="00A41B5E" w:rsidRDefault="00BC7D84" w:rsidP="00F00DDC">
            <w:pPr>
              <w:jc w:val="right"/>
            </w:pPr>
            <w:r w:rsidRPr="00A41B5E">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A41B5E" w:rsidTr="00F00DDC">
        <w:trPr>
          <w:cantSplit/>
        </w:trPr>
        <w:tc>
          <w:tcPr>
            <w:tcW w:w="6617" w:type="dxa"/>
            <w:gridSpan w:val="2"/>
            <w:tcBorders>
              <w:bottom w:val="single" w:sz="12" w:space="0" w:color="auto"/>
            </w:tcBorders>
          </w:tcPr>
          <w:p w:rsidR="00BC7D84" w:rsidRPr="00A41B5E" w:rsidRDefault="00BC7D84" w:rsidP="00F00DDC">
            <w:pPr>
              <w:pStyle w:val="TopHeader"/>
              <w:spacing w:before="60"/>
              <w:rPr>
                <w:sz w:val="20"/>
                <w:szCs w:val="20"/>
              </w:rPr>
            </w:pPr>
          </w:p>
        </w:tc>
        <w:tc>
          <w:tcPr>
            <w:tcW w:w="3194" w:type="dxa"/>
            <w:gridSpan w:val="2"/>
            <w:tcBorders>
              <w:bottom w:val="single" w:sz="12" w:space="0" w:color="auto"/>
            </w:tcBorders>
          </w:tcPr>
          <w:p w:rsidR="00BC7D84" w:rsidRPr="00A41B5E" w:rsidRDefault="00BC7D84" w:rsidP="00F00DDC">
            <w:pPr>
              <w:spacing w:before="0"/>
              <w:rPr>
                <w:sz w:val="20"/>
              </w:rPr>
            </w:pPr>
          </w:p>
        </w:tc>
      </w:tr>
      <w:tr w:rsidR="00BC7D84" w:rsidRPr="00A41B5E" w:rsidTr="00F00DDC">
        <w:trPr>
          <w:cantSplit/>
        </w:trPr>
        <w:tc>
          <w:tcPr>
            <w:tcW w:w="6617" w:type="dxa"/>
            <w:gridSpan w:val="2"/>
            <w:tcBorders>
              <w:top w:val="single" w:sz="12" w:space="0" w:color="auto"/>
            </w:tcBorders>
          </w:tcPr>
          <w:p w:rsidR="00BC7D84" w:rsidRPr="00A41B5E" w:rsidRDefault="00BC7D84" w:rsidP="00F00DDC">
            <w:pPr>
              <w:spacing w:before="0"/>
              <w:rPr>
                <w:sz w:val="20"/>
              </w:rPr>
            </w:pPr>
          </w:p>
        </w:tc>
        <w:tc>
          <w:tcPr>
            <w:tcW w:w="3194" w:type="dxa"/>
            <w:gridSpan w:val="2"/>
          </w:tcPr>
          <w:p w:rsidR="00BC7D84" w:rsidRPr="00A41B5E" w:rsidRDefault="00BC7D84" w:rsidP="00F00DDC">
            <w:pPr>
              <w:spacing w:before="0"/>
              <w:rPr>
                <w:rFonts w:ascii="Verdana" w:hAnsi="Verdana"/>
                <w:b/>
                <w:bCs/>
                <w:sz w:val="20"/>
              </w:rPr>
            </w:pPr>
          </w:p>
        </w:tc>
      </w:tr>
      <w:tr w:rsidR="00A23AD7" w:rsidRPr="00A41B5E" w:rsidTr="006F3762">
        <w:trPr>
          <w:cantSplit/>
        </w:trPr>
        <w:tc>
          <w:tcPr>
            <w:tcW w:w="6617" w:type="dxa"/>
            <w:gridSpan w:val="2"/>
          </w:tcPr>
          <w:p w:rsidR="00A23AD7" w:rsidRPr="00A41B5E" w:rsidRDefault="00A23AD7" w:rsidP="00A23AD7">
            <w:pPr>
              <w:pStyle w:val="Committee"/>
              <w:rPr>
                <w:highlight w:val="yellow"/>
              </w:rPr>
            </w:pPr>
            <w:r w:rsidRPr="00A41B5E">
              <w:rPr>
                <w:szCs w:val="20"/>
              </w:rPr>
              <w:t>PLENARY MEETING</w:t>
            </w:r>
          </w:p>
        </w:tc>
        <w:tc>
          <w:tcPr>
            <w:tcW w:w="3194" w:type="dxa"/>
            <w:gridSpan w:val="2"/>
          </w:tcPr>
          <w:p w:rsidR="00A23AD7" w:rsidRPr="00A41B5E" w:rsidRDefault="00A23AD7" w:rsidP="00A23AD7">
            <w:pPr>
              <w:pStyle w:val="Docnumber"/>
              <w:ind w:left="-57"/>
            </w:pPr>
            <w:r w:rsidRPr="00A41B5E">
              <w:t>Document 77-E</w:t>
            </w:r>
          </w:p>
        </w:tc>
      </w:tr>
      <w:tr w:rsidR="00A23AD7" w:rsidRPr="00A41B5E" w:rsidTr="006F3762">
        <w:trPr>
          <w:cantSplit/>
        </w:trPr>
        <w:tc>
          <w:tcPr>
            <w:tcW w:w="6617" w:type="dxa"/>
            <w:gridSpan w:val="2"/>
          </w:tcPr>
          <w:p w:rsidR="00A23AD7" w:rsidRPr="00A41B5E" w:rsidRDefault="00A23AD7" w:rsidP="00A23AD7">
            <w:pPr>
              <w:spacing w:before="0"/>
            </w:pPr>
          </w:p>
        </w:tc>
        <w:tc>
          <w:tcPr>
            <w:tcW w:w="3194" w:type="dxa"/>
            <w:gridSpan w:val="2"/>
          </w:tcPr>
          <w:p w:rsidR="00A23AD7" w:rsidRPr="00A41B5E" w:rsidRDefault="00A23AD7" w:rsidP="00A23AD7">
            <w:pPr>
              <w:pStyle w:val="TopHeader"/>
              <w:spacing w:before="0"/>
              <w:ind w:left="-62"/>
              <w:rPr>
                <w:sz w:val="20"/>
                <w:szCs w:val="20"/>
              </w:rPr>
            </w:pPr>
            <w:r w:rsidRPr="00A41B5E">
              <w:rPr>
                <w:sz w:val="20"/>
              </w:rPr>
              <w:t>2 November 2016</w:t>
            </w:r>
          </w:p>
        </w:tc>
      </w:tr>
      <w:tr w:rsidR="00A23AD7" w:rsidRPr="00A41B5E" w:rsidTr="006F3762">
        <w:trPr>
          <w:cantSplit/>
        </w:trPr>
        <w:tc>
          <w:tcPr>
            <w:tcW w:w="6617" w:type="dxa"/>
            <w:gridSpan w:val="2"/>
          </w:tcPr>
          <w:p w:rsidR="00A23AD7" w:rsidRPr="00A41B5E" w:rsidRDefault="00A23AD7" w:rsidP="00A23AD7">
            <w:pPr>
              <w:spacing w:before="0"/>
            </w:pPr>
          </w:p>
        </w:tc>
        <w:tc>
          <w:tcPr>
            <w:tcW w:w="3194" w:type="dxa"/>
            <w:gridSpan w:val="2"/>
          </w:tcPr>
          <w:p w:rsidR="00A23AD7" w:rsidRPr="00A41B5E" w:rsidRDefault="00A23AD7" w:rsidP="00A23AD7">
            <w:pPr>
              <w:pStyle w:val="TopHeader"/>
              <w:spacing w:before="0"/>
              <w:ind w:left="-62"/>
              <w:rPr>
                <w:sz w:val="20"/>
                <w:szCs w:val="20"/>
              </w:rPr>
            </w:pPr>
            <w:r w:rsidRPr="00A41B5E">
              <w:rPr>
                <w:sz w:val="20"/>
              </w:rPr>
              <w:t>Original: English</w:t>
            </w:r>
          </w:p>
        </w:tc>
      </w:tr>
      <w:tr w:rsidR="00A23AD7" w:rsidRPr="00A41B5E" w:rsidTr="006F3762">
        <w:trPr>
          <w:cantSplit/>
        </w:trPr>
        <w:tc>
          <w:tcPr>
            <w:tcW w:w="9811" w:type="dxa"/>
            <w:gridSpan w:val="4"/>
          </w:tcPr>
          <w:p w:rsidR="00A23AD7" w:rsidRPr="00A41B5E" w:rsidRDefault="00A23AD7" w:rsidP="006F3762">
            <w:pPr>
              <w:pStyle w:val="TopHeader"/>
              <w:spacing w:before="0"/>
              <w:rPr>
                <w:sz w:val="20"/>
              </w:rPr>
            </w:pPr>
          </w:p>
        </w:tc>
      </w:tr>
      <w:tr w:rsidR="00A23AD7" w:rsidRPr="00A41B5E" w:rsidTr="006F3762">
        <w:trPr>
          <w:cantSplit/>
        </w:trPr>
        <w:tc>
          <w:tcPr>
            <w:tcW w:w="9811" w:type="dxa"/>
            <w:gridSpan w:val="4"/>
          </w:tcPr>
          <w:p w:rsidR="00A23AD7" w:rsidRPr="00A41B5E" w:rsidRDefault="00A23AD7" w:rsidP="006F3762">
            <w:pPr>
              <w:pStyle w:val="Source"/>
              <w:rPr>
                <w:highlight w:val="yellow"/>
              </w:rPr>
            </w:pPr>
            <w:r w:rsidRPr="00A41B5E">
              <w:t xml:space="preserve">Chairman of </w:t>
            </w:r>
            <w:r w:rsidR="00E37107" w:rsidRPr="00A41B5E">
              <w:t>Committee 2</w:t>
            </w:r>
            <w:r w:rsidRPr="00A41B5E">
              <w:t xml:space="preserve"> (Budget Control)</w:t>
            </w:r>
          </w:p>
        </w:tc>
      </w:tr>
      <w:tr w:rsidR="00A23AD7" w:rsidRPr="00A41B5E" w:rsidTr="006F3762">
        <w:trPr>
          <w:cantSplit/>
        </w:trPr>
        <w:tc>
          <w:tcPr>
            <w:tcW w:w="9811" w:type="dxa"/>
            <w:gridSpan w:val="4"/>
          </w:tcPr>
          <w:p w:rsidR="00A23AD7" w:rsidRPr="00A41B5E" w:rsidRDefault="00A23AD7" w:rsidP="006F3762">
            <w:pPr>
              <w:pStyle w:val="Title1"/>
              <w:rPr>
                <w:highlight w:val="yellow"/>
              </w:rPr>
            </w:pPr>
            <w:r w:rsidRPr="00A41B5E">
              <w:t>REPORT OF THE BUDGET CONTROL COMMITTEE (</w:t>
            </w:r>
            <w:r w:rsidR="00E37107" w:rsidRPr="00A41B5E">
              <w:t>COMMITTEE 2</w:t>
            </w:r>
            <w:r w:rsidRPr="00A41B5E">
              <w:t xml:space="preserve">) </w:t>
            </w:r>
            <w:r w:rsidRPr="00A41B5E">
              <w:br/>
              <w:t>TO THE PLENARY MEETING</w:t>
            </w:r>
          </w:p>
        </w:tc>
      </w:tr>
      <w:tr w:rsidR="00A23AD7" w:rsidRPr="00A41B5E" w:rsidTr="006F3762">
        <w:trPr>
          <w:cantSplit/>
        </w:trPr>
        <w:tc>
          <w:tcPr>
            <w:tcW w:w="9811" w:type="dxa"/>
            <w:gridSpan w:val="4"/>
          </w:tcPr>
          <w:p w:rsidR="00A23AD7" w:rsidRPr="00A41B5E" w:rsidRDefault="00A23AD7" w:rsidP="006F3762">
            <w:pPr>
              <w:pStyle w:val="Title2"/>
            </w:pPr>
          </w:p>
        </w:tc>
      </w:tr>
    </w:tbl>
    <w:p w:rsidR="00A23AD7" w:rsidRPr="00A41B5E" w:rsidRDefault="00A23AD7" w:rsidP="00A23AD7">
      <w:pPr>
        <w:pStyle w:val="Heading1"/>
        <w:rPr>
          <w:rFonts w:asciiTheme="majorBidi" w:hAnsiTheme="majorBidi" w:cstheme="majorBidi"/>
          <w:szCs w:val="28"/>
        </w:rPr>
      </w:pPr>
      <w:r w:rsidRPr="00A41B5E">
        <w:rPr>
          <w:rFonts w:asciiTheme="majorBidi" w:hAnsiTheme="majorBidi" w:cstheme="majorBidi"/>
          <w:szCs w:val="28"/>
        </w:rPr>
        <w:t>1</w:t>
      </w:r>
      <w:r w:rsidRPr="00A41B5E">
        <w:rPr>
          <w:rFonts w:asciiTheme="majorBidi" w:hAnsiTheme="majorBidi" w:cstheme="majorBidi"/>
          <w:szCs w:val="28"/>
        </w:rPr>
        <w:tab/>
        <w:t>Budget Control Committee</w:t>
      </w:r>
    </w:p>
    <w:p w:rsidR="00A23AD7" w:rsidRPr="00A41B5E" w:rsidRDefault="00A23AD7" w:rsidP="001C1A5A">
      <w:pPr>
        <w:rPr>
          <w:rFonts w:asciiTheme="majorBidi" w:hAnsiTheme="majorBidi" w:cstheme="majorBidi"/>
          <w:szCs w:val="24"/>
        </w:rPr>
      </w:pPr>
      <w:r w:rsidRPr="00A41B5E">
        <w:rPr>
          <w:rFonts w:asciiTheme="majorBidi" w:hAnsiTheme="majorBidi" w:cstheme="majorBidi"/>
          <w:szCs w:val="24"/>
        </w:rPr>
        <w:t>The Budget Control Committee held two meetings during the World Telecommunication Standardization Assembly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 under the Chairmanship of Ms Weiling Xu (China, People’s Rep. of), assisted by Vice-Chairmen Mr Santiago Reyes-Borda (Canada) and Mr Dietmar Plesse (Germany), and considered the issues arising from its terms of reference.</w:t>
      </w:r>
    </w:p>
    <w:p w:rsidR="00A23AD7" w:rsidRPr="00A41B5E" w:rsidRDefault="00A23AD7" w:rsidP="001C1A5A">
      <w:pPr>
        <w:pStyle w:val="Heading1"/>
        <w:rPr>
          <w:rFonts w:asciiTheme="majorBidi" w:hAnsiTheme="majorBidi" w:cstheme="majorBidi"/>
          <w:szCs w:val="28"/>
        </w:rPr>
      </w:pPr>
      <w:r w:rsidRPr="00A41B5E">
        <w:rPr>
          <w:rFonts w:asciiTheme="majorBidi" w:hAnsiTheme="majorBidi" w:cstheme="majorBidi"/>
          <w:szCs w:val="28"/>
        </w:rPr>
        <w:t>2</w:t>
      </w:r>
      <w:r w:rsidRPr="00A41B5E">
        <w:rPr>
          <w:rFonts w:asciiTheme="majorBidi" w:hAnsiTheme="majorBidi" w:cstheme="majorBidi"/>
          <w:szCs w:val="28"/>
        </w:rPr>
        <w:tab/>
        <w:t>Draft time management plan/List of proposals to be examined by WTSA/Terms of reference</w:t>
      </w:r>
    </w:p>
    <w:p w:rsidR="00A23AD7" w:rsidRPr="00A41B5E" w:rsidRDefault="00A23AD7" w:rsidP="001C1A5A">
      <w:pPr>
        <w:rPr>
          <w:rFonts w:asciiTheme="majorBidi" w:hAnsiTheme="majorBidi" w:cstheme="majorBidi"/>
          <w:szCs w:val="24"/>
        </w:rPr>
      </w:pPr>
      <w:r w:rsidRPr="00A41B5E">
        <w:rPr>
          <w:rFonts w:asciiTheme="majorBidi" w:hAnsiTheme="majorBidi" w:cstheme="majorBidi"/>
          <w:szCs w:val="24"/>
        </w:rPr>
        <w:t xml:space="preserve">The draft time management plan, the list of proposals to be examined and the terms of reference relative to </w:t>
      </w:r>
      <w:r w:rsidR="00E37107" w:rsidRPr="00A41B5E">
        <w:rPr>
          <w:rFonts w:asciiTheme="majorBidi" w:hAnsiTheme="majorBidi" w:cstheme="majorBidi"/>
          <w:szCs w:val="24"/>
        </w:rPr>
        <w:t>Committee 2</w:t>
      </w:r>
      <w:r w:rsidRPr="00A41B5E">
        <w:rPr>
          <w:rFonts w:asciiTheme="majorBidi" w:hAnsiTheme="majorBidi" w:cstheme="majorBidi"/>
          <w:szCs w:val="24"/>
        </w:rPr>
        <w:t xml:space="preserve"> were presented and approved (Document</w:t>
      </w:r>
      <w:r w:rsidR="001C1A5A" w:rsidRPr="00A41B5E">
        <w:rPr>
          <w:rFonts w:asciiTheme="majorBidi" w:hAnsiTheme="majorBidi" w:cstheme="majorBidi"/>
          <w:szCs w:val="24"/>
        </w:rPr>
        <w:t>s</w:t>
      </w:r>
      <w:r w:rsidRPr="00A41B5E">
        <w:rPr>
          <w:rFonts w:asciiTheme="majorBidi" w:hAnsiTheme="majorBidi" w:cstheme="majorBidi"/>
          <w:szCs w:val="24"/>
        </w:rPr>
        <w:t xml:space="preserve"> </w:t>
      </w:r>
      <w:hyperlink r:id="rId11" w:history="1">
        <w:r w:rsidRPr="00A41B5E">
          <w:rPr>
            <w:rStyle w:val="Hyperlink"/>
            <w:rFonts w:asciiTheme="majorBidi" w:hAnsiTheme="majorBidi" w:cstheme="majorBidi"/>
            <w:szCs w:val="24"/>
          </w:rPr>
          <w:t>DT/3</w:t>
        </w:r>
      </w:hyperlink>
      <w:r w:rsidRPr="00A41B5E">
        <w:rPr>
          <w:rFonts w:asciiTheme="majorBidi" w:hAnsiTheme="majorBidi" w:cstheme="majorBidi"/>
          <w:szCs w:val="24"/>
        </w:rPr>
        <w:t xml:space="preserve">, </w:t>
      </w:r>
      <w:hyperlink r:id="rId12" w:history="1">
        <w:r w:rsidRPr="00A41B5E">
          <w:rPr>
            <w:rStyle w:val="Hyperlink"/>
            <w:rFonts w:asciiTheme="majorBidi" w:hAnsiTheme="majorBidi" w:cstheme="majorBidi"/>
            <w:szCs w:val="24"/>
          </w:rPr>
          <w:t>DT/1</w:t>
        </w:r>
      </w:hyperlink>
      <w:r w:rsidRPr="00A41B5E">
        <w:rPr>
          <w:rFonts w:asciiTheme="majorBidi" w:hAnsiTheme="majorBidi" w:cstheme="majorBidi"/>
          <w:szCs w:val="24"/>
        </w:rPr>
        <w:t xml:space="preserve"> and </w:t>
      </w:r>
      <w:hyperlink r:id="rId13" w:history="1">
        <w:r w:rsidRPr="00A41B5E">
          <w:rPr>
            <w:rStyle w:val="Hyperlink"/>
            <w:rFonts w:asciiTheme="majorBidi" w:hAnsiTheme="majorBidi" w:cstheme="majorBidi"/>
            <w:szCs w:val="24"/>
          </w:rPr>
          <w:t>DT/4</w:t>
        </w:r>
      </w:hyperlink>
      <w:r w:rsidRPr="00A41B5E">
        <w:rPr>
          <w:rFonts w:asciiTheme="majorBidi" w:hAnsiTheme="majorBidi" w:cstheme="majorBidi"/>
          <w:szCs w:val="24"/>
        </w:rPr>
        <w:t xml:space="preserve">). The agenda of meetings of </w:t>
      </w:r>
      <w:r w:rsidR="00E37107" w:rsidRPr="00A41B5E">
        <w:rPr>
          <w:rFonts w:asciiTheme="majorBidi" w:hAnsiTheme="majorBidi" w:cstheme="majorBidi"/>
          <w:szCs w:val="24"/>
        </w:rPr>
        <w:t>Committee 2</w:t>
      </w:r>
      <w:r w:rsidRPr="00A41B5E">
        <w:rPr>
          <w:rFonts w:asciiTheme="majorBidi" w:hAnsiTheme="majorBidi" w:cstheme="majorBidi"/>
          <w:szCs w:val="24"/>
        </w:rPr>
        <w:t xml:space="preserve"> are in </w:t>
      </w:r>
      <w:r w:rsidR="001C1A5A" w:rsidRPr="00A41B5E">
        <w:rPr>
          <w:rFonts w:asciiTheme="majorBidi" w:hAnsiTheme="majorBidi" w:cstheme="majorBidi"/>
          <w:szCs w:val="24"/>
        </w:rPr>
        <w:t>D</w:t>
      </w:r>
      <w:r w:rsidRPr="00A41B5E">
        <w:rPr>
          <w:rFonts w:asciiTheme="majorBidi" w:hAnsiTheme="majorBidi" w:cstheme="majorBidi"/>
          <w:szCs w:val="24"/>
        </w:rPr>
        <w:t xml:space="preserve">ocuments </w:t>
      </w:r>
      <w:hyperlink r:id="rId14" w:history="1">
        <w:r w:rsidRPr="00A41B5E">
          <w:rPr>
            <w:rStyle w:val="Hyperlink"/>
            <w:rFonts w:asciiTheme="majorBidi" w:hAnsiTheme="majorBidi" w:cstheme="majorBidi"/>
            <w:szCs w:val="24"/>
          </w:rPr>
          <w:t>ADM4</w:t>
        </w:r>
      </w:hyperlink>
      <w:r w:rsidRPr="00A41B5E">
        <w:rPr>
          <w:rFonts w:asciiTheme="majorBidi" w:hAnsiTheme="majorBidi" w:cstheme="majorBidi"/>
          <w:szCs w:val="24"/>
        </w:rPr>
        <w:t xml:space="preserve"> and </w:t>
      </w:r>
      <w:hyperlink r:id="rId15" w:history="1">
        <w:r w:rsidRPr="00A41B5E">
          <w:rPr>
            <w:rStyle w:val="Hyperlink"/>
            <w:rFonts w:asciiTheme="majorBidi" w:hAnsiTheme="majorBidi" w:cstheme="majorBidi"/>
            <w:szCs w:val="24"/>
          </w:rPr>
          <w:t>ADM27</w:t>
        </w:r>
      </w:hyperlink>
      <w:r w:rsidRPr="00A41B5E">
        <w:rPr>
          <w:rFonts w:asciiTheme="majorBidi" w:hAnsiTheme="majorBidi" w:cstheme="majorBidi"/>
          <w:szCs w:val="24"/>
        </w:rPr>
        <w:t>.</w:t>
      </w:r>
    </w:p>
    <w:p w:rsidR="00A23AD7" w:rsidRPr="00A41B5E" w:rsidRDefault="00A23AD7" w:rsidP="00FF23D9">
      <w:pPr>
        <w:pStyle w:val="Heading1"/>
        <w:rPr>
          <w:rFonts w:asciiTheme="majorBidi" w:hAnsiTheme="majorBidi" w:cstheme="majorBidi"/>
          <w:szCs w:val="28"/>
        </w:rPr>
      </w:pPr>
      <w:r w:rsidRPr="00A41B5E">
        <w:rPr>
          <w:rFonts w:asciiTheme="majorBidi" w:hAnsiTheme="majorBidi" w:cstheme="majorBidi"/>
          <w:szCs w:val="28"/>
        </w:rPr>
        <w:t>3</w:t>
      </w:r>
      <w:r w:rsidRPr="00A41B5E">
        <w:rPr>
          <w:rFonts w:asciiTheme="majorBidi" w:hAnsiTheme="majorBidi" w:cstheme="majorBidi"/>
          <w:szCs w:val="28"/>
        </w:rPr>
        <w:tab/>
        <w:t>Agreement between the Government of the Tunisian Republic and</w:t>
      </w:r>
      <w:r w:rsidR="001C1A5A" w:rsidRPr="00A41B5E">
        <w:rPr>
          <w:rFonts w:asciiTheme="majorBidi" w:hAnsiTheme="majorBidi" w:cstheme="majorBidi"/>
          <w:szCs w:val="28"/>
        </w:rPr>
        <w:t> </w:t>
      </w:r>
      <w:r w:rsidRPr="00A41B5E">
        <w:rPr>
          <w:rFonts w:asciiTheme="majorBidi" w:hAnsiTheme="majorBidi" w:cstheme="majorBidi"/>
          <w:szCs w:val="28"/>
        </w:rPr>
        <w:t>ITU</w:t>
      </w:r>
    </w:p>
    <w:p w:rsidR="00A23AD7" w:rsidRPr="00A41B5E" w:rsidRDefault="00A23AD7" w:rsidP="00FF23D9">
      <w:pPr>
        <w:rPr>
          <w:rFonts w:asciiTheme="majorBidi" w:hAnsiTheme="majorBidi" w:cstheme="majorBidi"/>
          <w:szCs w:val="24"/>
          <w:highlight w:val="yellow"/>
        </w:rPr>
      </w:pPr>
      <w:r w:rsidRPr="00A41B5E">
        <w:rPr>
          <w:rFonts w:asciiTheme="majorBidi" w:hAnsiTheme="majorBidi" w:cstheme="majorBidi"/>
          <w:szCs w:val="24"/>
        </w:rPr>
        <w:t>In accordance with Resolution</w:t>
      </w:r>
      <w:r w:rsidR="00E37107" w:rsidRPr="00A41B5E">
        <w:rPr>
          <w:rFonts w:asciiTheme="majorBidi" w:hAnsiTheme="majorBidi" w:cstheme="majorBidi"/>
          <w:szCs w:val="24"/>
        </w:rPr>
        <w:t> </w:t>
      </w:r>
      <w:r w:rsidRPr="00A41B5E">
        <w:rPr>
          <w:rFonts w:asciiTheme="majorBidi" w:hAnsiTheme="majorBidi" w:cstheme="majorBidi"/>
          <w:szCs w:val="24"/>
        </w:rPr>
        <w:t>77 of the P</w:t>
      </w:r>
      <w:r w:rsidR="001C1A5A" w:rsidRPr="00A41B5E">
        <w:rPr>
          <w:rFonts w:asciiTheme="majorBidi" w:hAnsiTheme="majorBidi" w:cstheme="majorBidi"/>
          <w:szCs w:val="24"/>
        </w:rPr>
        <w:t>lenipotentiary Conference (Rev. Busan, 2014), Resolution </w:t>
      </w:r>
      <w:r w:rsidRPr="00A41B5E">
        <w:rPr>
          <w:rFonts w:asciiTheme="majorBidi" w:hAnsiTheme="majorBidi" w:cstheme="majorBidi"/>
          <w:szCs w:val="24"/>
        </w:rPr>
        <w:t>5 of the Plenipotentiary Conference (Kyoto, 1994) and Resolution No</w:t>
      </w:r>
      <w:r w:rsidR="001C1A5A" w:rsidRPr="00A41B5E">
        <w:rPr>
          <w:rFonts w:asciiTheme="majorBidi" w:hAnsiTheme="majorBidi" w:cstheme="majorBidi"/>
          <w:szCs w:val="24"/>
        </w:rPr>
        <w:t>. </w:t>
      </w:r>
      <w:r w:rsidRPr="00A41B5E">
        <w:rPr>
          <w:rFonts w:asciiTheme="majorBidi" w:hAnsiTheme="majorBidi" w:cstheme="majorBidi"/>
          <w:szCs w:val="24"/>
        </w:rPr>
        <w:t>83 (amended) of the ITU Council concerning the organization, financing and liquidation of the accounts of ITU conferences and meetings, the Government of the Tunisian Republic and ITU concluded an agreement concerning the holding, organization and financing of the World Telecommunication Standardization Assembly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 and the holding, organization and financing of the Global Standardization Symposium of the International Telecommunication Union (GSS).</w:t>
      </w:r>
    </w:p>
    <w:p w:rsidR="00A23AD7" w:rsidRPr="00A41B5E" w:rsidRDefault="00A23AD7" w:rsidP="00A23AD7">
      <w:pPr>
        <w:rPr>
          <w:rFonts w:asciiTheme="majorBidi" w:hAnsiTheme="majorBidi" w:cstheme="majorBidi"/>
          <w:szCs w:val="24"/>
        </w:rPr>
      </w:pPr>
      <w:r w:rsidRPr="00A41B5E">
        <w:rPr>
          <w:rFonts w:asciiTheme="majorBidi" w:hAnsiTheme="majorBidi" w:cstheme="majorBidi"/>
          <w:szCs w:val="24"/>
        </w:rPr>
        <w:t xml:space="preserve">The Budget Control Committee took note of the agreement (Document </w:t>
      </w:r>
      <w:hyperlink r:id="rId16" w:history="1">
        <w:r w:rsidRPr="00A41B5E">
          <w:rPr>
            <w:rStyle w:val="Hyperlink"/>
            <w:rFonts w:asciiTheme="majorBidi" w:hAnsiTheme="majorBidi" w:cstheme="majorBidi"/>
            <w:szCs w:val="24"/>
          </w:rPr>
          <w:t>30</w:t>
        </w:r>
      </w:hyperlink>
      <w:r w:rsidRPr="00A41B5E">
        <w:rPr>
          <w:rFonts w:asciiTheme="majorBidi" w:hAnsiTheme="majorBidi" w:cstheme="majorBidi"/>
          <w:szCs w:val="24"/>
        </w:rPr>
        <w:t>) and warmly thanked the Government of the Tunisian Republic for the excellent organization and facilities provided for the Assembly.</w:t>
      </w:r>
    </w:p>
    <w:p w:rsidR="00A23AD7" w:rsidRPr="00A41B5E" w:rsidRDefault="00A23AD7" w:rsidP="00A23AD7">
      <w:pPr>
        <w:pStyle w:val="Heading1"/>
        <w:rPr>
          <w:rFonts w:asciiTheme="majorBidi" w:hAnsiTheme="majorBidi" w:cstheme="majorBidi"/>
          <w:szCs w:val="28"/>
        </w:rPr>
      </w:pPr>
      <w:r w:rsidRPr="00A41B5E">
        <w:rPr>
          <w:rFonts w:asciiTheme="majorBidi" w:hAnsiTheme="majorBidi" w:cstheme="majorBidi"/>
          <w:szCs w:val="28"/>
        </w:rPr>
        <w:lastRenderedPageBreak/>
        <w:t>4</w:t>
      </w:r>
      <w:r w:rsidRPr="00A41B5E">
        <w:rPr>
          <w:rFonts w:asciiTheme="majorBidi" w:hAnsiTheme="majorBidi" w:cstheme="majorBidi"/>
          <w:szCs w:val="28"/>
        </w:rPr>
        <w:tab/>
        <w:t>Financial responsibilities of conferences</w:t>
      </w:r>
    </w:p>
    <w:p w:rsidR="00A23AD7" w:rsidRPr="00A41B5E" w:rsidRDefault="00A23AD7" w:rsidP="001C1A5A">
      <w:pPr>
        <w:rPr>
          <w:rFonts w:asciiTheme="majorBidi" w:hAnsiTheme="majorBidi" w:cstheme="majorBidi"/>
          <w:szCs w:val="24"/>
        </w:rPr>
      </w:pPr>
      <w:r w:rsidRPr="00A41B5E">
        <w:rPr>
          <w:rFonts w:asciiTheme="majorBidi" w:hAnsiTheme="majorBidi" w:cstheme="majorBidi"/>
          <w:szCs w:val="24"/>
        </w:rPr>
        <w:t xml:space="preserve">The attention of </w:t>
      </w:r>
      <w:r w:rsidR="00E37107" w:rsidRPr="00A41B5E">
        <w:rPr>
          <w:rFonts w:asciiTheme="majorBidi" w:hAnsiTheme="majorBidi" w:cstheme="majorBidi"/>
          <w:szCs w:val="24"/>
        </w:rPr>
        <w:t>Committee 2</w:t>
      </w:r>
      <w:r w:rsidRPr="00A41B5E">
        <w:rPr>
          <w:rFonts w:asciiTheme="majorBidi" w:hAnsiTheme="majorBidi" w:cstheme="majorBidi"/>
          <w:szCs w:val="24"/>
        </w:rPr>
        <w:t xml:space="preserve"> was drawn to No.</w:t>
      </w:r>
      <w:r w:rsidR="001C1A5A" w:rsidRPr="00A41B5E">
        <w:rPr>
          <w:rFonts w:asciiTheme="majorBidi" w:hAnsiTheme="majorBidi" w:cstheme="majorBidi"/>
          <w:szCs w:val="24"/>
        </w:rPr>
        <w:t> </w:t>
      </w:r>
      <w:r w:rsidRPr="00A41B5E">
        <w:rPr>
          <w:rFonts w:asciiTheme="majorBidi" w:hAnsiTheme="majorBidi" w:cstheme="majorBidi"/>
          <w:szCs w:val="24"/>
        </w:rPr>
        <w:t>115 of Article 18 of the Constitution of the International Telecommunication Union and to Nos 488 and 489 of Article</w:t>
      </w:r>
      <w:r w:rsidR="001C1A5A" w:rsidRPr="00A41B5E">
        <w:rPr>
          <w:rFonts w:asciiTheme="majorBidi" w:hAnsiTheme="majorBidi" w:cstheme="majorBidi"/>
          <w:szCs w:val="24"/>
        </w:rPr>
        <w:t> </w:t>
      </w:r>
      <w:r w:rsidRPr="00A41B5E">
        <w:rPr>
          <w:rFonts w:asciiTheme="majorBidi" w:hAnsiTheme="majorBidi" w:cstheme="majorBidi"/>
          <w:szCs w:val="24"/>
        </w:rPr>
        <w:t xml:space="preserve">34 of the Convention of the International Telecommunication Union, concerning the financial responsibilities of conferences (Documents </w:t>
      </w:r>
      <w:hyperlink r:id="rId17" w:history="1">
        <w:r w:rsidRPr="00A41B5E">
          <w:rPr>
            <w:rStyle w:val="Hyperlink"/>
            <w:rFonts w:asciiTheme="majorBidi" w:hAnsiTheme="majorBidi" w:cstheme="majorBidi"/>
            <w:szCs w:val="24"/>
          </w:rPr>
          <w:t>33</w:t>
        </w:r>
      </w:hyperlink>
      <w:r w:rsidRPr="00A41B5E">
        <w:rPr>
          <w:rFonts w:asciiTheme="majorBidi" w:hAnsiTheme="majorBidi" w:cstheme="majorBidi"/>
          <w:szCs w:val="24"/>
        </w:rPr>
        <w:t xml:space="preserve"> and DT/</w:t>
      </w:r>
      <w:hyperlink r:id="rId18" w:history="1">
        <w:r w:rsidRPr="00A41B5E">
          <w:rPr>
            <w:rStyle w:val="Hyperlink"/>
            <w:rFonts w:asciiTheme="majorBidi" w:hAnsiTheme="majorBidi" w:cstheme="majorBidi"/>
            <w:szCs w:val="24"/>
          </w:rPr>
          <w:t>10</w:t>
        </w:r>
      </w:hyperlink>
      <w:r w:rsidRPr="00A41B5E">
        <w:rPr>
          <w:rFonts w:asciiTheme="majorBidi" w:hAnsiTheme="majorBidi" w:cstheme="majorBidi"/>
          <w:szCs w:val="24"/>
        </w:rPr>
        <w:t>). After the meeting,</w:t>
      </w:r>
      <w:r w:rsidR="001C1A5A" w:rsidRPr="00A41B5E">
        <w:rPr>
          <w:rFonts w:asciiTheme="majorBidi" w:hAnsiTheme="majorBidi" w:cstheme="majorBidi"/>
          <w:szCs w:val="24"/>
        </w:rPr>
        <w:t xml:space="preserve"> Document </w:t>
      </w:r>
      <w:r w:rsidRPr="00A41B5E">
        <w:rPr>
          <w:rFonts w:asciiTheme="majorBidi" w:hAnsiTheme="majorBidi" w:cstheme="majorBidi"/>
          <w:szCs w:val="24"/>
        </w:rPr>
        <w:t>DT/</w:t>
      </w:r>
      <w:hyperlink r:id="rId19" w:history="1">
        <w:r w:rsidRPr="00A41B5E">
          <w:rPr>
            <w:rStyle w:val="Hyperlink"/>
            <w:rFonts w:asciiTheme="majorBidi" w:hAnsiTheme="majorBidi" w:cstheme="majorBidi"/>
            <w:szCs w:val="24"/>
          </w:rPr>
          <w:t>10</w:t>
        </w:r>
      </w:hyperlink>
      <w:r w:rsidRPr="00A41B5E">
        <w:rPr>
          <w:rFonts w:asciiTheme="majorBidi" w:hAnsiTheme="majorBidi" w:cstheme="majorBidi"/>
          <w:szCs w:val="24"/>
        </w:rPr>
        <w:t xml:space="preserve"> was converted into Document </w:t>
      </w:r>
      <w:hyperlink r:id="rId20" w:history="1">
        <w:r w:rsidRPr="00A41B5E">
          <w:rPr>
            <w:rStyle w:val="Hyperlink"/>
            <w:rFonts w:asciiTheme="majorBidi" w:hAnsiTheme="majorBidi" w:cstheme="majorBidi"/>
            <w:szCs w:val="24"/>
          </w:rPr>
          <w:t>62</w:t>
        </w:r>
      </w:hyperlink>
      <w:r w:rsidRPr="00A41B5E">
        <w:rPr>
          <w:rFonts w:asciiTheme="majorBidi" w:hAnsiTheme="majorBidi" w:cstheme="majorBidi"/>
          <w:szCs w:val="24"/>
        </w:rPr>
        <w:t>.</w:t>
      </w:r>
    </w:p>
    <w:p w:rsidR="00A23AD7" w:rsidRPr="00A41B5E" w:rsidRDefault="00A23AD7" w:rsidP="00A23AD7">
      <w:pPr>
        <w:pStyle w:val="Heading1"/>
        <w:rPr>
          <w:rFonts w:asciiTheme="majorBidi" w:hAnsiTheme="majorBidi" w:cstheme="majorBidi"/>
          <w:sz w:val="24"/>
          <w:szCs w:val="24"/>
        </w:rPr>
      </w:pPr>
      <w:r w:rsidRPr="00A41B5E">
        <w:rPr>
          <w:rFonts w:asciiTheme="majorBidi" w:hAnsiTheme="majorBidi" w:cstheme="majorBidi"/>
          <w:szCs w:val="28"/>
        </w:rPr>
        <w:t>5</w:t>
      </w:r>
      <w:r w:rsidRPr="00A41B5E">
        <w:rPr>
          <w:rFonts w:asciiTheme="majorBidi" w:hAnsiTheme="majorBidi" w:cstheme="majorBidi"/>
          <w:szCs w:val="28"/>
        </w:rPr>
        <w:tab/>
        <w:t>Budget of the World Telecommunication Standardization Assembly (</w:t>
      </w:r>
      <w:r w:rsidR="00E37107" w:rsidRPr="00A41B5E">
        <w:rPr>
          <w:rFonts w:asciiTheme="majorBidi" w:hAnsiTheme="majorBidi" w:cstheme="majorBidi"/>
          <w:szCs w:val="28"/>
        </w:rPr>
        <w:t>WTSA</w:t>
      </w:r>
      <w:r w:rsidR="00E37107" w:rsidRPr="00A41B5E">
        <w:rPr>
          <w:rFonts w:asciiTheme="majorBidi" w:hAnsiTheme="majorBidi" w:cstheme="majorBidi"/>
          <w:szCs w:val="28"/>
        </w:rPr>
        <w:noBreakHyphen/>
        <w:t>16</w:t>
      </w:r>
      <w:r w:rsidRPr="00A41B5E">
        <w:rPr>
          <w:rFonts w:asciiTheme="majorBidi" w:hAnsiTheme="majorBidi" w:cstheme="majorBidi"/>
          <w:szCs w:val="28"/>
        </w:rPr>
        <w:t>)</w:t>
      </w:r>
    </w:p>
    <w:p w:rsidR="00A23AD7" w:rsidRPr="00A41B5E" w:rsidRDefault="00A23AD7" w:rsidP="001C1A5A">
      <w:pPr>
        <w:rPr>
          <w:rFonts w:asciiTheme="majorBidi" w:hAnsiTheme="majorBidi" w:cstheme="majorBidi"/>
          <w:szCs w:val="24"/>
        </w:rPr>
      </w:pPr>
      <w:r w:rsidRPr="00A41B5E">
        <w:rPr>
          <w:rFonts w:asciiTheme="majorBidi" w:hAnsiTheme="majorBidi" w:cstheme="majorBidi"/>
          <w:szCs w:val="24"/>
        </w:rPr>
        <w:t xml:space="preserve">At its 2015 session, the </w:t>
      </w:r>
      <w:r w:rsidRPr="00DB5FFE">
        <w:rPr>
          <w:rFonts w:asciiTheme="majorBidi" w:hAnsiTheme="majorBidi" w:cstheme="majorBidi"/>
          <w:szCs w:val="24"/>
        </w:rPr>
        <w:t xml:space="preserve">Council </w:t>
      </w:r>
      <w:r w:rsidRPr="00F8457B">
        <w:rPr>
          <w:rFonts w:asciiTheme="majorBidi" w:hAnsiTheme="majorBidi" w:cstheme="majorBidi"/>
          <w:szCs w:val="24"/>
        </w:rPr>
        <w:t>approved</w:t>
      </w:r>
      <w:r w:rsidR="0099055F">
        <w:rPr>
          <w:rFonts w:asciiTheme="majorBidi" w:hAnsiTheme="majorBidi" w:cstheme="majorBidi"/>
          <w:szCs w:val="24"/>
        </w:rPr>
        <w:t xml:space="preserve"> </w:t>
      </w:r>
      <w:r w:rsidR="00DB5FFE" w:rsidRPr="00F8457B">
        <w:rPr>
          <w:rFonts w:asciiTheme="majorBidi" w:hAnsiTheme="majorBidi" w:cstheme="majorBidi"/>
          <w:szCs w:val="24"/>
        </w:rPr>
        <w:t>via</w:t>
      </w:r>
      <w:r w:rsidRPr="00F8457B">
        <w:rPr>
          <w:rFonts w:asciiTheme="majorBidi" w:hAnsiTheme="majorBidi" w:cstheme="majorBidi"/>
          <w:szCs w:val="24"/>
        </w:rPr>
        <w:t xml:space="preserve"> Resolution</w:t>
      </w:r>
      <w:r w:rsidRPr="00DB5FFE">
        <w:rPr>
          <w:rFonts w:asciiTheme="majorBidi" w:hAnsiTheme="majorBidi" w:cstheme="majorBidi"/>
          <w:szCs w:val="24"/>
        </w:rPr>
        <w:t xml:space="preserve"> 1375</w:t>
      </w:r>
      <w:r w:rsidRPr="00A41B5E">
        <w:rPr>
          <w:rFonts w:asciiTheme="majorBidi" w:hAnsiTheme="majorBidi" w:cstheme="majorBidi"/>
          <w:szCs w:val="24"/>
        </w:rPr>
        <w:t xml:space="preserve"> the budget of the World Telecommunication Standardization Assembly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 for the biennium 2016-2017, amounting to CHF 2 154 000, of which CHF 1 457 000 are foreseen for documentation.</w:t>
      </w:r>
    </w:p>
    <w:p w:rsidR="00A23AD7" w:rsidRPr="00A41B5E" w:rsidRDefault="00A23AD7" w:rsidP="00FF23D9">
      <w:pPr>
        <w:rPr>
          <w:rFonts w:asciiTheme="majorBidi" w:hAnsiTheme="majorBidi" w:cstheme="majorBidi"/>
          <w:szCs w:val="24"/>
        </w:rPr>
      </w:pPr>
      <w:r w:rsidRPr="00A41B5E">
        <w:rPr>
          <w:rFonts w:asciiTheme="majorBidi" w:hAnsiTheme="majorBidi" w:cstheme="majorBidi"/>
          <w:szCs w:val="24"/>
        </w:rPr>
        <w:t xml:space="preserve">The estimated expenditure of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 xml:space="preserve"> as at 31 October 2016</w:t>
      </w:r>
      <w:r w:rsidR="00FF23D9" w:rsidRPr="00A41B5E">
        <w:rPr>
          <w:rFonts w:asciiTheme="majorBidi" w:hAnsiTheme="majorBidi" w:cstheme="majorBidi"/>
          <w:szCs w:val="24"/>
        </w:rPr>
        <w:t>,</w:t>
      </w:r>
      <w:r w:rsidRPr="00A41B5E">
        <w:rPr>
          <w:rFonts w:asciiTheme="majorBidi" w:hAnsiTheme="majorBidi" w:cstheme="majorBidi"/>
          <w:szCs w:val="24"/>
        </w:rPr>
        <w:t xml:space="preserve"> indicates an amount of 43</w:t>
      </w:r>
      <w:r w:rsidR="00FF23D9" w:rsidRPr="00A41B5E">
        <w:rPr>
          <w:rFonts w:asciiTheme="majorBidi" w:hAnsiTheme="majorBidi" w:cstheme="majorBidi"/>
          <w:szCs w:val="24"/>
        </w:rPr>
        <w:t> </w:t>
      </w:r>
      <w:r w:rsidRPr="00A41B5E">
        <w:rPr>
          <w:rFonts w:asciiTheme="majorBidi" w:hAnsiTheme="majorBidi" w:cstheme="majorBidi"/>
          <w:szCs w:val="24"/>
        </w:rPr>
        <w:t xml:space="preserve">kCHF of unused appropriations excluding </w:t>
      </w:r>
      <w:r w:rsidR="001C1A5A" w:rsidRPr="00A41B5E">
        <w:rPr>
          <w:rFonts w:asciiTheme="majorBidi" w:hAnsiTheme="majorBidi" w:cstheme="majorBidi"/>
          <w:szCs w:val="24"/>
        </w:rPr>
        <w:t>d</w:t>
      </w:r>
      <w:r w:rsidRPr="00A41B5E">
        <w:rPr>
          <w:rFonts w:asciiTheme="majorBidi" w:hAnsiTheme="majorBidi" w:cstheme="majorBidi"/>
          <w:szCs w:val="24"/>
        </w:rPr>
        <w:t>ocumentation costs</w:t>
      </w:r>
      <w:r w:rsidR="00FF23D9" w:rsidRPr="00A41B5E">
        <w:rPr>
          <w:rFonts w:asciiTheme="majorBidi" w:hAnsiTheme="majorBidi" w:cstheme="majorBidi"/>
          <w:szCs w:val="24"/>
        </w:rPr>
        <w:t>. An excess of expenses of 23 </w:t>
      </w:r>
      <w:r w:rsidRPr="00A41B5E">
        <w:rPr>
          <w:rFonts w:asciiTheme="majorBidi" w:hAnsiTheme="majorBidi" w:cstheme="majorBidi"/>
          <w:szCs w:val="24"/>
        </w:rPr>
        <w:t>kCHF is forecasted for the cost of documentation due to higher volumes than planned. Total costs including documentation are expected to be 20 kCHF below budget. (</w:t>
      </w:r>
      <w:r w:rsidR="001C1A5A" w:rsidRPr="00A41B5E">
        <w:rPr>
          <w:rFonts w:asciiTheme="majorBidi" w:hAnsiTheme="majorBidi" w:cstheme="majorBidi"/>
          <w:szCs w:val="24"/>
        </w:rPr>
        <w:t>Document </w:t>
      </w:r>
      <w:r w:rsidRPr="00A41B5E">
        <w:rPr>
          <w:rFonts w:asciiTheme="majorBidi" w:hAnsiTheme="majorBidi" w:cstheme="majorBidi"/>
          <w:szCs w:val="24"/>
        </w:rPr>
        <w:t>DT/</w:t>
      </w:r>
      <w:hyperlink r:id="rId21" w:history="1">
        <w:r w:rsidRPr="00A41B5E">
          <w:rPr>
            <w:rStyle w:val="Hyperlink"/>
            <w:rFonts w:asciiTheme="majorBidi" w:hAnsiTheme="majorBidi" w:cstheme="majorBidi"/>
            <w:szCs w:val="24"/>
          </w:rPr>
          <w:t>52</w:t>
        </w:r>
      </w:hyperlink>
      <w:r w:rsidRPr="00A41B5E">
        <w:rPr>
          <w:rFonts w:asciiTheme="majorBidi" w:hAnsiTheme="majorBidi" w:cstheme="majorBidi"/>
          <w:szCs w:val="24"/>
        </w:rPr>
        <w:t xml:space="preserve"> and Annex</w:t>
      </w:r>
      <w:r w:rsidR="001C1A5A" w:rsidRPr="00A41B5E">
        <w:rPr>
          <w:rFonts w:asciiTheme="majorBidi" w:hAnsiTheme="majorBidi" w:cstheme="majorBidi"/>
          <w:szCs w:val="24"/>
        </w:rPr>
        <w:t> </w:t>
      </w:r>
      <w:r w:rsidRPr="00A41B5E">
        <w:rPr>
          <w:rFonts w:asciiTheme="majorBidi" w:hAnsiTheme="majorBidi" w:cstheme="majorBidi"/>
          <w:szCs w:val="24"/>
        </w:rPr>
        <w:t>A to this report).</w:t>
      </w:r>
    </w:p>
    <w:p w:rsidR="00A23AD7" w:rsidRPr="00A41B5E" w:rsidRDefault="00A23AD7" w:rsidP="001C1A5A">
      <w:pPr>
        <w:pStyle w:val="Heading1"/>
        <w:rPr>
          <w:rFonts w:asciiTheme="majorBidi" w:hAnsiTheme="majorBidi" w:cstheme="majorBidi"/>
          <w:szCs w:val="28"/>
        </w:rPr>
      </w:pPr>
      <w:r w:rsidRPr="00A41B5E">
        <w:rPr>
          <w:rFonts w:asciiTheme="majorBidi" w:hAnsiTheme="majorBidi" w:cstheme="majorBidi"/>
          <w:szCs w:val="28"/>
        </w:rPr>
        <w:t>6</w:t>
      </w:r>
      <w:r w:rsidRPr="00A41B5E">
        <w:rPr>
          <w:rFonts w:asciiTheme="majorBidi" w:hAnsiTheme="majorBidi" w:cstheme="majorBidi"/>
          <w:szCs w:val="28"/>
        </w:rPr>
        <w:tab/>
        <w:t>Contributions to the expenses of the World Telecommunication Standardization Assembly (</w:t>
      </w:r>
      <w:r w:rsidR="00E37107" w:rsidRPr="00A41B5E">
        <w:rPr>
          <w:rFonts w:asciiTheme="majorBidi" w:hAnsiTheme="majorBidi" w:cstheme="majorBidi"/>
          <w:szCs w:val="28"/>
        </w:rPr>
        <w:t>WTSA</w:t>
      </w:r>
      <w:r w:rsidR="00E37107" w:rsidRPr="00A41B5E">
        <w:rPr>
          <w:rFonts w:asciiTheme="majorBidi" w:hAnsiTheme="majorBidi" w:cstheme="majorBidi"/>
          <w:szCs w:val="28"/>
        </w:rPr>
        <w:noBreakHyphen/>
        <w:t>16</w:t>
      </w:r>
      <w:r w:rsidRPr="00A41B5E">
        <w:rPr>
          <w:rFonts w:asciiTheme="majorBidi" w:hAnsiTheme="majorBidi" w:cstheme="majorBidi"/>
          <w:szCs w:val="28"/>
        </w:rPr>
        <w:t>)</w:t>
      </w:r>
    </w:p>
    <w:p w:rsidR="00A23AD7" w:rsidRPr="00A41B5E" w:rsidRDefault="00A23AD7" w:rsidP="00A23AD7">
      <w:pPr>
        <w:rPr>
          <w:rFonts w:asciiTheme="majorBidi" w:hAnsiTheme="majorBidi" w:cstheme="majorBidi"/>
          <w:szCs w:val="24"/>
        </w:rPr>
      </w:pPr>
      <w:r w:rsidRPr="00A41B5E">
        <w:rPr>
          <w:rFonts w:asciiTheme="majorBidi" w:hAnsiTheme="majorBidi" w:cstheme="majorBidi"/>
          <w:szCs w:val="24"/>
        </w:rPr>
        <w:t xml:space="preserve">The Committee took note of the amount that non-exempted international organizations and Sector Members (other than ITU-T Members) would have to pay to defraying the expenses of the Conference (Document </w:t>
      </w:r>
      <w:hyperlink r:id="rId22" w:history="1">
        <w:r w:rsidRPr="00A41B5E">
          <w:rPr>
            <w:rStyle w:val="Hyperlink"/>
            <w:rFonts w:asciiTheme="majorBidi" w:hAnsiTheme="majorBidi" w:cstheme="majorBidi"/>
            <w:szCs w:val="24"/>
          </w:rPr>
          <w:t>32</w:t>
        </w:r>
      </w:hyperlink>
      <w:r w:rsidRPr="00A41B5E">
        <w:rPr>
          <w:rFonts w:asciiTheme="majorBidi" w:hAnsiTheme="majorBidi" w:cstheme="majorBidi"/>
          <w:szCs w:val="24"/>
        </w:rPr>
        <w:t>).</w:t>
      </w:r>
    </w:p>
    <w:p w:rsidR="00A23AD7" w:rsidRPr="00A41B5E" w:rsidRDefault="00A23AD7" w:rsidP="001C1A5A">
      <w:pPr>
        <w:rPr>
          <w:rFonts w:asciiTheme="majorBidi" w:hAnsiTheme="majorBidi" w:cstheme="majorBidi"/>
          <w:szCs w:val="24"/>
        </w:rPr>
      </w:pPr>
      <w:r w:rsidRPr="00A41B5E">
        <w:rPr>
          <w:rFonts w:asciiTheme="majorBidi" w:hAnsiTheme="majorBidi" w:cstheme="majorBidi"/>
          <w:szCs w:val="24"/>
        </w:rPr>
        <w:t>As at 2 November 2016, no organizations or Sector Members that must share in defraying the expenses of the conference were registered.</w:t>
      </w:r>
    </w:p>
    <w:p w:rsidR="00A23AD7" w:rsidRPr="00A41B5E" w:rsidRDefault="00A23AD7" w:rsidP="00A23AD7">
      <w:pPr>
        <w:pStyle w:val="Heading1"/>
        <w:rPr>
          <w:rFonts w:asciiTheme="majorBidi" w:hAnsiTheme="majorBidi" w:cstheme="majorBidi"/>
          <w:szCs w:val="28"/>
        </w:rPr>
      </w:pPr>
      <w:r w:rsidRPr="00A41B5E">
        <w:rPr>
          <w:rFonts w:asciiTheme="majorBidi" w:hAnsiTheme="majorBidi" w:cstheme="majorBidi"/>
          <w:szCs w:val="28"/>
        </w:rPr>
        <w:t>7</w:t>
      </w:r>
      <w:r w:rsidRPr="00A41B5E">
        <w:rPr>
          <w:rFonts w:asciiTheme="majorBidi" w:hAnsiTheme="majorBidi" w:cstheme="majorBidi"/>
          <w:szCs w:val="28"/>
        </w:rPr>
        <w:tab/>
        <w:t xml:space="preserve">Report on estimated financial needs up to WTSA-20 and ITU-T expenditure for the years 2012 to 2016 </w:t>
      </w:r>
    </w:p>
    <w:p w:rsidR="00A23AD7" w:rsidRPr="00A41B5E" w:rsidRDefault="00A23AD7" w:rsidP="00FF23D9">
      <w:pPr>
        <w:rPr>
          <w:rFonts w:asciiTheme="majorBidi" w:hAnsiTheme="majorBidi" w:cstheme="majorBidi"/>
          <w:szCs w:val="24"/>
        </w:rPr>
      </w:pPr>
      <w:r w:rsidRPr="00A41B5E">
        <w:rPr>
          <w:rFonts w:asciiTheme="majorBidi" w:hAnsiTheme="majorBidi" w:cstheme="majorBidi"/>
          <w:szCs w:val="24"/>
        </w:rPr>
        <w:t xml:space="preserve">The report on estimated financial needs up to WTSA-20 and ITU-T expenditure for the years 2012 to 2016 (Document </w:t>
      </w:r>
      <w:hyperlink r:id="rId23" w:history="1">
        <w:r w:rsidRPr="00A41B5E">
          <w:rPr>
            <w:rStyle w:val="Hyperlink"/>
            <w:rFonts w:asciiTheme="majorBidi" w:hAnsiTheme="majorBidi" w:cstheme="majorBidi"/>
            <w:szCs w:val="24"/>
          </w:rPr>
          <w:t>29</w:t>
        </w:r>
      </w:hyperlink>
      <w:r w:rsidRPr="00A41B5E">
        <w:rPr>
          <w:rFonts w:asciiTheme="majorBidi" w:hAnsiTheme="majorBidi" w:cstheme="majorBidi"/>
          <w:szCs w:val="24"/>
        </w:rPr>
        <w:t>) was presented. With regards to the financial needs for the period up to 2020, the Committee stressed the importance to optimize the use of resources of the Union. It was recalled that the 2016-2017</w:t>
      </w:r>
      <w:r w:rsidR="00FF23D9" w:rsidRPr="00A41B5E">
        <w:rPr>
          <w:rFonts w:asciiTheme="majorBidi" w:hAnsiTheme="majorBidi" w:cstheme="majorBidi"/>
          <w:szCs w:val="24"/>
        </w:rPr>
        <w:t xml:space="preserve"> budget</w:t>
      </w:r>
      <w:r w:rsidRPr="00A41B5E">
        <w:rPr>
          <w:rFonts w:asciiTheme="majorBidi" w:hAnsiTheme="majorBidi" w:cstheme="majorBidi"/>
          <w:szCs w:val="24"/>
        </w:rPr>
        <w:t>, approved by Council 2015 (Resolution 1375), and the Financial Plan for 2016-20</w:t>
      </w:r>
      <w:r w:rsidR="00FF23D9" w:rsidRPr="00A41B5E">
        <w:rPr>
          <w:rFonts w:asciiTheme="majorBidi" w:hAnsiTheme="majorBidi" w:cstheme="majorBidi"/>
          <w:szCs w:val="24"/>
        </w:rPr>
        <w:t>19, approved by PP-14 (Decision </w:t>
      </w:r>
      <w:r w:rsidRPr="00A41B5E">
        <w:rPr>
          <w:rFonts w:asciiTheme="majorBidi" w:hAnsiTheme="majorBidi" w:cstheme="majorBidi"/>
          <w:szCs w:val="24"/>
        </w:rPr>
        <w:t xml:space="preserve">5), already set the framework of the expenses for 2016-2019. In addition to </w:t>
      </w:r>
      <w:r w:rsidR="001C1A5A" w:rsidRPr="00A41B5E">
        <w:rPr>
          <w:rFonts w:asciiTheme="majorBidi" w:hAnsiTheme="majorBidi" w:cstheme="majorBidi"/>
          <w:szCs w:val="24"/>
        </w:rPr>
        <w:t xml:space="preserve">Document </w:t>
      </w:r>
      <w:r w:rsidRPr="00A41B5E">
        <w:rPr>
          <w:rFonts w:asciiTheme="majorBidi" w:hAnsiTheme="majorBidi" w:cstheme="majorBidi"/>
          <w:szCs w:val="24"/>
        </w:rPr>
        <w:t>DT/</w:t>
      </w:r>
      <w:hyperlink r:id="rId24" w:history="1">
        <w:r w:rsidRPr="00A41B5E">
          <w:rPr>
            <w:rStyle w:val="Hyperlink"/>
            <w:rFonts w:asciiTheme="majorBidi" w:hAnsiTheme="majorBidi" w:cstheme="majorBidi"/>
            <w:szCs w:val="24"/>
          </w:rPr>
          <w:t>10</w:t>
        </w:r>
      </w:hyperlink>
      <w:r w:rsidRPr="00A41B5E">
        <w:rPr>
          <w:rFonts w:asciiTheme="majorBidi" w:hAnsiTheme="majorBidi" w:cstheme="majorBidi"/>
          <w:szCs w:val="24"/>
        </w:rPr>
        <w:t xml:space="preserve">, the Committee agreed that a note by the Chairman of the </w:t>
      </w:r>
      <w:r w:rsidR="00E37107" w:rsidRPr="00A41B5E">
        <w:rPr>
          <w:rFonts w:asciiTheme="majorBidi" w:hAnsiTheme="majorBidi" w:cstheme="majorBidi"/>
          <w:szCs w:val="24"/>
        </w:rPr>
        <w:t>Committee 2</w:t>
      </w:r>
      <w:r w:rsidRPr="00A41B5E">
        <w:rPr>
          <w:rFonts w:asciiTheme="majorBidi" w:hAnsiTheme="majorBidi" w:cstheme="majorBidi"/>
          <w:szCs w:val="24"/>
        </w:rPr>
        <w:t xml:space="preserve"> to the Chairmen of Committee 3, Committee 4 and Working Groups, be prepared (Document </w:t>
      </w:r>
      <w:hyperlink r:id="rId25" w:history="1">
        <w:r w:rsidRPr="00A41B5E">
          <w:rPr>
            <w:rStyle w:val="Hyperlink"/>
            <w:rFonts w:asciiTheme="majorBidi" w:hAnsiTheme="majorBidi" w:cstheme="majorBidi"/>
            <w:szCs w:val="24"/>
          </w:rPr>
          <w:t>63</w:t>
        </w:r>
      </w:hyperlink>
      <w:r w:rsidRPr="00A41B5E">
        <w:rPr>
          <w:rFonts w:asciiTheme="majorBidi" w:hAnsiTheme="majorBidi" w:cstheme="majorBidi"/>
          <w:szCs w:val="24"/>
        </w:rPr>
        <w:t>)</w:t>
      </w:r>
    </w:p>
    <w:p w:rsidR="00A23AD7" w:rsidRPr="00A41B5E" w:rsidRDefault="00A23AD7" w:rsidP="00A23AD7">
      <w:pPr>
        <w:pStyle w:val="Heading1"/>
        <w:rPr>
          <w:rFonts w:asciiTheme="majorBidi" w:hAnsiTheme="majorBidi" w:cstheme="majorBidi"/>
          <w:szCs w:val="28"/>
        </w:rPr>
      </w:pPr>
      <w:r w:rsidRPr="00A41B5E">
        <w:rPr>
          <w:rFonts w:asciiTheme="majorBidi" w:hAnsiTheme="majorBidi" w:cstheme="majorBidi"/>
          <w:szCs w:val="28"/>
        </w:rPr>
        <w:t>8</w:t>
      </w:r>
      <w:r w:rsidRPr="00A41B5E">
        <w:rPr>
          <w:rFonts w:asciiTheme="majorBidi" w:hAnsiTheme="majorBidi" w:cstheme="majorBidi"/>
          <w:szCs w:val="28"/>
        </w:rPr>
        <w:tab/>
        <w:t xml:space="preserve">Financial implications of Decisions and Resolutions of the </w:t>
      </w:r>
      <w:r w:rsidR="00E37107" w:rsidRPr="00A41B5E">
        <w:rPr>
          <w:rFonts w:asciiTheme="majorBidi" w:hAnsiTheme="majorBidi" w:cstheme="majorBidi"/>
          <w:szCs w:val="28"/>
        </w:rPr>
        <w:t>WTSA</w:t>
      </w:r>
      <w:r w:rsidR="00E37107" w:rsidRPr="00A41B5E">
        <w:rPr>
          <w:rFonts w:asciiTheme="majorBidi" w:hAnsiTheme="majorBidi" w:cstheme="majorBidi"/>
          <w:szCs w:val="28"/>
        </w:rPr>
        <w:noBreakHyphen/>
        <w:t>16</w:t>
      </w:r>
    </w:p>
    <w:p w:rsidR="00A23AD7" w:rsidRPr="00A41B5E" w:rsidRDefault="00A23AD7">
      <w:pPr>
        <w:rPr>
          <w:rFonts w:asciiTheme="majorBidi" w:hAnsiTheme="majorBidi" w:cstheme="majorBidi"/>
          <w:szCs w:val="24"/>
        </w:rPr>
      </w:pPr>
      <w:r w:rsidRPr="00A41B5E">
        <w:rPr>
          <w:rFonts w:asciiTheme="majorBidi" w:hAnsiTheme="majorBidi" w:cstheme="majorBidi"/>
          <w:szCs w:val="24"/>
        </w:rPr>
        <w:t xml:space="preserve">As </w:t>
      </w:r>
      <w:r w:rsidR="00DB5FFE">
        <w:rPr>
          <w:rFonts w:asciiTheme="majorBidi" w:hAnsiTheme="majorBidi" w:cstheme="majorBidi"/>
          <w:szCs w:val="24"/>
        </w:rPr>
        <w:t>at</w:t>
      </w:r>
      <w:r w:rsidRPr="00A41B5E">
        <w:rPr>
          <w:rFonts w:asciiTheme="majorBidi" w:hAnsiTheme="majorBidi" w:cstheme="majorBidi"/>
          <w:szCs w:val="24"/>
        </w:rPr>
        <w:t xml:space="preserve"> 31 October 2016, the Budget Control Committee has identified several areas that might have some financial impact (ref. </w:t>
      </w:r>
      <w:r w:rsidR="00FF23D9" w:rsidRPr="00A41B5E">
        <w:rPr>
          <w:rFonts w:asciiTheme="majorBidi" w:hAnsiTheme="majorBidi" w:cstheme="majorBidi"/>
          <w:szCs w:val="24"/>
        </w:rPr>
        <w:t>Document</w:t>
      </w:r>
      <w:r w:rsidR="00FF23D9" w:rsidRPr="00A41B5E">
        <w:rPr>
          <w:rFonts w:asciiTheme="majorBidi" w:eastAsiaTheme="minorEastAsia" w:hAnsiTheme="majorBidi" w:cstheme="majorBidi"/>
          <w:szCs w:val="24"/>
          <w:lang w:eastAsia="zh-CN"/>
        </w:rPr>
        <w:t> </w:t>
      </w:r>
      <w:r w:rsidRPr="00A41B5E">
        <w:rPr>
          <w:rFonts w:asciiTheme="majorBidi" w:hAnsiTheme="majorBidi" w:cstheme="majorBidi"/>
          <w:szCs w:val="24"/>
        </w:rPr>
        <w:t>DT/</w:t>
      </w:r>
      <w:hyperlink r:id="rId26" w:history="1">
        <w:r w:rsidRPr="00A41B5E">
          <w:rPr>
            <w:rStyle w:val="Hyperlink"/>
            <w:rFonts w:asciiTheme="majorBidi" w:hAnsiTheme="majorBidi" w:cstheme="majorBidi"/>
            <w:szCs w:val="24"/>
          </w:rPr>
          <w:t>53</w:t>
        </w:r>
      </w:hyperlink>
      <w:r w:rsidRPr="00A41B5E">
        <w:rPr>
          <w:rFonts w:asciiTheme="majorBidi" w:hAnsiTheme="majorBidi" w:cstheme="majorBidi"/>
          <w:szCs w:val="24"/>
        </w:rPr>
        <w:t xml:space="preserve">). The document was discussed by </w:t>
      </w:r>
      <w:r w:rsidR="00E37107" w:rsidRPr="00A41B5E">
        <w:rPr>
          <w:rFonts w:asciiTheme="majorBidi" w:hAnsiTheme="majorBidi" w:cstheme="majorBidi"/>
          <w:szCs w:val="24"/>
        </w:rPr>
        <w:t>Committee 2</w:t>
      </w:r>
      <w:r w:rsidRPr="00A41B5E">
        <w:rPr>
          <w:rFonts w:asciiTheme="majorBidi" w:hAnsiTheme="majorBidi" w:cstheme="majorBidi"/>
          <w:szCs w:val="24"/>
        </w:rPr>
        <w:t xml:space="preserve">, which agreed to modify the title of </w:t>
      </w:r>
      <w:r w:rsidR="00FF23D9" w:rsidRPr="00A41B5E">
        <w:rPr>
          <w:rFonts w:asciiTheme="majorBidi" w:hAnsiTheme="majorBidi" w:cstheme="majorBidi"/>
          <w:szCs w:val="24"/>
        </w:rPr>
        <w:t>Document </w:t>
      </w:r>
      <w:r w:rsidRPr="00A41B5E">
        <w:rPr>
          <w:rFonts w:asciiTheme="majorBidi" w:hAnsiTheme="majorBidi" w:cstheme="majorBidi"/>
          <w:szCs w:val="24"/>
        </w:rPr>
        <w:t>DT/</w:t>
      </w:r>
      <w:hyperlink r:id="rId27" w:history="1">
        <w:r w:rsidRPr="00A41B5E">
          <w:rPr>
            <w:rStyle w:val="Hyperlink"/>
            <w:rFonts w:asciiTheme="majorBidi" w:hAnsiTheme="majorBidi" w:cstheme="majorBidi"/>
            <w:szCs w:val="24"/>
          </w:rPr>
          <w:t>53</w:t>
        </w:r>
      </w:hyperlink>
      <w:r w:rsidRPr="00A41B5E">
        <w:rPr>
          <w:rFonts w:asciiTheme="majorBidi" w:hAnsiTheme="majorBidi" w:cstheme="majorBidi"/>
          <w:szCs w:val="24"/>
        </w:rPr>
        <w:t>, to read as follows: Preliminary cost estimate of the Decisions and Resolutions of the World Telecommunications Standardization Assembly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w:t>
      </w:r>
    </w:p>
    <w:p w:rsidR="00020AE0" w:rsidRDefault="00020AE0">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r>
        <w:rPr>
          <w:rFonts w:asciiTheme="majorBidi" w:hAnsiTheme="majorBidi" w:cstheme="majorBidi"/>
          <w:szCs w:val="24"/>
        </w:rPr>
        <w:br w:type="page"/>
      </w:r>
    </w:p>
    <w:p w:rsidR="00A23AD7" w:rsidRPr="00A41B5E" w:rsidRDefault="00A23AD7" w:rsidP="00FF23D9">
      <w:pPr>
        <w:rPr>
          <w:rFonts w:asciiTheme="majorBidi" w:hAnsiTheme="majorBidi" w:cstheme="majorBidi"/>
          <w:szCs w:val="24"/>
        </w:rPr>
      </w:pPr>
      <w:r w:rsidRPr="00A41B5E">
        <w:rPr>
          <w:rFonts w:asciiTheme="majorBidi" w:hAnsiTheme="majorBidi" w:cstheme="majorBidi"/>
          <w:szCs w:val="24"/>
        </w:rPr>
        <w:lastRenderedPageBreak/>
        <w:t>During the discussion regarding the financial impact on interpretation expen</w:t>
      </w:r>
      <w:r w:rsidR="00FF23D9" w:rsidRPr="00A41B5E">
        <w:rPr>
          <w:rFonts w:asciiTheme="majorBidi" w:hAnsiTheme="majorBidi" w:cstheme="majorBidi"/>
          <w:szCs w:val="24"/>
        </w:rPr>
        <w:t>ses that the revised Resolution </w:t>
      </w:r>
      <w:r w:rsidRPr="00A41B5E">
        <w:rPr>
          <w:rFonts w:asciiTheme="majorBidi" w:hAnsiTheme="majorBidi" w:cstheme="majorBidi"/>
          <w:szCs w:val="24"/>
        </w:rPr>
        <w:t xml:space="preserve">44 might have, the </w:t>
      </w:r>
      <w:r w:rsidR="00E37107" w:rsidRPr="00A41B5E">
        <w:rPr>
          <w:rFonts w:asciiTheme="majorBidi" w:hAnsiTheme="majorBidi" w:cstheme="majorBidi"/>
          <w:szCs w:val="24"/>
        </w:rPr>
        <w:t>Committee 2</w:t>
      </w:r>
      <w:r w:rsidRPr="00A41B5E">
        <w:rPr>
          <w:rFonts w:asciiTheme="majorBidi" w:hAnsiTheme="majorBidi" w:cstheme="majorBidi"/>
          <w:szCs w:val="24"/>
        </w:rPr>
        <w:t xml:space="preserve"> expressed its concerns about the large amount, and advised, if needed, to consider the most costly option (option 2) when preparing the 2018-2019</w:t>
      </w:r>
      <w:r w:rsidR="00FF23D9" w:rsidRPr="00A41B5E">
        <w:rPr>
          <w:rFonts w:asciiTheme="majorBidi" w:hAnsiTheme="majorBidi" w:cstheme="majorBidi"/>
          <w:szCs w:val="24"/>
        </w:rPr>
        <w:t xml:space="preserve"> budget</w:t>
      </w:r>
      <w:r w:rsidRPr="00A41B5E">
        <w:rPr>
          <w:rFonts w:asciiTheme="majorBidi" w:hAnsiTheme="majorBidi" w:cstheme="majorBidi"/>
          <w:szCs w:val="24"/>
        </w:rPr>
        <w:t>.</w:t>
      </w:r>
    </w:p>
    <w:p w:rsidR="00A23AD7" w:rsidRPr="00A41B5E" w:rsidRDefault="00A23AD7" w:rsidP="00A41B5E">
      <w:pPr>
        <w:rPr>
          <w:rFonts w:asciiTheme="majorBidi" w:hAnsiTheme="majorBidi" w:cstheme="majorBidi"/>
          <w:szCs w:val="24"/>
        </w:rPr>
      </w:pPr>
      <w:r w:rsidRPr="00A41B5E">
        <w:rPr>
          <w:rFonts w:asciiTheme="majorBidi" w:hAnsiTheme="majorBidi" w:cstheme="majorBidi"/>
          <w:szCs w:val="24"/>
        </w:rPr>
        <w:t>The Secretariat confirmed that the options discussed in the framework of revised Resolution</w:t>
      </w:r>
      <w:r w:rsidR="00A41B5E" w:rsidRPr="00A41B5E">
        <w:rPr>
          <w:rFonts w:asciiTheme="majorBidi" w:hAnsiTheme="majorBidi" w:cstheme="majorBidi"/>
          <w:szCs w:val="24"/>
        </w:rPr>
        <w:t> </w:t>
      </w:r>
      <w:r w:rsidRPr="00A41B5E">
        <w:rPr>
          <w:rFonts w:asciiTheme="majorBidi" w:hAnsiTheme="majorBidi" w:cstheme="majorBidi"/>
          <w:szCs w:val="24"/>
        </w:rPr>
        <w:t>44, would still</w:t>
      </w:r>
      <w:r w:rsidR="001C1A5A" w:rsidRPr="00A41B5E">
        <w:rPr>
          <w:rFonts w:asciiTheme="majorBidi" w:hAnsiTheme="majorBidi" w:cstheme="majorBidi"/>
          <w:szCs w:val="24"/>
        </w:rPr>
        <w:t xml:space="preserve"> be</w:t>
      </w:r>
      <w:r w:rsidRPr="00A41B5E">
        <w:rPr>
          <w:rFonts w:asciiTheme="majorBidi" w:hAnsiTheme="majorBidi" w:cstheme="majorBidi"/>
          <w:szCs w:val="24"/>
        </w:rPr>
        <w:t xml:space="preserve"> within the ceiling of CHF 85 million for the years 2016-2019</w:t>
      </w:r>
      <w:r w:rsidR="00FF23D9" w:rsidRPr="00A41B5E">
        <w:rPr>
          <w:rFonts w:asciiTheme="majorBidi" w:hAnsiTheme="majorBidi" w:cstheme="majorBidi"/>
          <w:szCs w:val="24"/>
        </w:rPr>
        <w:t xml:space="preserve"> as</w:t>
      </w:r>
      <w:r w:rsidRPr="00A41B5E">
        <w:rPr>
          <w:rFonts w:asciiTheme="majorBidi" w:hAnsiTheme="majorBidi" w:cstheme="majorBidi"/>
          <w:szCs w:val="24"/>
        </w:rPr>
        <w:t xml:space="preserve"> set</w:t>
      </w:r>
      <w:r w:rsidR="001C1A5A" w:rsidRPr="00A41B5E">
        <w:rPr>
          <w:rFonts w:asciiTheme="majorBidi" w:hAnsiTheme="majorBidi" w:cstheme="majorBidi"/>
          <w:szCs w:val="24"/>
        </w:rPr>
        <w:t xml:space="preserve"> out</w:t>
      </w:r>
      <w:r w:rsidRPr="00A41B5E">
        <w:rPr>
          <w:rFonts w:asciiTheme="majorBidi" w:hAnsiTheme="majorBidi" w:cstheme="majorBidi"/>
          <w:szCs w:val="24"/>
        </w:rPr>
        <w:t xml:space="preserve"> in PP</w:t>
      </w:r>
      <w:r w:rsidR="00FF23D9" w:rsidRPr="00A41B5E">
        <w:rPr>
          <w:rFonts w:asciiTheme="majorBidi" w:hAnsiTheme="majorBidi" w:cstheme="majorBidi"/>
          <w:szCs w:val="24"/>
        </w:rPr>
        <w:noBreakHyphen/>
      </w:r>
      <w:r w:rsidRPr="00A41B5E">
        <w:rPr>
          <w:rFonts w:asciiTheme="majorBidi" w:hAnsiTheme="majorBidi" w:cstheme="majorBidi"/>
          <w:szCs w:val="24"/>
        </w:rPr>
        <w:t>14 Decision</w:t>
      </w:r>
      <w:r w:rsidR="00FF23D9" w:rsidRPr="00A41B5E">
        <w:rPr>
          <w:rFonts w:asciiTheme="majorBidi" w:hAnsiTheme="majorBidi" w:cstheme="majorBidi"/>
          <w:szCs w:val="24"/>
        </w:rPr>
        <w:t> </w:t>
      </w:r>
      <w:r w:rsidRPr="00A41B5E">
        <w:rPr>
          <w:rFonts w:asciiTheme="majorBidi" w:hAnsiTheme="majorBidi" w:cstheme="majorBidi"/>
          <w:szCs w:val="24"/>
        </w:rPr>
        <w:t>5 (</w:t>
      </w:r>
      <w:r w:rsidRPr="00A41B5E">
        <w:rPr>
          <w:rFonts w:asciiTheme="majorBidi" w:hAnsiTheme="majorBidi" w:cstheme="majorBidi"/>
          <w:i/>
          <w:iCs/>
          <w:szCs w:val="24"/>
        </w:rPr>
        <w:t>decides</w:t>
      </w:r>
      <w:r w:rsidRPr="00A41B5E">
        <w:rPr>
          <w:rFonts w:asciiTheme="majorBidi" w:hAnsiTheme="majorBidi" w:cstheme="majorBidi"/>
          <w:szCs w:val="24"/>
        </w:rPr>
        <w:t xml:space="preserve"> 1.2). A middle alternative comprised between the two proposed options could also be studied when preparing </w:t>
      </w:r>
      <w:r w:rsidR="00A41B5E" w:rsidRPr="00A41B5E">
        <w:rPr>
          <w:rFonts w:asciiTheme="majorBidi" w:hAnsiTheme="majorBidi" w:cstheme="majorBidi"/>
          <w:szCs w:val="24"/>
        </w:rPr>
        <w:t xml:space="preserve">the </w:t>
      </w:r>
      <w:r w:rsidRPr="00A41B5E">
        <w:rPr>
          <w:rFonts w:asciiTheme="majorBidi" w:hAnsiTheme="majorBidi" w:cstheme="majorBidi"/>
          <w:szCs w:val="24"/>
        </w:rPr>
        <w:t>2018-2019</w:t>
      </w:r>
      <w:r w:rsidR="00A41B5E" w:rsidRPr="00A41B5E">
        <w:rPr>
          <w:rFonts w:asciiTheme="majorBidi" w:hAnsiTheme="majorBidi" w:cstheme="majorBidi"/>
          <w:szCs w:val="24"/>
        </w:rPr>
        <w:t xml:space="preserve"> budget</w:t>
      </w:r>
      <w:r w:rsidRPr="00A41B5E">
        <w:rPr>
          <w:rFonts w:asciiTheme="majorBidi" w:hAnsiTheme="majorBidi" w:cstheme="majorBidi"/>
          <w:szCs w:val="24"/>
        </w:rPr>
        <w:t>.</w:t>
      </w:r>
    </w:p>
    <w:p w:rsidR="00A23AD7" w:rsidRPr="00A41B5E" w:rsidRDefault="00A23AD7" w:rsidP="00456A44">
      <w:pPr>
        <w:rPr>
          <w:rFonts w:asciiTheme="majorBidi" w:hAnsiTheme="majorBidi" w:cstheme="majorBidi"/>
          <w:szCs w:val="24"/>
        </w:rPr>
      </w:pPr>
      <w:r w:rsidRPr="00A41B5E">
        <w:rPr>
          <w:rFonts w:asciiTheme="majorBidi" w:hAnsiTheme="majorBidi" w:cstheme="majorBidi"/>
          <w:szCs w:val="24"/>
        </w:rPr>
        <w:t>After its second meeting on Tuesday</w:t>
      </w:r>
      <w:r w:rsidR="001C1A5A" w:rsidRPr="00A41B5E">
        <w:rPr>
          <w:rFonts w:asciiTheme="majorBidi" w:hAnsiTheme="majorBidi" w:cstheme="majorBidi"/>
          <w:szCs w:val="24"/>
        </w:rPr>
        <w:t>,</w:t>
      </w:r>
      <w:r w:rsidRPr="00A41B5E">
        <w:rPr>
          <w:rFonts w:asciiTheme="majorBidi" w:hAnsiTheme="majorBidi" w:cstheme="majorBidi"/>
          <w:szCs w:val="24"/>
        </w:rPr>
        <w:t xml:space="preserve"> 1 November, </w:t>
      </w:r>
      <w:r w:rsidR="00E37107" w:rsidRPr="00A41B5E">
        <w:rPr>
          <w:rFonts w:asciiTheme="majorBidi" w:hAnsiTheme="majorBidi" w:cstheme="majorBidi"/>
          <w:szCs w:val="24"/>
        </w:rPr>
        <w:t>Committee 2</w:t>
      </w:r>
      <w:r w:rsidRPr="00A41B5E">
        <w:rPr>
          <w:rFonts w:asciiTheme="majorBidi" w:hAnsiTheme="majorBidi" w:cstheme="majorBidi"/>
          <w:szCs w:val="24"/>
        </w:rPr>
        <w:t xml:space="preserve"> received additional requests to examine and provide its opinion on new and revised Resolutions that might have a financial impact (</w:t>
      </w:r>
      <w:r w:rsidR="001C1A5A" w:rsidRPr="00A41B5E">
        <w:rPr>
          <w:rFonts w:asciiTheme="majorBidi" w:hAnsiTheme="majorBidi" w:cstheme="majorBidi"/>
          <w:szCs w:val="24"/>
        </w:rPr>
        <w:t>Document</w:t>
      </w:r>
      <w:r w:rsidR="00C1752B">
        <w:rPr>
          <w:rFonts w:asciiTheme="majorBidi" w:hAnsiTheme="majorBidi" w:cstheme="majorBidi"/>
          <w:szCs w:val="24"/>
        </w:rPr>
        <w:t xml:space="preserve">s </w:t>
      </w:r>
      <w:hyperlink r:id="rId28" w:history="1">
        <w:r w:rsidR="00C1752B" w:rsidRPr="00C1752B">
          <w:rPr>
            <w:rStyle w:val="Hyperlink"/>
            <w:rFonts w:asciiTheme="majorBidi" w:hAnsiTheme="majorBidi" w:cstheme="majorBidi"/>
            <w:szCs w:val="24"/>
          </w:rPr>
          <w:t>93</w:t>
        </w:r>
      </w:hyperlink>
      <w:r w:rsidR="00C1752B">
        <w:rPr>
          <w:rFonts w:asciiTheme="majorBidi" w:hAnsiTheme="majorBidi" w:cstheme="majorBidi"/>
          <w:szCs w:val="24"/>
        </w:rPr>
        <w:t xml:space="preserve">, </w:t>
      </w:r>
      <w:hyperlink r:id="rId29" w:history="1">
        <w:r w:rsidR="00C1752B" w:rsidRPr="00C1752B">
          <w:rPr>
            <w:rStyle w:val="Hyperlink"/>
            <w:rFonts w:asciiTheme="majorBidi" w:hAnsiTheme="majorBidi" w:cstheme="majorBidi"/>
            <w:szCs w:val="24"/>
          </w:rPr>
          <w:t>96</w:t>
        </w:r>
      </w:hyperlink>
      <w:r w:rsidR="00C1752B">
        <w:rPr>
          <w:rFonts w:asciiTheme="majorBidi" w:hAnsiTheme="majorBidi" w:cstheme="majorBidi"/>
          <w:szCs w:val="24"/>
        </w:rPr>
        <w:t xml:space="preserve"> and </w:t>
      </w:r>
      <w:hyperlink r:id="rId30" w:history="1">
        <w:r w:rsidR="00456A44" w:rsidRPr="00456A44">
          <w:rPr>
            <w:rStyle w:val="Hyperlink"/>
            <w:rFonts w:asciiTheme="majorBidi" w:hAnsiTheme="majorBidi" w:cstheme="majorBidi"/>
            <w:szCs w:val="24"/>
          </w:rPr>
          <w:t>100</w:t>
        </w:r>
      </w:hyperlink>
      <w:r w:rsidRPr="00A41B5E">
        <w:rPr>
          <w:rFonts w:asciiTheme="majorBidi" w:hAnsiTheme="majorBidi" w:cstheme="majorBidi"/>
          <w:szCs w:val="24"/>
        </w:rPr>
        <w:t>).</w:t>
      </w:r>
    </w:p>
    <w:p w:rsidR="00A23AD7" w:rsidRPr="00A41B5E" w:rsidRDefault="00A23AD7" w:rsidP="00A41B5E">
      <w:pPr>
        <w:rPr>
          <w:rFonts w:asciiTheme="majorBidi" w:hAnsiTheme="majorBidi" w:cstheme="majorBidi"/>
          <w:color w:val="000000" w:themeColor="text1"/>
          <w:szCs w:val="24"/>
        </w:rPr>
      </w:pPr>
      <w:r w:rsidRPr="00A41B5E">
        <w:rPr>
          <w:rFonts w:asciiTheme="majorBidi" w:hAnsiTheme="majorBidi" w:cstheme="majorBidi"/>
          <w:szCs w:val="24"/>
        </w:rPr>
        <w:t xml:space="preserve">The estimated financial impact is indicative and will be further reviewed </w:t>
      </w:r>
      <w:r w:rsidR="001C1A5A" w:rsidRPr="00A41B5E">
        <w:rPr>
          <w:rFonts w:asciiTheme="majorBidi" w:hAnsiTheme="majorBidi" w:cstheme="majorBidi"/>
          <w:szCs w:val="24"/>
        </w:rPr>
        <w:t>by</w:t>
      </w:r>
      <w:r w:rsidRPr="00A41B5E">
        <w:rPr>
          <w:rFonts w:asciiTheme="majorBidi" w:hAnsiTheme="majorBidi" w:cstheme="majorBidi"/>
          <w:szCs w:val="24"/>
        </w:rPr>
        <w:t xml:space="preserve"> Council at its 2017 session when adopting the 2018-2019 budget.</w:t>
      </w:r>
      <w:r w:rsidR="00A41B5E">
        <w:rPr>
          <w:rFonts w:asciiTheme="majorBidi" w:hAnsiTheme="majorBidi" w:cstheme="majorBidi"/>
          <w:szCs w:val="24"/>
        </w:rPr>
        <w:t xml:space="preserve"> </w:t>
      </w:r>
      <w:r w:rsidRPr="00A41B5E">
        <w:rPr>
          <w:rFonts w:asciiTheme="majorBidi" w:hAnsiTheme="majorBidi" w:cstheme="majorBidi"/>
          <w:color w:val="000000" w:themeColor="text1"/>
          <w:szCs w:val="24"/>
        </w:rPr>
        <w:t>The Financial</w:t>
      </w:r>
      <w:r w:rsidR="00A41B5E" w:rsidRPr="00A41B5E">
        <w:rPr>
          <w:rFonts w:asciiTheme="majorBidi" w:hAnsiTheme="majorBidi" w:cstheme="majorBidi"/>
          <w:color w:val="000000" w:themeColor="text1"/>
          <w:szCs w:val="24"/>
        </w:rPr>
        <w:t xml:space="preserve"> Plan 2016-2019, approved by PP</w:t>
      </w:r>
      <w:r w:rsidR="00A41B5E" w:rsidRPr="00A41B5E">
        <w:rPr>
          <w:rFonts w:asciiTheme="majorBidi" w:hAnsiTheme="majorBidi" w:cstheme="majorBidi"/>
          <w:color w:val="000000" w:themeColor="text1"/>
          <w:szCs w:val="24"/>
        </w:rPr>
        <w:noBreakHyphen/>
      </w:r>
      <w:r w:rsidRPr="00A41B5E">
        <w:rPr>
          <w:rFonts w:asciiTheme="majorBidi" w:hAnsiTheme="majorBidi" w:cstheme="majorBidi"/>
          <w:color w:val="000000" w:themeColor="text1"/>
          <w:szCs w:val="24"/>
        </w:rPr>
        <w:t xml:space="preserve">14, already setting the framework of the expenses for 2016-2019, the Secretariat informed </w:t>
      </w:r>
      <w:r w:rsidR="00E37107" w:rsidRPr="00A41B5E">
        <w:rPr>
          <w:rFonts w:asciiTheme="majorBidi" w:hAnsiTheme="majorBidi" w:cstheme="majorBidi"/>
          <w:color w:val="000000" w:themeColor="text1"/>
          <w:szCs w:val="24"/>
        </w:rPr>
        <w:t>Committee 2</w:t>
      </w:r>
      <w:r w:rsidRPr="00A41B5E">
        <w:rPr>
          <w:rFonts w:asciiTheme="majorBidi" w:hAnsiTheme="majorBidi" w:cstheme="majorBidi"/>
          <w:color w:val="000000" w:themeColor="text1"/>
          <w:szCs w:val="24"/>
        </w:rPr>
        <w:t xml:space="preserve"> that it will be difficult to balance the 2018-2019 budget with these Decisions and Resolutions that require additional financial funding.</w:t>
      </w:r>
    </w:p>
    <w:p w:rsidR="00A23AD7" w:rsidRPr="00A41B5E" w:rsidRDefault="00A23AD7" w:rsidP="00E37107">
      <w:pPr>
        <w:rPr>
          <w:rFonts w:asciiTheme="majorBidi" w:hAnsiTheme="majorBidi" w:cstheme="majorBidi"/>
          <w:szCs w:val="24"/>
        </w:rPr>
      </w:pPr>
      <w:r w:rsidRPr="00A41B5E">
        <w:rPr>
          <w:rFonts w:asciiTheme="majorBidi" w:hAnsiTheme="majorBidi" w:cstheme="majorBidi"/>
          <w:szCs w:val="24"/>
        </w:rPr>
        <w:t>For 2017</w:t>
      </w:r>
      <w:r w:rsidR="00E37107" w:rsidRPr="00A41B5E">
        <w:rPr>
          <w:rFonts w:asciiTheme="majorBidi" w:hAnsiTheme="majorBidi" w:cstheme="majorBidi"/>
          <w:szCs w:val="24"/>
        </w:rPr>
        <w:t>,</w:t>
      </w:r>
      <w:r w:rsidRPr="00A41B5E">
        <w:rPr>
          <w:rFonts w:asciiTheme="majorBidi" w:hAnsiTheme="majorBidi" w:cstheme="majorBidi"/>
          <w:szCs w:val="24"/>
        </w:rPr>
        <w:t xml:space="preserve"> TSB will endeavour to accommodate the new requirements within the approved 2016-2017 budget, although this may </w:t>
      </w:r>
      <w:r w:rsidRPr="00AE76D3">
        <w:rPr>
          <w:rFonts w:asciiTheme="majorBidi" w:hAnsiTheme="majorBidi" w:cstheme="majorBidi"/>
          <w:szCs w:val="24"/>
        </w:rPr>
        <w:t xml:space="preserve">be </w:t>
      </w:r>
      <w:r w:rsidR="00A41B5E" w:rsidRPr="00AE76D3">
        <w:rPr>
          <w:rFonts w:asciiTheme="majorBidi" w:hAnsiTheme="majorBidi" w:cstheme="majorBidi"/>
          <w:szCs w:val="24"/>
        </w:rPr>
        <w:t>challenging</w:t>
      </w:r>
      <w:r w:rsidRPr="00A41B5E">
        <w:rPr>
          <w:rFonts w:asciiTheme="majorBidi" w:hAnsiTheme="majorBidi" w:cstheme="majorBidi"/>
          <w:szCs w:val="24"/>
        </w:rPr>
        <w:t>.</w:t>
      </w:r>
    </w:p>
    <w:p w:rsidR="00A23AD7" w:rsidRPr="00A41B5E" w:rsidRDefault="00A23AD7" w:rsidP="001C1A5A">
      <w:pPr>
        <w:rPr>
          <w:rFonts w:asciiTheme="majorBidi" w:hAnsiTheme="majorBidi" w:cstheme="majorBidi"/>
          <w:szCs w:val="24"/>
        </w:rPr>
      </w:pPr>
      <w:r w:rsidRPr="00A41B5E">
        <w:rPr>
          <w:rFonts w:asciiTheme="majorBidi" w:hAnsiTheme="majorBidi" w:cstheme="majorBidi"/>
          <w:szCs w:val="24"/>
        </w:rPr>
        <w:t xml:space="preserve">Annex B includes a summary table of the potential financial implications of Decisions and Resolutions of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 xml:space="preserve">, the cost assessment, as well as the list of Decisions and Resolutions of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 xml:space="preserve"> with potential financial implications.</w:t>
      </w:r>
    </w:p>
    <w:p w:rsidR="00A23AD7" w:rsidRPr="00A41B5E" w:rsidRDefault="00A23AD7" w:rsidP="0043579F">
      <w:pPr>
        <w:rPr>
          <w:rFonts w:asciiTheme="majorBidi" w:hAnsiTheme="majorBidi" w:cstheme="majorBidi"/>
          <w:bCs/>
          <w:szCs w:val="24"/>
        </w:rPr>
      </w:pPr>
      <w:r w:rsidRPr="00A41B5E">
        <w:rPr>
          <w:rFonts w:asciiTheme="majorBidi" w:hAnsiTheme="majorBidi" w:cstheme="majorBidi"/>
          <w:szCs w:val="24"/>
        </w:rPr>
        <w:t xml:space="preserve">In summary, the additional expenses identified in the various Decisions and Resolutions of </w:t>
      </w:r>
      <w:r w:rsidR="00E37107" w:rsidRPr="00A41B5E">
        <w:rPr>
          <w:rFonts w:asciiTheme="majorBidi" w:hAnsiTheme="majorBidi" w:cstheme="majorBidi"/>
          <w:szCs w:val="24"/>
        </w:rPr>
        <w:t>WTSA</w:t>
      </w:r>
      <w:r w:rsidR="00E37107" w:rsidRPr="00A41B5E">
        <w:rPr>
          <w:rFonts w:asciiTheme="majorBidi" w:hAnsiTheme="majorBidi" w:cstheme="majorBidi"/>
          <w:szCs w:val="24"/>
        </w:rPr>
        <w:noBreakHyphen/>
        <w:t>16</w:t>
      </w:r>
      <w:r w:rsidRPr="00A41B5E">
        <w:rPr>
          <w:rFonts w:asciiTheme="majorBidi" w:hAnsiTheme="majorBidi" w:cstheme="majorBidi"/>
          <w:szCs w:val="24"/>
        </w:rPr>
        <w:t xml:space="preserve">, </w:t>
      </w:r>
      <w:r w:rsidR="00267C5E">
        <w:rPr>
          <w:rFonts w:asciiTheme="majorBidi" w:hAnsiTheme="majorBidi" w:cstheme="majorBidi"/>
          <w:szCs w:val="24"/>
        </w:rPr>
        <w:t>are estimated</w:t>
      </w:r>
      <w:r w:rsidRPr="00A41B5E">
        <w:rPr>
          <w:rFonts w:asciiTheme="majorBidi" w:hAnsiTheme="majorBidi" w:cstheme="majorBidi"/>
          <w:szCs w:val="24"/>
        </w:rPr>
        <w:t xml:space="preserve"> </w:t>
      </w:r>
      <w:r w:rsidR="00737B1D">
        <w:rPr>
          <w:rFonts w:asciiTheme="majorBidi" w:hAnsiTheme="majorBidi" w:cstheme="majorBidi"/>
          <w:szCs w:val="24"/>
        </w:rPr>
        <w:t>between</w:t>
      </w:r>
      <w:r w:rsidRPr="00A41B5E">
        <w:rPr>
          <w:rFonts w:asciiTheme="majorBidi" w:hAnsiTheme="majorBidi" w:cstheme="majorBidi"/>
          <w:szCs w:val="24"/>
        </w:rPr>
        <w:t xml:space="preserve"> </w:t>
      </w:r>
      <w:r w:rsidR="00737B1D">
        <w:rPr>
          <w:rFonts w:asciiTheme="majorBidi" w:hAnsiTheme="majorBidi" w:cstheme="majorBidi"/>
          <w:szCs w:val="24"/>
        </w:rPr>
        <w:t xml:space="preserve">1,342 kCHF </w:t>
      </w:r>
      <w:r w:rsidR="0043579F">
        <w:rPr>
          <w:rFonts w:asciiTheme="majorBidi" w:hAnsiTheme="majorBidi" w:cstheme="majorBidi"/>
          <w:szCs w:val="24"/>
        </w:rPr>
        <w:t xml:space="preserve">and 1,628 kCHF </w:t>
      </w:r>
      <w:r w:rsidR="00737B1D">
        <w:rPr>
          <w:rFonts w:asciiTheme="majorBidi" w:hAnsiTheme="majorBidi" w:cstheme="majorBidi"/>
          <w:szCs w:val="24"/>
        </w:rPr>
        <w:t>for option 1</w:t>
      </w:r>
      <w:r w:rsidR="0043579F">
        <w:rPr>
          <w:rFonts w:asciiTheme="majorBidi" w:hAnsiTheme="majorBidi" w:cstheme="majorBidi"/>
          <w:szCs w:val="24"/>
        </w:rPr>
        <w:t xml:space="preserve">, </w:t>
      </w:r>
      <w:r w:rsidR="00737B1D">
        <w:rPr>
          <w:rFonts w:asciiTheme="majorBidi" w:hAnsiTheme="majorBidi" w:cstheme="majorBidi"/>
          <w:szCs w:val="24"/>
        </w:rPr>
        <w:t xml:space="preserve">and </w:t>
      </w:r>
      <w:r w:rsidR="0043579F">
        <w:rPr>
          <w:rFonts w:asciiTheme="majorBidi" w:hAnsiTheme="majorBidi" w:cstheme="majorBidi"/>
          <w:szCs w:val="24"/>
        </w:rPr>
        <w:t xml:space="preserve">between 2,602 kCHF to </w:t>
      </w:r>
      <w:r w:rsidR="00737B1D">
        <w:rPr>
          <w:rFonts w:asciiTheme="majorBidi" w:hAnsiTheme="majorBidi" w:cstheme="majorBidi"/>
          <w:szCs w:val="24"/>
        </w:rPr>
        <w:t>3,788 kCHF for option 2</w:t>
      </w:r>
      <w:r w:rsidRPr="00A41B5E">
        <w:rPr>
          <w:rFonts w:asciiTheme="majorBidi" w:hAnsiTheme="majorBidi" w:cstheme="majorBidi"/>
          <w:szCs w:val="24"/>
        </w:rPr>
        <w:t xml:space="preserve"> per biennium. </w:t>
      </w:r>
    </w:p>
    <w:p w:rsidR="00A23AD7" w:rsidRPr="00A41B5E" w:rsidRDefault="00A23AD7" w:rsidP="00E37107">
      <w:pPr>
        <w:rPr>
          <w:rFonts w:asciiTheme="majorBidi" w:hAnsiTheme="majorBidi" w:cstheme="majorBidi"/>
          <w:szCs w:val="24"/>
        </w:rPr>
      </w:pPr>
      <w:r w:rsidRPr="00A41B5E">
        <w:rPr>
          <w:rFonts w:asciiTheme="majorBidi" w:hAnsiTheme="majorBidi" w:cstheme="majorBidi"/>
          <w:szCs w:val="24"/>
        </w:rPr>
        <w:t xml:space="preserve">The Plenary meeting is requested to consider and approve this Report, which will then be forwarded by the Secretary-General, together with the Comments of the </w:t>
      </w:r>
      <w:proofErr w:type="gramStart"/>
      <w:r w:rsidRPr="00A41B5E">
        <w:rPr>
          <w:rFonts w:asciiTheme="majorBidi" w:hAnsiTheme="majorBidi" w:cstheme="majorBidi"/>
          <w:szCs w:val="24"/>
        </w:rPr>
        <w:t>Plenary</w:t>
      </w:r>
      <w:proofErr w:type="gramEnd"/>
      <w:r w:rsidRPr="00A41B5E">
        <w:rPr>
          <w:rFonts w:asciiTheme="majorBidi" w:hAnsiTheme="majorBidi" w:cstheme="majorBidi"/>
          <w:szCs w:val="24"/>
        </w:rPr>
        <w:t xml:space="preserve"> meeting, for submission to the 2017 session of Council.</w:t>
      </w:r>
    </w:p>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p>
    <w:tbl>
      <w:tblPr>
        <w:tblW w:w="10031" w:type="dxa"/>
        <w:tblLayout w:type="fixed"/>
        <w:tblLook w:val="04A0" w:firstRow="1" w:lastRow="0" w:firstColumn="1" w:lastColumn="0" w:noHBand="0" w:noVBand="1"/>
      </w:tblPr>
      <w:tblGrid>
        <w:gridCol w:w="5529"/>
        <w:gridCol w:w="4502"/>
      </w:tblGrid>
      <w:tr w:rsidR="00A23AD7" w:rsidRPr="00A41B5E" w:rsidTr="006F3762">
        <w:trPr>
          <w:cantSplit/>
        </w:trPr>
        <w:tc>
          <w:tcPr>
            <w:tcW w:w="5529" w:type="dxa"/>
          </w:tcPr>
          <w:p w:rsidR="00A23AD7" w:rsidRPr="00A41B5E" w:rsidRDefault="00A23AD7" w:rsidP="006F3762">
            <w:pPr>
              <w:tabs>
                <w:tab w:val="clear" w:pos="1134"/>
                <w:tab w:val="clear" w:pos="1871"/>
                <w:tab w:val="clear" w:pos="2268"/>
              </w:tabs>
              <w:overflowPunct/>
              <w:autoSpaceDE/>
              <w:autoSpaceDN/>
              <w:adjustRightInd/>
              <w:spacing w:before="0"/>
              <w:textAlignment w:val="auto"/>
              <w:rPr>
                <w:rFonts w:asciiTheme="majorBidi" w:hAnsiTheme="majorBidi" w:cstheme="majorBidi"/>
                <w:szCs w:val="24"/>
              </w:rPr>
            </w:pPr>
          </w:p>
        </w:tc>
        <w:tc>
          <w:tcPr>
            <w:tcW w:w="4502" w:type="dxa"/>
          </w:tcPr>
          <w:p w:rsidR="00A23AD7" w:rsidRPr="00A41B5E" w:rsidRDefault="00A23AD7" w:rsidP="006F3762">
            <w:pPr>
              <w:jc w:val="center"/>
              <w:rPr>
                <w:rFonts w:asciiTheme="majorBidi" w:eastAsia="SimSun" w:hAnsiTheme="majorBidi" w:cstheme="majorBidi"/>
                <w:szCs w:val="24"/>
              </w:rPr>
            </w:pPr>
            <w:r w:rsidRPr="00A41B5E">
              <w:rPr>
                <w:rFonts w:asciiTheme="majorBidi" w:eastAsia="SimSun" w:hAnsiTheme="majorBidi" w:cstheme="majorBidi"/>
                <w:szCs w:val="24"/>
              </w:rPr>
              <w:t>Ms Weiling XU (China, People’s Rep. of)</w:t>
            </w:r>
            <w:r w:rsidRPr="00A41B5E">
              <w:rPr>
                <w:rFonts w:asciiTheme="majorBidi" w:eastAsia="SimSun" w:hAnsiTheme="majorBidi" w:cstheme="majorBidi"/>
                <w:szCs w:val="24"/>
              </w:rPr>
              <w:br/>
              <w:t xml:space="preserve">Chairman, </w:t>
            </w:r>
            <w:r w:rsidR="00E37107" w:rsidRPr="00A41B5E">
              <w:rPr>
                <w:rFonts w:asciiTheme="majorBidi" w:eastAsia="SimSun" w:hAnsiTheme="majorBidi" w:cstheme="majorBidi"/>
                <w:szCs w:val="24"/>
              </w:rPr>
              <w:t>Committee 2</w:t>
            </w:r>
          </w:p>
          <w:p w:rsidR="00A23AD7" w:rsidRPr="00A41B5E" w:rsidRDefault="00A23AD7" w:rsidP="006F3762">
            <w:pPr>
              <w:jc w:val="center"/>
              <w:rPr>
                <w:rFonts w:asciiTheme="majorBidi" w:eastAsia="SimSun" w:hAnsiTheme="majorBidi" w:cstheme="majorBidi"/>
                <w:szCs w:val="24"/>
              </w:rPr>
            </w:pPr>
          </w:p>
        </w:tc>
      </w:tr>
    </w:tbl>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p>
    <w:p w:rsidR="00A23AD7" w:rsidRPr="00A41B5E" w:rsidRDefault="00A23AD7" w:rsidP="00A23AD7">
      <w:pPr>
        <w:tabs>
          <w:tab w:val="center" w:pos="7088"/>
        </w:tabs>
        <w:rPr>
          <w:rFonts w:asciiTheme="majorBidi" w:hAnsiTheme="majorBidi" w:cstheme="majorBidi"/>
          <w:szCs w:val="24"/>
        </w:rPr>
      </w:pPr>
      <w:r w:rsidRPr="00A41B5E">
        <w:rPr>
          <w:rFonts w:asciiTheme="majorBidi" w:hAnsiTheme="majorBidi" w:cstheme="majorBidi"/>
          <w:szCs w:val="24"/>
        </w:rPr>
        <w:t>Annexes: 2</w:t>
      </w:r>
    </w:p>
    <w:p w:rsidR="00A23AD7" w:rsidRPr="00A41B5E" w:rsidRDefault="00A23AD7" w:rsidP="00A23AD7">
      <w:pPr>
        <w:tabs>
          <w:tab w:val="clear" w:pos="1134"/>
          <w:tab w:val="clear" w:pos="1871"/>
          <w:tab w:val="clear" w:pos="2268"/>
        </w:tabs>
        <w:overflowPunct/>
        <w:autoSpaceDE/>
        <w:autoSpaceDN/>
        <w:adjustRightInd/>
        <w:spacing w:before="0"/>
        <w:textAlignment w:val="auto"/>
        <w:rPr>
          <w:rStyle w:val="Strong"/>
          <w:sz w:val="28"/>
          <w:szCs w:val="28"/>
        </w:rPr>
      </w:pPr>
      <w:r w:rsidRPr="00A41B5E">
        <w:rPr>
          <w:rStyle w:val="Strong"/>
          <w:sz w:val="28"/>
          <w:szCs w:val="28"/>
        </w:rPr>
        <w:br w:type="page"/>
      </w:r>
    </w:p>
    <w:p w:rsidR="00A23AD7" w:rsidRPr="00A41B5E" w:rsidRDefault="00A23AD7" w:rsidP="00A41B5E">
      <w:pPr>
        <w:pStyle w:val="AnnexNo"/>
        <w:rPr>
          <w:rStyle w:val="Strong"/>
          <w:b w:val="0"/>
          <w:bCs w:val="0"/>
          <w:szCs w:val="28"/>
        </w:rPr>
      </w:pPr>
      <w:r w:rsidRPr="00A41B5E">
        <w:rPr>
          <w:rStyle w:val="Strong"/>
          <w:b w:val="0"/>
          <w:bCs w:val="0"/>
          <w:szCs w:val="28"/>
        </w:rPr>
        <w:lastRenderedPageBreak/>
        <w:t>Annex A</w:t>
      </w:r>
    </w:p>
    <w:p w:rsidR="00A23AD7" w:rsidRPr="00A41B5E" w:rsidRDefault="00A23AD7" w:rsidP="00A41B5E">
      <w:pPr>
        <w:pStyle w:val="Annextitle"/>
      </w:pPr>
      <w:r w:rsidRPr="00A41B5E">
        <w:rPr>
          <w:rStyle w:val="Strong"/>
          <w:szCs w:val="28"/>
        </w:rPr>
        <w:t>BUDGET OF THE WORLD TELECOMMUNICATION</w:t>
      </w:r>
      <w:r w:rsidRPr="00A41B5E">
        <w:rPr>
          <w:rStyle w:val="Strong"/>
          <w:szCs w:val="28"/>
        </w:rPr>
        <w:br/>
      </w:r>
      <w:r w:rsidRPr="00A41B5E">
        <w:rPr>
          <w:rStyle w:val="Strong"/>
          <w:b/>
          <w:bCs w:val="0"/>
        </w:rPr>
        <w:t>STANDARDIZATION</w:t>
      </w:r>
      <w:r w:rsidRPr="00A41B5E">
        <w:rPr>
          <w:rStyle w:val="Strong"/>
          <w:szCs w:val="28"/>
        </w:rPr>
        <w:t xml:space="preserve"> ASSEMBLY (</w:t>
      </w:r>
      <w:r w:rsidR="00E37107" w:rsidRPr="00A41B5E">
        <w:rPr>
          <w:rStyle w:val="Strong"/>
          <w:szCs w:val="28"/>
        </w:rPr>
        <w:t>WTSA</w:t>
      </w:r>
      <w:r w:rsidR="00E37107" w:rsidRPr="00A41B5E">
        <w:rPr>
          <w:rStyle w:val="Strong"/>
          <w:szCs w:val="28"/>
        </w:rPr>
        <w:noBreakHyphen/>
        <w:t>16</w:t>
      </w:r>
      <w:r w:rsidRPr="00A41B5E">
        <w:rPr>
          <w:rStyle w:val="Strong"/>
          <w:szCs w:val="28"/>
        </w:rPr>
        <w:t>)</w:t>
      </w:r>
    </w:p>
    <w:p w:rsidR="00A23AD7" w:rsidRPr="00A41B5E" w:rsidRDefault="00A23AD7" w:rsidP="00A23AD7">
      <w:pPr>
        <w:jc w:val="center"/>
      </w:pPr>
      <w:r w:rsidRPr="00A41B5E">
        <w:t>Status as at 31 October 2016</w:t>
      </w:r>
    </w:p>
    <w:p w:rsidR="00A23AD7" w:rsidRPr="00A41B5E" w:rsidRDefault="00A23AD7" w:rsidP="00A23AD7"/>
    <w:p w:rsidR="00A23AD7" w:rsidRPr="00A41B5E" w:rsidRDefault="00A23AD7" w:rsidP="00A23AD7">
      <w:pPr>
        <w:jc w:val="right"/>
        <w:rPr>
          <w:i/>
          <w:iCs/>
        </w:rPr>
      </w:pPr>
      <w:r w:rsidRPr="00A41B5E">
        <w:rPr>
          <w:i/>
          <w:iCs/>
        </w:rPr>
        <w:t>Amounts in thousands of Swiss francs</w:t>
      </w:r>
    </w:p>
    <w:tbl>
      <w:tblPr>
        <w:tblStyle w:val="TableGrid"/>
        <w:tblW w:w="0" w:type="auto"/>
        <w:tblLook w:val="04A0" w:firstRow="1" w:lastRow="0" w:firstColumn="1" w:lastColumn="0" w:noHBand="0" w:noVBand="1"/>
      </w:tblPr>
      <w:tblGrid>
        <w:gridCol w:w="3681"/>
        <w:gridCol w:w="1276"/>
        <w:gridCol w:w="1701"/>
        <w:gridCol w:w="1701"/>
        <w:gridCol w:w="1270"/>
      </w:tblGrid>
      <w:tr w:rsidR="00A23AD7" w:rsidRPr="00A41B5E" w:rsidTr="00A41B5E">
        <w:tc>
          <w:tcPr>
            <w:tcW w:w="3681" w:type="dxa"/>
            <w:vAlign w:val="center"/>
          </w:tcPr>
          <w:p w:rsidR="00A23AD7" w:rsidRPr="00A41B5E" w:rsidRDefault="00A23AD7" w:rsidP="00A41B5E">
            <w:pPr>
              <w:pStyle w:val="Tablehead"/>
              <w:rPr>
                <w:rFonts w:asciiTheme="majorBidi" w:hAnsiTheme="majorBidi" w:cstheme="majorBidi"/>
                <w:sz w:val="24"/>
                <w:szCs w:val="24"/>
              </w:rPr>
            </w:pPr>
            <w:r w:rsidRPr="00A41B5E">
              <w:rPr>
                <w:rFonts w:asciiTheme="majorBidi" w:hAnsiTheme="majorBidi" w:cstheme="majorBidi"/>
                <w:sz w:val="24"/>
                <w:szCs w:val="24"/>
              </w:rPr>
              <w:t>Category of expenses</w:t>
            </w:r>
          </w:p>
        </w:tc>
        <w:tc>
          <w:tcPr>
            <w:tcW w:w="1276" w:type="dxa"/>
            <w:vAlign w:val="center"/>
          </w:tcPr>
          <w:p w:rsidR="00A23AD7" w:rsidRPr="00A41B5E" w:rsidRDefault="00A23AD7" w:rsidP="00A41B5E">
            <w:pPr>
              <w:pStyle w:val="Tablehead"/>
              <w:rPr>
                <w:rFonts w:asciiTheme="majorBidi" w:hAnsiTheme="majorBidi" w:cstheme="majorBidi"/>
                <w:sz w:val="24"/>
                <w:szCs w:val="24"/>
              </w:rPr>
            </w:pPr>
            <w:r w:rsidRPr="00A41B5E">
              <w:rPr>
                <w:rFonts w:asciiTheme="majorBidi" w:hAnsiTheme="majorBidi" w:cstheme="majorBidi"/>
                <w:sz w:val="24"/>
                <w:szCs w:val="24"/>
              </w:rPr>
              <w:t>Budget</w:t>
            </w:r>
          </w:p>
        </w:tc>
        <w:tc>
          <w:tcPr>
            <w:tcW w:w="1701" w:type="dxa"/>
            <w:vAlign w:val="center"/>
          </w:tcPr>
          <w:p w:rsidR="00A23AD7" w:rsidRPr="00A41B5E" w:rsidRDefault="00A23AD7" w:rsidP="00A41B5E">
            <w:pPr>
              <w:pStyle w:val="Tablehead"/>
              <w:rPr>
                <w:rFonts w:asciiTheme="majorBidi" w:hAnsiTheme="majorBidi" w:cstheme="majorBidi"/>
                <w:sz w:val="24"/>
                <w:szCs w:val="24"/>
              </w:rPr>
            </w:pPr>
            <w:r w:rsidRPr="00A41B5E">
              <w:rPr>
                <w:rFonts w:asciiTheme="majorBidi" w:hAnsiTheme="majorBidi" w:cstheme="majorBidi"/>
                <w:sz w:val="24"/>
                <w:szCs w:val="24"/>
              </w:rPr>
              <w:t xml:space="preserve">Actual expenses and commitments as at 31 </w:t>
            </w:r>
            <w:r w:rsidR="00A41B5E" w:rsidRPr="00A41B5E">
              <w:rPr>
                <w:rFonts w:asciiTheme="majorBidi" w:hAnsiTheme="majorBidi" w:cstheme="majorBidi"/>
                <w:sz w:val="24"/>
                <w:szCs w:val="24"/>
              </w:rPr>
              <w:t>O</w:t>
            </w:r>
            <w:r w:rsidRPr="00A41B5E">
              <w:rPr>
                <w:rFonts w:asciiTheme="majorBidi" w:hAnsiTheme="majorBidi" w:cstheme="majorBidi"/>
                <w:sz w:val="24"/>
                <w:szCs w:val="24"/>
              </w:rPr>
              <w:t>ctober 2016</w:t>
            </w:r>
          </w:p>
        </w:tc>
        <w:tc>
          <w:tcPr>
            <w:tcW w:w="1701" w:type="dxa"/>
            <w:vAlign w:val="center"/>
          </w:tcPr>
          <w:p w:rsidR="00A23AD7" w:rsidRPr="00A41B5E" w:rsidRDefault="00A23AD7" w:rsidP="00A41B5E">
            <w:pPr>
              <w:pStyle w:val="Tablehead"/>
              <w:rPr>
                <w:rFonts w:asciiTheme="majorBidi" w:hAnsiTheme="majorBidi" w:cstheme="majorBidi"/>
                <w:sz w:val="24"/>
                <w:szCs w:val="24"/>
              </w:rPr>
            </w:pPr>
            <w:r w:rsidRPr="00A41B5E">
              <w:rPr>
                <w:rFonts w:asciiTheme="majorBidi" w:hAnsiTheme="majorBidi" w:cstheme="majorBidi"/>
                <w:sz w:val="24"/>
                <w:szCs w:val="24"/>
              </w:rPr>
              <w:t>Projected additional expenses until the end of the Assembly</w:t>
            </w:r>
          </w:p>
        </w:tc>
        <w:tc>
          <w:tcPr>
            <w:tcW w:w="1270" w:type="dxa"/>
            <w:vAlign w:val="center"/>
          </w:tcPr>
          <w:p w:rsidR="00A23AD7" w:rsidRPr="00A41B5E" w:rsidRDefault="00A23AD7" w:rsidP="00A41B5E">
            <w:pPr>
              <w:pStyle w:val="Tablehead"/>
              <w:rPr>
                <w:rFonts w:asciiTheme="majorBidi" w:hAnsiTheme="majorBidi" w:cstheme="majorBidi"/>
                <w:sz w:val="24"/>
                <w:szCs w:val="24"/>
              </w:rPr>
            </w:pPr>
            <w:r w:rsidRPr="00A41B5E">
              <w:rPr>
                <w:rFonts w:asciiTheme="majorBidi" w:hAnsiTheme="majorBidi" w:cstheme="majorBidi"/>
                <w:sz w:val="24"/>
                <w:szCs w:val="24"/>
              </w:rPr>
              <w:t>Projected balance</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Staff costs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466</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320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170</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-24</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Other staff costs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31</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2</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28</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Travel on duty</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110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45</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63</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2</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Contractual services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60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37</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3</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20</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Rental and maintenance</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0</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10</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Material and supplies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13</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0</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-3</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Misc. expenses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0</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10</w:t>
            </w:r>
          </w:p>
        </w:tc>
      </w:tr>
      <w:tr w:rsidR="00A23AD7" w:rsidRPr="00A41B5E" w:rsidTr="006F3762">
        <w:tc>
          <w:tcPr>
            <w:tcW w:w="3681" w:type="dxa"/>
          </w:tcPr>
          <w:p w:rsidR="00A23AD7" w:rsidRPr="00A41B5E" w:rsidRDefault="00A23AD7" w:rsidP="00A41B5E">
            <w:pPr>
              <w:pStyle w:val="Tabletext"/>
              <w:rPr>
                <w:rFonts w:asciiTheme="majorBidi" w:hAnsiTheme="majorBidi" w:cstheme="majorBidi"/>
                <w:b/>
                <w:bCs/>
                <w:sz w:val="24"/>
                <w:szCs w:val="24"/>
              </w:rPr>
            </w:pPr>
            <w:r w:rsidRPr="00A41B5E">
              <w:rPr>
                <w:rFonts w:asciiTheme="majorBidi" w:hAnsiTheme="majorBidi" w:cstheme="majorBidi"/>
                <w:b/>
                <w:bCs/>
                <w:sz w:val="24"/>
                <w:szCs w:val="24"/>
              </w:rPr>
              <w:t>Sub-total Expenses</w:t>
            </w:r>
          </w:p>
        </w:tc>
        <w:tc>
          <w:tcPr>
            <w:tcW w:w="1276"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697</w:t>
            </w:r>
          </w:p>
        </w:tc>
        <w:tc>
          <w:tcPr>
            <w:tcW w:w="1701"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417</w:t>
            </w:r>
          </w:p>
        </w:tc>
        <w:tc>
          <w:tcPr>
            <w:tcW w:w="1701"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236</w:t>
            </w:r>
          </w:p>
        </w:tc>
        <w:tc>
          <w:tcPr>
            <w:tcW w:w="1270"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43</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Translation (5,790 pages)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863</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777</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188</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-101</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Typing (5,790 pages)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345</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403</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98</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-156</w:t>
            </w:r>
          </w:p>
        </w:tc>
      </w:tr>
      <w:tr w:rsidR="00A23AD7" w:rsidRPr="00A41B5E" w:rsidTr="006F3762">
        <w:tc>
          <w:tcPr>
            <w:tcW w:w="3681" w:type="dxa"/>
          </w:tcPr>
          <w:p w:rsidR="00A23AD7" w:rsidRPr="00A41B5E" w:rsidRDefault="00A23AD7" w:rsidP="00A41B5E">
            <w:pPr>
              <w:pStyle w:val="Tabletext"/>
              <w:rPr>
                <w:rFonts w:asciiTheme="majorBidi" w:hAnsiTheme="majorBidi" w:cstheme="majorBidi"/>
                <w:sz w:val="24"/>
                <w:szCs w:val="24"/>
              </w:rPr>
            </w:pPr>
            <w:r w:rsidRPr="00A41B5E">
              <w:rPr>
                <w:rFonts w:asciiTheme="majorBidi" w:hAnsiTheme="majorBidi" w:cstheme="majorBidi"/>
                <w:sz w:val="24"/>
                <w:szCs w:val="24"/>
              </w:rPr>
              <w:t>Reprography (1,700,000 pages)</w:t>
            </w:r>
          </w:p>
        </w:tc>
        <w:tc>
          <w:tcPr>
            <w:tcW w:w="1276"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249</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0</w:t>
            </w:r>
          </w:p>
        </w:tc>
        <w:tc>
          <w:tcPr>
            <w:tcW w:w="1701"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15</w:t>
            </w:r>
          </w:p>
        </w:tc>
        <w:tc>
          <w:tcPr>
            <w:tcW w:w="1270" w:type="dxa"/>
          </w:tcPr>
          <w:p w:rsidR="00A23AD7" w:rsidRPr="00A41B5E" w:rsidRDefault="00A23AD7" w:rsidP="00A41B5E">
            <w:pPr>
              <w:pStyle w:val="Tabletext"/>
              <w:jc w:val="right"/>
              <w:rPr>
                <w:rFonts w:asciiTheme="majorBidi" w:hAnsiTheme="majorBidi" w:cstheme="majorBidi"/>
                <w:sz w:val="24"/>
                <w:szCs w:val="24"/>
              </w:rPr>
            </w:pPr>
            <w:r w:rsidRPr="00A41B5E">
              <w:rPr>
                <w:rFonts w:asciiTheme="majorBidi" w:hAnsiTheme="majorBidi" w:cstheme="majorBidi"/>
                <w:sz w:val="24"/>
                <w:szCs w:val="24"/>
              </w:rPr>
              <w:t>234</w:t>
            </w:r>
          </w:p>
        </w:tc>
      </w:tr>
      <w:tr w:rsidR="00A23AD7" w:rsidRPr="00A41B5E" w:rsidTr="006F3762">
        <w:tc>
          <w:tcPr>
            <w:tcW w:w="3681" w:type="dxa"/>
          </w:tcPr>
          <w:p w:rsidR="00A23AD7" w:rsidRPr="00A41B5E" w:rsidRDefault="00A23AD7" w:rsidP="00A41B5E">
            <w:pPr>
              <w:pStyle w:val="Tabletext"/>
              <w:rPr>
                <w:rFonts w:asciiTheme="majorBidi" w:hAnsiTheme="majorBidi" w:cstheme="majorBidi"/>
                <w:b/>
                <w:bCs/>
                <w:sz w:val="24"/>
                <w:szCs w:val="24"/>
              </w:rPr>
            </w:pPr>
            <w:r w:rsidRPr="00A41B5E">
              <w:rPr>
                <w:rFonts w:asciiTheme="majorBidi" w:hAnsiTheme="majorBidi" w:cstheme="majorBidi"/>
                <w:b/>
                <w:bCs/>
                <w:sz w:val="24"/>
                <w:szCs w:val="24"/>
              </w:rPr>
              <w:t>Sub-total Documentation</w:t>
            </w:r>
          </w:p>
        </w:tc>
        <w:tc>
          <w:tcPr>
            <w:tcW w:w="1276"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1,457</w:t>
            </w:r>
          </w:p>
        </w:tc>
        <w:tc>
          <w:tcPr>
            <w:tcW w:w="1701"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1,180</w:t>
            </w:r>
          </w:p>
        </w:tc>
        <w:tc>
          <w:tcPr>
            <w:tcW w:w="1701"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300</w:t>
            </w:r>
          </w:p>
        </w:tc>
        <w:tc>
          <w:tcPr>
            <w:tcW w:w="1270"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-23</w:t>
            </w:r>
          </w:p>
        </w:tc>
      </w:tr>
      <w:tr w:rsidR="00A23AD7" w:rsidRPr="00A41B5E" w:rsidTr="006F3762">
        <w:tc>
          <w:tcPr>
            <w:tcW w:w="3681" w:type="dxa"/>
          </w:tcPr>
          <w:p w:rsidR="00A23AD7" w:rsidRPr="00A41B5E" w:rsidRDefault="00A23AD7" w:rsidP="00A41B5E">
            <w:pPr>
              <w:pStyle w:val="Tabletext"/>
              <w:rPr>
                <w:rFonts w:asciiTheme="majorBidi" w:hAnsiTheme="majorBidi" w:cstheme="majorBidi"/>
                <w:b/>
                <w:bCs/>
                <w:sz w:val="24"/>
                <w:szCs w:val="24"/>
              </w:rPr>
            </w:pPr>
            <w:r w:rsidRPr="00A41B5E">
              <w:rPr>
                <w:rFonts w:asciiTheme="majorBidi" w:hAnsiTheme="majorBidi" w:cstheme="majorBidi"/>
                <w:b/>
                <w:bCs/>
                <w:sz w:val="24"/>
                <w:szCs w:val="24"/>
              </w:rPr>
              <w:t>Total</w:t>
            </w:r>
          </w:p>
        </w:tc>
        <w:tc>
          <w:tcPr>
            <w:tcW w:w="1276"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2,154</w:t>
            </w:r>
          </w:p>
        </w:tc>
        <w:tc>
          <w:tcPr>
            <w:tcW w:w="1701"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1,597</w:t>
            </w:r>
          </w:p>
        </w:tc>
        <w:tc>
          <w:tcPr>
            <w:tcW w:w="1701"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537</w:t>
            </w:r>
          </w:p>
        </w:tc>
        <w:tc>
          <w:tcPr>
            <w:tcW w:w="1270" w:type="dxa"/>
          </w:tcPr>
          <w:p w:rsidR="00A23AD7" w:rsidRPr="00A41B5E" w:rsidRDefault="00A23AD7" w:rsidP="00A41B5E">
            <w:pPr>
              <w:pStyle w:val="Tabletext"/>
              <w:jc w:val="right"/>
              <w:rPr>
                <w:rFonts w:asciiTheme="majorBidi" w:hAnsiTheme="majorBidi" w:cstheme="majorBidi"/>
                <w:b/>
                <w:bCs/>
                <w:sz w:val="24"/>
                <w:szCs w:val="24"/>
              </w:rPr>
            </w:pPr>
            <w:r w:rsidRPr="00A41B5E">
              <w:rPr>
                <w:rFonts w:asciiTheme="majorBidi" w:hAnsiTheme="majorBidi" w:cstheme="majorBidi"/>
                <w:b/>
                <w:bCs/>
                <w:sz w:val="24"/>
                <w:szCs w:val="24"/>
              </w:rPr>
              <w:t>20</w:t>
            </w:r>
          </w:p>
        </w:tc>
      </w:tr>
    </w:tbl>
    <w:p w:rsidR="00A23AD7" w:rsidRPr="00A41B5E" w:rsidRDefault="00A23AD7" w:rsidP="00A23AD7">
      <w:pPr>
        <w:tabs>
          <w:tab w:val="center" w:pos="7088"/>
        </w:tabs>
        <w:rPr>
          <w:rFonts w:ascii="Verdana" w:hAnsi="Verdana" w:cstheme="majorBidi"/>
          <w:sz w:val="20"/>
        </w:rPr>
      </w:pPr>
    </w:p>
    <w:p w:rsidR="00A23AD7" w:rsidRPr="00A41B5E" w:rsidRDefault="00A23AD7" w:rsidP="00A23AD7">
      <w:pPr>
        <w:tabs>
          <w:tab w:val="clear" w:pos="1134"/>
          <w:tab w:val="clear" w:pos="1871"/>
          <w:tab w:val="clear" w:pos="2268"/>
        </w:tabs>
        <w:overflowPunct/>
        <w:autoSpaceDE/>
        <w:autoSpaceDN/>
        <w:adjustRightInd/>
        <w:spacing w:before="0"/>
        <w:textAlignment w:val="auto"/>
        <w:rPr>
          <w:rStyle w:val="Strong"/>
          <w:sz w:val="28"/>
          <w:szCs w:val="28"/>
        </w:rPr>
      </w:pPr>
      <w:r w:rsidRPr="00A41B5E">
        <w:rPr>
          <w:rStyle w:val="Strong"/>
          <w:sz w:val="28"/>
          <w:szCs w:val="28"/>
        </w:rPr>
        <w:br w:type="page"/>
      </w:r>
    </w:p>
    <w:p w:rsidR="00A23AD7" w:rsidRPr="00A41B5E" w:rsidRDefault="00A23AD7" w:rsidP="00A23AD7">
      <w:pPr>
        <w:pStyle w:val="AnnexNo"/>
        <w:rPr>
          <w:rStyle w:val="Strong"/>
          <w:b w:val="0"/>
          <w:bCs w:val="0"/>
          <w:szCs w:val="28"/>
        </w:rPr>
      </w:pPr>
      <w:r w:rsidRPr="00A41B5E">
        <w:rPr>
          <w:rStyle w:val="Strong"/>
          <w:b w:val="0"/>
          <w:bCs w:val="0"/>
          <w:szCs w:val="28"/>
        </w:rPr>
        <w:lastRenderedPageBreak/>
        <w:t>Annex B</w:t>
      </w:r>
    </w:p>
    <w:p w:rsidR="00A23AD7" w:rsidRPr="00A41B5E" w:rsidRDefault="00A23AD7" w:rsidP="00A23AD7">
      <w:pPr>
        <w:pStyle w:val="Annextitle"/>
      </w:pPr>
    </w:p>
    <w:p w:rsidR="00267C5E" w:rsidRPr="00240C79" w:rsidRDefault="00267C5E" w:rsidP="00267C5E">
      <w:pPr>
        <w:pStyle w:val="Annextitle"/>
      </w:pPr>
      <w:r w:rsidRPr="009E7596">
        <w:t>Potential Financial implications</w:t>
      </w:r>
      <w:r w:rsidRPr="00240C79">
        <w:t xml:space="preserve"> of Decisions and Resolutions </w:t>
      </w:r>
      <w:r w:rsidRPr="00240C79">
        <w:br/>
        <w:t>of the Assembly (WTSA-16)</w:t>
      </w:r>
    </w:p>
    <w:p w:rsidR="00267C5E" w:rsidRPr="00255D70" w:rsidRDefault="00267C5E" w:rsidP="00267C5E">
      <w:pPr>
        <w:rPr>
          <w:rFonts w:asciiTheme="majorBidi" w:hAnsiTheme="majorBidi" w:cstheme="majorBidi"/>
          <w:szCs w:val="24"/>
        </w:rPr>
      </w:pPr>
    </w:p>
    <w:tbl>
      <w:tblPr>
        <w:tblStyle w:val="TableGrid"/>
        <w:tblW w:w="0" w:type="auto"/>
        <w:tblInd w:w="392" w:type="dxa"/>
        <w:tblLayout w:type="fixed"/>
        <w:tblLook w:val="04A0" w:firstRow="1" w:lastRow="0" w:firstColumn="1" w:lastColumn="0" w:noHBand="0" w:noVBand="1"/>
      </w:tblPr>
      <w:tblGrid>
        <w:gridCol w:w="3572"/>
        <w:gridCol w:w="2410"/>
        <w:gridCol w:w="3255"/>
      </w:tblGrid>
      <w:tr w:rsidR="00267C5E" w:rsidRPr="00255D70" w:rsidTr="00F5701C">
        <w:trPr>
          <w:trHeight w:val="724"/>
        </w:trPr>
        <w:tc>
          <w:tcPr>
            <w:tcW w:w="3572" w:type="dxa"/>
          </w:tcPr>
          <w:p w:rsidR="00267C5E" w:rsidRPr="00255D70" w:rsidRDefault="00267C5E" w:rsidP="00503054">
            <w:pPr>
              <w:pStyle w:val="Tablehead"/>
              <w:rPr>
                <w:rFonts w:asciiTheme="majorBidi" w:hAnsiTheme="majorBidi" w:cstheme="majorBidi"/>
                <w:sz w:val="24"/>
                <w:szCs w:val="24"/>
              </w:rPr>
            </w:pPr>
            <w:r w:rsidRPr="00255D70">
              <w:rPr>
                <w:rFonts w:asciiTheme="majorBidi" w:hAnsiTheme="majorBidi" w:cstheme="majorBidi"/>
                <w:sz w:val="24"/>
                <w:szCs w:val="24"/>
              </w:rPr>
              <w:t>Resolution</w:t>
            </w:r>
          </w:p>
        </w:tc>
        <w:tc>
          <w:tcPr>
            <w:tcW w:w="2410" w:type="dxa"/>
          </w:tcPr>
          <w:p w:rsidR="00267C5E" w:rsidRDefault="00267C5E" w:rsidP="00503054">
            <w:pPr>
              <w:pStyle w:val="Tablehead"/>
              <w:rPr>
                <w:rFonts w:asciiTheme="majorBidi" w:hAnsiTheme="majorBidi" w:cstheme="majorBidi"/>
                <w:sz w:val="24"/>
                <w:szCs w:val="24"/>
              </w:rPr>
            </w:pPr>
            <w:r w:rsidRPr="00255D70">
              <w:rPr>
                <w:rFonts w:asciiTheme="majorBidi" w:hAnsiTheme="majorBidi" w:cstheme="majorBidi"/>
                <w:sz w:val="24"/>
                <w:szCs w:val="24"/>
              </w:rPr>
              <w:t xml:space="preserve">Expense </w:t>
            </w:r>
          </w:p>
          <w:p w:rsidR="00267C5E" w:rsidRPr="00255D70" w:rsidRDefault="00267C5E" w:rsidP="00503054">
            <w:pPr>
              <w:pStyle w:val="Tablehead"/>
              <w:rPr>
                <w:rFonts w:asciiTheme="majorBidi" w:hAnsiTheme="majorBidi" w:cstheme="majorBidi"/>
                <w:sz w:val="24"/>
                <w:szCs w:val="24"/>
              </w:rPr>
            </w:pPr>
            <w:r w:rsidRPr="00255D70">
              <w:rPr>
                <w:rFonts w:asciiTheme="majorBidi" w:hAnsiTheme="majorBidi" w:cstheme="majorBidi"/>
                <w:sz w:val="24"/>
                <w:szCs w:val="24"/>
              </w:rPr>
              <w:t>category</w:t>
            </w:r>
          </w:p>
        </w:tc>
        <w:tc>
          <w:tcPr>
            <w:tcW w:w="3255" w:type="dxa"/>
          </w:tcPr>
          <w:p w:rsidR="00267C5E" w:rsidRPr="00255D70" w:rsidRDefault="00267C5E" w:rsidP="00503054">
            <w:pPr>
              <w:pStyle w:val="Tablehead"/>
              <w:rPr>
                <w:rFonts w:asciiTheme="majorBidi" w:hAnsiTheme="majorBidi" w:cstheme="majorBidi"/>
                <w:sz w:val="24"/>
                <w:szCs w:val="24"/>
              </w:rPr>
            </w:pPr>
            <w:r w:rsidRPr="00255D70">
              <w:rPr>
                <w:rFonts w:asciiTheme="majorBidi" w:hAnsiTheme="majorBidi" w:cstheme="majorBidi"/>
                <w:sz w:val="24"/>
                <w:szCs w:val="24"/>
              </w:rPr>
              <w:t>kCHF</w:t>
            </w:r>
          </w:p>
        </w:tc>
      </w:tr>
      <w:tr w:rsidR="00267C5E" w:rsidRPr="00255D70" w:rsidTr="00F5701C">
        <w:tc>
          <w:tcPr>
            <w:tcW w:w="3572" w:type="dxa"/>
          </w:tcPr>
          <w:p w:rsidR="00267C5E" w:rsidRPr="00255D70" w:rsidRDefault="00267C5E" w:rsidP="00503054">
            <w:pPr>
              <w:pStyle w:val="Tabletext"/>
              <w:spacing w:before="120" w:after="120"/>
              <w:rPr>
                <w:rFonts w:asciiTheme="majorBidi" w:hAnsiTheme="majorBidi" w:cstheme="majorBidi"/>
                <w:bCs/>
                <w:sz w:val="24"/>
                <w:szCs w:val="24"/>
              </w:rPr>
            </w:pPr>
            <w:r w:rsidRPr="00255D70">
              <w:rPr>
                <w:rFonts w:asciiTheme="majorBidi" w:hAnsiTheme="majorBidi" w:cstheme="majorBidi"/>
                <w:bCs/>
                <w:sz w:val="24"/>
                <w:szCs w:val="24"/>
              </w:rPr>
              <w:t>Resolution 44</w:t>
            </w:r>
          </w:p>
          <w:p w:rsidR="00267C5E" w:rsidRPr="00255D70" w:rsidRDefault="00267C5E" w:rsidP="00503054">
            <w:pPr>
              <w:pStyle w:val="Tabletext"/>
              <w:spacing w:before="120" w:after="120"/>
              <w:rPr>
                <w:rFonts w:asciiTheme="majorBidi" w:hAnsiTheme="majorBidi" w:cstheme="majorBidi"/>
                <w:bCs/>
                <w:sz w:val="24"/>
                <w:szCs w:val="24"/>
              </w:rPr>
            </w:pPr>
          </w:p>
        </w:tc>
        <w:tc>
          <w:tcPr>
            <w:tcW w:w="2410" w:type="dxa"/>
          </w:tcPr>
          <w:p w:rsidR="00267C5E" w:rsidRPr="00255D70" w:rsidRDefault="00267C5E" w:rsidP="00503054">
            <w:pPr>
              <w:pStyle w:val="Tabletext"/>
              <w:spacing w:before="120" w:after="120"/>
              <w:rPr>
                <w:rFonts w:asciiTheme="majorBidi" w:hAnsiTheme="majorBidi" w:cstheme="majorBidi"/>
                <w:bCs/>
                <w:sz w:val="24"/>
                <w:szCs w:val="24"/>
              </w:rPr>
            </w:pPr>
            <w:r w:rsidRPr="00255D70">
              <w:rPr>
                <w:rFonts w:asciiTheme="majorBidi" w:hAnsiTheme="majorBidi" w:cstheme="majorBidi"/>
                <w:bCs/>
                <w:sz w:val="24"/>
                <w:szCs w:val="24"/>
              </w:rPr>
              <w:t>Interpretation</w:t>
            </w:r>
            <w:r>
              <w:rPr>
                <w:rFonts w:asciiTheme="majorBidi" w:hAnsiTheme="majorBidi" w:cstheme="majorBidi"/>
                <w:bCs/>
                <w:sz w:val="24"/>
                <w:szCs w:val="24"/>
              </w:rPr>
              <w:br/>
            </w:r>
            <w:r>
              <w:rPr>
                <w:rFonts w:asciiTheme="majorBidi" w:hAnsiTheme="majorBidi" w:cstheme="majorBidi"/>
                <w:bCs/>
                <w:sz w:val="24"/>
                <w:szCs w:val="24"/>
              </w:rPr>
              <w:br/>
            </w:r>
          </w:p>
        </w:tc>
        <w:tc>
          <w:tcPr>
            <w:tcW w:w="3255" w:type="dxa"/>
          </w:tcPr>
          <w:p w:rsidR="00267C5E" w:rsidRPr="00255D70" w:rsidRDefault="00267C5E" w:rsidP="00503054">
            <w:pPr>
              <w:pStyle w:val="Tabletext"/>
              <w:spacing w:before="120" w:after="120"/>
              <w:rPr>
                <w:rFonts w:asciiTheme="majorBidi" w:hAnsiTheme="majorBidi" w:cstheme="majorBidi"/>
                <w:bCs/>
                <w:sz w:val="24"/>
                <w:szCs w:val="24"/>
                <w:highlight w:val="yellow"/>
              </w:rPr>
            </w:pPr>
            <w:r>
              <w:rPr>
                <w:rFonts w:asciiTheme="majorBidi" w:hAnsiTheme="majorBidi" w:cstheme="majorBidi"/>
                <w:bCs/>
                <w:sz w:val="24"/>
                <w:szCs w:val="24"/>
              </w:rPr>
              <w:t>Between 422 kCHF</w:t>
            </w:r>
            <w:r w:rsidRPr="00255D70">
              <w:rPr>
                <w:rFonts w:asciiTheme="majorBidi" w:hAnsiTheme="majorBidi" w:cstheme="majorBidi"/>
                <w:bCs/>
                <w:sz w:val="24"/>
                <w:szCs w:val="24"/>
              </w:rPr>
              <w:t xml:space="preserve"> and 708</w:t>
            </w:r>
            <w:r>
              <w:rPr>
                <w:rFonts w:asciiTheme="majorBidi" w:hAnsiTheme="majorBidi" w:cstheme="majorBidi"/>
                <w:bCs/>
                <w:sz w:val="24"/>
                <w:szCs w:val="24"/>
              </w:rPr>
              <w:t xml:space="preserve"> </w:t>
            </w:r>
            <w:r w:rsidRPr="00255D70">
              <w:rPr>
                <w:rFonts w:asciiTheme="majorBidi" w:hAnsiTheme="majorBidi" w:cstheme="majorBidi"/>
                <w:bCs/>
                <w:sz w:val="24"/>
                <w:szCs w:val="24"/>
              </w:rPr>
              <w:t>kCHF</w:t>
            </w:r>
            <w:r>
              <w:rPr>
                <w:rFonts w:asciiTheme="majorBidi" w:hAnsiTheme="majorBidi" w:cstheme="majorBidi"/>
                <w:bCs/>
                <w:sz w:val="24"/>
                <w:szCs w:val="24"/>
              </w:rPr>
              <w:t xml:space="preserve"> (option 1) or between 1,682 kCHF and 2,868 kCHF (option 2) per biennium</w:t>
            </w:r>
          </w:p>
        </w:tc>
      </w:tr>
      <w:tr w:rsidR="00267C5E" w:rsidRPr="00255D70" w:rsidTr="00F5701C">
        <w:tc>
          <w:tcPr>
            <w:tcW w:w="3572"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 xml:space="preserve">New Resolution </w:t>
            </w:r>
            <w:r w:rsidRPr="00662C3F">
              <w:rPr>
                <w:rFonts w:asciiTheme="majorBidi" w:hAnsiTheme="majorBidi" w:cstheme="majorBidi"/>
                <w:bCs/>
                <w:sz w:val="24"/>
                <w:szCs w:val="24"/>
              </w:rPr>
              <w:t>[</w:t>
            </w:r>
            <w:r>
              <w:rPr>
                <w:rFonts w:asciiTheme="majorBidi" w:hAnsiTheme="majorBidi" w:cstheme="majorBidi"/>
                <w:bCs/>
                <w:sz w:val="24"/>
                <w:szCs w:val="24"/>
              </w:rPr>
              <w:t>RCC-3</w:t>
            </w:r>
            <w:r w:rsidRPr="00662C3F">
              <w:rPr>
                <w:rFonts w:asciiTheme="majorBidi" w:hAnsiTheme="majorBidi" w:cstheme="majorBidi"/>
                <w:bCs/>
                <w:sz w:val="24"/>
                <w:szCs w:val="24"/>
              </w:rPr>
              <w:t>]</w:t>
            </w:r>
            <w:r>
              <w:rPr>
                <w:rFonts w:asciiTheme="majorBidi" w:hAnsiTheme="majorBidi" w:cstheme="majorBidi"/>
                <w:bCs/>
                <w:sz w:val="24"/>
                <w:szCs w:val="24"/>
              </w:rPr>
              <w:t xml:space="preserve"> Studies concerning the protection of users of telecommunications/ICT services</w:t>
            </w:r>
          </w:p>
        </w:tc>
        <w:tc>
          <w:tcPr>
            <w:tcW w:w="2410" w:type="dxa"/>
          </w:tcPr>
          <w:p w:rsidR="00267C5E" w:rsidRPr="00255D70"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Consulting</w:t>
            </w:r>
          </w:p>
        </w:tc>
        <w:tc>
          <w:tcPr>
            <w:tcW w:w="3255"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40 kCHF per biennium</w:t>
            </w:r>
          </w:p>
        </w:tc>
      </w:tr>
      <w:tr w:rsidR="00267C5E" w:rsidRPr="00255D70" w:rsidTr="00F5701C">
        <w:tc>
          <w:tcPr>
            <w:tcW w:w="3572"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Resolution 77</w:t>
            </w:r>
          </w:p>
        </w:tc>
        <w:tc>
          <w:tcPr>
            <w:tcW w:w="2410" w:type="dxa"/>
          </w:tcPr>
          <w:p w:rsidR="00267C5E" w:rsidRPr="00255D70"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Workshops</w:t>
            </w:r>
          </w:p>
        </w:tc>
        <w:tc>
          <w:tcPr>
            <w:tcW w:w="3255"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180 kCHF per biennium</w:t>
            </w:r>
          </w:p>
        </w:tc>
      </w:tr>
      <w:tr w:rsidR="00267C5E" w:rsidRPr="00255D70" w:rsidTr="00F5701C">
        <w:tc>
          <w:tcPr>
            <w:tcW w:w="3572"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 xml:space="preserve">New Resolution </w:t>
            </w:r>
            <w:r w:rsidRPr="00662C3F">
              <w:rPr>
                <w:rFonts w:asciiTheme="majorBidi" w:hAnsiTheme="majorBidi" w:cstheme="majorBidi"/>
                <w:bCs/>
                <w:sz w:val="24"/>
                <w:szCs w:val="24"/>
              </w:rPr>
              <w:t>[</w:t>
            </w:r>
            <w:r>
              <w:rPr>
                <w:rFonts w:asciiTheme="majorBidi" w:hAnsiTheme="majorBidi" w:cstheme="majorBidi"/>
                <w:bCs/>
                <w:sz w:val="24"/>
                <w:szCs w:val="24"/>
              </w:rPr>
              <w:t>APT-3</w:t>
            </w:r>
            <w:r w:rsidRPr="00662C3F">
              <w:rPr>
                <w:rFonts w:asciiTheme="majorBidi" w:hAnsiTheme="majorBidi" w:cstheme="majorBidi"/>
                <w:bCs/>
                <w:sz w:val="24"/>
                <w:szCs w:val="24"/>
              </w:rPr>
              <w:t>]</w:t>
            </w:r>
            <w:r>
              <w:rPr>
                <w:rFonts w:asciiTheme="majorBidi" w:hAnsiTheme="majorBidi" w:cstheme="majorBidi"/>
                <w:bCs/>
                <w:sz w:val="24"/>
                <w:szCs w:val="24"/>
              </w:rPr>
              <w:t xml:space="preserve"> Standardization work in the ITU Telecommunication Standardization Sector for cloud based event data technology</w:t>
            </w:r>
          </w:p>
        </w:tc>
        <w:tc>
          <w:tcPr>
            <w:tcW w:w="2410" w:type="dxa"/>
          </w:tcPr>
          <w:p w:rsidR="00267C5E" w:rsidRPr="00255D70"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Workshops</w:t>
            </w:r>
          </w:p>
        </w:tc>
        <w:tc>
          <w:tcPr>
            <w:tcW w:w="3255"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60 kCHF per biennium</w:t>
            </w:r>
          </w:p>
        </w:tc>
      </w:tr>
      <w:tr w:rsidR="00267C5E" w:rsidRPr="00255D70" w:rsidTr="00F5701C">
        <w:tc>
          <w:tcPr>
            <w:tcW w:w="3572" w:type="dxa"/>
          </w:tcPr>
          <w:p w:rsidR="00267C5E" w:rsidRDefault="00267C5E" w:rsidP="00503054">
            <w:pPr>
              <w:pStyle w:val="Tabletext"/>
              <w:spacing w:before="120" w:after="120"/>
              <w:rPr>
                <w:rFonts w:asciiTheme="majorBidi" w:hAnsiTheme="majorBidi" w:cstheme="majorBidi"/>
                <w:bCs/>
                <w:sz w:val="24"/>
                <w:szCs w:val="24"/>
              </w:rPr>
            </w:pPr>
            <w:r w:rsidRPr="005140C2">
              <w:rPr>
                <w:rFonts w:asciiTheme="majorBidi" w:hAnsiTheme="majorBidi" w:cstheme="majorBidi"/>
                <w:bCs/>
                <w:sz w:val="24"/>
                <w:szCs w:val="24"/>
              </w:rPr>
              <w:t xml:space="preserve">New Resolution [AFCP-2] promoting use of ICTs to Bridge the </w:t>
            </w:r>
            <w:proofErr w:type="spellStart"/>
            <w:r w:rsidRPr="005140C2">
              <w:rPr>
                <w:rFonts w:asciiTheme="majorBidi" w:hAnsiTheme="majorBidi" w:cstheme="majorBidi"/>
                <w:bCs/>
                <w:sz w:val="24"/>
                <w:szCs w:val="24"/>
              </w:rPr>
              <w:t>Financila</w:t>
            </w:r>
            <w:proofErr w:type="spellEnd"/>
            <w:r w:rsidRPr="005140C2">
              <w:rPr>
                <w:rFonts w:asciiTheme="majorBidi" w:hAnsiTheme="majorBidi" w:cstheme="majorBidi"/>
                <w:bCs/>
                <w:sz w:val="24"/>
                <w:szCs w:val="24"/>
              </w:rPr>
              <w:t xml:space="preserve"> Inclusion Gap</w:t>
            </w:r>
          </w:p>
        </w:tc>
        <w:tc>
          <w:tcPr>
            <w:tcW w:w="2410"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Staff, Consulting,</w:t>
            </w:r>
          </w:p>
          <w:p w:rsidR="00267C5E" w:rsidRPr="00255D70"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Workshops/Seminars</w:t>
            </w:r>
          </w:p>
        </w:tc>
        <w:tc>
          <w:tcPr>
            <w:tcW w:w="3255"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580 kCHF per biennium</w:t>
            </w:r>
          </w:p>
        </w:tc>
      </w:tr>
      <w:tr w:rsidR="00267C5E" w:rsidRPr="00255D70" w:rsidTr="00F5701C">
        <w:tc>
          <w:tcPr>
            <w:tcW w:w="3572" w:type="dxa"/>
          </w:tcPr>
          <w:p w:rsidR="00267C5E" w:rsidRDefault="00267C5E" w:rsidP="00503054">
            <w:pPr>
              <w:pStyle w:val="Tabletext"/>
              <w:spacing w:before="120" w:after="120"/>
              <w:rPr>
                <w:rFonts w:asciiTheme="majorBidi" w:hAnsiTheme="majorBidi" w:cstheme="majorBidi"/>
                <w:bCs/>
                <w:sz w:val="24"/>
                <w:szCs w:val="24"/>
              </w:rPr>
            </w:pPr>
            <w:r w:rsidRPr="00310A6C">
              <w:rPr>
                <w:rFonts w:asciiTheme="majorBidi" w:hAnsiTheme="majorBidi" w:cstheme="majorBidi"/>
                <w:bCs/>
                <w:sz w:val="24"/>
                <w:szCs w:val="24"/>
              </w:rPr>
              <w:t xml:space="preserve">New Resolution [APT-2]/[IAP-3] </w:t>
            </w:r>
            <w:r w:rsidR="00F5701C" w:rsidRPr="00F5701C">
              <w:rPr>
                <w:rFonts w:asciiTheme="majorBidi" w:hAnsiTheme="majorBidi" w:cstheme="majorBidi"/>
                <w:bCs/>
                <w:sz w:val="24"/>
                <w:szCs w:val="24"/>
              </w:rPr>
              <w:t>Enhancing the standardization of Internet of Things and Smart Cities &amp; Communities for global development</w:t>
            </w:r>
          </w:p>
        </w:tc>
        <w:tc>
          <w:tcPr>
            <w:tcW w:w="2410" w:type="dxa"/>
          </w:tcPr>
          <w:p w:rsidR="00267C5E" w:rsidRPr="00255D70"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Workshops</w:t>
            </w:r>
          </w:p>
        </w:tc>
        <w:tc>
          <w:tcPr>
            <w:tcW w:w="3255" w:type="dxa"/>
          </w:tcPr>
          <w:p w:rsidR="00267C5E" w:rsidRDefault="00267C5E" w:rsidP="00503054">
            <w:pPr>
              <w:pStyle w:val="Tabletext"/>
              <w:spacing w:before="120" w:after="120"/>
              <w:rPr>
                <w:rFonts w:asciiTheme="majorBidi" w:hAnsiTheme="majorBidi" w:cstheme="majorBidi"/>
                <w:bCs/>
                <w:sz w:val="24"/>
                <w:szCs w:val="24"/>
              </w:rPr>
            </w:pPr>
            <w:r>
              <w:rPr>
                <w:rFonts w:asciiTheme="majorBidi" w:hAnsiTheme="majorBidi" w:cstheme="majorBidi"/>
                <w:bCs/>
                <w:sz w:val="24"/>
                <w:szCs w:val="24"/>
              </w:rPr>
              <w:t>60 kCHF</w:t>
            </w:r>
          </w:p>
        </w:tc>
      </w:tr>
      <w:tr w:rsidR="00267C5E" w:rsidRPr="00255D70" w:rsidTr="00F5701C">
        <w:trPr>
          <w:trHeight w:val="888"/>
        </w:trPr>
        <w:tc>
          <w:tcPr>
            <w:tcW w:w="3572" w:type="dxa"/>
          </w:tcPr>
          <w:p w:rsidR="00267C5E" w:rsidRPr="00C32405" w:rsidRDefault="00267C5E" w:rsidP="00503054">
            <w:pPr>
              <w:pStyle w:val="Tabletext"/>
              <w:spacing w:before="120" w:after="120"/>
              <w:rPr>
                <w:rFonts w:asciiTheme="majorBidi" w:hAnsiTheme="majorBidi" w:cstheme="majorBidi"/>
                <w:b/>
                <w:sz w:val="24"/>
                <w:szCs w:val="24"/>
              </w:rPr>
            </w:pPr>
            <w:r w:rsidRPr="00C32405">
              <w:rPr>
                <w:rFonts w:asciiTheme="majorBidi" w:hAnsiTheme="majorBidi" w:cstheme="majorBidi"/>
                <w:b/>
                <w:sz w:val="24"/>
                <w:szCs w:val="24"/>
              </w:rPr>
              <w:t>Total with option 1 (Res. 44)</w:t>
            </w:r>
          </w:p>
        </w:tc>
        <w:tc>
          <w:tcPr>
            <w:tcW w:w="2410" w:type="dxa"/>
          </w:tcPr>
          <w:p w:rsidR="00267C5E" w:rsidRPr="00C32405" w:rsidRDefault="00267C5E" w:rsidP="00503054">
            <w:pPr>
              <w:pStyle w:val="Tabletext"/>
              <w:spacing w:before="120" w:after="120"/>
              <w:rPr>
                <w:rFonts w:asciiTheme="majorBidi" w:hAnsiTheme="majorBidi" w:cstheme="majorBidi"/>
                <w:b/>
                <w:sz w:val="24"/>
                <w:szCs w:val="24"/>
              </w:rPr>
            </w:pPr>
          </w:p>
        </w:tc>
        <w:tc>
          <w:tcPr>
            <w:tcW w:w="3255" w:type="dxa"/>
          </w:tcPr>
          <w:p w:rsidR="00267C5E" w:rsidRPr="00C32405" w:rsidRDefault="00267C5E" w:rsidP="00503054">
            <w:pPr>
              <w:pStyle w:val="Tabletext"/>
              <w:spacing w:before="120" w:after="120"/>
              <w:rPr>
                <w:rFonts w:asciiTheme="majorBidi" w:hAnsiTheme="majorBidi" w:cstheme="majorBidi"/>
                <w:b/>
                <w:sz w:val="24"/>
                <w:szCs w:val="24"/>
              </w:rPr>
            </w:pPr>
            <w:r w:rsidRPr="00C32405">
              <w:rPr>
                <w:rFonts w:asciiTheme="majorBidi" w:hAnsiTheme="majorBidi" w:cstheme="majorBidi"/>
                <w:b/>
                <w:sz w:val="24"/>
                <w:szCs w:val="24"/>
              </w:rPr>
              <w:t>Between 1,</w:t>
            </w:r>
            <w:r>
              <w:rPr>
                <w:rFonts w:asciiTheme="majorBidi" w:hAnsiTheme="majorBidi" w:cstheme="majorBidi"/>
                <w:b/>
                <w:sz w:val="24"/>
                <w:szCs w:val="24"/>
              </w:rPr>
              <w:t>342 kCHF and 1,628</w:t>
            </w:r>
            <w:r w:rsidRPr="00C32405">
              <w:rPr>
                <w:rFonts w:asciiTheme="majorBidi" w:hAnsiTheme="majorBidi" w:cstheme="majorBidi"/>
                <w:b/>
                <w:sz w:val="24"/>
                <w:szCs w:val="24"/>
              </w:rPr>
              <w:t xml:space="preserve"> kCHF per biennium</w:t>
            </w:r>
          </w:p>
        </w:tc>
      </w:tr>
      <w:tr w:rsidR="00267C5E" w:rsidRPr="00255D70" w:rsidTr="00F5701C">
        <w:trPr>
          <w:trHeight w:val="830"/>
        </w:trPr>
        <w:tc>
          <w:tcPr>
            <w:tcW w:w="3572" w:type="dxa"/>
          </w:tcPr>
          <w:p w:rsidR="00267C5E" w:rsidRPr="00C32405" w:rsidRDefault="00267C5E" w:rsidP="00503054">
            <w:pPr>
              <w:pStyle w:val="Tabletext"/>
              <w:spacing w:before="120" w:after="120"/>
              <w:rPr>
                <w:rFonts w:asciiTheme="majorBidi" w:hAnsiTheme="majorBidi" w:cstheme="majorBidi"/>
                <w:b/>
                <w:sz w:val="24"/>
                <w:szCs w:val="24"/>
              </w:rPr>
            </w:pPr>
            <w:r w:rsidRPr="00C32405">
              <w:rPr>
                <w:rFonts w:asciiTheme="majorBidi" w:hAnsiTheme="majorBidi" w:cstheme="majorBidi"/>
                <w:b/>
                <w:sz w:val="24"/>
                <w:szCs w:val="24"/>
              </w:rPr>
              <w:t xml:space="preserve">Total with option </w:t>
            </w:r>
            <w:r>
              <w:rPr>
                <w:rFonts w:asciiTheme="majorBidi" w:hAnsiTheme="majorBidi" w:cstheme="majorBidi"/>
                <w:b/>
                <w:sz w:val="24"/>
                <w:szCs w:val="24"/>
              </w:rPr>
              <w:t>2</w:t>
            </w:r>
            <w:r w:rsidRPr="00C32405">
              <w:rPr>
                <w:rFonts w:asciiTheme="majorBidi" w:hAnsiTheme="majorBidi" w:cstheme="majorBidi"/>
                <w:b/>
                <w:sz w:val="24"/>
                <w:szCs w:val="24"/>
              </w:rPr>
              <w:t xml:space="preserve"> (Res. 44)</w:t>
            </w:r>
          </w:p>
        </w:tc>
        <w:tc>
          <w:tcPr>
            <w:tcW w:w="2410" w:type="dxa"/>
          </w:tcPr>
          <w:p w:rsidR="00267C5E" w:rsidRPr="00C32405" w:rsidRDefault="00267C5E" w:rsidP="00503054">
            <w:pPr>
              <w:pStyle w:val="Tabletext"/>
              <w:spacing w:before="120" w:after="120"/>
              <w:rPr>
                <w:rFonts w:asciiTheme="majorBidi" w:hAnsiTheme="majorBidi" w:cstheme="majorBidi"/>
                <w:b/>
                <w:sz w:val="24"/>
                <w:szCs w:val="24"/>
              </w:rPr>
            </w:pPr>
          </w:p>
        </w:tc>
        <w:tc>
          <w:tcPr>
            <w:tcW w:w="3255" w:type="dxa"/>
          </w:tcPr>
          <w:p w:rsidR="00267C5E" w:rsidRPr="00C32405" w:rsidRDefault="00267C5E" w:rsidP="00503054">
            <w:pPr>
              <w:pStyle w:val="Tabletext"/>
              <w:spacing w:before="120" w:after="120"/>
              <w:rPr>
                <w:rFonts w:asciiTheme="majorBidi" w:hAnsiTheme="majorBidi" w:cstheme="majorBidi"/>
                <w:b/>
                <w:sz w:val="24"/>
                <w:szCs w:val="24"/>
              </w:rPr>
            </w:pPr>
            <w:r w:rsidRPr="00C32405">
              <w:rPr>
                <w:rFonts w:asciiTheme="majorBidi" w:hAnsiTheme="majorBidi" w:cstheme="majorBidi"/>
                <w:b/>
                <w:sz w:val="24"/>
                <w:szCs w:val="24"/>
              </w:rPr>
              <w:t xml:space="preserve">Between </w:t>
            </w:r>
            <w:r>
              <w:rPr>
                <w:rFonts w:asciiTheme="majorBidi" w:hAnsiTheme="majorBidi" w:cstheme="majorBidi"/>
                <w:b/>
                <w:sz w:val="24"/>
                <w:szCs w:val="24"/>
              </w:rPr>
              <w:t>2</w:t>
            </w:r>
            <w:r w:rsidRPr="00C32405">
              <w:rPr>
                <w:rFonts w:asciiTheme="majorBidi" w:hAnsiTheme="majorBidi" w:cstheme="majorBidi"/>
                <w:b/>
                <w:sz w:val="24"/>
                <w:szCs w:val="24"/>
              </w:rPr>
              <w:t>,</w:t>
            </w:r>
            <w:r>
              <w:rPr>
                <w:rFonts w:asciiTheme="majorBidi" w:hAnsiTheme="majorBidi" w:cstheme="majorBidi"/>
                <w:b/>
                <w:sz w:val="24"/>
                <w:szCs w:val="24"/>
              </w:rPr>
              <w:t>602 kCHF and 3</w:t>
            </w:r>
            <w:r w:rsidRPr="00C32405">
              <w:rPr>
                <w:rFonts w:asciiTheme="majorBidi" w:hAnsiTheme="majorBidi" w:cstheme="majorBidi"/>
                <w:b/>
                <w:sz w:val="24"/>
                <w:szCs w:val="24"/>
              </w:rPr>
              <w:t>,</w:t>
            </w:r>
            <w:r>
              <w:rPr>
                <w:rFonts w:asciiTheme="majorBidi" w:hAnsiTheme="majorBidi" w:cstheme="majorBidi"/>
                <w:b/>
                <w:sz w:val="24"/>
                <w:szCs w:val="24"/>
              </w:rPr>
              <w:t>788</w:t>
            </w:r>
            <w:r w:rsidRPr="00C32405">
              <w:rPr>
                <w:rFonts w:asciiTheme="majorBidi" w:hAnsiTheme="majorBidi" w:cstheme="majorBidi"/>
                <w:b/>
                <w:sz w:val="24"/>
                <w:szCs w:val="24"/>
              </w:rPr>
              <w:t xml:space="preserve"> kCHF per biennium</w:t>
            </w:r>
          </w:p>
        </w:tc>
      </w:tr>
    </w:tbl>
    <w:p w:rsidR="00267C5E" w:rsidRDefault="00267C5E" w:rsidP="00267C5E">
      <w:pPr>
        <w:rPr>
          <w:rFonts w:asciiTheme="majorBidi" w:hAnsiTheme="majorBidi" w:cstheme="majorBidi"/>
          <w:szCs w:val="24"/>
        </w:rPr>
      </w:pPr>
    </w:p>
    <w:p w:rsidR="00267C5E" w:rsidRDefault="00267C5E" w:rsidP="00267C5E">
      <w:pPr>
        <w:rPr>
          <w:rFonts w:asciiTheme="majorBidi" w:hAnsiTheme="majorBidi" w:cstheme="majorBidi"/>
          <w:szCs w:val="24"/>
        </w:rPr>
      </w:pPr>
    </w:p>
    <w:p w:rsidR="00267C5E" w:rsidRDefault="00267C5E" w:rsidP="00267C5E">
      <w:pPr>
        <w:rPr>
          <w:rFonts w:asciiTheme="majorBidi" w:hAnsiTheme="majorBidi" w:cstheme="majorBidi"/>
          <w:szCs w:val="24"/>
        </w:rPr>
      </w:pPr>
    </w:p>
    <w:p w:rsidR="00267C5E" w:rsidRPr="00267C5E" w:rsidRDefault="00267C5E" w:rsidP="00267C5E">
      <w:pPr>
        <w:jc w:val="center"/>
        <w:rPr>
          <w:lang w:val="en-US"/>
        </w:rPr>
      </w:pPr>
      <w:r w:rsidRPr="00267C5E">
        <w:rPr>
          <w:lang w:val="en-US"/>
        </w:rPr>
        <w:lastRenderedPageBreak/>
        <w:t>COST ASSESSMENT</w:t>
      </w:r>
    </w:p>
    <w:p w:rsidR="00267C5E" w:rsidRPr="0085577A" w:rsidRDefault="00267C5E" w:rsidP="00267C5E">
      <w:pPr>
        <w:pStyle w:val="Heading1"/>
        <w:rPr>
          <w:sz w:val="24"/>
          <w:szCs w:val="24"/>
          <w:lang w:val="en-US"/>
        </w:rPr>
      </w:pPr>
      <w:r w:rsidRPr="0085577A">
        <w:rPr>
          <w:sz w:val="24"/>
          <w:szCs w:val="24"/>
          <w:lang w:val="en-US"/>
        </w:rPr>
        <w:t>Interpretation</w:t>
      </w:r>
    </w:p>
    <w:p w:rsidR="00267C5E" w:rsidRPr="000A3E72" w:rsidRDefault="00267C5E" w:rsidP="00267C5E">
      <w:r w:rsidRPr="00267C5E">
        <w:rPr>
          <w:lang w:val="en-US"/>
        </w:rPr>
        <w:t xml:space="preserve">Ref. Document </w:t>
      </w:r>
      <w:hyperlink r:id="rId31" w:history="1">
        <w:r w:rsidRPr="000A3E72">
          <w:rPr>
            <w:rStyle w:val="Hyperlink"/>
          </w:rPr>
          <w:t>72</w:t>
        </w:r>
      </w:hyperlink>
      <w:r w:rsidRPr="000A3E72">
        <w:t xml:space="preserve"> (Resolution 44, </w:t>
      </w:r>
      <w:r w:rsidRPr="000A3E72">
        <w:rPr>
          <w:i/>
          <w:iCs/>
        </w:rPr>
        <w:t>resolves</w:t>
      </w:r>
      <w:r w:rsidRPr="000A3E72">
        <w:t xml:space="preserve"> 6: that interpretation shall be provided, based on the requests of participants, at the entire Plenary and Working Parties of Study Groups and the entire meeting of TSAG).</w:t>
      </w:r>
    </w:p>
    <w:p w:rsidR="00267C5E" w:rsidRPr="000A3E72" w:rsidRDefault="00267C5E" w:rsidP="00267C5E">
      <w:r w:rsidRPr="000A3E72">
        <w:t xml:space="preserve">The ITU-T budget 2017 for interpretation is 313 kCHF. </w:t>
      </w:r>
    </w:p>
    <w:p w:rsidR="00267C5E" w:rsidRPr="000A3E72" w:rsidRDefault="00267C5E" w:rsidP="00267C5E">
      <w:r w:rsidRPr="000A3E72">
        <w:t xml:space="preserve">One day of interpretation costs approximately: </w:t>
      </w:r>
    </w:p>
    <w:p w:rsidR="00267C5E" w:rsidRPr="000A3E72" w:rsidRDefault="00267C5E" w:rsidP="00267C5E">
      <w:pPr>
        <w:pStyle w:val="enumlev1"/>
        <w:numPr>
          <w:ilvl w:val="0"/>
          <w:numId w:val="12"/>
        </w:numPr>
      </w:pPr>
      <w:r w:rsidRPr="000A3E72">
        <w:t>12kCHF when interpretation is provided in 6 languages</w:t>
      </w:r>
    </w:p>
    <w:p w:rsidR="00267C5E" w:rsidRPr="000A3E72" w:rsidRDefault="00267C5E" w:rsidP="00267C5E">
      <w:pPr>
        <w:pStyle w:val="enumlev1"/>
        <w:numPr>
          <w:ilvl w:val="0"/>
          <w:numId w:val="12"/>
        </w:numPr>
      </w:pPr>
      <w:r w:rsidRPr="000A3E72">
        <w:t>9kCHF when interpretation is provided in 5 languages</w:t>
      </w:r>
    </w:p>
    <w:p w:rsidR="00267C5E" w:rsidRPr="000A3E72" w:rsidRDefault="00267C5E" w:rsidP="00267C5E">
      <w:pPr>
        <w:pStyle w:val="enumlev1"/>
        <w:numPr>
          <w:ilvl w:val="0"/>
          <w:numId w:val="12"/>
        </w:numPr>
      </w:pPr>
      <w:r w:rsidRPr="000A3E72">
        <w:t>7kCHF when interpretation is provided in 4 languages</w:t>
      </w:r>
    </w:p>
    <w:p w:rsidR="00267C5E" w:rsidRPr="000A3E72" w:rsidRDefault="00267C5E" w:rsidP="00267C5E">
      <w:r w:rsidRPr="000A3E72">
        <w:t>Currently, interpretation is provided to the TSAG meeting during two days (Opening and Closing sessions). Should interpretation be provided for the entire meeting of TSAG, the additional expense would be around 36kCHF per TSAG meeting (for a TSAG meeting lasting 5 days), or 24kCHF per TSAG meeting (for a TSAG meeting lasting 4 days). By biennium, the financial impact will be between 72kCHF (3 TSAG meetings of 4 days) and 108kCHF (3 TSAG meetings of 5 days).</w:t>
      </w:r>
    </w:p>
    <w:p w:rsidR="00267C5E" w:rsidRPr="000A3E72" w:rsidRDefault="00267C5E" w:rsidP="00267C5E">
      <w:r w:rsidRPr="000A3E72">
        <w:rPr>
          <w:u w:val="single"/>
        </w:rPr>
        <w:t>Option1</w:t>
      </w:r>
      <w:r w:rsidRPr="000A3E72">
        <w:t xml:space="preserve"> </w:t>
      </w:r>
    </w:p>
    <w:p w:rsidR="00267C5E" w:rsidRPr="000A3E72" w:rsidRDefault="00267C5E" w:rsidP="00267C5E">
      <w:r w:rsidRPr="000A3E72">
        <w:t>Currently interpretation is provided to Closing sessions of Study Groups. The provision of interpretation at the Plenaries of Study Groups (Opening and Closing sessions) and at stand-alone Working Parties (Opening and Closing sessions), would entail 25 additional days of interpretation. The financial impact can be estimated between 350 kCHF and 600 kCHF per biennium, depending on the number of languages requested.</w:t>
      </w:r>
    </w:p>
    <w:p w:rsidR="00267C5E" w:rsidRPr="000A3E72" w:rsidRDefault="00267C5E" w:rsidP="00267C5E"/>
    <w:tbl>
      <w:tblPr>
        <w:tblStyle w:val="TableGrid"/>
        <w:tblW w:w="0" w:type="auto"/>
        <w:tblLook w:val="04A0" w:firstRow="1" w:lastRow="0" w:firstColumn="1" w:lastColumn="0" w:noHBand="0" w:noVBand="1"/>
      </w:tblPr>
      <w:tblGrid>
        <w:gridCol w:w="1944"/>
        <w:gridCol w:w="1923"/>
        <w:gridCol w:w="1515"/>
        <w:gridCol w:w="1984"/>
        <w:gridCol w:w="2263"/>
      </w:tblGrid>
      <w:tr w:rsidR="00267C5E" w:rsidRPr="000A3E72" w:rsidTr="00503054">
        <w:tc>
          <w:tcPr>
            <w:tcW w:w="1944" w:type="dxa"/>
          </w:tcPr>
          <w:p w:rsidR="00267C5E" w:rsidRPr="000A3E72" w:rsidRDefault="00267C5E" w:rsidP="00503054">
            <w:pPr>
              <w:pStyle w:val="Tabletext"/>
              <w:jc w:val="center"/>
            </w:pPr>
            <w:r w:rsidRPr="000A3E72">
              <w:t>Additional days of interpretation</w:t>
            </w:r>
          </w:p>
        </w:tc>
        <w:tc>
          <w:tcPr>
            <w:tcW w:w="1923" w:type="dxa"/>
          </w:tcPr>
          <w:p w:rsidR="00267C5E" w:rsidRPr="000A3E72" w:rsidRDefault="00267C5E" w:rsidP="00503054">
            <w:pPr>
              <w:pStyle w:val="Tabletext"/>
              <w:jc w:val="center"/>
            </w:pPr>
            <w:r w:rsidRPr="000A3E72">
              <w:t>Number of languages provided</w:t>
            </w:r>
          </w:p>
        </w:tc>
        <w:tc>
          <w:tcPr>
            <w:tcW w:w="1515" w:type="dxa"/>
          </w:tcPr>
          <w:p w:rsidR="00267C5E" w:rsidRPr="000A3E72" w:rsidRDefault="00267C5E" w:rsidP="00503054">
            <w:pPr>
              <w:pStyle w:val="Tabletext"/>
              <w:jc w:val="center"/>
            </w:pPr>
            <w:r w:rsidRPr="000A3E72">
              <w:t>Daily cost (in kCHF)</w:t>
            </w:r>
          </w:p>
        </w:tc>
        <w:tc>
          <w:tcPr>
            <w:tcW w:w="1984" w:type="dxa"/>
          </w:tcPr>
          <w:p w:rsidR="00267C5E" w:rsidRPr="000A3E72" w:rsidRDefault="00267C5E" w:rsidP="00503054">
            <w:pPr>
              <w:pStyle w:val="Tabletext"/>
              <w:jc w:val="center"/>
            </w:pPr>
            <w:r w:rsidRPr="000A3E72">
              <w:t>Additional expense per year (in kCHF)</w:t>
            </w:r>
          </w:p>
        </w:tc>
        <w:tc>
          <w:tcPr>
            <w:tcW w:w="2263" w:type="dxa"/>
          </w:tcPr>
          <w:p w:rsidR="00267C5E" w:rsidRPr="000A3E72" w:rsidRDefault="00267C5E" w:rsidP="00503054">
            <w:pPr>
              <w:pStyle w:val="Tabletext"/>
              <w:jc w:val="center"/>
            </w:pPr>
            <w:r w:rsidRPr="000A3E72">
              <w:t>Additional expense per biennium (in kCHF)</w:t>
            </w:r>
          </w:p>
        </w:tc>
      </w:tr>
      <w:tr w:rsidR="00267C5E" w:rsidRPr="000A3E72" w:rsidTr="00503054">
        <w:tc>
          <w:tcPr>
            <w:tcW w:w="1944" w:type="dxa"/>
          </w:tcPr>
          <w:p w:rsidR="00267C5E" w:rsidRPr="000A3E72" w:rsidRDefault="00267C5E" w:rsidP="00503054">
            <w:pPr>
              <w:pStyle w:val="Tabletext"/>
              <w:jc w:val="center"/>
            </w:pPr>
            <w:r w:rsidRPr="000A3E72">
              <w:t>25</w:t>
            </w:r>
          </w:p>
        </w:tc>
        <w:tc>
          <w:tcPr>
            <w:tcW w:w="1923" w:type="dxa"/>
          </w:tcPr>
          <w:p w:rsidR="00267C5E" w:rsidRPr="000A3E72" w:rsidRDefault="00267C5E" w:rsidP="00503054">
            <w:pPr>
              <w:pStyle w:val="Tabletext"/>
              <w:jc w:val="center"/>
            </w:pPr>
            <w:r w:rsidRPr="000A3E72">
              <w:t>6</w:t>
            </w:r>
          </w:p>
        </w:tc>
        <w:tc>
          <w:tcPr>
            <w:tcW w:w="1515" w:type="dxa"/>
          </w:tcPr>
          <w:p w:rsidR="00267C5E" w:rsidRPr="000A3E72" w:rsidRDefault="00267C5E" w:rsidP="00503054">
            <w:pPr>
              <w:pStyle w:val="Tabletext"/>
              <w:jc w:val="right"/>
            </w:pPr>
            <w:r w:rsidRPr="000A3E72">
              <w:t>12</w:t>
            </w:r>
          </w:p>
        </w:tc>
        <w:tc>
          <w:tcPr>
            <w:tcW w:w="1984" w:type="dxa"/>
          </w:tcPr>
          <w:p w:rsidR="00267C5E" w:rsidRPr="000A3E72" w:rsidRDefault="00267C5E" w:rsidP="00503054">
            <w:pPr>
              <w:pStyle w:val="Tabletext"/>
              <w:jc w:val="right"/>
            </w:pPr>
            <w:r w:rsidRPr="000A3E72">
              <w:t>300</w:t>
            </w:r>
          </w:p>
        </w:tc>
        <w:tc>
          <w:tcPr>
            <w:tcW w:w="2263" w:type="dxa"/>
          </w:tcPr>
          <w:p w:rsidR="00267C5E" w:rsidRPr="000A3E72" w:rsidRDefault="00267C5E" w:rsidP="00503054">
            <w:pPr>
              <w:pStyle w:val="Tabletext"/>
              <w:jc w:val="right"/>
            </w:pPr>
            <w:r w:rsidRPr="000A3E72">
              <w:t>600</w:t>
            </w:r>
          </w:p>
        </w:tc>
      </w:tr>
      <w:tr w:rsidR="00267C5E" w:rsidRPr="000A3E72" w:rsidTr="00503054">
        <w:tc>
          <w:tcPr>
            <w:tcW w:w="1944" w:type="dxa"/>
          </w:tcPr>
          <w:p w:rsidR="00267C5E" w:rsidRPr="000A3E72" w:rsidRDefault="00267C5E" w:rsidP="00503054">
            <w:pPr>
              <w:pStyle w:val="Tabletext"/>
              <w:jc w:val="center"/>
            </w:pPr>
            <w:r w:rsidRPr="000A3E72">
              <w:t>25</w:t>
            </w:r>
          </w:p>
        </w:tc>
        <w:tc>
          <w:tcPr>
            <w:tcW w:w="1923" w:type="dxa"/>
          </w:tcPr>
          <w:p w:rsidR="00267C5E" w:rsidRPr="000A3E72" w:rsidRDefault="00267C5E" w:rsidP="00503054">
            <w:pPr>
              <w:pStyle w:val="Tabletext"/>
              <w:jc w:val="center"/>
            </w:pPr>
            <w:r w:rsidRPr="000A3E72">
              <w:t>5</w:t>
            </w:r>
          </w:p>
        </w:tc>
        <w:tc>
          <w:tcPr>
            <w:tcW w:w="1515" w:type="dxa"/>
          </w:tcPr>
          <w:p w:rsidR="00267C5E" w:rsidRPr="000A3E72" w:rsidRDefault="00267C5E" w:rsidP="00503054">
            <w:pPr>
              <w:pStyle w:val="Tabletext"/>
              <w:jc w:val="right"/>
            </w:pPr>
            <w:r w:rsidRPr="000A3E72">
              <w:t>9</w:t>
            </w:r>
          </w:p>
        </w:tc>
        <w:tc>
          <w:tcPr>
            <w:tcW w:w="1984" w:type="dxa"/>
          </w:tcPr>
          <w:p w:rsidR="00267C5E" w:rsidRPr="000A3E72" w:rsidRDefault="00267C5E" w:rsidP="00503054">
            <w:pPr>
              <w:pStyle w:val="Tabletext"/>
              <w:jc w:val="right"/>
            </w:pPr>
            <w:r w:rsidRPr="000A3E72">
              <w:t>225</w:t>
            </w:r>
          </w:p>
        </w:tc>
        <w:tc>
          <w:tcPr>
            <w:tcW w:w="2263" w:type="dxa"/>
          </w:tcPr>
          <w:p w:rsidR="00267C5E" w:rsidRPr="000A3E72" w:rsidRDefault="00267C5E" w:rsidP="00503054">
            <w:pPr>
              <w:pStyle w:val="Tabletext"/>
              <w:jc w:val="right"/>
            </w:pPr>
            <w:r w:rsidRPr="000A3E72">
              <w:t>450</w:t>
            </w:r>
          </w:p>
        </w:tc>
      </w:tr>
      <w:tr w:rsidR="00267C5E" w:rsidRPr="000A3E72" w:rsidTr="00503054">
        <w:tc>
          <w:tcPr>
            <w:tcW w:w="1944" w:type="dxa"/>
          </w:tcPr>
          <w:p w:rsidR="00267C5E" w:rsidRPr="000A3E72" w:rsidRDefault="00267C5E" w:rsidP="00503054">
            <w:pPr>
              <w:pStyle w:val="Tabletext"/>
              <w:jc w:val="center"/>
            </w:pPr>
            <w:r w:rsidRPr="000A3E72">
              <w:t>25</w:t>
            </w:r>
          </w:p>
        </w:tc>
        <w:tc>
          <w:tcPr>
            <w:tcW w:w="1923" w:type="dxa"/>
          </w:tcPr>
          <w:p w:rsidR="00267C5E" w:rsidRPr="000A3E72" w:rsidRDefault="00267C5E" w:rsidP="00503054">
            <w:pPr>
              <w:pStyle w:val="Tabletext"/>
              <w:jc w:val="center"/>
            </w:pPr>
            <w:r w:rsidRPr="000A3E72">
              <w:t>4</w:t>
            </w:r>
          </w:p>
        </w:tc>
        <w:tc>
          <w:tcPr>
            <w:tcW w:w="1515" w:type="dxa"/>
          </w:tcPr>
          <w:p w:rsidR="00267C5E" w:rsidRPr="000A3E72" w:rsidRDefault="00267C5E" w:rsidP="00503054">
            <w:pPr>
              <w:pStyle w:val="Tabletext"/>
              <w:jc w:val="right"/>
            </w:pPr>
            <w:r w:rsidRPr="000A3E72">
              <w:t>7</w:t>
            </w:r>
          </w:p>
        </w:tc>
        <w:tc>
          <w:tcPr>
            <w:tcW w:w="1984" w:type="dxa"/>
          </w:tcPr>
          <w:p w:rsidR="00267C5E" w:rsidRPr="000A3E72" w:rsidRDefault="00267C5E" w:rsidP="00503054">
            <w:pPr>
              <w:pStyle w:val="Tabletext"/>
              <w:jc w:val="right"/>
            </w:pPr>
            <w:r w:rsidRPr="000A3E72">
              <w:t>175</w:t>
            </w:r>
          </w:p>
        </w:tc>
        <w:tc>
          <w:tcPr>
            <w:tcW w:w="2263" w:type="dxa"/>
          </w:tcPr>
          <w:p w:rsidR="00267C5E" w:rsidRPr="000A3E72" w:rsidRDefault="00267C5E" w:rsidP="00503054">
            <w:pPr>
              <w:pStyle w:val="Tabletext"/>
              <w:jc w:val="right"/>
            </w:pPr>
            <w:r w:rsidRPr="000A3E72">
              <w:t>350</w:t>
            </w:r>
          </w:p>
        </w:tc>
      </w:tr>
    </w:tbl>
    <w:p w:rsidR="00267C5E" w:rsidRPr="000A3E72" w:rsidRDefault="00267C5E" w:rsidP="00267C5E"/>
    <w:p w:rsidR="00267C5E" w:rsidRPr="00B31096" w:rsidRDefault="00267C5E" w:rsidP="00267C5E">
      <w:pPr>
        <w:rPr>
          <w:u w:val="single"/>
        </w:rPr>
      </w:pPr>
      <w:r w:rsidRPr="00B31096">
        <w:rPr>
          <w:u w:val="single"/>
        </w:rPr>
        <w:t xml:space="preserve">Option 2 </w:t>
      </w:r>
    </w:p>
    <w:p w:rsidR="00267C5E" w:rsidRPr="000A3E72" w:rsidRDefault="00267C5E" w:rsidP="00267C5E">
      <w:r w:rsidRPr="000A3E72">
        <w:t>The provision of interpretation at the Plenaries of Study Groups (Opening and Closing sessions) and at the Plenaries of all Working Parties (Opening and Closing sessions), would entail 115 additional days of interpretation. The maximum financial impact can be estimated between 1,610kCHF and 2,760 kCHF per biennium, depending on the number of languages requested.</w:t>
      </w:r>
    </w:p>
    <w:p w:rsidR="00267C5E" w:rsidRPr="000A3E72" w:rsidRDefault="00267C5E" w:rsidP="00267C5E"/>
    <w:tbl>
      <w:tblPr>
        <w:tblStyle w:val="TableGrid"/>
        <w:tblW w:w="0" w:type="auto"/>
        <w:tblLook w:val="04A0" w:firstRow="1" w:lastRow="0" w:firstColumn="1" w:lastColumn="0" w:noHBand="0" w:noVBand="1"/>
      </w:tblPr>
      <w:tblGrid>
        <w:gridCol w:w="1944"/>
        <w:gridCol w:w="1923"/>
        <w:gridCol w:w="1515"/>
        <w:gridCol w:w="1984"/>
        <w:gridCol w:w="2263"/>
      </w:tblGrid>
      <w:tr w:rsidR="00267C5E" w:rsidRPr="000A3E72" w:rsidTr="00503054">
        <w:tc>
          <w:tcPr>
            <w:tcW w:w="1944" w:type="dxa"/>
          </w:tcPr>
          <w:p w:rsidR="00267C5E" w:rsidRPr="000A3E72" w:rsidRDefault="00267C5E" w:rsidP="00503054">
            <w:pPr>
              <w:pStyle w:val="Tabletext"/>
              <w:jc w:val="center"/>
            </w:pPr>
            <w:r w:rsidRPr="000A3E72">
              <w:t>Additional days of interpretation</w:t>
            </w:r>
          </w:p>
        </w:tc>
        <w:tc>
          <w:tcPr>
            <w:tcW w:w="1923" w:type="dxa"/>
          </w:tcPr>
          <w:p w:rsidR="00267C5E" w:rsidRPr="000A3E72" w:rsidRDefault="00267C5E" w:rsidP="00503054">
            <w:pPr>
              <w:pStyle w:val="Tabletext"/>
              <w:jc w:val="center"/>
            </w:pPr>
            <w:r w:rsidRPr="000A3E72">
              <w:t>Number of languages provided</w:t>
            </w:r>
          </w:p>
        </w:tc>
        <w:tc>
          <w:tcPr>
            <w:tcW w:w="1515" w:type="dxa"/>
          </w:tcPr>
          <w:p w:rsidR="00267C5E" w:rsidRPr="000A3E72" w:rsidRDefault="00267C5E" w:rsidP="00503054">
            <w:pPr>
              <w:pStyle w:val="Tabletext"/>
              <w:jc w:val="center"/>
            </w:pPr>
            <w:r w:rsidRPr="000A3E72">
              <w:t>Daily cost (in kCHF)</w:t>
            </w:r>
          </w:p>
        </w:tc>
        <w:tc>
          <w:tcPr>
            <w:tcW w:w="1984" w:type="dxa"/>
          </w:tcPr>
          <w:p w:rsidR="00267C5E" w:rsidRPr="000A3E72" w:rsidRDefault="00267C5E" w:rsidP="00503054">
            <w:pPr>
              <w:pStyle w:val="Tabletext"/>
              <w:jc w:val="center"/>
            </w:pPr>
            <w:r w:rsidRPr="000A3E72">
              <w:t xml:space="preserve">Additional expense per year </w:t>
            </w:r>
            <w:r w:rsidRPr="000A3E72">
              <w:rPr>
                <w:rFonts w:asciiTheme="majorBidi" w:hAnsiTheme="majorBidi" w:cstheme="majorBidi"/>
              </w:rPr>
              <w:t>(in kCHF)</w:t>
            </w:r>
          </w:p>
        </w:tc>
        <w:tc>
          <w:tcPr>
            <w:tcW w:w="2263" w:type="dxa"/>
          </w:tcPr>
          <w:p w:rsidR="00267C5E" w:rsidRPr="000A3E72" w:rsidRDefault="00267C5E" w:rsidP="00503054">
            <w:pPr>
              <w:pStyle w:val="Tabletext"/>
              <w:jc w:val="center"/>
            </w:pPr>
            <w:r w:rsidRPr="000A3E72">
              <w:t xml:space="preserve">Additional expense per biennium </w:t>
            </w:r>
            <w:r w:rsidRPr="000A3E72">
              <w:rPr>
                <w:rFonts w:asciiTheme="majorBidi" w:hAnsiTheme="majorBidi" w:cstheme="majorBidi"/>
              </w:rPr>
              <w:t>(in kCHF)</w:t>
            </w:r>
          </w:p>
        </w:tc>
      </w:tr>
      <w:tr w:rsidR="00267C5E" w:rsidRPr="000A3E72" w:rsidTr="00503054">
        <w:tc>
          <w:tcPr>
            <w:tcW w:w="1944" w:type="dxa"/>
          </w:tcPr>
          <w:p w:rsidR="00267C5E" w:rsidRPr="000A3E72" w:rsidRDefault="00267C5E" w:rsidP="00503054">
            <w:pPr>
              <w:pStyle w:val="Tabletext"/>
              <w:jc w:val="center"/>
            </w:pPr>
            <w:r w:rsidRPr="000A3E72">
              <w:t>115</w:t>
            </w:r>
          </w:p>
        </w:tc>
        <w:tc>
          <w:tcPr>
            <w:tcW w:w="1923" w:type="dxa"/>
          </w:tcPr>
          <w:p w:rsidR="00267C5E" w:rsidRPr="000A3E72" w:rsidRDefault="00267C5E" w:rsidP="00503054">
            <w:pPr>
              <w:pStyle w:val="Tabletext"/>
              <w:jc w:val="center"/>
            </w:pPr>
            <w:r w:rsidRPr="000A3E72">
              <w:t>6</w:t>
            </w:r>
          </w:p>
        </w:tc>
        <w:tc>
          <w:tcPr>
            <w:tcW w:w="1515" w:type="dxa"/>
          </w:tcPr>
          <w:p w:rsidR="00267C5E" w:rsidRPr="000A3E72" w:rsidRDefault="00267C5E" w:rsidP="00503054">
            <w:pPr>
              <w:pStyle w:val="Tabletext"/>
              <w:jc w:val="right"/>
            </w:pPr>
            <w:r w:rsidRPr="000A3E72">
              <w:t>12</w:t>
            </w:r>
          </w:p>
        </w:tc>
        <w:tc>
          <w:tcPr>
            <w:tcW w:w="1984" w:type="dxa"/>
          </w:tcPr>
          <w:p w:rsidR="00267C5E" w:rsidRPr="000A3E72" w:rsidRDefault="00267C5E" w:rsidP="00503054">
            <w:pPr>
              <w:pStyle w:val="Tabletext"/>
              <w:jc w:val="right"/>
            </w:pPr>
            <w:r w:rsidRPr="000A3E72">
              <w:t>1,380</w:t>
            </w:r>
          </w:p>
        </w:tc>
        <w:tc>
          <w:tcPr>
            <w:tcW w:w="2263" w:type="dxa"/>
          </w:tcPr>
          <w:p w:rsidR="00267C5E" w:rsidRPr="000A3E72" w:rsidRDefault="00267C5E" w:rsidP="00503054">
            <w:pPr>
              <w:pStyle w:val="Tabletext"/>
              <w:jc w:val="right"/>
            </w:pPr>
            <w:r w:rsidRPr="000A3E72">
              <w:t>2,760</w:t>
            </w:r>
          </w:p>
        </w:tc>
      </w:tr>
      <w:tr w:rsidR="00267C5E" w:rsidRPr="000A3E72" w:rsidTr="00503054">
        <w:tc>
          <w:tcPr>
            <w:tcW w:w="1944" w:type="dxa"/>
          </w:tcPr>
          <w:p w:rsidR="00267C5E" w:rsidRPr="000A3E72" w:rsidRDefault="00267C5E" w:rsidP="00503054">
            <w:pPr>
              <w:pStyle w:val="Tabletext"/>
              <w:jc w:val="center"/>
            </w:pPr>
            <w:r w:rsidRPr="000A3E72">
              <w:t>115</w:t>
            </w:r>
          </w:p>
        </w:tc>
        <w:tc>
          <w:tcPr>
            <w:tcW w:w="1923" w:type="dxa"/>
          </w:tcPr>
          <w:p w:rsidR="00267C5E" w:rsidRPr="000A3E72" w:rsidRDefault="00267C5E" w:rsidP="00503054">
            <w:pPr>
              <w:pStyle w:val="Tabletext"/>
              <w:jc w:val="center"/>
            </w:pPr>
            <w:r w:rsidRPr="000A3E72">
              <w:t>5</w:t>
            </w:r>
          </w:p>
        </w:tc>
        <w:tc>
          <w:tcPr>
            <w:tcW w:w="1515" w:type="dxa"/>
          </w:tcPr>
          <w:p w:rsidR="00267C5E" w:rsidRPr="000A3E72" w:rsidRDefault="00267C5E" w:rsidP="00503054">
            <w:pPr>
              <w:pStyle w:val="Tabletext"/>
              <w:jc w:val="right"/>
            </w:pPr>
            <w:r w:rsidRPr="000A3E72">
              <w:t>9</w:t>
            </w:r>
          </w:p>
        </w:tc>
        <w:tc>
          <w:tcPr>
            <w:tcW w:w="1984" w:type="dxa"/>
          </w:tcPr>
          <w:p w:rsidR="00267C5E" w:rsidRPr="000A3E72" w:rsidRDefault="00267C5E" w:rsidP="00503054">
            <w:pPr>
              <w:pStyle w:val="Tabletext"/>
              <w:jc w:val="right"/>
            </w:pPr>
            <w:r w:rsidRPr="000A3E72">
              <w:t>1,035</w:t>
            </w:r>
          </w:p>
        </w:tc>
        <w:tc>
          <w:tcPr>
            <w:tcW w:w="2263" w:type="dxa"/>
          </w:tcPr>
          <w:p w:rsidR="00267C5E" w:rsidRPr="000A3E72" w:rsidRDefault="00267C5E" w:rsidP="00503054">
            <w:pPr>
              <w:pStyle w:val="Tabletext"/>
              <w:jc w:val="right"/>
            </w:pPr>
            <w:r w:rsidRPr="000A3E72">
              <w:t>2,070</w:t>
            </w:r>
          </w:p>
        </w:tc>
      </w:tr>
      <w:tr w:rsidR="00267C5E" w:rsidRPr="000A3E72" w:rsidTr="00503054">
        <w:tc>
          <w:tcPr>
            <w:tcW w:w="1944" w:type="dxa"/>
          </w:tcPr>
          <w:p w:rsidR="00267C5E" w:rsidRPr="000A3E72" w:rsidRDefault="00267C5E" w:rsidP="00503054">
            <w:pPr>
              <w:pStyle w:val="Tabletext"/>
              <w:jc w:val="center"/>
            </w:pPr>
            <w:r w:rsidRPr="000A3E72">
              <w:t>115</w:t>
            </w:r>
          </w:p>
        </w:tc>
        <w:tc>
          <w:tcPr>
            <w:tcW w:w="1923" w:type="dxa"/>
          </w:tcPr>
          <w:p w:rsidR="00267C5E" w:rsidRPr="000A3E72" w:rsidRDefault="00267C5E" w:rsidP="00503054">
            <w:pPr>
              <w:pStyle w:val="Tabletext"/>
              <w:jc w:val="center"/>
            </w:pPr>
            <w:r w:rsidRPr="000A3E72">
              <w:t>4</w:t>
            </w:r>
          </w:p>
        </w:tc>
        <w:tc>
          <w:tcPr>
            <w:tcW w:w="1515" w:type="dxa"/>
          </w:tcPr>
          <w:p w:rsidR="00267C5E" w:rsidRPr="000A3E72" w:rsidRDefault="00267C5E" w:rsidP="00503054">
            <w:pPr>
              <w:pStyle w:val="Tabletext"/>
              <w:jc w:val="right"/>
            </w:pPr>
            <w:r w:rsidRPr="000A3E72">
              <w:t>7</w:t>
            </w:r>
          </w:p>
        </w:tc>
        <w:tc>
          <w:tcPr>
            <w:tcW w:w="1984" w:type="dxa"/>
          </w:tcPr>
          <w:p w:rsidR="00267C5E" w:rsidRPr="000A3E72" w:rsidRDefault="00267C5E" w:rsidP="00503054">
            <w:pPr>
              <w:pStyle w:val="Tabletext"/>
              <w:jc w:val="right"/>
            </w:pPr>
            <w:r w:rsidRPr="000A3E72">
              <w:t>805</w:t>
            </w:r>
          </w:p>
        </w:tc>
        <w:tc>
          <w:tcPr>
            <w:tcW w:w="2263" w:type="dxa"/>
          </w:tcPr>
          <w:p w:rsidR="00267C5E" w:rsidRPr="000A3E72" w:rsidRDefault="00267C5E" w:rsidP="00503054">
            <w:pPr>
              <w:pStyle w:val="Tabletext"/>
              <w:jc w:val="right"/>
            </w:pPr>
            <w:r w:rsidRPr="000A3E72">
              <w:t>1,610</w:t>
            </w:r>
          </w:p>
        </w:tc>
      </w:tr>
    </w:tbl>
    <w:p w:rsidR="00267C5E" w:rsidRDefault="00267C5E" w:rsidP="00267C5E">
      <w:pPr>
        <w:rPr>
          <w:highlight w:val="yellow"/>
        </w:rPr>
      </w:pPr>
    </w:p>
    <w:p w:rsidR="00267C5E" w:rsidRPr="002C249E" w:rsidRDefault="00267C5E" w:rsidP="00267C5E">
      <w:pPr>
        <w:rPr>
          <w:rFonts w:asciiTheme="majorBidi" w:hAnsiTheme="majorBidi" w:cstheme="majorBidi"/>
          <w:b/>
          <w:szCs w:val="24"/>
        </w:rPr>
      </w:pPr>
      <w:r w:rsidRPr="002C249E">
        <w:rPr>
          <w:rFonts w:asciiTheme="majorBidi" w:hAnsiTheme="majorBidi" w:cstheme="majorBidi"/>
          <w:b/>
          <w:szCs w:val="24"/>
        </w:rPr>
        <w:t>Consulting</w:t>
      </w:r>
    </w:p>
    <w:p w:rsidR="00267C5E" w:rsidRPr="002C249E" w:rsidRDefault="00267C5E" w:rsidP="00267C5E">
      <w:pPr>
        <w:rPr>
          <w:rFonts w:asciiTheme="majorBidi" w:hAnsiTheme="majorBidi" w:cstheme="majorBidi"/>
          <w:bCs/>
          <w:szCs w:val="24"/>
        </w:rPr>
      </w:pPr>
      <w:r w:rsidRPr="002C249E">
        <w:rPr>
          <w:rFonts w:asciiTheme="majorBidi" w:hAnsiTheme="majorBidi" w:cstheme="majorBidi"/>
          <w:bCs/>
          <w:szCs w:val="24"/>
        </w:rPr>
        <w:t>Ref. New Resolution [RCC-3] and New Resolution [AFCP-2]</w:t>
      </w:r>
    </w:p>
    <w:p w:rsidR="00267C5E" w:rsidRPr="002C249E" w:rsidRDefault="00267C5E" w:rsidP="00267C5E">
      <w:pPr>
        <w:rPr>
          <w:rFonts w:asciiTheme="majorBidi" w:hAnsiTheme="majorBidi" w:cstheme="majorBidi"/>
          <w:bCs/>
          <w:highlight w:val="yellow"/>
        </w:rPr>
      </w:pPr>
      <w:r w:rsidRPr="002C249E">
        <w:rPr>
          <w:rFonts w:asciiTheme="majorBidi" w:hAnsiTheme="majorBidi" w:cstheme="majorBidi"/>
          <w:bCs/>
        </w:rPr>
        <w:t xml:space="preserve">The implementation of the above will imply the hiring of experts under </w:t>
      </w:r>
      <w:r w:rsidRPr="002C249E">
        <w:rPr>
          <w:rFonts w:asciiTheme="majorBidi" w:hAnsiTheme="majorBidi" w:cstheme="majorBidi"/>
          <w:lang w:val="en-US"/>
        </w:rPr>
        <w:t>Special Service Agreements (SSA) contracts in connection with the development of reports and studies.</w:t>
      </w:r>
    </w:p>
    <w:p w:rsidR="00267C5E" w:rsidRPr="002C249E" w:rsidRDefault="00267C5E" w:rsidP="00267C5E">
      <w:pPr>
        <w:rPr>
          <w:rFonts w:asciiTheme="majorBidi" w:hAnsiTheme="majorBidi" w:cstheme="majorBidi"/>
          <w:bCs/>
          <w:highlight w:val="yellow"/>
        </w:rPr>
      </w:pPr>
    </w:p>
    <w:p w:rsidR="00267C5E" w:rsidRPr="002C249E" w:rsidRDefault="00267C5E" w:rsidP="00267C5E">
      <w:pPr>
        <w:rPr>
          <w:rFonts w:asciiTheme="majorBidi" w:hAnsiTheme="majorBidi" w:cstheme="majorBidi"/>
          <w:b/>
          <w:szCs w:val="24"/>
        </w:rPr>
      </w:pPr>
      <w:r w:rsidRPr="002C249E">
        <w:rPr>
          <w:rFonts w:asciiTheme="majorBidi" w:hAnsiTheme="majorBidi" w:cstheme="majorBidi"/>
          <w:b/>
          <w:szCs w:val="24"/>
        </w:rPr>
        <w:t>Workshops</w:t>
      </w:r>
      <w:r>
        <w:rPr>
          <w:rFonts w:asciiTheme="majorBidi" w:hAnsiTheme="majorBidi" w:cstheme="majorBidi"/>
          <w:b/>
          <w:szCs w:val="24"/>
        </w:rPr>
        <w:t>/Seminars</w:t>
      </w:r>
    </w:p>
    <w:p w:rsidR="00267C5E" w:rsidRPr="002C249E" w:rsidRDefault="00267C5E" w:rsidP="00267C5E">
      <w:pPr>
        <w:rPr>
          <w:rFonts w:asciiTheme="majorBidi" w:hAnsiTheme="majorBidi" w:cstheme="majorBidi"/>
          <w:bCs/>
          <w:szCs w:val="24"/>
        </w:rPr>
      </w:pPr>
      <w:r w:rsidRPr="002C249E">
        <w:rPr>
          <w:rFonts w:asciiTheme="majorBidi" w:hAnsiTheme="majorBidi" w:cstheme="majorBidi"/>
          <w:bCs/>
          <w:szCs w:val="24"/>
        </w:rPr>
        <w:t>Ref. Resolution 77, New Resolution [APT-3], New Resolution [AFCP-2] and New Resolution [APT-2]</w:t>
      </w:r>
      <w:proofErr w:type="gramStart"/>
      <w:r w:rsidRPr="002C249E">
        <w:rPr>
          <w:rFonts w:asciiTheme="majorBidi" w:hAnsiTheme="majorBidi" w:cstheme="majorBidi"/>
          <w:bCs/>
          <w:szCs w:val="24"/>
        </w:rPr>
        <w:t>/[</w:t>
      </w:r>
      <w:proofErr w:type="gramEnd"/>
      <w:r w:rsidRPr="002C249E">
        <w:rPr>
          <w:rFonts w:asciiTheme="majorBidi" w:hAnsiTheme="majorBidi" w:cstheme="majorBidi"/>
          <w:bCs/>
          <w:szCs w:val="24"/>
        </w:rPr>
        <w:t>IAP-3]</w:t>
      </w:r>
    </w:p>
    <w:p w:rsidR="00267C5E" w:rsidRPr="002C249E" w:rsidRDefault="00267C5E" w:rsidP="00267C5E">
      <w:pPr>
        <w:rPr>
          <w:rFonts w:asciiTheme="majorBidi" w:hAnsiTheme="majorBidi" w:cstheme="majorBidi"/>
          <w:bCs/>
          <w:szCs w:val="24"/>
        </w:rPr>
      </w:pPr>
      <w:r w:rsidRPr="002C249E">
        <w:rPr>
          <w:rFonts w:asciiTheme="majorBidi" w:hAnsiTheme="majorBidi" w:cstheme="majorBidi"/>
          <w:bCs/>
          <w:szCs w:val="24"/>
        </w:rPr>
        <w:t>The organization of Workshops/Seminars entail ITU Staff Travel</w:t>
      </w:r>
      <w:r>
        <w:rPr>
          <w:rFonts w:asciiTheme="majorBidi" w:hAnsiTheme="majorBidi" w:cstheme="majorBidi"/>
          <w:bCs/>
          <w:szCs w:val="24"/>
        </w:rPr>
        <w:t xml:space="preserve"> cost</w:t>
      </w:r>
      <w:r w:rsidRPr="002C249E">
        <w:rPr>
          <w:rFonts w:asciiTheme="majorBidi" w:hAnsiTheme="majorBidi" w:cstheme="majorBidi"/>
          <w:bCs/>
          <w:szCs w:val="24"/>
        </w:rPr>
        <w:t xml:space="preserve">, Expert Travel </w:t>
      </w:r>
      <w:r>
        <w:rPr>
          <w:rFonts w:asciiTheme="majorBidi" w:hAnsiTheme="majorBidi" w:cstheme="majorBidi"/>
          <w:bCs/>
          <w:szCs w:val="24"/>
        </w:rPr>
        <w:t xml:space="preserve">cost </w:t>
      </w:r>
      <w:r w:rsidRPr="002C249E">
        <w:rPr>
          <w:rFonts w:asciiTheme="majorBidi" w:hAnsiTheme="majorBidi" w:cstheme="majorBidi"/>
          <w:bCs/>
          <w:szCs w:val="24"/>
        </w:rPr>
        <w:t xml:space="preserve">in some cases, fellowships, rental of </w:t>
      </w:r>
      <w:r w:rsidR="008A32A0">
        <w:rPr>
          <w:rFonts w:asciiTheme="majorBidi" w:hAnsiTheme="majorBidi" w:cstheme="majorBidi"/>
          <w:bCs/>
          <w:szCs w:val="24"/>
        </w:rPr>
        <w:t xml:space="preserve">conference </w:t>
      </w:r>
      <w:r w:rsidRPr="002C249E">
        <w:rPr>
          <w:rFonts w:asciiTheme="majorBidi" w:hAnsiTheme="majorBidi" w:cstheme="majorBidi"/>
          <w:bCs/>
          <w:szCs w:val="24"/>
        </w:rPr>
        <w:t xml:space="preserve">room and </w:t>
      </w:r>
      <w:proofErr w:type="spellStart"/>
      <w:r>
        <w:rPr>
          <w:rFonts w:asciiTheme="majorBidi" w:hAnsiTheme="majorBidi" w:cstheme="majorBidi"/>
          <w:bCs/>
          <w:szCs w:val="24"/>
        </w:rPr>
        <w:t>a</w:t>
      </w:r>
      <w:r w:rsidRPr="002C249E">
        <w:rPr>
          <w:rFonts w:asciiTheme="majorBidi" w:hAnsiTheme="majorBidi" w:cstheme="majorBidi"/>
          <w:bCs/>
          <w:szCs w:val="24"/>
        </w:rPr>
        <w:t>udiovisual</w:t>
      </w:r>
      <w:proofErr w:type="spellEnd"/>
      <w:r w:rsidRPr="002C249E">
        <w:rPr>
          <w:rFonts w:asciiTheme="majorBidi" w:hAnsiTheme="majorBidi" w:cstheme="majorBidi"/>
          <w:bCs/>
          <w:szCs w:val="24"/>
        </w:rPr>
        <w:t xml:space="preserve"> equipment, for an estimated amount of 30 kCHF</w:t>
      </w:r>
      <w:r>
        <w:rPr>
          <w:rFonts w:asciiTheme="majorBidi" w:hAnsiTheme="majorBidi" w:cstheme="majorBidi"/>
          <w:bCs/>
          <w:szCs w:val="24"/>
        </w:rPr>
        <w:t xml:space="preserve"> per </w:t>
      </w:r>
      <w:r w:rsidRPr="002C249E">
        <w:rPr>
          <w:rFonts w:asciiTheme="majorBidi" w:hAnsiTheme="majorBidi" w:cstheme="majorBidi"/>
          <w:bCs/>
          <w:szCs w:val="24"/>
        </w:rPr>
        <w:t>Workshop</w:t>
      </w:r>
      <w:r>
        <w:rPr>
          <w:rFonts w:asciiTheme="majorBidi" w:hAnsiTheme="majorBidi" w:cstheme="majorBidi"/>
          <w:bCs/>
          <w:szCs w:val="24"/>
        </w:rPr>
        <w:t>/Seminar</w:t>
      </w:r>
      <w:r w:rsidRPr="002C249E">
        <w:rPr>
          <w:rFonts w:asciiTheme="majorBidi" w:hAnsiTheme="majorBidi" w:cstheme="majorBidi"/>
          <w:bCs/>
          <w:szCs w:val="24"/>
        </w:rPr>
        <w:t>.</w:t>
      </w:r>
    </w:p>
    <w:p w:rsidR="00267C5E" w:rsidRPr="00D9320E" w:rsidRDefault="00267C5E" w:rsidP="00267C5E">
      <w:pPr>
        <w:rPr>
          <w:rFonts w:asciiTheme="majorBidi" w:hAnsiTheme="majorBidi" w:cstheme="majorBidi"/>
          <w:bCs/>
        </w:rPr>
      </w:pPr>
      <w:r w:rsidRPr="00D9320E">
        <w:rPr>
          <w:rFonts w:asciiTheme="majorBidi" w:hAnsiTheme="majorBidi" w:cstheme="majorBidi"/>
          <w:bCs/>
        </w:rPr>
        <w:t>The following number of workshops per year are included in the estimated potential implications:</w:t>
      </w:r>
    </w:p>
    <w:p w:rsidR="00267C5E" w:rsidRPr="00D9320E" w:rsidRDefault="00267C5E" w:rsidP="00267C5E">
      <w:pPr>
        <w:rPr>
          <w:rFonts w:asciiTheme="majorBidi" w:hAnsiTheme="majorBidi" w:cstheme="majorBidi"/>
          <w:bCs/>
        </w:rPr>
      </w:pPr>
    </w:p>
    <w:tbl>
      <w:tblPr>
        <w:tblStyle w:val="TableGrid"/>
        <w:tblW w:w="0" w:type="auto"/>
        <w:jc w:val="center"/>
        <w:tblLook w:val="04A0" w:firstRow="1" w:lastRow="0" w:firstColumn="1" w:lastColumn="0" w:noHBand="0" w:noVBand="1"/>
      </w:tblPr>
      <w:tblGrid>
        <w:gridCol w:w="3975"/>
        <w:gridCol w:w="1701"/>
      </w:tblGrid>
      <w:tr w:rsidR="00267C5E" w:rsidRPr="00D9320E" w:rsidTr="00503054">
        <w:trPr>
          <w:jc w:val="center"/>
        </w:trPr>
        <w:tc>
          <w:tcPr>
            <w:tcW w:w="3975" w:type="dxa"/>
          </w:tcPr>
          <w:p w:rsidR="00267C5E" w:rsidRPr="00D9320E" w:rsidRDefault="00267C5E" w:rsidP="00503054">
            <w:pPr>
              <w:rPr>
                <w:rFonts w:asciiTheme="majorBidi" w:hAnsiTheme="majorBidi" w:cstheme="majorBidi"/>
                <w:bCs/>
              </w:rPr>
            </w:pPr>
            <w:r w:rsidRPr="00D9320E">
              <w:rPr>
                <w:rFonts w:asciiTheme="majorBidi" w:hAnsiTheme="majorBidi" w:cstheme="majorBidi"/>
                <w:bCs/>
              </w:rPr>
              <w:t>Resolution 77</w:t>
            </w:r>
          </w:p>
        </w:tc>
        <w:tc>
          <w:tcPr>
            <w:tcW w:w="1701" w:type="dxa"/>
          </w:tcPr>
          <w:p w:rsidR="00267C5E" w:rsidRPr="00D9320E" w:rsidRDefault="00267C5E" w:rsidP="00503054">
            <w:pPr>
              <w:jc w:val="center"/>
              <w:rPr>
                <w:rFonts w:asciiTheme="majorBidi" w:hAnsiTheme="majorBidi" w:cstheme="majorBidi"/>
                <w:bCs/>
              </w:rPr>
            </w:pPr>
            <w:r w:rsidRPr="00D9320E">
              <w:rPr>
                <w:rFonts w:asciiTheme="majorBidi" w:hAnsiTheme="majorBidi" w:cstheme="majorBidi"/>
                <w:bCs/>
              </w:rPr>
              <w:t>3</w:t>
            </w:r>
          </w:p>
        </w:tc>
      </w:tr>
      <w:tr w:rsidR="00267C5E" w:rsidRPr="00D9320E" w:rsidTr="00503054">
        <w:trPr>
          <w:jc w:val="center"/>
        </w:trPr>
        <w:tc>
          <w:tcPr>
            <w:tcW w:w="3975" w:type="dxa"/>
          </w:tcPr>
          <w:p w:rsidR="00267C5E" w:rsidRPr="00D9320E" w:rsidRDefault="00267C5E" w:rsidP="00503054">
            <w:pPr>
              <w:rPr>
                <w:rFonts w:asciiTheme="majorBidi" w:hAnsiTheme="majorBidi" w:cstheme="majorBidi"/>
                <w:bCs/>
              </w:rPr>
            </w:pPr>
            <w:r w:rsidRPr="00D9320E">
              <w:rPr>
                <w:rFonts w:asciiTheme="majorBidi" w:hAnsiTheme="majorBidi" w:cstheme="majorBidi"/>
                <w:bCs/>
                <w:szCs w:val="24"/>
              </w:rPr>
              <w:t>New Resolution [APT-3]</w:t>
            </w:r>
          </w:p>
        </w:tc>
        <w:tc>
          <w:tcPr>
            <w:tcW w:w="1701" w:type="dxa"/>
          </w:tcPr>
          <w:p w:rsidR="00267C5E" w:rsidRPr="00D9320E" w:rsidRDefault="00267C5E" w:rsidP="00503054">
            <w:pPr>
              <w:jc w:val="center"/>
              <w:rPr>
                <w:rFonts w:asciiTheme="majorBidi" w:hAnsiTheme="majorBidi" w:cstheme="majorBidi"/>
                <w:bCs/>
              </w:rPr>
            </w:pPr>
            <w:r w:rsidRPr="00D9320E">
              <w:rPr>
                <w:rFonts w:asciiTheme="majorBidi" w:hAnsiTheme="majorBidi" w:cstheme="majorBidi"/>
                <w:bCs/>
              </w:rPr>
              <w:t>1</w:t>
            </w:r>
          </w:p>
        </w:tc>
      </w:tr>
      <w:tr w:rsidR="00267C5E" w:rsidRPr="00D9320E" w:rsidTr="00503054">
        <w:trPr>
          <w:jc w:val="center"/>
        </w:trPr>
        <w:tc>
          <w:tcPr>
            <w:tcW w:w="3975" w:type="dxa"/>
          </w:tcPr>
          <w:p w:rsidR="00267C5E" w:rsidRPr="00D9320E" w:rsidRDefault="00267C5E" w:rsidP="00503054">
            <w:pPr>
              <w:rPr>
                <w:rFonts w:asciiTheme="majorBidi" w:hAnsiTheme="majorBidi" w:cstheme="majorBidi"/>
                <w:bCs/>
              </w:rPr>
            </w:pPr>
            <w:r w:rsidRPr="00D9320E">
              <w:rPr>
                <w:rFonts w:asciiTheme="majorBidi" w:hAnsiTheme="majorBidi" w:cstheme="majorBidi"/>
                <w:bCs/>
                <w:szCs w:val="24"/>
              </w:rPr>
              <w:t>New Resolution [AFCP-2]</w:t>
            </w:r>
          </w:p>
        </w:tc>
        <w:tc>
          <w:tcPr>
            <w:tcW w:w="1701" w:type="dxa"/>
          </w:tcPr>
          <w:p w:rsidR="00267C5E" w:rsidRPr="00D9320E" w:rsidRDefault="00267C5E" w:rsidP="00503054">
            <w:pPr>
              <w:jc w:val="center"/>
              <w:rPr>
                <w:rFonts w:asciiTheme="majorBidi" w:hAnsiTheme="majorBidi" w:cstheme="majorBidi"/>
                <w:bCs/>
              </w:rPr>
            </w:pPr>
            <w:r w:rsidRPr="00D9320E">
              <w:rPr>
                <w:rFonts w:asciiTheme="majorBidi" w:hAnsiTheme="majorBidi" w:cstheme="majorBidi"/>
                <w:bCs/>
              </w:rPr>
              <w:t>3</w:t>
            </w:r>
          </w:p>
        </w:tc>
      </w:tr>
      <w:tr w:rsidR="00267C5E" w:rsidTr="00503054">
        <w:trPr>
          <w:jc w:val="center"/>
        </w:trPr>
        <w:tc>
          <w:tcPr>
            <w:tcW w:w="3975" w:type="dxa"/>
          </w:tcPr>
          <w:p w:rsidR="00267C5E" w:rsidRPr="00D9320E" w:rsidRDefault="00267C5E" w:rsidP="00503054">
            <w:pPr>
              <w:rPr>
                <w:rFonts w:asciiTheme="majorBidi" w:hAnsiTheme="majorBidi" w:cstheme="majorBidi"/>
                <w:bCs/>
              </w:rPr>
            </w:pPr>
            <w:r w:rsidRPr="00D9320E">
              <w:rPr>
                <w:rFonts w:asciiTheme="majorBidi" w:hAnsiTheme="majorBidi" w:cstheme="majorBidi"/>
                <w:bCs/>
                <w:szCs w:val="24"/>
              </w:rPr>
              <w:t>New Resolution [APT-2]/[IAP-3]</w:t>
            </w:r>
          </w:p>
        </w:tc>
        <w:tc>
          <w:tcPr>
            <w:tcW w:w="1701" w:type="dxa"/>
          </w:tcPr>
          <w:p w:rsidR="00267C5E" w:rsidRDefault="00267C5E" w:rsidP="00503054">
            <w:pPr>
              <w:jc w:val="center"/>
              <w:rPr>
                <w:rFonts w:asciiTheme="majorBidi" w:hAnsiTheme="majorBidi" w:cstheme="majorBidi"/>
                <w:bCs/>
              </w:rPr>
            </w:pPr>
            <w:r w:rsidRPr="00D9320E">
              <w:rPr>
                <w:rFonts w:asciiTheme="majorBidi" w:hAnsiTheme="majorBidi" w:cstheme="majorBidi"/>
                <w:bCs/>
              </w:rPr>
              <w:t>1</w:t>
            </w:r>
          </w:p>
        </w:tc>
      </w:tr>
    </w:tbl>
    <w:p w:rsidR="00267C5E" w:rsidRDefault="00267C5E" w:rsidP="00267C5E">
      <w:pPr>
        <w:rPr>
          <w:rFonts w:asciiTheme="majorBidi" w:hAnsiTheme="majorBidi" w:cstheme="majorBidi"/>
          <w:bCs/>
        </w:rPr>
      </w:pPr>
    </w:p>
    <w:p w:rsidR="00267C5E" w:rsidRPr="001957FB" w:rsidRDefault="00267C5E" w:rsidP="00267C5E">
      <w:pPr>
        <w:rPr>
          <w:rFonts w:asciiTheme="majorBidi" w:hAnsiTheme="majorBidi" w:cstheme="majorBidi"/>
          <w:b/>
        </w:rPr>
      </w:pPr>
      <w:r>
        <w:rPr>
          <w:rFonts w:asciiTheme="majorBidi" w:hAnsiTheme="majorBidi" w:cstheme="majorBidi"/>
          <w:b/>
        </w:rPr>
        <w:t xml:space="preserve">TSB </w:t>
      </w:r>
      <w:r w:rsidRPr="001957FB">
        <w:rPr>
          <w:rFonts w:asciiTheme="majorBidi" w:hAnsiTheme="majorBidi" w:cstheme="majorBidi"/>
          <w:b/>
        </w:rPr>
        <w:t>Staff</w:t>
      </w:r>
      <w:r>
        <w:rPr>
          <w:rFonts w:asciiTheme="majorBidi" w:hAnsiTheme="majorBidi" w:cstheme="majorBidi"/>
          <w:b/>
        </w:rPr>
        <w:t xml:space="preserve"> Resources</w:t>
      </w:r>
    </w:p>
    <w:p w:rsidR="00267C5E" w:rsidRDefault="00267C5E" w:rsidP="00267C5E">
      <w:pPr>
        <w:rPr>
          <w:rFonts w:asciiTheme="majorBidi" w:hAnsiTheme="majorBidi" w:cstheme="majorBidi"/>
          <w:bCs/>
        </w:rPr>
      </w:pPr>
      <w:r w:rsidRPr="002C249E">
        <w:rPr>
          <w:rFonts w:asciiTheme="majorBidi" w:hAnsiTheme="majorBidi" w:cstheme="majorBidi"/>
          <w:bCs/>
          <w:szCs w:val="24"/>
        </w:rPr>
        <w:t>Ref. New Resolution [AFCP-2]</w:t>
      </w:r>
    </w:p>
    <w:p w:rsidR="00267C5E" w:rsidRDefault="00267C5E" w:rsidP="00267C5E">
      <w:r>
        <w:rPr>
          <w:rFonts w:asciiTheme="majorBidi" w:hAnsiTheme="majorBidi" w:cstheme="majorBidi"/>
          <w:bCs/>
        </w:rPr>
        <w:t xml:space="preserve">The management of the </w:t>
      </w:r>
      <w:r w:rsidRPr="00BD4CB8">
        <w:t>platform</w:t>
      </w:r>
      <w:r>
        <w:t xml:space="preserve"> </w:t>
      </w:r>
      <w:r w:rsidRPr="00BD4CB8">
        <w:t xml:space="preserve">for peer learning, dialogue and experience-sharing in digital financial services </w:t>
      </w:r>
      <w:r>
        <w:t>will require an additional post P2. The annual cost of this post amounts to 140 kCHF (280kCHF per biennium)</w:t>
      </w: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267C5E" w:rsidRDefault="00267C5E" w:rsidP="00267C5E">
      <w:pPr>
        <w:rPr>
          <w:rFonts w:asciiTheme="majorBidi" w:hAnsiTheme="majorBidi" w:cstheme="majorBidi"/>
          <w:bCs/>
          <w:highlight w:val="yellow"/>
        </w:rPr>
      </w:pPr>
    </w:p>
    <w:p w:rsidR="008441DE" w:rsidRDefault="008441DE" w:rsidP="00267C5E">
      <w:pPr>
        <w:rPr>
          <w:rFonts w:asciiTheme="majorBidi" w:hAnsiTheme="majorBidi" w:cstheme="majorBidi"/>
          <w:bCs/>
          <w:highlight w:val="yellow"/>
        </w:rPr>
      </w:pPr>
    </w:p>
    <w:p w:rsidR="008441DE" w:rsidRPr="002C249E" w:rsidRDefault="008441DE" w:rsidP="00267C5E">
      <w:pPr>
        <w:rPr>
          <w:rFonts w:asciiTheme="majorBidi" w:hAnsiTheme="majorBidi" w:cstheme="majorBidi"/>
          <w:bCs/>
          <w:highlight w:val="yellow"/>
        </w:rPr>
      </w:pPr>
    </w:p>
    <w:p w:rsidR="00267C5E" w:rsidRPr="00240C79" w:rsidRDefault="00267C5E" w:rsidP="00267C5E">
      <w:pPr>
        <w:pStyle w:val="Tabletitle"/>
      </w:pPr>
      <w:r w:rsidRPr="00240C79">
        <w:t>Decisions and Resolutions of the Assembly (WTSA-16) with potential financial implications</w:t>
      </w:r>
    </w:p>
    <w:p w:rsidR="00267C5E" w:rsidRPr="00240C79" w:rsidRDefault="00267C5E" w:rsidP="00267C5E">
      <w:pPr>
        <w:tabs>
          <w:tab w:val="clear" w:pos="1134"/>
          <w:tab w:val="clear" w:pos="1871"/>
          <w:tab w:val="clear" w:pos="2268"/>
          <w:tab w:val="left" w:pos="810"/>
          <w:tab w:val="left" w:pos="1588"/>
          <w:tab w:val="left" w:pos="1985"/>
        </w:tabs>
        <w:jc w:val="center"/>
        <w:rPr>
          <w:bCs/>
          <w:sz w:val="28"/>
          <w:szCs w:val="28"/>
        </w:rPr>
      </w:pPr>
    </w:p>
    <w:tbl>
      <w:tblPr>
        <w:tblStyle w:val="TableGrid"/>
        <w:tblW w:w="10173" w:type="dxa"/>
        <w:tblLook w:val="04A0" w:firstRow="1" w:lastRow="0" w:firstColumn="1" w:lastColumn="0" w:noHBand="0" w:noVBand="1"/>
      </w:tblPr>
      <w:tblGrid>
        <w:gridCol w:w="1951"/>
        <w:gridCol w:w="8222"/>
      </w:tblGrid>
      <w:tr w:rsidR="00267C5E" w:rsidRPr="00255D70" w:rsidTr="00503054">
        <w:tc>
          <w:tcPr>
            <w:tcW w:w="1951" w:type="dxa"/>
          </w:tcPr>
          <w:p w:rsidR="00267C5E" w:rsidRPr="00255D70" w:rsidRDefault="00267C5E" w:rsidP="00503054">
            <w:pPr>
              <w:pStyle w:val="Tabletext"/>
              <w:spacing w:before="120" w:after="120"/>
              <w:rPr>
                <w:sz w:val="24"/>
                <w:szCs w:val="24"/>
              </w:rPr>
            </w:pPr>
            <w:r w:rsidRPr="00255D70">
              <w:rPr>
                <w:sz w:val="24"/>
                <w:szCs w:val="24"/>
              </w:rPr>
              <w:t>Resolution 44</w:t>
            </w:r>
            <w:r w:rsidRPr="00255D70">
              <w:rPr>
                <w:sz w:val="24"/>
                <w:szCs w:val="24"/>
              </w:rPr>
              <w:br/>
              <w:t xml:space="preserve">Document </w:t>
            </w:r>
            <w:hyperlink r:id="rId32" w:history="1">
              <w:r w:rsidRPr="00255D70">
                <w:rPr>
                  <w:rStyle w:val="Hyperlink"/>
                  <w:sz w:val="24"/>
                  <w:szCs w:val="24"/>
                </w:rPr>
                <w:t>72</w:t>
              </w:r>
            </w:hyperlink>
          </w:p>
        </w:tc>
        <w:tc>
          <w:tcPr>
            <w:tcW w:w="8222" w:type="dxa"/>
          </w:tcPr>
          <w:p w:rsidR="00267C5E" w:rsidRPr="00255D70" w:rsidRDefault="00267C5E" w:rsidP="00503054">
            <w:pPr>
              <w:pStyle w:val="Tabletext"/>
              <w:spacing w:before="120" w:after="120"/>
              <w:rPr>
                <w:sz w:val="24"/>
                <w:szCs w:val="24"/>
              </w:rPr>
            </w:pPr>
            <w:r w:rsidRPr="00255D70">
              <w:rPr>
                <w:sz w:val="24"/>
                <w:szCs w:val="24"/>
              </w:rPr>
              <w:t>Bridging the standardization gap between developing and developed countries</w:t>
            </w:r>
          </w:p>
        </w:tc>
      </w:tr>
      <w:tr w:rsidR="00267C5E" w:rsidRPr="00255D70" w:rsidTr="00503054">
        <w:tc>
          <w:tcPr>
            <w:tcW w:w="10173" w:type="dxa"/>
            <w:gridSpan w:val="2"/>
          </w:tcPr>
          <w:p w:rsidR="00267C5E" w:rsidRPr="00255D70" w:rsidRDefault="00267C5E" w:rsidP="00503054">
            <w:pPr>
              <w:pStyle w:val="Tabletext"/>
              <w:spacing w:before="120" w:after="120"/>
              <w:ind w:left="284" w:hanging="284"/>
              <w:rPr>
                <w:sz w:val="24"/>
                <w:szCs w:val="24"/>
              </w:rPr>
            </w:pPr>
            <w:proofErr w:type="gramStart"/>
            <w:r w:rsidRPr="00255D70">
              <w:rPr>
                <w:sz w:val="24"/>
                <w:szCs w:val="24"/>
              </w:rPr>
              <w:t>a</w:t>
            </w:r>
            <w:proofErr w:type="gramEnd"/>
            <w:r w:rsidRPr="00255D70">
              <w:rPr>
                <w:sz w:val="24"/>
                <w:szCs w:val="24"/>
              </w:rPr>
              <w:t>)</w:t>
            </w:r>
            <w:r>
              <w:rPr>
                <w:sz w:val="24"/>
                <w:szCs w:val="24"/>
              </w:rPr>
              <w:tab/>
            </w:r>
            <w:r w:rsidRPr="00255D70">
              <w:rPr>
                <w:sz w:val="24"/>
                <w:szCs w:val="24"/>
              </w:rPr>
              <w:t xml:space="preserve">Under </w:t>
            </w:r>
            <w:r w:rsidRPr="00255D70">
              <w:rPr>
                <w:i/>
                <w:iCs/>
                <w:sz w:val="24"/>
                <w:szCs w:val="24"/>
              </w:rPr>
              <w:t xml:space="preserve">resolves </w:t>
            </w:r>
            <w:r w:rsidRPr="00255D70">
              <w:rPr>
                <w:sz w:val="24"/>
                <w:szCs w:val="24"/>
              </w:rPr>
              <w:t>2</w:t>
            </w:r>
            <w:r w:rsidRPr="00255D70">
              <w:rPr>
                <w:i/>
                <w:iCs/>
                <w:sz w:val="24"/>
                <w:szCs w:val="24"/>
              </w:rPr>
              <w:t xml:space="preserve"> </w:t>
            </w:r>
            <w:r w:rsidRPr="00255D70">
              <w:rPr>
                <w:sz w:val="24"/>
                <w:szCs w:val="24"/>
              </w:rPr>
              <w:t>iii)</w:t>
            </w:r>
            <w:r w:rsidRPr="00255D70">
              <w:rPr>
                <w:i/>
                <w:iCs/>
                <w:sz w:val="24"/>
                <w:szCs w:val="24"/>
              </w:rPr>
              <w:t>:</w:t>
            </w:r>
            <w:r w:rsidRPr="00255D70">
              <w:rPr>
                <w:sz w:val="24"/>
                <w:szCs w:val="24"/>
              </w:rPr>
              <w:t xml:space="preserve"> “assist developing countries on developing strategies in establishing national/international test laboratories for emerging technologies”. This is also repeated in Programme 2 of the Action Plan (Annex). </w:t>
            </w:r>
          </w:p>
          <w:p w:rsidR="00267C5E" w:rsidRPr="00255D70" w:rsidRDefault="00267C5E" w:rsidP="00503054">
            <w:pPr>
              <w:pStyle w:val="Tabletext"/>
              <w:spacing w:before="120" w:after="120"/>
              <w:ind w:left="284" w:hanging="284"/>
              <w:rPr>
                <w:sz w:val="24"/>
                <w:szCs w:val="24"/>
              </w:rPr>
            </w:pPr>
            <w:r>
              <w:rPr>
                <w:sz w:val="24"/>
                <w:szCs w:val="24"/>
              </w:rPr>
              <w:t>b)</w:t>
            </w:r>
            <w:r>
              <w:rPr>
                <w:sz w:val="24"/>
                <w:szCs w:val="24"/>
              </w:rPr>
              <w:tab/>
            </w:r>
            <w:r w:rsidRPr="00255D70">
              <w:rPr>
                <w:sz w:val="24"/>
                <w:szCs w:val="24"/>
              </w:rPr>
              <w:t xml:space="preserve">Under </w:t>
            </w:r>
            <w:r w:rsidRPr="00255D70">
              <w:rPr>
                <w:i/>
                <w:iCs/>
                <w:sz w:val="24"/>
                <w:szCs w:val="24"/>
              </w:rPr>
              <w:t xml:space="preserve">resolves </w:t>
            </w:r>
            <w:r w:rsidRPr="00255D70">
              <w:rPr>
                <w:sz w:val="24"/>
                <w:szCs w:val="24"/>
              </w:rPr>
              <w:t>6: “that interpretation shall be provided, based on the requests of participants, at the entire Plenary and Working Parties of Study Groups and the entire meeting of TSAG”.</w:t>
            </w:r>
          </w:p>
          <w:p w:rsidR="00267C5E" w:rsidRPr="00255D70" w:rsidRDefault="00267C5E" w:rsidP="00503054">
            <w:pPr>
              <w:pStyle w:val="Tabletext"/>
              <w:spacing w:before="120" w:after="120"/>
              <w:ind w:left="284" w:hanging="284"/>
              <w:rPr>
                <w:sz w:val="24"/>
                <w:szCs w:val="24"/>
              </w:rPr>
            </w:pPr>
            <w:r>
              <w:rPr>
                <w:sz w:val="24"/>
                <w:szCs w:val="24"/>
              </w:rPr>
              <w:t>c)</w:t>
            </w:r>
            <w:r>
              <w:rPr>
                <w:sz w:val="24"/>
                <w:szCs w:val="24"/>
              </w:rPr>
              <w:tab/>
            </w:r>
            <w:r w:rsidRPr="00255D70">
              <w:rPr>
                <w:sz w:val="24"/>
                <w:szCs w:val="24"/>
              </w:rPr>
              <w:t xml:space="preserve">Under </w:t>
            </w:r>
            <w:r w:rsidRPr="00255D70">
              <w:rPr>
                <w:i/>
                <w:iCs/>
                <w:sz w:val="24"/>
                <w:szCs w:val="24"/>
              </w:rPr>
              <w:t xml:space="preserve">instructs the TSB Director </w:t>
            </w:r>
            <w:r w:rsidRPr="00255D70">
              <w:rPr>
                <w:sz w:val="24"/>
                <w:szCs w:val="24"/>
              </w:rPr>
              <w:t>14: “to provide remote participation, where possible, for more ITU-T workshops, seminars and forums, encouraging more participation from developing countries;”</w:t>
            </w:r>
          </w:p>
          <w:p w:rsidR="00267C5E" w:rsidRPr="00255D70" w:rsidRDefault="00267C5E" w:rsidP="00503054">
            <w:pPr>
              <w:pStyle w:val="Tabletext"/>
              <w:spacing w:before="120" w:after="120"/>
              <w:ind w:left="284" w:hanging="284"/>
              <w:rPr>
                <w:sz w:val="24"/>
                <w:szCs w:val="24"/>
                <w:highlight w:val="yellow"/>
              </w:rPr>
            </w:pPr>
            <w:r>
              <w:rPr>
                <w:sz w:val="24"/>
                <w:szCs w:val="24"/>
              </w:rPr>
              <w:t>d)</w:t>
            </w:r>
            <w:r>
              <w:rPr>
                <w:sz w:val="24"/>
                <w:szCs w:val="24"/>
              </w:rPr>
              <w:tab/>
            </w:r>
            <w:r w:rsidRPr="00255D70">
              <w:rPr>
                <w:sz w:val="24"/>
                <w:szCs w:val="24"/>
              </w:rPr>
              <w:t xml:space="preserve">Under </w:t>
            </w:r>
            <w:r w:rsidRPr="00255D70">
              <w:rPr>
                <w:i/>
                <w:iCs/>
                <w:sz w:val="24"/>
                <w:szCs w:val="24"/>
              </w:rPr>
              <w:t>Action Plan Programme III</w:t>
            </w:r>
            <w:r w:rsidRPr="00255D70">
              <w:rPr>
                <w:sz w:val="24"/>
                <w:szCs w:val="24"/>
              </w:rPr>
              <w:t>: “Provide guidance and supportive material to developing countries to assist them in developing and providing undergraduate and post graduate courses on standardization in their universities”.</w:t>
            </w:r>
          </w:p>
        </w:tc>
      </w:tr>
      <w:tr w:rsidR="00267C5E" w:rsidRPr="00255D70" w:rsidTr="00503054">
        <w:tc>
          <w:tcPr>
            <w:tcW w:w="1951" w:type="dxa"/>
          </w:tcPr>
          <w:p w:rsidR="00267C5E" w:rsidRPr="00255D70" w:rsidRDefault="00267C5E" w:rsidP="00503054">
            <w:pPr>
              <w:pStyle w:val="Tabletext"/>
              <w:spacing w:before="120" w:after="120"/>
              <w:rPr>
                <w:sz w:val="24"/>
                <w:szCs w:val="24"/>
                <w:highlight w:val="yellow"/>
              </w:rPr>
            </w:pPr>
            <w:r>
              <w:rPr>
                <w:sz w:val="24"/>
                <w:szCs w:val="24"/>
              </w:rPr>
              <w:t xml:space="preserve">New </w:t>
            </w:r>
            <w:r w:rsidRPr="00255D70">
              <w:rPr>
                <w:sz w:val="24"/>
                <w:szCs w:val="24"/>
              </w:rPr>
              <w:t>Resolution</w:t>
            </w:r>
            <w:r>
              <w:rPr>
                <w:sz w:val="24"/>
                <w:szCs w:val="24"/>
              </w:rPr>
              <w:t xml:space="preserve"> </w:t>
            </w:r>
            <w:r w:rsidRPr="00662C3F">
              <w:rPr>
                <w:rFonts w:asciiTheme="majorBidi" w:hAnsiTheme="majorBidi" w:cstheme="majorBidi"/>
                <w:bCs/>
                <w:sz w:val="24"/>
                <w:szCs w:val="24"/>
              </w:rPr>
              <w:t>[</w:t>
            </w:r>
            <w:r>
              <w:rPr>
                <w:rFonts w:asciiTheme="majorBidi" w:hAnsiTheme="majorBidi" w:cstheme="majorBidi"/>
                <w:bCs/>
                <w:sz w:val="24"/>
                <w:szCs w:val="24"/>
              </w:rPr>
              <w:t>RCC-3</w:t>
            </w:r>
            <w:r w:rsidRPr="00662C3F">
              <w:rPr>
                <w:rFonts w:asciiTheme="majorBidi" w:hAnsiTheme="majorBidi" w:cstheme="majorBidi"/>
                <w:bCs/>
                <w:sz w:val="24"/>
                <w:szCs w:val="24"/>
              </w:rPr>
              <w:t>]</w:t>
            </w:r>
            <w:r w:rsidRPr="00255D70">
              <w:rPr>
                <w:sz w:val="24"/>
                <w:szCs w:val="24"/>
              </w:rPr>
              <w:br/>
              <w:t xml:space="preserve">Document </w:t>
            </w:r>
            <w:hyperlink r:id="rId33" w:history="1">
              <w:r w:rsidRPr="00BE3F49">
                <w:rPr>
                  <w:rStyle w:val="Hyperlink"/>
                  <w:sz w:val="24"/>
                  <w:szCs w:val="24"/>
                </w:rPr>
                <w:t>93</w:t>
              </w:r>
            </w:hyperlink>
          </w:p>
        </w:tc>
        <w:tc>
          <w:tcPr>
            <w:tcW w:w="8222" w:type="dxa"/>
          </w:tcPr>
          <w:p w:rsidR="00267C5E" w:rsidRPr="00255D70" w:rsidRDefault="00267C5E" w:rsidP="00503054">
            <w:pPr>
              <w:pStyle w:val="Tabletext"/>
              <w:spacing w:before="120" w:after="120"/>
              <w:rPr>
                <w:sz w:val="24"/>
                <w:szCs w:val="24"/>
              </w:rPr>
            </w:pPr>
            <w:r w:rsidRPr="00E95AEC">
              <w:rPr>
                <w:sz w:val="24"/>
                <w:szCs w:val="24"/>
              </w:rPr>
              <w:t>Studies concerning the protection of users of telecommunication/ICT services</w:t>
            </w:r>
          </w:p>
        </w:tc>
      </w:tr>
      <w:tr w:rsidR="00267C5E" w:rsidRPr="00255D70" w:rsidTr="00503054">
        <w:tc>
          <w:tcPr>
            <w:tcW w:w="10173" w:type="dxa"/>
            <w:gridSpan w:val="2"/>
          </w:tcPr>
          <w:p w:rsidR="00267C5E" w:rsidRPr="00A76536" w:rsidRDefault="00267C5E" w:rsidP="00503054">
            <w:pPr>
              <w:pStyle w:val="Call"/>
              <w:spacing w:before="120"/>
            </w:pPr>
            <w:r w:rsidRPr="00F229CA">
              <w:t>i</w:t>
            </w:r>
            <w:r>
              <w:t xml:space="preserve">nvites the Director of the Telecommunication Standardization Bureau </w:t>
            </w:r>
          </w:p>
          <w:p w:rsidR="00267C5E" w:rsidRDefault="00267C5E" w:rsidP="00503054">
            <w:pPr>
              <w:pStyle w:val="enumlev1"/>
              <w:keepNext/>
              <w:keepLines/>
            </w:pPr>
            <w:r>
              <w:t>1</w:t>
            </w:r>
            <w:r>
              <w:tab/>
              <w:t>to assist the Director of the Telecommunication Development Bureau in implementation of the Resolution 196 (Busan, 2014) of the Plenipotentiary Conference;</w:t>
            </w:r>
          </w:p>
          <w:p w:rsidR="00267C5E" w:rsidRDefault="00267C5E" w:rsidP="00503054">
            <w:pPr>
              <w:pStyle w:val="enumlev1"/>
            </w:pPr>
            <w:r>
              <w:t>2</w:t>
            </w:r>
            <w:r>
              <w:tab/>
              <w:t>to strengthen relations with other standards development  organizations (SDOs) involved in resolving issues of protection of telecommunication/ICT service users,</w:t>
            </w:r>
          </w:p>
          <w:p w:rsidR="00267C5E" w:rsidRPr="00255D70" w:rsidRDefault="00267C5E" w:rsidP="00503054">
            <w:pPr>
              <w:pStyle w:val="Tabletext"/>
              <w:spacing w:before="120" w:after="120"/>
              <w:rPr>
                <w:sz w:val="24"/>
                <w:szCs w:val="24"/>
              </w:rPr>
            </w:pPr>
            <w:r w:rsidRPr="00255D70">
              <w:rPr>
                <w:sz w:val="24"/>
                <w:szCs w:val="24"/>
              </w:rPr>
              <w:t xml:space="preserve"> </w:t>
            </w:r>
          </w:p>
        </w:tc>
      </w:tr>
    </w:tbl>
    <w:p w:rsidR="00267C5E" w:rsidRDefault="00267C5E" w:rsidP="00267C5E"/>
    <w:p w:rsidR="00267C5E" w:rsidRDefault="00267C5E" w:rsidP="00267C5E">
      <w:pPr>
        <w:tabs>
          <w:tab w:val="clear" w:pos="1134"/>
          <w:tab w:val="clear" w:pos="1871"/>
          <w:tab w:val="clear" w:pos="2268"/>
        </w:tabs>
        <w:overflowPunct/>
        <w:autoSpaceDE/>
        <w:autoSpaceDN/>
        <w:adjustRightInd/>
        <w:spacing w:before="0"/>
        <w:textAlignment w:val="auto"/>
      </w:pPr>
      <w:r>
        <w:br w:type="page"/>
      </w:r>
    </w:p>
    <w:p w:rsidR="00267C5E" w:rsidRDefault="00267C5E" w:rsidP="00267C5E"/>
    <w:tbl>
      <w:tblPr>
        <w:tblStyle w:val="TableGrid"/>
        <w:tblW w:w="10173" w:type="dxa"/>
        <w:tblLook w:val="04A0" w:firstRow="1" w:lastRow="0" w:firstColumn="1" w:lastColumn="0" w:noHBand="0" w:noVBand="1"/>
      </w:tblPr>
      <w:tblGrid>
        <w:gridCol w:w="1951"/>
        <w:gridCol w:w="8222"/>
      </w:tblGrid>
      <w:tr w:rsidR="00267C5E" w:rsidRPr="00255D70" w:rsidTr="00503054">
        <w:tc>
          <w:tcPr>
            <w:tcW w:w="1951" w:type="dxa"/>
          </w:tcPr>
          <w:p w:rsidR="00267C5E" w:rsidRPr="008C6815" w:rsidRDefault="00267C5E" w:rsidP="00503054">
            <w:pPr>
              <w:pStyle w:val="Tabletext"/>
              <w:spacing w:before="120" w:after="120"/>
              <w:rPr>
                <w:sz w:val="24"/>
                <w:szCs w:val="24"/>
              </w:rPr>
            </w:pPr>
            <w:r w:rsidRPr="008C6815">
              <w:rPr>
                <w:sz w:val="24"/>
                <w:szCs w:val="24"/>
              </w:rPr>
              <w:t xml:space="preserve">Resolution </w:t>
            </w:r>
            <w:r>
              <w:rPr>
                <w:sz w:val="24"/>
                <w:szCs w:val="24"/>
              </w:rPr>
              <w:t>77</w:t>
            </w:r>
          </w:p>
          <w:p w:rsidR="00267C5E" w:rsidRPr="00255D70" w:rsidRDefault="00267C5E" w:rsidP="00503054">
            <w:pPr>
              <w:pStyle w:val="Tabletext"/>
              <w:spacing w:before="120" w:after="120"/>
              <w:rPr>
                <w:sz w:val="24"/>
                <w:szCs w:val="24"/>
                <w:highlight w:val="yellow"/>
              </w:rPr>
            </w:pPr>
            <w:r w:rsidRPr="00255D70">
              <w:rPr>
                <w:sz w:val="24"/>
                <w:szCs w:val="24"/>
              </w:rPr>
              <w:t xml:space="preserve">Document </w:t>
            </w:r>
            <w:hyperlink r:id="rId34" w:history="1">
              <w:r w:rsidRPr="00BE3F49">
                <w:rPr>
                  <w:rStyle w:val="Hyperlink"/>
                  <w:sz w:val="24"/>
                  <w:szCs w:val="24"/>
                </w:rPr>
                <w:t>93</w:t>
              </w:r>
            </w:hyperlink>
          </w:p>
        </w:tc>
        <w:tc>
          <w:tcPr>
            <w:tcW w:w="8222" w:type="dxa"/>
          </w:tcPr>
          <w:p w:rsidR="00267C5E" w:rsidRPr="00FC0D24" w:rsidRDefault="00267C5E" w:rsidP="00503054">
            <w:pPr>
              <w:pStyle w:val="Tabletext"/>
              <w:spacing w:before="120" w:after="120"/>
              <w:rPr>
                <w:sz w:val="24"/>
                <w:szCs w:val="24"/>
              </w:rPr>
            </w:pPr>
            <w:r w:rsidRPr="00FC0D24">
              <w:rPr>
                <w:sz w:val="24"/>
                <w:szCs w:val="24"/>
              </w:rPr>
              <w:t>Enhancing the Standardization work in the ITU Telecommunication Standardization Sector for software-defined networking</w:t>
            </w:r>
          </w:p>
          <w:p w:rsidR="00267C5E" w:rsidRPr="00FC0D24" w:rsidRDefault="00267C5E" w:rsidP="00503054">
            <w:pPr>
              <w:pStyle w:val="Tabletext"/>
              <w:spacing w:before="120" w:after="120"/>
              <w:rPr>
                <w:sz w:val="24"/>
                <w:szCs w:val="24"/>
                <w:lang w:val="en-US"/>
              </w:rPr>
            </w:pPr>
          </w:p>
        </w:tc>
      </w:tr>
      <w:tr w:rsidR="00267C5E" w:rsidRPr="00255D70" w:rsidTr="00503054">
        <w:tc>
          <w:tcPr>
            <w:tcW w:w="10173" w:type="dxa"/>
            <w:gridSpan w:val="2"/>
          </w:tcPr>
          <w:p w:rsidR="00267C5E" w:rsidRPr="00EF6CB7" w:rsidRDefault="00267C5E" w:rsidP="00503054">
            <w:pPr>
              <w:pStyle w:val="Call"/>
              <w:rPr>
                <w:lang w:eastAsia="ko-KR"/>
              </w:rPr>
            </w:pPr>
            <w:r w:rsidRPr="00EF6CB7">
              <w:t>instructs the Director of the Telecommunication Standardization Bureau</w:t>
            </w:r>
          </w:p>
          <w:p w:rsidR="00267C5E" w:rsidRPr="00456D1F" w:rsidRDefault="00267C5E" w:rsidP="00503054">
            <w:pPr>
              <w:rPr>
                <w:rFonts w:eastAsia="SimSun"/>
                <w:lang w:eastAsia="zh-CN"/>
              </w:rPr>
            </w:pPr>
            <w:r w:rsidRPr="00456D1F">
              <w:rPr>
                <w:rFonts w:eastAsia="SimSun"/>
                <w:lang w:eastAsia="zh-CN"/>
              </w:rPr>
              <w:t>1</w:t>
            </w:r>
            <w:r w:rsidRPr="00456D1F">
              <w:rPr>
                <w:rFonts w:eastAsia="SimSun"/>
                <w:lang w:eastAsia="zh-CN"/>
              </w:rPr>
              <w:tab/>
            </w:r>
            <w:r w:rsidRPr="00EF6CB7">
              <w:t>to</w:t>
            </w:r>
            <w:r w:rsidRPr="00456D1F">
              <w:rPr>
                <w:color w:val="000000"/>
                <w:szCs w:val="24"/>
              </w:rPr>
              <w:t> </w:t>
            </w:r>
            <w:r w:rsidRPr="00EF6CB7">
              <w:t>provide</w:t>
            </w:r>
            <w:r w:rsidRPr="00456D1F">
              <w:rPr>
                <w:color w:val="000000"/>
                <w:szCs w:val="24"/>
              </w:rPr>
              <w:t xml:space="preserve"> the </w:t>
            </w:r>
            <w:r w:rsidRPr="00EF6CB7">
              <w:t>necessary assistance with</w:t>
            </w:r>
            <w:r w:rsidRPr="00456D1F">
              <w:rPr>
                <w:color w:val="000000"/>
                <w:szCs w:val="24"/>
              </w:rPr>
              <w:t> </w:t>
            </w:r>
            <w:r w:rsidRPr="00EF6CB7">
              <w:t>a</w:t>
            </w:r>
            <w:r w:rsidRPr="00456D1F">
              <w:rPr>
                <w:color w:val="000000"/>
                <w:szCs w:val="24"/>
              </w:rPr>
              <w:t> </w:t>
            </w:r>
            <w:r w:rsidRPr="00EF6CB7">
              <w:t>view to expediting</w:t>
            </w:r>
            <w:r w:rsidRPr="00456D1F">
              <w:rPr>
                <w:color w:val="000000"/>
                <w:szCs w:val="24"/>
              </w:rPr>
              <w:t> </w:t>
            </w:r>
            <w:r w:rsidRPr="00EF6CB7">
              <w:t>such efforts, in particular using any opportunity within the allocated budget</w:t>
            </w:r>
            <w:r w:rsidRPr="00456D1F">
              <w:rPr>
                <w:rFonts w:eastAsia="SimSun"/>
                <w:lang w:eastAsia="zh-CN"/>
              </w:rPr>
              <w:t xml:space="preserve"> to exchange opinions with the telecommunication/ICT industry </w:t>
            </w:r>
            <w:r w:rsidRPr="00456D1F">
              <w:rPr>
                <w:color w:val="000000"/>
                <w:szCs w:val="24"/>
              </w:rPr>
              <w:t>including through</w:t>
            </w:r>
            <w:r w:rsidRPr="00456D1F">
              <w:rPr>
                <w:rFonts w:eastAsia="SimSun"/>
                <w:lang w:eastAsia="zh-CN"/>
              </w:rPr>
              <w:t xml:space="preserve"> the chief technology officer (CTO) meetings (under Resolution 68 (Rev. Dubai, 2012) of this assembly) and in particular to promote participation of the industry in SDN standardization work in ITU</w:t>
            </w:r>
            <w:r w:rsidRPr="00456D1F">
              <w:rPr>
                <w:rFonts w:eastAsia="SimSun"/>
                <w:lang w:eastAsia="zh-CN"/>
              </w:rPr>
              <w:noBreakHyphen/>
              <w:t>T;</w:t>
            </w:r>
          </w:p>
          <w:p w:rsidR="00267C5E" w:rsidRPr="00737203" w:rsidRDefault="00267C5E" w:rsidP="00503054">
            <w:pPr>
              <w:rPr>
                <w:rFonts w:eastAsia="SimSun"/>
                <w:lang w:val="en-US" w:eastAsia="zh-CN"/>
              </w:rPr>
            </w:pPr>
            <w:r w:rsidRPr="00FC065C">
              <w:rPr>
                <w:rFonts w:eastAsia="SimSun"/>
                <w:lang w:eastAsia="zh-CN"/>
              </w:rPr>
              <w:t>2</w:t>
            </w:r>
            <w:r w:rsidRPr="00FC065C">
              <w:rPr>
                <w:rFonts w:eastAsia="SimSun"/>
                <w:lang w:eastAsia="zh-CN"/>
              </w:rPr>
              <w:tab/>
            </w:r>
            <w:r w:rsidRPr="00F179D1">
              <w:rPr>
                <w:rFonts w:eastAsia="SimSun"/>
                <w:lang w:eastAsia="zh-CN"/>
              </w:rPr>
              <w:t>to conduct workshops, with other relevant organizations, for capacity building on SDN, so that the gap in technology adoption in developing countries may be bridged at the early stages of implementation of SDN-based networks, to organize the annual SDN&amp;NFV workshop with Open Source solutions representation to share the SDN/NFV standard progress and real experience in the current carrier network</w:t>
            </w:r>
            <w:r>
              <w:rPr>
                <w:rFonts w:eastAsia="SimSun"/>
                <w:lang w:eastAsia="zh-CN"/>
              </w:rPr>
              <w:t>,</w:t>
            </w:r>
          </w:p>
          <w:p w:rsidR="00267C5E" w:rsidRPr="00AC2673" w:rsidRDefault="00267C5E" w:rsidP="00503054">
            <w:pPr>
              <w:rPr>
                <w:szCs w:val="24"/>
                <w:lang w:val="en-US"/>
              </w:rPr>
            </w:pPr>
          </w:p>
        </w:tc>
      </w:tr>
    </w:tbl>
    <w:p w:rsidR="00267C5E" w:rsidRDefault="00267C5E" w:rsidP="00267C5E"/>
    <w:tbl>
      <w:tblPr>
        <w:tblStyle w:val="TableGrid"/>
        <w:tblW w:w="10173" w:type="dxa"/>
        <w:tblLook w:val="04A0" w:firstRow="1" w:lastRow="0" w:firstColumn="1" w:lastColumn="0" w:noHBand="0" w:noVBand="1"/>
      </w:tblPr>
      <w:tblGrid>
        <w:gridCol w:w="1951"/>
        <w:gridCol w:w="8222"/>
      </w:tblGrid>
      <w:tr w:rsidR="00267C5E" w:rsidRPr="00255D70" w:rsidTr="00503054">
        <w:tc>
          <w:tcPr>
            <w:tcW w:w="1951" w:type="dxa"/>
          </w:tcPr>
          <w:p w:rsidR="00267C5E" w:rsidRPr="00255D70" w:rsidRDefault="00267C5E" w:rsidP="00503054">
            <w:pPr>
              <w:pStyle w:val="Tabletext"/>
              <w:spacing w:before="120" w:after="120"/>
              <w:rPr>
                <w:sz w:val="24"/>
                <w:szCs w:val="24"/>
                <w:highlight w:val="yellow"/>
              </w:rPr>
            </w:pPr>
            <w:r>
              <w:rPr>
                <w:sz w:val="24"/>
                <w:szCs w:val="24"/>
              </w:rPr>
              <w:t xml:space="preserve">New </w:t>
            </w:r>
            <w:r w:rsidRPr="00255D70">
              <w:rPr>
                <w:sz w:val="24"/>
                <w:szCs w:val="24"/>
              </w:rPr>
              <w:t>Resolution</w:t>
            </w:r>
            <w:r>
              <w:rPr>
                <w:sz w:val="24"/>
                <w:szCs w:val="24"/>
              </w:rPr>
              <w:t xml:space="preserve"> </w:t>
            </w:r>
            <w:r w:rsidRPr="00662C3F">
              <w:rPr>
                <w:rFonts w:asciiTheme="majorBidi" w:hAnsiTheme="majorBidi" w:cstheme="majorBidi"/>
                <w:bCs/>
                <w:sz w:val="24"/>
                <w:szCs w:val="24"/>
              </w:rPr>
              <w:t>[</w:t>
            </w:r>
            <w:r>
              <w:rPr>
                <w:rFonts w:asciiTheme="majorBidi" w:hAnsiTheme="majorBidi" w:cstheme="majorBidi"/>
                <w:bCs/>
                <w:sz w:val="24"/>
                <w:szCs w:val="24"/>
              </w:rPr>
              <w:t>APT-3</w:t>
            </w:r>
            <w:r w:rsidRPr="00662C3F">
              <w:rPr>
                <w:rFonts w:asciiTheme="majorBidi" w:hAnsiTheme="majorBidi" w:cstheme="majorBidi"/>
                <w:bCs/>
                <w:sz w:val="24"/>
                <w:szCs w:val="24"/>
              </w:rPr>
              <w:t>]</w:t>
            </w:r>
            <w:r w:rsidRPr="00255D70">
              <w:rPr>
                <w:sz w:val="24"/>
                <w:szCs w:val="24"/>
              </w:rPr>
              <w:br/>
              <w:t xml:space="preserve">Document </w:t>
            </w:r>
            <w:hyperlink r:id="rId35" w:history="1">
              <w:r w:rsidRPr="00BE3F49">
                <w:rPr>
                  <w:rStyle w:val="Hyperlink"/>
                  <w:sz w:val="24"/>
                  <w:szCs w:val="24"/>
                </w:rPr>
                <w:t>93</w:t>
              </w:r>
            </w:hyperlink>
          </w:p>
        </w:tc>
        <w:tc>
          <w:tcPr>
            <w:tcW w:w="8222" w:type="dxa"/>
          </w:tcPr>
          <w:p w:rsidR="00267C5E" w:rsidRPr="00255D70" w:rsidRDefault="00267C5E" w:rsidP="00503054">
            <w:pPr>
              <w:pStyle w:val="Tabletext"/>
              <w:spacing w:after="120"/>
              <w:rPr>
                <w:sz w:val="24"/>
                <w:szCs w:val="24"/>
              </w:rPr>
            </w:pPr>
            <w:r w:rsidRPr="00E0136A">
              <w:rPr>
                <w:sz w:val="24"/>
                <w:szCs w:val="24"/>
              </w:rPr>
              <w:t>Standardization work in the ITU Telecommunication Standardization Sector for cloud based event data technology</w:t>
            </w:r>
          </w:p>
        </w:tc>
      </w:tr>
      <w:tr w:rsidR="00267C5E" w:rsidRPr="00255D70" w:rsidTr="00503054">
        <w:tc>
          <w:tcPr>
            <w:tcW w:w="10173" w:type="dxa"/>
            <w:gridSpan w:val="2"/>
          </w:tcPr>
          <w:p w:rsidR="00267C5E" w:rsidRPr="001A5937" w:rsidRDefault="00267C5E" w:rsidP="00503054">
            <w:pPr>
              <w:pStyle w:val="Call"/>
            </w:pPr>
            <w:r w:rsidRPr="001A5937">
              <w:t>instructs the Director of the Telecommunication Standardization Bureau</w:t>
            </w:r>
          </w:p>
          <w:p w:rsidR="00267C5E" w:rsidRPr="001A5937" w:rsidRDefault="00267C5E" w:rsidP="00503054">
            <w:pPr>
              <w:pStyle w:val="enumlev1"/>
            </w:pPr>
            <w:r w:rsidRPr="001A5937">
              <w:t>1</w:t>
            </w:r>
            <w:r w:rsidRPr="001A5937">
              <w:tab/>
              <w:t xml:space="preserve">to provide necessary assistance to speed up the standardization work on cloud-based event data </w:t>
            </w:r>
            <w:r>
              <w:t>technology</w:t>
            </w:r>
            <w:r w:rsidRPr="001A5937">
              <w:t xml:space="preserve"> and to encourage participation and contributions from Member States particularly from developing countries;</w:t>
            </w:r>
          </w:p>
          <w:p w:rsidR="00267C5E" w:rsidRDefault="00267C5E" w:rsidP="00503054">
            <w:pPr>
              <w:pStyle w:val="enumlev1"/>
            </w:pPr>
            <w:r w:rsidRPr="001A5937">
              <w:t>2</w:t>
            </w:r>
            <w:r w:rsidRPr="001A5937">
              <w:tab/>
              <w:t>to organize a workshop(s) to collect requirements and input on this topic from a wide range of various stakeholders,</w:t>
            </w:r>
          </w:p>
          <w:p w:rsidR="00267C5E" w:rsidRPr="00255D70" w:rsidRDefault="00267C5E" w:rsidP="00503054">
            <w:pPr>
              <w:rPr>
                <w:szCs w:val="24"/>
              </w:rPr>
            </w:pPr>
          </w:p>
        </w:tc>
      </w:tr>
    </w:tbl>
    <w:p w:rsidR="00267C5E" w:rsidRPr="00240C79"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p w:rsidR="00267C5E" w:rsidRDefault="00267C5E" w:rsidP="00267C5E"/>
    <w:tbl>
      <w:tblPr>
        <w:tblStyle w:val="TableGrid"/>
        <w:tblW w:w="10173" w:type="dxa"/>
        <w:tblLook w:val="04A0" w:firstRow="1" w:lastRow="0" w:firstColumn="1" w:lastColumn="0" w:noHBand="0" w:noVBand="1"/>
      </w:tblPr>
      <w:tblGrid>
        <w:gridCol w:w="1951"/>
        <w:gridCol w:w="8222"/>
      </w:tblGrid>
      <w:tr w:rsidR="00267C5E" w:rsidRPr="00255D70" w:rsidTr="00503054">
        <w:tc>
          <w:tcPr>
            <w:tcW w:w="1951" w:type="dxa"/>
          </w:tcPr>
          <w:p w:rsidR="00267C5E" w:rsidRPr="00255D70" w:rsidRDefault="00267C5E" w:rsidP="00503054">
            <w:pPr>
              <w:pStyle w:val="Tabletext"/>
              <w:spacing w:before="120" w:after="120"/>
              <w:rPr>
                <w:sz w:val="24"/>
                <w:szCs w:val="24"/>
                <w:highlight w:val="yellow"/>
              </w:rPr>
            </w:pPr>
            <w:r>
              <w:rPr>
                <w:sz w:val="24"/>
                <w:szCs w:val="24"/>
              </w:rPr>
              <w:t xml:space="preserve">New </w:t>
            </w:r>
            <w:r w:rsidRPr="00255D70">
              <w:rPr>
                <w:sz w:val="24"/>
                <w:szCs w:val="24"/>
              </w:rPr>
              <w:t>Resolution</w:t>
            </w:r>
            <w:r>
              <w:rPr>
                <w:sz w:val="24"/>
                <w:szCs w:val="24"/>
              </w:rPr>
              <w:t xml:space="preserve"> </w:t>
            </w:r>
            <w:r w:rsidRPr="005140C2">
              <w:rPr>
                <w:rFonts w:asciiTheme="majorBidi" w:hAnsiTheme="majorBidi" w:cstheme="majorBidi"/>
                <w:bCs/>
                <w:sz w:val="24"/>
                <w:szCs w:val="24"/>
              </w:rPr>
              <w:t>[AFCP-2]</w:t>
            </w:r>
            <w:r w:rsidRPr="00255D70">
              <w:rPr>
                <w:sz w:val="24"/>
                <w:szCs w:val="24"/>
              </w:rPr>
              <w:br/>
              <w:t xml:space="preserve">Document </w:t>
            </w:r>
            <w:hyperlink r:id="rId36" w:history="1">
              <w:r w:rsidRPr="002607FC">
                <w:rPr>
                  <w:rStyle w:val="Hyperlink"/>
                  <w:sz w:val="24"/>
                  <w:szCs w:val="24"/>
                </w:rPr>
                <w:t>100</w:t>
              </w:r>
            </w:hyperlink>
          </w:p>
        </w:tc>
        <w:tc>
          <w:tcPr>
            <w:tcW w:w="8222" w:type="dxa"/>
          </w:tcPr>
          <w:p w:rsidR="00267C5E" w:rsidRPr="00255D70" w:rsidRDefault="00267C5E" w:rsidP="00503054">
            <w:pPr>
              <w:pStyle w:val="Tabletext"/>
              <w:spacing w:after="120"/>
              <w:rPr>
                <w:sz w:val="24"/>
                <w:szCs w:val="24"/>
              </w:rPr>
            </w:pPr>
            <w:r w:rsidRPr="002607FC">
              <w:rPr>
                <w:sz w:val="24"/>
                <w:szCs w:val="24"/>
              </w:rPr>
              <w:t>Promoting use of ICTs to Bridge the Financia</w:t>
            </w:r>
            <w:r>
              <w:rPr>
                <w:sz w:val="24"/>
                <w:szCs w:val="24"/>
              </w:rPr>
              <w:t>l</w:t>
            </w:r>
            <w:r w:rsidRPr="002607FC">
              <w:rPr>
                <w:sz w:val="24"/>
                <w:szCs w:val="24"/>
              </w:rPr>
              <w:t xml:space="preserve"> Inclusion Gap</w:t>
            </w:r>
          </w:p>
        </w:tc>
      </w:tr>
      <w:tr w:rsidR="00267C5E" w:rsidRPr="00255D70" w:rsidTr="00503054">
        <w:tc>
          <w:tcPr>
            <w:tcW w:w="10173" w:type="dxa"/>
            <w:gridSpan w:val="2"/>
          </w:tcPr>
          <w:p w:rsidR="00267C5E" w:rsidRPr="008F7918" w:rsidRDefault="00267C5E" w:rsidP="00503054">
            <w:pPr>
              <w:pStyle w:val="Call"/>
            </w:pPr>
            <w:r w:rsidRPr="0027076C">
              <w:rPr>
                <w:i w:val="0"/>
                <w:iCs/>
              </w:rPr>
              <w:t>Under</w:t>
            </w:r>
            <w:r>
              <w:t xml:space="preserve"> “</w:t>
            </w:r>
            <w:r w:rsidRPr="00BD4CB8">
              <w:t>instructs the Director of the Telecommunication Standardization Bureau, in collaboration with the Directors of the other Bureaux</w:t>
            </w:r>
            <w:r>
              <w:t>”</w:t>
            </w:r>
          </w:p>
          <w:p w:rsidR="00267C5E" w:rsidRDefault="00267C5E" w:rsidP="00503054">
            <w:pPr>
              <w:pStyle w:val="enumlev1"/>
            </w:pPr>
            <w:r>
              <w:t>2</w:t>
            </w:r>
            <w:r w:rsidRPr="008F7918">
              <w:tab/>
            </w:r>
            <w:r w:rsidRPr="00BD4CB8">
              <w:t>to support the development of reports and best practices on digital financial inclusion, taking into consideration relevant studies,</w:t>
            </w:r>
            <w:r>
              <w:t xml:space="preserve"> where clearly within the mandate of the Union and not duplicative of work that other SDOs and institutions are responsible for;</w:t>
            </w:r>
          </w:p>
          <w:p w:rsidR="00267C5E" w:rsidRDefault="00267C5E" w:rsidP="00503054">
            <w:pPr>
              <w:pStyle w:val="enumlev1"/>
            </w:pPr>
            <w:r>
              <w:t>3</w:t>
            </w:r>
            <w:r>
              <w:tab/>
            </w:r>
            <w:r w:rsidRPr="00BD4CB8">
              <w:t>to establish a platform</w:t>
            </w:r>
            <w:r>
              <w:t xml:space="preserve"> or where possible, connect to those already existing, </w:t>
            </w:r>
            <w:r w:rsidRPr="00BD4CB8">
              <w:t xml:space="preserve"> for peer learning, dialogue and experience-sharing in digital financial services among countries and regions, regulators from telecom and financial services sectors, industry experts and international and regional organizations;</w:t>
            </w:r>
          </w:p>
          <w:p w:rsidR="00267C5E" w:rsidRPr="008F7918" w:rsidRDefault="00267C5E" w:rsidP="00503054">
            <w:pPr>
              <w:pStyle w:val="enumlev1"/>
            </w:pPr>
            <w:r>
              <w:t>4</w:t>
            </w:r>
            <w:r>
              <w:tab/>
            </w:r>
            <w:r w:rsidRPr="00BD4CB8">
              <w:t xml:space="preserve">to organize workshops and seminars for </w:t>
            </w:r>
            <w:r>
              <w:t>ITU Membership in collaboration with other relevant SDOs and institutions with primary responsibility for financial services standards development, implementation and capacity building</w:t>
            </w:r>
            <w:r w:rsidRPr="00BD4CB8">
              <w:t xml:space="preserve">, to raise awareness and identify </w:t>
            </w:r>
            <w:r>
              <w:t>regulators</w:t>
            </w:r>
            <w:r w:rsidRPr="00BD4CB8">
              <w:t xml:space="preserve"> particular needs and challenges in enhancing financial inclusion;</w:t>
            </w:r>
          </w:p>
          <w:p w:rsidR="00267C5E" w:rsidRPr="00255D70" w:rsidRDefault="00267C5E" w:rsidP="00503054">
            <w:pPr>
              <w:pStyle w:val="enumlev1"/>
              <w:rPr>
                <w:szCs w:val="24"/>
              </w:rPr>
            </w:pPr>
          </w:p>
        </w:tc>
      </w:tr>
    </w:tbl>
    <w:p w:rsidR="00267C5E" w:rsidRPr="00240C79" w:rsidRDefault="00267C5E" w:rsidP="00267C5E"/>
    <w:p w:rsidR="00267C5E" w:rsidRDefault="00267C5E" w:rsidP="00267C5E"/>
    <w:tbl>
      <w:tblPr>
        <w:tblStyle w:val="TableGrid"/>
        <w:tblW w:w="10173" w:type="dxa"/>
        <w:tblLook w:val="04A0" w:firstRow="1" w:lastRow="0" w:firstColumn="1" w:lastColumn="0" w:noHBand="0" w:noVBand="1"/>
      </w:tblPr>
      <w:tblGrid>
        <w:gridCol w:w="1951"/>
        <w:gridCol w:w="8222"/>
      </w:tblGrid>
      <w:tr w:rsidR="00267C5E" w:rsidRPr="00255D70" w:rsidTr="00503054">
        <w:tc>
          <w:tcPr>
            <w:tcW w:w="1951" w:type="dxa"/>
          </w:tcPr>
          <w:p w:rsidR="00267C5E" w:rsidRPr="00255D70" w:rsidRDefault="00267C5E" w:rsidP="00503054">
            <w:pPr>
              <w:pStyle w:val="Tabletext"/>
              <w:spacing w:before="120" w:after="120"/>
              <w:rPr>
                <w:sz w:val="24"/>
                <w:szCs w:val="24"/>
                <w:highlight w:val="yellow"/>
              </w:rPr>
            </w:pPr>
            <w:r>
              <w:rPr>
                <w:sz w:val="24"/>
                <w:szCs w:val="24"/>
              </w:rPr>
              <w:t xml:space="preserve">New </w:t>
            </w:r>
            <w:r w:rsidRPr="00255D70">
              <w:rPr>
                <w:sz w:val="24"/>
                <w:szCs w:val="24"/>
              </w:rPr>
              <w:t>Resolution</w:t>
            </w:r>
            <w:r>
              <w:rPr>
                <w:sz w:val="24"/>
                <w:szCs w:val="24"/>
              </w:rPr>
              <w:t xml:space="preserve"> </w:t>
            </w:r>
            <w:r w:rsidRPr="00310A6C">
              <w:rPr>
                <w:rFonts w:asciiTheme="majorBidi" w:hAnsiTheme="majorBidi" w:cstheme="majorBidi"/>
                <w:bCs/>
                <w:sz w:val="24"/>
                <w:szCs w:val="24"/>
              </w:rPr>
              <w:t>[APT-2]/[IAP-3]</w:t>
            </w:r>
            <w:r w:rsidRPr="00255D70">
              <w:rPr>
                <w:sz w:val="24"/>
                <w:szCs w:val="24"/>
              </w:rPr>
              <w:br/>
              <w:t xml:space="preserve">Document </w:t>
            </w:r>
            <w:hyperlink r:id="rId37" w:history="1">
              <w:r w:rsidRPr="002607FC">
                <w:rPr>
                  <w:rStyle w:val="Hyperlink"/>
                  <w:sz w:val="24"/>
                  <w:szCs w:val="24"/>
                </w:rPr>
                <w:t>100</w:t>
              </w:r>
            </w:hyperlink>
          </w:p>
        </w:tc>
        <w:tc>
          <w:tcPr>
            <w:tcW w:w="8222" w:type="dxa"/>
          </w:tcPr>
          <w:p w:rsidR="00267C5E" w:rsidRPr="00255D70" w:rsidRDefault="00267C5E" w:rsidP="00503054">
            <w:pPr>
              <w:pStyle w:val="Tabletext"/>
              <w:spacing w:after="120"/>
              <w:rPr>
                <w:sz w:val="24"/>
                <w:szCs w:val="24"/>
              </w:rPr>
            </w:pPr>
            <w:r w:rsidRPr="00FE7D74">
              <w:rPr>
                <w:sz w:val="24"/>
                <w:szCs w:val="24"/>
              </w:rPr>
              <w:t>Enhancing the standardization of Internet of Things and Smart Cities &amp; Communities for global development</w:t>
            </w:r>
          </w:p>
        </w:tc>
      </w:tr>
      <w:tr w:rsidR="00267C5E" w:rsidRPr="00255D70" w:rsidTr="00503054">
        <w:tc>
          <w:tcPr>
            <w:tcW w:w="10173" w:type="dxa"/>
            <w:gridSpan w:val="2"/>
          </w:tcPr>
          <w:p w:rsidR="00267C5E" w:rsidRPr="00A76536" w:rsidRDefault="00267C5E" w:rsidP="00503054">
            <w:pPr>
              <w:pStyle w:val="Call"/>
              <w:spacing w:before="120"/>
            </w:pPr>
            <w:r>
              <w:rPr>
                <w:i w:val="0"/>
                <w:iCs/>
              </w:rPr>
              <w:t>Under “</w:t>
            </w:r>
            <w:r w:rsidRPr="00AD149E">
              <w:t>instructs the Director of the Telecommunication Standardization Bureau</w:t>
            </w:r>
            <w:r>
              <w:t>”</w:t>
            </w:r>
          </w:p>
          <w:p w:rsidR="00267C5E" w:rsidRPr="00AD149E" w:rsidRDefault="00267C5E" w:rsidP="00503054">
            <w:pPr>
              <w:ind w:left="1134" w:hanging="1134"/>
            </w:pPr>
            <w:r w:rsidRPr="00AD149E">
              <w:t>2</w:t>
            </w:r>
            <w:r w:rsidRPr="00AD149E">
              <w:tab/>
              <w:t>to carry out, in collaboration with member states and cities, pilot projects in cities related to the SC&amp;C KPI assessment activities, aimed at facilitating the deployment and implementation of the IoT and SC&amp;C standards worldwide;</w:t>
            </w:r>
          </w:p>
          <w:p w:rsidR="00267C5E" w:rsidRDefault="00267C5E" w:rsidP="00503054">
            <w:pPr>
              <w:tabs>
                <w:tab w:val="clear" w:pos="1134"/>
                <w:tab w:val="clear" w:pos="1871"/>
                <w:tab w:val="clear" w:pos="2268"/>
              </w:tabs>
              <w:overflowPunct/>
              <w:autoSpaceDE/>
              <w:autoSpaceDN/>
              <w:adjustRightInd/>
              <w:ind w:left="1134"/>
              <w:jc w:val="both"/>
              <w:textAlignment w:val="auto"/>
              <w:rPr>
                <w:i/>
                <w:iCs/>
              </w:rPr>
            </w:pPr>
            <w:r>
              <w:t xml:space="preserve">Under </w:t>
            </w:r>
            <w:r w:rsidRPr="00732322">
              <w:rPr>
                <w:i/>
                <w:iCs/>
              </w:rPr>
              <w:t>“instructs the Director of the Telecommunication Standardization Bureau, in collaboration with the</w:t>
            </w:r>
            <w:bookmarkStart w:id="0" w:name="_GoBack"/>
            <w:bookmarkEnd w:id="0"/>
            <w:r w:rsidRPr="00732322">
              <w:rPr>
                <w:i/>
                <w:iCs/>
              </w:rPr>
              <w:t xml:space="preserve"> Directors of the Telecommunication Development Bureau and the </w:t>
            </w:r>
            <w:proofErr w:type="spellStart"/>
            <w:r w:rsidRPr="00732322">
              <w:rPr>
                <w:i/>
                <w:iCs/>
              </w:rPr>
              <w:t>Radiocommunication</w:t>
            </w:r>
            <w:proofErr w:type="spellEnd"/>
            <w:r w:rsidRPr="00732322">
              <w:rPr>
                <w:i/>
                <w:iCs/>
              </w:rPr>
              <w:t xml:space="preserve"> Bureau”</w:t>
            </w:r>
          </w:p>
          <w:p w:rsidR="00267C5E" w:rsidRPr="00AD149E" w:rsidRDefault="00267C5E" w:rsidP="00503054">
            <w:pPr>
              <w:ind w:left="1134" w:hanging="1134"/>
            </w:pPr>
            <w:r>
              <w:t>1</w:t>
            </w:r>
            <w:r>
              <w:tab/>
            </w:r>
            <w:r w:rsidRPr="00AD149E">
              <w:t>to prepare reports considering, in particular, the needs of developing countries related to the studies of IoT and its applications, sensor networks, services and infrastructure;</w:t>
            </w:r>
          </w:p>
          <w:p w:rsidR="00267C5E" w:rsidRPr="00AD149E" w:rsidRDefault="00267C5E" w:rsidP="00503054">
            <w:pPr>
              <w:ind w:left="1134" w:hanging="1134"/>
            </w:pPr>
            <w:r>
              <w:t>2</w:t>
            </w:r>
            <w:r>
              <w:tab/>
            </w:r>
            <w:r w:rsidRPr="00AD149E">
              <w:t>to continue disseminating ITU publications on IoT and SC&amp;C, as well as organizing fora, seminars and workshops on the subject, taking into account the needs of developing countries, in particular</w:t>
            </w:r>
            <w:r>
              <w:t>,</w:t>
            </w:r>
          </w:p>
          <w:p w:rsidR="00267C5E" w:rsidRPr="008F7918" w:rsidRDefault="00267C5E" w:rsidP="00503054">
            <w:pPr>
              <w:pStyle w:val="enumlev1"/>
            </w:pPr>
          </w:p>
          <w:p w:rsidR="00267C5E" w:rsidRPr="00255D70" w:rsidRDefault="00267C5E" w:rsidP="00503054">
            <w:pPr>
              <w:pStyle w:val="enumlev1"/>
              <w:rPr>
                <w:szCs w:val="24"/>
              </w:rPr>
            </w:pPr>
          </w:p>
        </w:tc>
      </w:tr>
    </w:tbl>
    <w:p w:rsidR="00267C5E" w:rsidRPr="00240C79" w:rsidRDefault="00267C5E" w:rsidP="00267C5E"/>
    <w:p w:rsidR="00267C5E" w:rsidRPr="00240C79" w:rsidRDefault="00267C5E" w:rsidP="00267C5E">
      <w:pPr>
        <w:jc w:val="center"/>
      </w:pPr>
      <w:r>
        <w:t>____________</w:t>
      </w:r>
    </w:p>
    <w:p w:rsidR="00A23AD7" w:rsidRPr="00A41B5E" w:rsidRDefault="00A23AD7" w:rsidP="00A23AD7"/>
    <w:p w:rsidR="00FD4DFD" w:rsidRPr="00A41B5E" w:rsidRDefault="00FD4DFD" w:rsidP="00A23AD7"/>
    <w:sectPr w:rsidR="00FD4DFD" w:rsidRPr="00A41B5E" w:rsidSect="00A23AD7">
      <w:headerReference w:type="default" r:id="rId38"/>
      <w:footerReference w:type="even" r:id="rId39"/>
      <w:pgSz w:w="11907" w:h="16840"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F88" w:rsidRDefault="00F45F88">
      <w:r>
        <w:separator/>
      </w:r>
    </w:p>
  </w:endnote>
  <w:endnote w:type="continuationSeparator" w:id="0">
    <w:p w:rsidR="00F45F88" w:rsidRDefault="00F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57" w:rsidRDefault="00104E57">
    <w:pPr>
      <w:framePr w:wrap="around" w:vAnchor="text" w:hAnchor="margin" w:xAlign="right" w:y="1"/>
    </w:pPr>
    <w:r>
      <w:fldChar w:fldCharType="begin"/>
    </w:r>
    <w:r>
      <w:instrText xml:space="preserve">PAGE  </w:instrText>
    </w:r>
    <w:r>
      <w:fldChar w:fldCharType="end"/>
    </w:r>
  </w:p>
  <w:p w:rsidR="00104E57" w:rsidRPr="00E21396" w:rsidRDefault="00104E57">
    <w:pPr>
      <w:ind w:right="360"/>
      <w:rPr>
        <w:lang w:val="fr-CH"/>
      </w:rPr>
    </w:pPr>
    <w:r>
      <w:fldChar w:fldCharType="begin"/>
    </w:r>
    <w:r w:rsidRPr="00E21396">
      <w:rPr>
        <w:lang w:val="fr-CH"/>
      </w:rPr>
      <w:instrText xml:space="preserve"> FILENAME \p  \* MERGEFORMAT </w:instrText>
    </w:r>
    <w:r>
      <w:fldChar w:fldCharType="separate"/>
    </w:r>
    <w:r w:rsidR="00785477">
      <w:rPr>
        <w:noProof/>
        <w:lang w:val="fr-CH"/>
      </w:rPr>
      <w:t>M:\SG_DOC\WTSA-16\Docs\077\077E.docx</w:t>
    </w:r>
    <w:r>
      <w:fldChar w:fldCharType="end"/>
    </w:r>
    <w:r w:rsidRPr="00E21396">
      <w:rPr>
        <w:lang w:val="fr-CH"/>
      </w:rPr>
      <w:tab/>
    </w:r>
    <w:r>
      <w:fldChar w:fldCharType="begin"/>
    </w:r>
    <w:r>
      <w:instrText xml:space="preserve"> SAVEDATE \@ DD.MM.YY </w:instrText>
    </w:r>
    <w:r>
      <w:fldChar w:fldCharType="separate"/>
    </w:r>
    <w:r w:rsidR="00785477">
      <w:rPr>
        <w:noProof/>
      </w:rPr>
      <w:t>02.11.16</w:t>
    </w:r>
    <w:r>
      <w:fldChar w:fldCharType="end"/>
    </w:r>
    <w:r w:rsidRPr="00E21396">
      <w:rPr>
        <w:lang w:val="fr-CH"/>
      </w:rPr>
      <w:tab/>
    </w:r>
    <w:r>
      <w:fldChar w:fldCharType="begin"/>
    </w:r>
    <w:r>
      <w:instrText xml:space="preserve"> PRINTDATE \@ DD.MM.YY </w:instrText>
    </w:r>
    <w:r>
      <w:fldChar w:fldCharType="separate"/>
    </w:r>
    <w:r w:rsidR="00785477">
      <w:rPr>
        <w:noProof/>
      </w:rPr>
      <w:t>02.11.16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F88" w:rsidRDefault="00F45F88">
      <w:r>
        <w:rPr>
          <w:b/>
        </w:rPr>
        <w:t>_______________</w:t>
      </w:r>
    </w:p>
  </w:footnote>
  <w:footnote w:type="continuationSeparator" w:id="0">
    <w:p w:rsidR="00F45F88" w:rsidRDefault="00F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E57" w:rsidRDefault="00104E57" w:rsidP="00C72D5C">
    <w:pPr>
      <w:pStyle w:val="Header"/>
    </w:pPr>
    <w:r>
      <w:fldChar w:fldCharType="begin"/>
    </w:r>
    <w:r>
      <w:instrText xml:space="preserve"> PAGE  \* MERGEFORMAT </w:instrText>
    </w:r>
    <w:r>
      <w:fldChar w:fldCharType="separate"/>
    </w:r>
    <w:r w:rsidR="00785477">
      <w:rPr>
        <w:noProof/>
      </w:rPr>
      <w:t>10</w:t>
    </w:r>
    <w:r>
      <w:fldChar w:fldCharType="end"/>
    </w:r>
  </w:p>
  <w:p w:rsidR="00104E57" w:rsidRPr="00C72D5C" w:rsidRDefault="00104E57" w:rsidP="00C27FD0">
    <w:pPr>
      <w:pStyle w:val="Header"/>
    </w:pPr>
    <w:r>
      <w:t>WTSA16/</w:t>
    </w:r>
    <w:r w:rsidR="00C27FD0">
      <w:t>77</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1834C9F"/>
    <w:multiLevelType w:val="hybridMultilevel"/>
    <w:tmpl w:val="6428EBAC"/>
    <w:lvl w:ilvl="0" w:tplc="71DC690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AE0"/>
    <w:rsid w:val="00022A29"/>
    <w:rsid w:val="000355FD"/>
    <w:rsid w:val="00051E39"/>
    <w:rsid w:val="0005277E"/>
    <w:rsid w:val="00063906"/>
    <w:rsid w:val="00063D0B"/>
    <w:rsid w:val="00077239"/>
    <w:rsid w:val="000807E9"/>
    <w:rsid w:val="00086491"/>
    <w:rsid w:val="00091346"/>
    <w:rsid w:val="0009706C"/>
    <w:rsid w:val="000F73FF"/>
    <w:rsid w:val="00104E57"/>
    <w:rsid w:val="00114CF7"/>
    <w:rsid w:val="00123B68"/>
    <w:rsid w:val="00126F2E"/>
    <w:rsid w:val="001301F4"/>
    <w:rsid w:val="00130789"/>
    <w:rsid w:val="00137CF6"/>
    <w:rsid w:val="00146F6F"/>
    <w:rsid w:val="00161472"/>
    <w:rsid w:val="0017074E"/>
    <w:rsid w:val="00182117"/>
    <w:rsid w:val="00187BD9"/>
    <w:rsid w:val="00190B55"/>
    <w:rsid w:val="00197D65"/>
    <w:rsid w:val="001C1A5A"/>
    <w:rsid w:val="001C3B5F"/>
    <w:rsid w:val="001D058F"/>
    <w:rsid w:val="001E6F73"/>
    <w:rsid w:val="002009EA"/>
    <w:rsid w:val="00202CA0"/>
    <w:rsid w:val="00216B6D"/>
    <w:rsid w:val="00236EBA"/>
    <w:rsid w:val="00245127"/>
    <w:rsid w:val="00250AF4"/>
    <w:rsid w:val="00260B50"/>
    <w:rsid w:val="00263BE8"/>
    <w:rsid w:val="002666BA"/>
    <w:rsid w:val="00267C5E"/>
    <w:rsid w:val="00271316"/>
    <w:rsid w:val="00285DF6"/>
    <w:rsid w:val="00290F83"/>
    <w:rsid w:val="002957A7"/>
    <w:rsid w:val="002A1D23"/>
    <w:rsid w:val="002A5392"/>
    <w:rsid w:val="002B100E"/>
    <w:rsid w:val="002C5F3E"/>
    <w:rsid w:val="002D58BE"/>
    <w:rsid w:val="00316B80"/>
    <w:rsid w:val="003251EA"/>
    <w:rsid w:val="00331F42"/>
    <w:rsid w:val="0034635C"/>
    <w:rsid w:val="00377BD3"/>
    <w:rsid w:val="00384088"/>
    <w:rsid w:val="0039169B"/>
    <w:rsid w:val="00394470"/>
    <w:rsid w:val="003A7F8C"/>
    <w:rsid w:val="003B532E"/>
    <w:rsid w:val="003D0F8B"/>
    <w:rsid w:val="003E05FD"/>
    <w:rsid w:val="003E4E37"/>
    <w:rsid w:val="0041348E"/>
    <w:rsid w:val="00420EDB"/>
    <w:rsid w:val="0043579F"/>
    <w:rsid w:val="004373CA"/>
    <w:rsid w:val="004420C9"/>
    <w:rsid w:val="00456A44"/>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600"/>
    <w:rsid w:val="00623F15"/>
    <w:rsid w:val="00641CD7"/>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37B1D"/>
    <w:rsid w:val="00742F1D"/>
    <w:rsid w:val="00745AEE"/>
    <w:rsid w:val="00750F10"/>
    <w:rsid w:val="00761B19"/>
    <w:rsid w:val="007742CA"/>
    <w:rsid w:val="00785477"/>
    <w:rsid w:val="00790D70"/>
    <w:rsid w:val="007A7116"/>
    <w:rsid w:val="007D5320"/>
    <w:rsid w:val="007E51BA"/>
    <w:rsid w:val="007E66EA"/>
    <w:rsid w:val="007F3C67"/>
    <w:rsid w:val="00800972"/>
    <w:rsid w:val="00804475"/>
    <w:rsid w:val="00811633"/>
    <w:rsid w:val="00826EBF"/>
    <w:rsid w:val="008441DE"/>
    <w:rsid w:val="008508D8"/>
    <w:rsid w:val="0085577A"/>
    <w:rsid w:val="00864CD2"/>
    <w:rsid w:val="00872FC8"/>
    <w:rsid w:val="008845D0"/>
    <w:rsid w:val="00890BCE"/>
    <w:rsid w:val="008A32A0"/>
    <w:rsid w:val="008B1AEA"/>
    <w:rsid w:val="008B43F2"/>
    <w:rsid w:val="008B446F"/>
    <w:rsid w:val="008B6CFF"/>
    <w:rsid w:val="008E67E5"/>
    <w:rsid w:val="008F08A1"/>
    <w:rsid w:val="00901857"/>
    <w:rsid w:val="00905221"/>
    <w:rsid w:val="009163CF"/>
    <w:rsid w:val="0092425C"/>
    <w:rsid w:val="009274B4"/>
    <w:rsid w:val="00930EBD"/>
    <w:rsid w:val="00934EA2"/>
    <w:rsid w:val="00940614"/>
    <w:rsid w:val="00944A5C"/>
    <w:rsid w:val="00952A66"/>
    <w:rsid w:val="0095691C"/>
    <w:rsid w:val="0099055F"/>
    <w:rsid w:val="009B59BB"/>
    <w:rsid w:val="009C410A"/>
    <w:rsid w:val="009C56E5"/>
    <w:rsid w:val="009E1967"/>
    <w:rsid w:val="009E5FC8"/>
    <w:rsid w:val="009E687A"/>
    <w:rsid w:val="009F1890"/>
    <w:rsid w:val="009F31F8"/>
    <w:rsid w:val="009F4D71"/>
    <w:rsid w:val="00A066F1"/>
    <w:rsid w:val="00A141AF"/>
    <w:rsid w:val="00A16D29"/>
    <w:rsid w:val="00A23AD7"/>
    <w:rsid w:val="00A30305"/>
    <w:rsid w:val="00A31D2D"/>
    <w:rsid w:val="00A36DF9"/>
    <w:rsid w:val="00A41B5E"/>
    <w:rsid w:val="00A41CB8"/>
    <w:rsid w:val="00A4600A"/>
    <w:rsid w:val="00A538A6"/>
    <w:rsid w:val="00A54C25"/>
    <w:rsid w:val="00A710E7"/>
    <w:rsid w:val="00A7372E"/>
    <w:rsid w:val="00A82831"/>
    <w:rsid w:val="00A93B85"/>
    <w:rsid w:val="00AA0B18"/>
    <w:rsid w:val="00AA666F"/>
    <w:rsid w:val="00AA7AE6"/>
    <w:rsid w:val="00AB416A"/>
    <w:rsid w:val="00AB7C5F"/>
    <w:rsid w:val="00AE76D3"/>
    <w:rsid w:val="00B11279"/>
    <w:rsid w:val="00B31096"/>
    <w:rsid w:val="00B529AD"/>
    <w:rsid w:val="00B6324B"/>
    <w:rsid w:val="00B639E9"/>
    <w:rsid w:val="00B66946"/>
    <w:rsid w:val="00B74D57"/>
    <w:rsid w:val="00B817CD"/>
    <w:rsid w:val="00B94AD0"/>
    <w:rsid w:val="00BA5265"/>
    <w:rsid w:val="00BB3A95"/>
    <w:rsid w:val="00BB6222"/>
    <w:rsid w:val="00BC2FB6"/>
    <w:rsid w:val="00BC7D84"/>
    <w:rsid w:val="00C0018F"/>
    <w:rsid w:val="00C0539A"/>
    <w:rsid w:val="00C16A5A"/>
    <w:rsid w:val="00C1752B"/>
    <w:rsid w:val="00C20466"/>
    <w:rsid w:val="00C214ED"/>
    <w:rsid w:val="00C234E6"/>
    <w:rsid w:val="00C27FD0"/>
    <w:rsid w:val="00C324A8"/>
    <w:rsid w:val="00C479FD"/>
    <w:rsid w:val="00C54517"/>
    <w:rsid w:val="00C64CD8"/>
    <w:rsid w:val="00C72D5C"/>
    <w:rsid w:val="00C77E1A"/>
    <w:rsid w:val="00C97C68"/>
    <w:rsid w:val="00CA1A47"/>
    <w:rsid w:val="00CA247F"/>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02A9"/>
    <w:rsid w:val="00D643B3"/>
    <w:rsid w:val="00D74898"/>
    <w:rsid w:val="00D801ED"/>
    <w:rsid w:val="00D936BC"/>
    <w:rsid w:val="00D96530"/>
    <w:rsid w:val="00DB5FFE"/>
    <w:rsid w:val="00DC37D7"/>
    <w:rsid w:val="00DD44AF"/>
    <w:rsid w:val="00DE2AC3"/>
    <w:rsid w:val="00DE5692"/>
    <w:rsid w:val="00DF3E19"/>
    <w:rsid w:val="00E0231F"/>
    <w:rsid w:val="00E03C94"/>
    <w:rsid w:val="00E2134A"/>
    <w:rsid w:val="00E21396"/>
    <w:rsid w:val="00E26226"/>
    <w:rsid w:val="00E37107"/>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45F88"/>
    <w:rsid w:val="00F5701C"/>
    <w:rsid w:val="00F60D05"/>
    <w:rsid w:val="00F6155B"/>
    <w:rsid w:val="00F65C19"/>
    <w:rsid w:val="00F7356B"/>
    <w:rsid w:val="00F80977"/>
    <w:rsid w:val="00F83F75"/>
    <w:rsid w:val="00F8457B"/>
    <w:rsid w:val="00FD2546"/>
    <w:rsid w:val="00FD4DFD"/>
    <w:rsid w:val="00FD772E"/>
    <w:rsid w:val="00FE78C7"/>
    <w:rsid w:val="00FF024A"/>
    <w:rsid w:val="00FF23D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Strong">
    <w:name w:val="Strong"/>
    <w:basedOn w:val="DefaultParagraphFont"/>
    <w:uiPriority w:val="22"/>
    <w:qFormat/>
    <w:rsid w:val="00A23AD7"/>
    <w:rPr>
      <w:b/>
      <w:bCs/>
    </w:rPr>
  </w:style>
  <w:style w:type="character" w:styleId="Hyperlink">
    <w:name w:val="Hyperlink"/>
    <w:basedOn w:val="DefaultParagraphFont"/>
    <w:rsid w:val="00A23AD7"/>
    <w:rPr>
      <w:color w:val="0000FF" w:themeColor="hyperlink"/>
      <w:u w:val="single"/>
    </w:rPr>
  </w:style>
  <w:style w:type="table" w:styleId="TableGrid">
    <w:name w:val="Table Grid"/>
    <w:basedOn w:val="TableNormal"/>
    <w:rsid w:val="00A2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56A44"/>
    <w:rPr>
      <w:color w:val="800080" w:themeColor="followedHyperlink"/>
      <w:u w:val="single"/>
    </w:rPr>
  </w:style>
  <w:style w:type="character" w:customStyle="1" w:styleId="CallChar">
    <w:name w:val="Call Char"/>
    <w:link w:val="Call"/>
    <w:rsid w:val="00267C5E"/>
    <w:rPr>
      <w:rFonts w:ascii="Times New Roman" w:hAnsi="Times New Roman"/>
      <w:i/>
      <w:sz w:val="24"/>
      <w:lang w:val="en-GB" w:eastAsia="en-US"/>
    </w:rPr>
  </w:style>
  <w:style w:type="character" w:customStyle="1" w:styleId="enumlev1Char">
    <w:name w:val="enumlev1 Char"/>
    <w:link w:val="enumlev1"/>
    <w:rsid w:val="00267C5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WTSA.16-161025-TD-GEN-0004/en" TargetMode="External"/><Relationship Id="rId18" Type="http://schemas.openxmlformats.org/officeDocument/2006/relationships/hyperlink" Target="http://www.itu.int/md/T13-WTSA.16-161025-TD-GEN-0010/en" TargetMode="External"/><Relationship Id="rId26" Type="http://schemas.openxmlformats.org/officeDocument/2006/relationships/hyperlink" Target="http://www.itu.int/md/T13-WTSA.16-161025-TD-GEN-0053/en" TargetMode="External"/><Relationship Id="rId39" Type="http://schemas.openxmlformats.org/officeDocument/2006/relationships/footer" Target="footer1.xml"/><Relationship Id="rId21" Type="http://schemas.openxmlformats.org/officeDocument/2006/relationships/hyperlink" Target="http://www.itu.int/md/T13-WTSA.16-161025-TD-GEN-0052/en" TargetMode="External"/><Relationship Id="rId34" Type="http://schemas.openxmlformats.org/officeDocument/2006/relationships/hyperlink" Target="http://www.itu.int/md/T13-WTSA.16-C-0093/en"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itu.int/md/T13-WTSA.16-C-0030/en" TargetMode="External"/><Relationship Id="rId20" Type="http://schemas.openxmlformats.org/officeDocument/2006/relationships/hyperlink" Target="http://www.itu.int/md/T13-WTSA.16-C-0062/en" TargetMode="External"/><Relationship Id="rId29" Type="http://schemas.openxmlformats.org/officeDocument/2006/relationships/hyperlink" Target="http://www.itu.int/md/T13-WTSA.16-C-009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WTSA.16-161025-TD-GEN-0003/en" TargetMode="External"/><Relationship Id="rId24" Type="http://schemas.openxmlformats.org/officeDocument/2006/relationships/hyperlink" Target="http://www.itu.int/md/T13-WTSA.16-161025-TD-GEN-0010/en" TargetMode="External"/><Relationship Id="rId32" Type="http://schemas.openxmlformats.org/officeDocument/2006/relationships/hyperlink" Target="http://www.itu.int/md/T13-WTSA.16-C-0072/en" TargetMode="External"/><Relationship Id="rId37" Type="http://schemas.openxmlformats.org/officeDocument/2006/relationships/hyperlink" Target="http://www.itu.int/md/T13-WTSA.16-C-0100/e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T13-WTSA.16-ADM-0027/en" TargetMode="External"/><Relationship Id="rId23" Type="http://schemas.openxmlformats.org/officeDocument/2006/relationships/hyperlink" Target="http://www.itu.int/md/T13-WTSA.16-C-0029/en" TargetMode="External"/><Relationship Id="rId28" Type="http://schemas.openxmlformats.org/officeDocument/2006/relationships/hyperlink" Target="http://www.itu.int/md/T13-WTSA.16-C-0093/en" TargetMode="External"/><Relationship Id="rId36" Type="http://schemas.openxmlformats.org/officeDocument/2006/relationships/hyperlink" Target="http://www.itu.int/md/T13-WTSA.16-C-0100/en" TargetMode="External"/><Relationship Id="rId10" Type="http://schemas.openxmlformats.org/officeDocument/2006/relationships/image" Target="media/image2.jpeg"/><Relationship Id="rId19" Type="http://schemas.openxmlformats.org/officeDocument/2006/relationships/hyperlink" Target="http://www.itu.int/md/T13-WTSA.16-161025-TD-GEN-0010/en" TargetMode="External"/><Relationship Id="rId31" Type="http://schemas.openxmlformats.org/officeDocument/2006/relationships/hyperlink" Target="http://www.itu.int/md/T13-WTSA.16-C-0072/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T13-WTSA.16-ADM-0004/en" TargetMode="External"/><Relationship Id="rId22" Type="http://schemas.openxmlformats.org/officeDocument/2006/relationships/hyperlink" Target="http://www.itu.int/md/T13-WTSA.16-C-0032/en" TargetMode="External"/><Relationship Id="rId27" Type="http://schemas.openxmlformats.org/officeDocument/2006/relationships/hyperlink" Target="http://www.itu.int/md/T13-WTSA.16-161025-TD-GEN-0053/en" TargetMode="External"/><Relationship Id="rId30" Type="http://schemas.openxmlformats.org/officeDocument/2006/relationships/hyperlink" Target="http://www.itu.int/md/T13-WTSA.16-C-0100/en" TargetMode="External"/><Relationship Id="rId35" Type="http://schemas.openxmlformats.org/officeDocument/2006/relationships/hyperlink" Target="http://www.itu.int/md/T13-WTSA.16-C-0093/e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itu.int/md/T13-WTSA.16-161025-TD-GEN-0001/en" TargetMode="External"/><Relationship Id="rId17" Type="http://schemas.openxmlformats.org/officeDocument/2006/relationships/hyperlink" Target="http://www.itu.int/md/T13-WTSA.16-C-0033/en" TargetMode="External"/><Relationship Id="rId25" Type="http://schemas.openxmlformats.org/officeDocument/2006/relationships/hyperlink" Target="http://www.itu.int/md/T13-WTSA.16-C-0063/en" TargetMode="External"/><Relationship Id="rId33" Type="http://schemas.openxmlformats.org/officeDocument/2006/relationships/hyperlink" Target="http://www.itu.int/md/T13-WTSA.16-C-0093/en"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7ef13ec-f6c1-481c-8982-6a2e30615ded">Documents Proposals Manager (DPM)</DPM_x0020_Author>
    <DPM_x0020_File_x0020_name xmlns="e7ef13ec-f6c1-481c-8982-6a2e30615ded">T13-WTSA.16-C-0095!!MSW-E</DPM_x0020_File_x0020_name>
    <DPM_x0020_Version xmlns="e7ef13ec-f6c1-481c-8982-6a2e30615ded">DPM_v2016.11.1.1_prod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ef13ec-f6c1-481c-8982-6a2e30615ded" targetNamespace="http://schemas.microsoft.com/office/2006/metadata/properties" ma:root="true" ma:fieldsID="d41af5c836d734370eb92e7ee5f83852" ns2:_="" ns3:_="">
    <xsd:import namespace="996b2e75-67fd-4955-a3b0-5ab9934cb50b"/>
    <xsd:import namespace="e7ef13ec-f6c1-481c-8982-6a2e30615de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ef13ec-f6c1-481c-8982-6a2e30615de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ef13ec-f6c1-481c-8982-6a2e30615de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ef13ec-f6c1-481c-8982-6a2e30615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2564</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T13-WTSA.16-C-0095!!MSW-E</vt:lpstr>
    </vt:vector>
  </TitlesOfParts>
  <Manager>General Secretariat - Pool</Manager>
  <Company>International Telecommunication Union (ITU)</Company>
  <LinksUpToDate>false</LinksUpToDate>
  <CharactersWithSpaces>19091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T13-WTSA.16-C-0095!!MSW-E</dc:title>
  <dc:subject>World Telecommunication Standardization Assembly</dc:subject>
  <dc:creator>Documents Proposals Manager (DPM)</dc:creator>
  <cp:keywords>DPM_v2016.11.1.1_prod</cp:keywords>
  <dc:description>Template used by DPM and CPI for the WTSA-16</dc:description>
  <cp:lastModifiedBy>TSB (RC)</cp:lastModifiedBy>
  <cp:revision>27</cp:revision>
  <cp:lastPrinted>2016-11-02T11:01:00Z</cp:lastPrinted>
  <dcterms:created xsi:type="dcterms:W3CDTF">2016-11-01T18:44:00Z</dcterms:created>
  <dcterms:modified xsi:type="dcterms:W3CDTF">2016-11-02T11:01:00Z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