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Tr="004B520A">
        <w:trPr>
          <w:cantSplit/>
        </w:trPr>
        <w:tc>
          <w:tcPr>
            <w:tcW w:w="1379" w:type="dxa"/>
            <w:vAlign w:val="center"/>
          </w:tcPr>
          <w:p w:rsidR="000E5EE9" w:rsidRPr="00566A5B" w:rsidRDefault="000E5EE9" w:rsidP="004B520A">
            <w:pPr>
              <w:rPr>
                <w:rFonts w:ascii="Verdana" w:hAnsi="Verdana" w:cs="Times New Roman Bold"/>
                <w:b/>
                <w:bCs/>
                <w:sz w:val="22"/>
                <w:szCs w:val="22"/>
              </w:rPr>
            </w:pPr>
            <w:r>
              <w:rPr>
                <w:noProof/>
                <w:lang w:val="en-US" w:eastAsia="zh-CN"/>
              </w:rPr>
              <w:drawing>
                <wp:inline distT="0" distB="0" distL="0" distR="0">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Default="000E5EE9" w:rsidP="004B520A">
            <w:pPr>
              <w:rPr>
                <w:rFonts w:ascii="Verdana" w:hAnsi="Verdana" w:cs="Times New Roman Bold"/>
                <w:b/>
                <w:bCs/>
                <w:szCs w:val="24"/>
              </w:rPr>
            </w:pPr>
            <w:r w:rsidRPr="00692C39">
              <w:rPr>
                <w:rFonts w:ascii="Verdana" w:hAnsi="Verdana" w:cs="Times New Roman Bold"/>
                <w:b/>
                <w:bCs/>
                <w:szCs w:val="24"/>
              </w:rPr>
              <w:t xml:space="preserve">Asamblea Mundial de Normalización de las </w:t>
            </w:r>
            <w:r>
              <w:rPr>
                <w:rFonts w:ascii="Verdana" w:hAnsi="Verdana" w:cs="Times New Roman Bold"/>
                <w:b/>
                <w:bCs/>
                <w:szCs w:val="24"/>
              </w:rPr>
              <w:t>Telecomunicaciones</w:t>
            </w:r>
            <w:r w:rsidRPr="00692C39">
              <w:rPr>
                <w:rFonts w:ascii="Verdana" w:hAnsi="Verdana" w:cs="Times New Roman Bold"/>
                <w:b/>
                <w:bCs/>
                <w:szCs w:val="24"/>
              </w:rPr>
              <w:t xml:space="preserve"> (</w:t>
            </w:r>
            <w:r w:rsidR="0028017B" w:rsidRPr="00692C39">
              <w:rPr>
                <w:rFonts w:ascii="Verdana" w:hAnsi="Verdana" w:cs="Times New Roman Bold"/>
                <w:b/>
                <w:bCs/>
                <w:szCs w:val="24"/>
              </w:rPr>
              <w:t>A</w:t>
            </w:r>
            <w:r w:rsidR="0028017B">
              <w:rPr>
                <w:rFonts w:ascii="Verdana" w:hAnsi="Verdana" w:cs="Times New Roman Bold"/>
                <w:b/>
                <w:bCs/>
                <w:szCs w:val="24"/>
              </w:rPr>
              <w:t>MNT</w:t>
            </w:r>
            <w:r w:rsidR="0028017B" w:rsidRPr="00692C39">
              <w:rPr>
                <w:rFonts w:ascii="Verdana" w:hAnsi="Verdana" w:cs="Times New Roman Bold"/>
                <w:b/>
                <w:bCs/>
                <w:szCs w:val="24"/>
              </w:rPr>
              <w:t>-1</w:t>
            </w:r>
            <w:r w:rsidR="0028017B">
              <w:rPr>
                <w:rFonts w:ascii="Verdana" w:hAnsi="Verdana" w:cs="Times New Roman Bold"/>
                <w:b/>
                <w:bCs/>
                <w:szCs w:val="24"/>
              </w:rPr>
              <w:t>6</w:t>
            </w:r>
            <w:r w:rsidRPr="00692C39">
              <w:rPr>
                <w:rFonts w:ascii="Verdana" w:hAnsi="Verdana" w:cs="Times New Roman Bold"/>
                <w:b/>
                <w:bCs/>
                <w:szCs w:val="24"/>
              </w:rPr>
              <w:t>)</w:t>
            </w:r>
          </w:p>
          <w:p w:rsidR="000E5EE9" w:rsidRPr="0028017B" w:rsidRDefault="0028017B" w:rsidP="004B520A">
            <w:pPr>
              <w:spacing w:before="0"/>
              <w:rPr>
                <w:rFonts w:ascii="Verdana" w:hAnsi="Verdana" w:cs="Times New Roman Bold"/>
                <w:b/>
                <w:bCs/>
                <w:sz w:val="19"/>
                <w:szCs w:val="19"/>
              </w:rPr>
            </w:pPr>
            <w:r w:rsidRPr="00E83D45">
              <w:rPr>
                <w:rFonts w:ascii="Verdana" w:hAnsi="Verdana" w:cs="Times New Roman Bold"/>
                <w:b/>
                <w:bCs/>
                <w:sz w:val="18"/>
                <w:szCs w:val="18"/>
              </w:rPr>
              <w:t>Hammamet, 25 de octubre</w:t>
            </w:r>
            <w:r w:rsidR="00E21778">
              <w:rPr>
                <w:rFonts w:ascii="Verdana" w:hAnsi="Verdana" w:cs="Times New Roman Bold"/>
                <w:b/>
                <w:bCs/>
                <w:sz w:val="18"/>
                <w:szCs w:val="18"/>
              </w:rPr>
              <w:t xml:space="preserve"> </w:t>
            </w:r>
            <w:r w:rsidRPr="00E83D45">
              <w:rPr>
                <w:rFonts w:ascii="Verdana" w:hAnsi="Verdana" w:cs="Times New Roman Bold"/>
                <w:b/>
                <w:bCs/>
                <w:sz w:val="18"/>
                <w:szCs w:val="18"/>
              </w:rPr>
              <w:t>-</w:t>
            </w:r>
            <w:r w:rsidR="00E21778">
              <w:rPr>
                <w:rFonts w:ascii="Verdana" w:hAnsi="Verdana" w:cs="Times New Roman Bold"/>
                <w:b/>
                <w:bCs/>
                <w:sz w:val="18"/>
                <w:szCs w:val="18"/>
              </w:rPr>
              <w:t xml:space="preserve"> </w:t>
            </w:r>
            <w:r w:rsidRPr="00E83D45">
              <w:rPr>
                <w:rFonts w:ascii="Verdana" w:hAnsi="Verdana" w:cs="Times New Roman Bold"/>
                <w:b/>
                <w:bCs/>
                <w:sz w:val="18"/>
                <w:szCs w:val="18"/>
              </w:rPr>
              <w:t>3 de noviembre de 2016</w:t>
            </w:r>
          </w:p>
        </w:tc>
        <w:tc>
          <w:tcPr>
            <w:tcW w:w="1873" w:type="dxa"/>
            <w:vAlign w:val="center"/>
          </w:tcPr>
          <w:p w:rsidR="000E5EE9" w:rsidRDefault="000E5EE9" w:rsidP="004B520A">
            <w:pPr>
              <w:spacing w:before="0"/>
              <w:jc w:val="right"/>
            </w:pPr>
            <w:r>
              <w:rPr>
                <w:noProof/>
                <w:lang w:val="en-US"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Tr="004B520A">
        <w:trPr>
          <w:cantSplit/>
        </w:trPr>
        <w:tc>
          <w:tcPr>
            <w:tcW w:w="6613" w:type="dxa"/>
            <w:gridSpan w:val="2"/>
            <w:tcBorders>
              <w:bottom w:val="single" w:sz="12" w:space="0" w:color="auto"/>
            </w:tcBorders>
          </w:tcPr>
          <w:p w:rsidR="00F0220A" w:rsidRDefault="00F0220A" w:rsidP="004B520A">
            <w:pPr>
              <w:spacing w:before="0"/>
            </w:pPr>
          </w:p>
        </w:tc>
        <w:tc>
          <w:tcPr>
            <w:tcW w:w="3198" w:type="dxa"/>
            <w:gridSpan w:val="2"/>
            <w:tcBorders>
              <w:bottom w:val="single" w:sz="12" w:space="0" w:color="auto"/>
            </w:tcBorders>
          </w:tcPr>
          <w:p w:rsidR="00F0220A" w:rsidRDefault="00F0220A" w:rsidP="004B520A">
            <w:pPr>
              <w:spacing w:before="0"/>
            </w:pPr>
          </w:p>
        </w:tc>
      </w:tr>
      <w:tr w:rsidR="005A374D" w:rsidTr="004B520A">
        <w:trPr>
          <w:cantSplit/>
        </w:trPr>
        <w:tc>
          <w:tcPr>
            <w:tcW w:w="6613" w:type="dxa"/>
            <w:gridSpan w:val="2"/>
            <w:tcBorders>
              <w:top w:val="single" w:sz="12" w:space="0" w:color="auto"/>
            </w:tcBorders>
          </w:tcPr>
          <w:p w:rsidR="005A374D" w:rsidRDefault="005A374D" w:rsidP="004B520A">
            <w:pPr>
              <w:spacing w:before="0"/>
            </w:pPr>
          </w:p>
        </w:tc>
        <w:tc>
          <w:tcPr>
            <w:tcW w:w="3198" w:type="dxa"/>
            <w:gridSpan w:val="2"/>
          </w:tcPr>
          <w:p w:rsidR="005A374D" w:rsidRPr="005A374D" w:rsidRDefault="005A374D" w:rsidP="004B520A">
            <w:pPr>
              <w:spacing w:before="0"/>
              <w:rPr>
                <w:rFonts w:ascii="Verdana" w:hAnsi="Verdana"/>
                <w:b/>
                <w:bCs/>
                <w:sz w:val="20"/>
              </w:rPr>
            </w:pPr>
          </w:p>
        </w:tc>
      </w:tr>
      <w:tr w:rsidR="00E83D45" w:rsidTr="004B520A">
        <w:trPr>
          <w:cantSplit/>
        </w:trPr>
        <w:tc>
          <w:tcPr>
            <w:tcW w:w="6613" w:type="dxa"/>
            <w:gridSpan w:val="2"/>
          </w:tcPr>
          <w:p w:rsidR="00E83D45" w:rsidRPr="00B239FA" w:rsidRDefault="00E83D45" w:rsidP="004B520A">
            <w:pPr>
              <w:pStyle w:val="Committee"/>
              <w:framePr w:hSpace="0" w:wrap="auto" w:hAnchor="text" w:yAlign="inline"/>
            </w:pPr>
            <w:r w:rsidRPr="001E7D42">
              <w:t>SESIÓN PLENARIA</w:t>
            </w:r>
          </w:p>
        </w:tc>
        <w:tc>
          <w:tcPr>
            <w:tcW w:w="3198" w:type="dxa"/>
            <w:gridSpan w:val="2"/>
          </w:tcPr>
          <w:p w:rsidR="00E83D45" w:rsidRPr="002074EC" w:rsidRDefault="00E83D45" w:rsidP="004B520A">
            <w:pPr>
              <w:spacing w:before="0"/>
              <w:rPr>
                <w:rFonts w:ascii="Verdana" w:hAnsi="Verdana"/>
                <w:b/>
                <w:bCs/>
                <w:sz w:val="20"/>
              </w:rPr>
            </w:pPr>
            <w:r>
              <w:rPr>
                <w:rFonts w:ascii="Verdana" w:hAnsi="Verdana"/>
                <w:b/>
                <w:sz w:val="20"/>
                <w:lang w:val="en-US"/>
              </w:rPr>
              <w:t>Documento 59</w:t>
            </w:r>
            <w:r w:rsidRPr="00523269">
              <w:rPr>
                <w:rFonts w:ascii="Verdana" w:hAnsi="Verdana"/>
                <w:b/>
                <w:sz w:val="20"/>
                <w:lang w:val="en-US"/>
              </w:rPr>
              <w:t>-</w:t>
            </w:r>
            <w:r w:rsidRPr="0002785D">
              <w:rPr>
                <w:rFonts w:ascii="Verdana" w:hAnsi="Verdana"/>
                <w:b/>
                <w:sz w:val="20"/>
                <w:lang w:val="en-US"/>
              </w:rPr>
              <w:t>S</w:t>
            </w:r>
          </w:p>
        </w:tc>
      </w:tr>
      <w:tr w:rsidR="00E83D45" w:rsidTr="004B520A">
        <w:trPr>
          <w:cantSplit/>
        </w:trPr>
        <w:tc>
          <w:tcPr>
            <w:tcW w:w="6613" w:type="dxa"/>
            <w:gridSpan w:val="2"/>
          </w:tcPr>
          <w:p w:rsidR="00E83D45" w:rsidRPr="0002785D" w:rsidRDefault="00E83D45" w:rsidP="004B520A">
            <w:pPr>
              <w:spacing w:before="0" w:after="48"/>
              <w:rPr>
                <w:rFonts w:ascii="Verdana" w:hAnsi="Verdana"/>
                <w:b/>
                <w:smallCaps/>
                <w:sz w:val="20"/>
                <w:lang w:val="en-US"/>
              </w:rPr>
            </w:pPr>
          </w:p>
        </w:tc>
        <w:tc>
          <w:tcPr>
            <w:tcW w:w="3198" w:type="dxa"/>
            <w:gridSpan w:val="2"/>
          </w:tcPr>
          <w:p w:rsidR="00E83D45" w:rsidRPr="002074EC" w:rsidRDefault="00E83D45" w:rsidP="004B520A">
            <w:pPr>
              <w:spacing w:before="0"/>
              <w:rPr>
                <w:rFonts w:ascii="Verdana" w:hAnsi="Verdana"/>
                <w:b/>
                <w:bCs/>
                <w:sz w:val="20"/>
              </w:rPr>
            </w:pPr>
            <w:r w:rsidRPr="0002785D">
              <w:rPr>
                <w:rFonts w:ascii="Verdana" w:hAnsi="Verdana"/>
                <w:b/>
                <w:sz w:val="20"/>
                <w:lang w:val="en-US"/>
              </w:rPr>
              <w:t>18 de octubre de 2016</w:t>
            </w:r>
          </w:p>
        </w:tc>
      </w:tr>
      <w:tr w:rsidR="00E83D45" w:rsidTr="004B520A">
        <w:trPr>
          <w:cantSplit/>
        </w:trPr>
        <w:tc>
          <w:tcPr>
            <w:tcW w:w="6613" w:type="dxa"/>
            <w:gridSpan w:val="2"/>
          </w:tcPr>
          <w:p w:rsidR="00E83D45" w:rsidRDefault="00E83D45" w:rsidP="004B520A">
            <w:pPr>
              <w:spacing w:before="0"/>
            </w:pPr>
          </w:p>
        </w:tc>
        <w:tc>
          <w:tcPr>
            <w:tcW w:w="3198" w:type="dxa"/>
            <w:gridSpan w:val="2"/>
          </w:tcPr>
          <w:p w:rsidR="00E83D45" w:rsidRPr="002074EC" w:rsidRDefault="00E83D45" w:rsidP="004B520A">
            <w:pPr>
              <w:spacing w:before="0"/>
              <w:rPr>
                <w:rFonts w:ascii="Verdana" w:hAnsi="Verdana"/>
                <w:b/>
                <w:bCs/>
                <w:sz w:val="20"/>
              </w:rPr>
            </w:pPr>
            <w:r w:rsidRPr="0002785D">
              <w:rPr>
                <w:rFonts w:ascii="Verdana" w:hAnsi="Verdana"/>
                <w:b/>
                <w:sz w:val="20"/>
                <w:lang w:val="en-US"/>
              </w:rPr>
              <w:t>Original: inglés</w:t>
            </w:r>
          </w:p>
        </w:tc>
      </w:tr>
      <w:tr w:rsidR="00681766" w:rsidTr="004B520A">
        <w:trPr>
          <w:cantSplit/>
        </w:trPr>
        <w:tc>
          <w:tcPr>
            <w:tcW w:w="9811" w:type="dxa"/>
            <w:gridSpan w:val="4"/>
          </w:tcPr>
          <w:p w:rsidR="00681766" w:rsidRPr="002074EC" w:rsidRDefault="00681766" w:rsidP="004B520A">
            <w:pPr>
              <w:spacing w:before="0"/>
              <w:rPr>
                <w:rFonts w:ascii="Verdana" w:hAnsi="Verdana"/>
                <w:b/>
                <w:bCs/>
                <w:sz w:val="20"/>
              </w:rPr>
            </w:pPr>
          </w:p>
        </w:tc>
      </w:tr>
      <w:tr w:rsidR="00E83D45" w:rsidTr="004B520A">
        <w:trPr>
          <w:cantSplit/>
        </w:trPr>
        <w:tc>
          <w:tcPr>
            <w:tcW w:w="9811" w:type="dxa"/>
            <w:gridSpan w:val="4"/>
          </w:tcPr>
          <w:p w:rsidR="00E83D45" w:rsidRDefault="00E83D45" w:rsidP="004B520A">
            <w:pPr>
              <w:pStyle w:val="Source"/>
            </w:pPr>
            <w:r w:rsidRPr="0002785D">
              <w:rPr>
                <w:lang w:val="en-US"/>
              </w:rPr>
              <w:t>Director de la TSB</w:t>
            </w:r>
          </w:p>
        </w:tc>
      </w:tr>
      <w:tr w:rsidR="00FD7EB1" w:rsidRPr="00FD7EB1" w:rsidTr="004B520A">
        <w:trPr>
          <w:cantSplit/>
        </w:trPr>
        <w:tc>
          <w:tcPr>
            <w:tcW w:w="9811" w:type="dxa"/>
            <w:gridSpan w:val="4"/>
          </w:tcPr>
          <w:p w:rsidR="00FD7EB1" w:rsidRPr="002B60AC" w:rsidRDefault="00FD7EB1" w:rsidP="00FD7EB1">
            <w:pPr>
              <w:pStyle w:val="Title1"/>
            </w:pPr>
            <w:r w:rsidRPr="002B60AC">
              <w:t xml:space="preserve">resumen de todas las medidas tomadas en relación con la RESOLUCIÓN 80 de la AMNT – Reconocimiento de la participación activa de los Miembros en </w:t>
            </w:r>
            <w:r w:rsidR="00C333F3">
              <w:br/>
            </w:r>
            <w:r w:rsidRPr="002B60AC">
              <w:t xml:space="preserve">los resultados del Sector de Normalización </w:t>
            </w:r>
            <w:r w:rsidR="00C333F3">
              <w:br/>
            </w:r>
            <w:r w:rsidRPr="002B60AC">
              <w:t>de las Telecomunicaciones de la UIT</w:t>
            </w:r>
          </w:p>
        </w:tc>
      </w:tr>
      <w:tr w:rsidR="00E83D45" w:rsidRPr="00FD7EB1" w:rsidTr="004B520A">
        <w:trPr>
          <w:cantSplit/>
        </w:trPr>
        <w:tc>
          <w:tcPr>
            <w:tcW w:w="9811" w:type="dxa"/>
            <w:gridSpan w:val="4"/>
          </w:tcPr>
          <w:p w:rsidR="00E83D45" w:rsidRPr="00FD7EB1" w:rsidRDefault="00E83D45" w:rsidP="004B520A">
            <w:pPr>
              <w:pStyle w:val="Title2"/>
            </w:pPr>
          </w:p>
        </w:tc>
      </w:tr>
      <w:tr w:rsidR="00E83D45" w:rsidRPr="00FD7EB1" w:rsidTr="004B520A">
        <w:trPr>
          <w:cantSplit/>
        </w:trPr>
        <w:tc>
          <w:tcPr>
            <w:tcW w:w="9811" w:type="dxa"/>
            <w:gridSpan w:val="4"/>
          </w:tcPr>
          <w:p w:rsidR="00E83D45" w:rsidRPr="00FD7EB1" w:rsidRDefault="00E83D45" w:rsidP="004B520A">
            <w:pPr>
              <w:pStyle w:val="Agendaitem"/>
            </w:pPr>
          </w:p>
        </w:tc>
      </w:tr>
    </w:tbl>
    <w:p w:rsidR="006B0F54" w:rsidRPr="00FD7EB1" w:rsidRDefault="006B0F54" w:rsidP="006B0F54"/>
    <w:tbl>
      <w:tblPr>
        <w:tblW w:w="5089" w:type="pct"/>
        <w:tblLayout w:type="fixed"/>
        <w:tblLook w:val="0000" w:firstRow="0" w:lastRow="0" w:firstColumn="0" w:lastColumn="0" w:noHBand="0" w:noVBand="0"/>
      </w:tblPr>
      <w:tblGrid>
        <w:gridCol w:w="1560"/>
        <w:gridCol w:w="8251"/>
      </w:tblGrid>
      <w:tr w:rsidR="006B0F54" w:rsidRPr="00426748" w:rsidTr="00193AD1">
        <w:trPr>
          <w:cantSplit/>
        </w:trPr>
        <w:tc>
          <w:tcPr>
            <w:tcW w:w="1560" w:type="dxa"/>
          </w:tcPr>
          <w:p w:rsidR="006B0F54" w:rsidRPr="00426748" w:rsidRDefault="006B0F54" w:rsidP="00193AD1">
            <w:r w:rsidRPr="007D3405">
              <w:rPr>
                <w:b/>
                <w:bCs/>
              </w:rPr>
              <w:t>Resumen</w:t>
            </w:r>
            <w:r w:rsidRPr="008F7104">
              <w:rPr>
                <w:b/>
                <w:bCs/>
              </w:rPr>
              <w:t>:</w:t>
            </w:r>
          </w:p>
        </w:tc>
        <w:sdt>
          <w:sdt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6B0F54" w:rsidRPr="00FC3528" w:rsidRDefault="00FD7EB1" w:rsidP="00CA1F40">
                <w:pPr>
                  <w:rPr>
                    <w:color w:val="000000" w:themeColor="text1"/>
                  </w:rPr>
                </w:pPr>
                <w:r>
                  <w:t xml:space="preserve">En </w:t>
                </w:r>
                <w:r w:rsidRPr="00FD7EB1">
                  <w:t>julio de 2016, el GANT pidió que la TSB presentara a la AMNT-16 un resumen de todas las medidas tomadas en relación con la Resolución 80 de la AMNT. En el presente documento se resumen todas las medidas tomadas entre 2012 y 2016 en relación con la aplicación de la Resolución 80. Basándose en el análisis realizado por la Comisión de Estudio 9, el GANT aprobó, en febrero de 2016, un conjunto de posibilidades para reconocer a los autores de las contribuciones para la elaboración de los resultados de las Comisiones de Estudio (uso de referencias bibliográficas, listas de participantes y autores de contribuciones para cada reunión y listas de los autores de las contribuciones en la página web de la Recomendación de que se trate) válida para todas las Comisiones de Estudio.</w:t>
                </w:r>
              </w:p>
            </w:tc>
          </w:sdtContent>
        </w:sdt>
      </w:tr>
    </w:tbl>
    <w:p w:rsidR="00B07178" w:rsidRDefault="00B07178">
      <w:pPr>
        <w:tabs>
          <w:tab w:val="clear" w:pos="1134"/>
          <w:tab w:val="clear" w:pos="1871"/>
          <w:tab w:val="clear" w:pos="2268"/>
        </w:tabs>
        <w:overflowPunct/>
        <w:autoSpaceDE/>
        <w:autoSpaceDN/>
        <w:adjustRightInd/>
        <w:spacing w:before="0"/>
        <w:textAlignment w:val="auto"/>
      </w:pPr>
    </w:p>
    <w:p w:rsidR="00E83D45" w:rsidRDefault="00B07178" w:rsidP="00FD7EB1">
      <w:pPr>
        <w:tabs>
          <w:tab w:val="clear" w:pos="1134"/>
          <w:tab w:val="clear" w:pos="1871"/>
          <w:tab w:val="clear" w:pos="2268"/>
        </w:tabs>
        <w:overflowPunct/>
        <w:autoSpaceDE/>
        <w:autoSpaceDN/>
        <w:adjustRightInd/>
        <w:spacing w:before="0"/>
        <w:textAlignment w:val="auto"/>
      </w:pPr>
      <w:r>
        <w:br w:type="page"/>
      </w:r>
    </w:p>
    <w:p w:rsidR="00607847" w:rsidRDefault="00607847" w:rsidP="00607847"/>
    <w:p w:rsidR="00FD7EB1" w:rsidRDefault="000F2CC1" w:rsidP="00FD7EB1">
      <w:pPr>
        <w:pStyle w:val="Proposal"/>
      </w:pPr>
      <w:r>
        <w:tab/>
        <w:t>SGALL/59/1</w:t>
      </w:r>
    </w:p>
    <w:p w:rsidR="00FD7EB1" w:rsidRPr="002B60AC" w:rsidRDefault="00FD7EB1" w:rsidP="00FD7EB1">
      <w:pPr>
        <w:pStyle w:val="Heading1"/>
      </w:pPr>
      <w:r w:rsidRPr="002B60AC">
        <w:t>1</w:t>
      </w:r>
      <w:r w:rsidRPr="002B60AC">
        <w:tab/>
        <w:t>Debates en la AMNT</w:t>
      </w:r>
      <w:r w:rsidR="00C550B8">
        <w:t>-12</w:t>
      </w:r>
    </w:p>
    <w:p w:rsidR="00FD7EB1" w:rsidRPr="002B60AC" w:rsidRDefault="00FD7EB1" w:rsidP="00FD7EB1">
      <w:r w:rsidRPr="002B60AC">
        <w:t xml:space="preserve">En la AMNT-12 se propuso un nuevo proyecto de Resolución con el fin de alentar la participación de las </w:t>
      </w:r>
      <w:r w:rsidR="007F1AE8" w:rsidRPr="002B60AC">
        <w:t>Instituciones Académicas</w:t>
      </w:r>
      <w:r w:rsidRPr="002B60AC">
        <w:t>, las universidades y sus establecimientos de investigación asociados en los trabajos del UIT-T, reconociendo sus contribuciones a los resultados del UIT-T (</w:t>
      </w:r>
      <w:hyperlink r:id="rId12" w:history="1">
        <w:r w:rsidRPr="002B60AC">
          <w:rPr>
            <w:color w:val="0000FF"/>
            <w:u w:val="single"/>
          </w:rPr>
          <w:t>B/57A11/1</w:t>
        </w:r>
      </w:hyperlink>
      <w:r w:rsidRPr="002B60AC">
        <w:t>). Para el desarrollo de sus carreras, se evalúa a los universitarios basándose en los libros, ponencias y patentes publicados, los cursos impartidos, el asesoramiento prestado en las tesis y los proyectos de investigación culminados. La autoría de las contribuciones a los resultados del UIT-T no es un criterio para el éxito de una carrera, lo que disuade a los universitarios a participar en estas actividades. Se propuso que el UIT-T estudiara mecanismos que permitieran dar reconocimiento a los autores de las contribuciones a los resultados de las Comisiones de Estudio, incentivando de este modo a los universitarios a participar activamente en el proceso de elaboración de las normas del UIT-T. La UIT es la única beneficiaria de los derechos de autor de sus publicaciones (véase la Resolución 66 (Rev. Guadalajara, 2010)). Los autores de las contribuciones no se consideran coautores de los textos en cuestión.</w:t>
      </w:r>
    </w:p>
    <w:p w:rsidR="00FD7EB1" w:rsidRPr="002B60AC" w:rsidRDefault="00FD7EB1" w:rsidP="00FD7EB1">
      <w:r w:rsidRPr="002B60AC">
        <w:t>Por otra parte, la UIT debería dar apoyo a los Estados Miembros para que elaborasen políticas públicas destinadas a subrayar la importancia de las contribuciones en el proceso de elaboración de normas y otorgar a esas contribuciones el mismo valor que los demás trabajos a</w:t>
      </w:r>
      <w:r w:rsidR="00C550B8">
        <w:t>cadémicos.</w:t>
      </w:r>
    </w:p>
    <w:p w:rsidR="00FD7EB1" w:rsidRPr="002B60AC" w:rsidRDefault="00FD7EB1" w:rsidP="00FD7EB1">
      <w:pPr>
        <w:pStyle w:val="Heading1"/>
      </w:pPr>
      <w:r w:rsidRPr="002B60AC">
        <w:t>2</w:t>
      </w:r>
      <w:r w:rsidRPr="002B60AC">
        <w:tab/>
        <w:t>Resolución 80</w:t>
      </w:r>
    </w:p>
    <w:p w:rsidR="00FD7EB1" w:rsidRPr="002B60AC" w:rsidRDefault="00FD7EB1" w:rsidP="00FD7EB1">
      <w:r w:rsidRPr="002B60AC">
        <w:t>La AMNT-12 aprobó la Resolución 80 "Reconocimiento de la participación activa de los Miembros en los resultados del Sector de Normalización de las Telecomunicaciones de la UIT", por la que se:</w:t>
      </w:r>
    </w:p>
    <w:p w:rsidR="00FD7EB1" w:rsidRPr="002B60AC" w:rsidRDefault="00FD7EB1" w:rsidP="00FD7EB1">
      <w:pPr>
        <w:pStyle w:val="enumlev1"/>
      </w:pPr>
      <w:r w:rsidRPr="002B60AC">
        <w:t>–</w:t>
      </w:r>
      <w:r w:rsidRPr="002B60AC">
        <w:tab/>
      </w:r>
      <w:r w:rsidRPr="002B60AC">
        <w:rPr>
          <w:i/>
          <w:iCs/>
        </w:rPr>
        <w:t>resuelve</w:t>
      </w:r>
      <w:r w:rsidRPr="002B60AC">
        <w:t xml:space="preserve"> "que es importante que dé reconocimiento a las personas que han contribuido de manera significativa a la labor de la UIT",</w:t>
      </w:r>
    </w:p>
    <w:p w:rsidR="00FD7EB1" w:rsidRPr="002B60AC" w:rsidRDefault="00FD7EB1" w:rsidP="00FD7EB1">
      <w:pPr>
        <w:pStyle w:val="enumlev1"/>
      </w:pPr>
      <w:r w:rsidRPr="002B60AC">
        <w:t>–</w:t>
      </w:r>
      <w:r w:rsidRPr="002B60AC">
        <w:tab/>
      </w:r>
      <w:r w:rsidRPr="002B60AC">
        <w:rPr>
          <w:i/>
          <w:iCs/>
        </w:rPr>
        <w:t>encarga al Director de la Oficina de Normalización de las Telecomunicaciones</w:t>
      </w:r>
      <w:r w:rsidRPr="002B60AC">
        <w:t xml:space="preserve"> "que reconozca el valor de la participación activa de los Miembros, en particular las instituciones académicas, las universidades y los institutos de investigación asociados, en las actividades de normalización de la UIT, que colaboran estrechamente con los Estados Miembros y sus respectivos organismos encargados de formular políticas públicas en ámbitos como la educación, la ciencia y la tecnología y la industria y el comercio para subrayar la importancia de la contribución a los resultados de las Comisiones de Estudio del UIT-T",</w:t>
      </w:r>
    </w:p>
    <w:p w:rsidR="00FD7EB1" w:rsidRPr="002B60AC" w:rsidRDefault="00FD7EB1" w:rsidP="00FD7EB1">
      <w:pPr>
        <w:pStyle w:val="enumlev1"/>
      </w:pPr>
      <w:r w:rsidRPr="002B60AC">
        <w:t>–</w:t>
      </w:r>
      <w:r w:rsidRPr="002B60AC">
        <w:tab/>
      </w:r>
      <w:r w:rsidRPr="002B60AC">
        <w:rPr>
          <w:i/>
          <w:iCs/>
        </w:rPr>
        <w:t>encarga al Grupo Asesor de Normalización de las Telecomunicaciones</w:t>
      </w:r>
      <w:r w:rsidRPr="002B60AC">
        <w:t xml:space="preserve"> "1 que estudie de qué manera puede darse reconocimiento a las personas que han contribuido de manera significativa a elaborar los resultados de las Comisiones de Estudio; 2 que, en colaboración con los Miembros de la UIT, se definan unos criterios objetivos por los que se guiarán las Comisiones de Estudio para identificar a las personas que han contribuido de manera significativa", e</w:t>
      </w:r>
    </w:p>
    <w:p w:rsidR="00FD7EB1" w:rsidRPr="002B60AC" w:rsidRDefault="00FD7EB1" w:rsidP="00FD7EB1">
      <w:pPr>
        <w:pStyle w:val="enumlev1"/>
      </w:pPr>
      <w:r w:rsidRPr="002B60AC">
        <w:t>–</w:t>
      </w:r>
      <w:r w:rsidRPr="002B60AC">
        <w:tab/>
      </w:r>
      <w:r w:rsidRPr="002B60AC">
        <w:rPr>
          <w:i/>
          <w:iCs/>
        </w:rPr>
        <w:t>invita a los Estados Miembros</w:t>
      </w:r>
      <w:r w:rsidRPr="002B60AC">
        <w:t xml:space="preserve"> "a estudiar, si procede, la participación de las instituciones académicas en el proceso de contribución al UIT-T y proporcionar visibilidad y reconocimiento a sus contribuciones, labores de edición y otros resultados de tal manera que puedan ser consideradas actividades aptas para la evaluación de la productividad en materia de investigación y desarrollo".</w:t>
      </w:r>
    </w:p>
    <w:p w:rsidR="00FD7EB1" w:rsidRPr="002B60AC" w:rsidRDefault="00FD7EB1" w:rsidP="00FD7EB1">
      <w:pPr>
        <w:pStyle w:val="Heading1"/>
      </w:pPr>
      <w:r w:rsidRPr="002B60AC">
        <w:lastRenderedPageBreak/>
        <w:t>3</w:t>
      </w:r>
      <w:r w:rsidRPr="002B60AC">
        <w:tab/>
        <w:t>De la AMNT-12 a la aplicación: la función del GANT y la CE</w:t>
      </w:r>
      <w:r w:rsidR="00301425">
        <w:t> </w:t>
      </w:r>
      <w:r w:rsidRPr="002B60AC">
        <w:t>9</w:t>
      </w:r>
    </w:p>
    <w:p w:rsidR="00FD7EB1" w:rsidRPr="002B60AC" w:rsidRDefault="00FD7EB1" w:rsidP="00FD7EB1">
      <w:r w:rsidRPr="002B60AC">
        <w:t>La AMNT-12 encargó al GANT que estudiase de qué manera podía darse reconocimiento a las personas que habían contribuido a elaborar los resultados del UIT-T. En su reunión celebrada en Ginebra del 4 al 7 de junio de 2013, el GANT acordó encomendar a la CE</w:t>
      </w:r>
      <w:r w:rsidR="00301425">
        <w:t> </w:t>
      </w:r>
      <w:r w:rsidRPr="002B60AC">
        <w:t xml:space="preserve">9 del UIT-T que explorase diversos mecanismos para la aplicación de la Resolución 80 de la AMNT, tomando como base la </w:t>
      </w:r>
      <w:hyperlink r:id="rId13" w:history="1">
        <w:r w:rsidRPr="002B60AC">
          <w:rPr>
            <w:color w:val="0000FF"/>
            <w:u w:val="single"/>
          </w:rPr>
          <w:t>C.18</w:t>
        </w:r>
      </w:hyperlink>
      <w:r w:rsidRPr="002B60AC">
        <w:t>, y presentase un informe al GANT.</w:t>
      </w:r>
    </w:p>
    <w:p w:rsidR="00FD7EB1" w:rsidRPr="002B60AC" w:rsidRDefault="00FD7EB1" w:rsidP="00FD7EB1">
      <w:r w:rsidRPr="002B60AC">
        <w:t>Como resultado de esas investigaciones, la CE</w:t>
      </w:r>
      <w:r w:rsidR="00301425">
        <w:t> </w:t>
      </w:r>
      <w:r w:rsidRPr="002B60AC">
        <w:t xml:space="preserve">9 del UIT-T elaboró un conjunto de directrices (Documento </w:t>
      </w:r>
      <w:hyperlink r:id="rId14" w:history="1">
        <w:r w:rsidRPr="002B60AC">
          <w:rPr>
            <w:color w:val="0000FF"/>
            <w:u w:val="single"/>
          </w:rPr>
          <w:t>TD 899 (GEN/9)</w:t>
        </w:r>
      </w:hyperlink>
      <w:r w:rsidRPr="002B60AC">
        <w:t>) e inició un proyecto piloto para poner a prueba la aplicación de los puntos 1, 3 y 4 de dichas directrices.</w:t>
      </w:r>
    </w:p>
    <w:p w:rsidR="00FD7EB1" w:rsidRPr="002B60AC" w:rsidRDefault="00FD7EB1" w:rsidP="00FD7EB1">
      <w:r w:rsidRPr="002B60AC">
        <w:t>Entretanto, se pidió a la TSB que estudiase si las Recomendaciones UIT-T podían indexarse en bases de datos de referencias y servicios de búsqueda, y cómo podía hacerse, teniendo en cuenta el punto 2 "</w:t>
      </w:r>
      <w:r w:rsidRPr="002B60AC">
        <w:rPr>
          <w:i/>
          <w:iCs/>
        </w:rPr>
        <w:t>Incluir las Recomendaciones UIT-T en IEEE Xplore y Web of Science (ambas de pago), así como en Google Scholar (gratuito)</w:t>
      </w:r>
      <w:r w:rsidRPr="002B60AC">
        <w:t>" de las directrices de la CE</w:t>
      </w:r>
      <w:r w:rsidR="00301425">
        <w:t> </w:t>
      </w:r>
      <w:r w:rsidRPr="002B60AC">
        <w:t xml:space="preserve">9 (véase el Documento </w:t>
      </w:r>
      <w:hyperlink r:id="rId15" w:history="1">
        <w:r w:rsidRPr="002B60AC">
          <w:rPr>
            <w:color w:val="0000FF"/>
            <w:u w:val="single"/>
          </w:rPr>
          <w:t>TD 816 Rev1 (GEN/9)</w:t>
        </w:r>
      </w:hyperlink>
      <w:r w:rsidRPr="002B60AC">
        <w:t>).</w:t>
      </w:r>
    </w:p>
    <w:p w:rsidR="00FD7EB1" w:rsidRPr="002B60AC" w:rsidRDefault="00FD7EB1" w:rsidP="00FD7EB1">
      <w:pPr>
        <w:pStyle w:val="Heading2"/>
      </w:pPr>
      <w:r w:rsidRPr="002B60AC">
        <w:t>3.1</w:t>
      </w:r>
      <w:r w:rsidRPr="002B60AC">
        <w:tab/>
        <w:t>Decisiones del GANT</w:t>
      </w:r>
    </w:p>
    <w:p w:rsidR="00FD7EB1" w:rsidRPr="002B60AC" w:rsidRDefault="00FD7EB1" w:rsidP="00FD7EB1">
      <w:r w:rsidRPr="002B60AC">
        <w:t>En la reunión de febrero de 2016 del GANT, la CE</w:t>
      </w:r>
      <w:r w:rsidR="00301425">
        <w:t> </w:t>
      </w:r>
      <w:r w:rsidRPr="002B60AC">
        <w:t>9 informó sobre el estado de aplicación de las directrices de la CE</w:t>
      </w:r>
      <w:r w:rsidR="00301425">
        <w:t> </w:t>
      </w:r>
      <w:r w:rsidRPr="002B60AC">
        <w:t>9. El GANT convino en ampliar a todas las Comisiones de Estudio el proyecto que lleva a cabo la CE</w:t>
      </w:r>
      <w:r w:rsidR="00301425">
        <w:t> </w:t>
      </w:r>
      <w:r w:rsidRPr="002B60AC">
        <w:t xml:space="preserve">9 para dar reconocimiento a los autores de las contribuciones a la elaboración de los resultados de las Comisiones de Estudio. A continuación se indican las distintas opciones (véase el Documento </w:t>
      </w:r>
      <w:hyperlink r:id="rId16" w:history="1">
        <w:r w:rsidRPr="002B60AC">
          <w:rPr>
            <w:color w:val="0000FF"/>
            <w:u w:val="single"/>
          </w:rPr>
          <w:t>TD 460 Rev1</w:t>
        </w:r>
      </w:hyperlink>
      <w:r w:rsidRPr="002B60AC">
        <w:t xml:space="preserve"> y el </w:t>
      </w:r>
      <w:r w:rsidRPr="002B60AC">
        <w:rPr>
          <w:b/>
          <w:bCs/>
          <w:i/>
          <w:iCs/>
        </w:rPr>
        <w:t>Anexo 1</w:t>
      </w:r>
      <w:r w:rsidRPr="002B60AC">
        <w:t>), basadas en las directrices de la CE</w:t>
      </w:r>
      <w:r w:rsidR="00301425">
        <w:t> </w:t>
      </w:r>
      <w:r w:rsidRPr="002B60AC">
        <w:t>9, que tienen las Comisiones de Estudio que desean dar reconocimiento a los autores de las contribuciones para la elaboración de sus resultados:</w:t>
      </w:r>
    </w:p>
    <w:p w:rsidR="00FD7EB1" w:rsidRPr="002B60AC" w:rsidRDefault="00FD7EB1" w:rsidP="00FD7EB1">
      <w:pPr>
        <w:pStyle w:val="enumlev1"/>
      </w:pPr>
      <w:r w:rsidRPr="002B60AC">
        <w:t>•</w:t>
      </w:r>
      <w:r w:rsidRPr="002B60AC">
        <w:tab/>
        <w:t>"fomentar la utilización de referencias bibliográficas de publicaciones arbitradas que corroboren las decisiones técnicas adoptadas en las Recomendaciones UIT-T" (basado en el punto 1 de las directrices de la CE</w:t>
      </w:r>
      <w:r w:rsidR="00301425">
        <w:t> </w:t>
      </w:r>
      <w:r w:rsidRPr="002B60AC">
        <w:t>9);</w:t>
      </w:r>
    </w:p>
    <w:p w:rsidR="00FD7EB1" w:rsidRPr="002B60AC" w:rsidRDefault="00FD7EB1" w:rsidP="00FD7EB1">
      <w:pPr>
        <w:pStyle w:val="enumlev1"/>
      </w:pPr>
      <w:r w:rsidRPr="002B60AC">
        <w:t>•</w:t>
      </w:r>
      <w:r w:rsidRPr="002B60AC">
        <w:tab/>
        <w:t>"crear una página de las Comisiones de Estudio, para cada periodo de estudios, en la que se haga constancia de todos los participantes y autores de las contribuciones por cada reunión; véase, por ejemplo, la página piloto creada por la CE 9:</w:t>
      </w:r>
      <w:r w:rsidRPr="002B60AC">
        <w:br/>
      </w:r>
      <w:hyperlink r:id="rId17" w:history="1">
        <w:r w:rsidRPr="002B60AC">
          <w:rPr>
            <w:rStyle w:val="Hyperlink"/>
          </w:rPr>
          <w:t>http://www.itu.int/en/ITU-T/studygroups/2013-2016/09/Pages/acknowledgements.aspx</w:t>
        </w:r>
      </w:hyperlink>
      <w:r w:rsidRPr="002B60AC">
        <w:t>" (basado en el punto 3 de las directrices de la CE</w:t>
      </w:r>
      <w:r w:rsidR="00301425">
        <w:t> </w:t>
      </w:r>
      <w:r w:rsidRPr="002B60AC">
        <w:t>9);</w:t>
      </w:r>
    </w:p>
    <w:p w:rsidR="00FD7EB1" w:rsidRPr="002B60AC" w:rsidRDefault="00FD7EB1" w:rsidP="00FD7EB1">
      <w:pPr>
        <w:pStyle w:val="enumlev1"/>
      </w:pPr>
      <w:r w:rsidRPr="002B60AC">
        <w:t>•</w:t>
      </w:r>
      <w:r w:rsidRPr="002B60AC">
        <w:tab/>
        <w:t>"en la página de publicación de una determinada Recomendación UIT-T, añadir un enlace a una página en la que se enumere a todos aquellos que presentaron al menos una contribución que hizo avanzar la Recomendación" (basado en el punto 4 de las directrices de la CE</w:t>
      </w:r>
      <w:r w:rsidR="00301425">
        <w:t> </w:t>
      </w:r>
      <w:r w:rsidRPr="002B60AC">
        <w:t>9).</w:t>
      </w:r>
    </w:p>
    <w:p w:rsidR="00FD7EB1" w:rsidRPr="002B60AC" w:rsidRDefault="00FD7EB1" w:rsidP="00FD7EB1">
      <w:r w:rsidRPr="002B60AC">
        <w:t>En la reunión de julio de 2016 del GANT, el Presidente de la CE</w:t>
      </w:r>
      <w:r w:rsidR="00301425">
        <w:t> </w:t>
      </w:r>
      <w:r w:rsidRPr="002B60AC">
        <w:t xml:space="preserve">9 presentó una propuesta (Documento </w:t>
      </w:r>
      <w:hyperlink r:id="rId18" w:history="1">
        <w:r w:rsidRPr="002B60AC">
          <w:rPr>
            <w:color w:val="0000FF"/>
            <w:u w:val="single"/>
          </w:rPr>
          <w:t>TD 583</w:t>
        </w:r>
      </w:hyperlink>
      <w:r w:rsidRPr="002B60AC">
        <w:t>) para tener en cuenta determinados aspectos de las directrices de la CE</w:t>
      </w:r>
      <w:r w:rsidR="00301425">
        <w:t> </w:t>
      </w:r>
      <w:r w:rsidRPr="002B60AC">
        <w:t>9 que requerían un análisis adicional.</w:t>
      </w:r>
    </w:p>
    <w:p w:rsidR="00FD7EB1" w:rsidRPr="002B60AC" w:rsidRDefault="00FD7EB1" w:rsidP="00FD7EB1">
      <w:r w:rsidRPr="002B60AC">
        <w:t xml:space="preserve">Se examinó el Documento </w:t>
      </w:r>
      <w:hyperlink r:id="rId19" w:history="1">
        <w:r w:rsidRPr="002B60AC">
          <w:rPr>
            <w:color w:val="0000FF"/>
            <w:u w:val="single"/>
          </w:rPr>
          <w:t>TD 583</w:t>
        </w:r>
      </w:hyperlink>
      <w:r w:rsidRPr="002B60AC">
        <w:t xml:space="preserve"> y se pidió consejo al Asesor Jurídico de la UIT, en particular en materia de privacidad cuando se trata de escoger entre la solución que consiste en que </w:t>
      </w:r>
      <w:r w:rsidRPr="004D5BE0">
        <w:rPr>
          <w:b/>
          <w:bCs/>
        </w:rPr>
        <w:t>los autores de las contribuciones autoricen expresamente que su nombre figure en la página web de una Recomendación del UIT-T</w:t>
      </w:r>
      <w:r w:rsidRPr="002B60AC">
        <w:t xml:space="preserve"> y la que consiste en pedir que su nombre no figure. El Asesor Jurídico de la UIT aclaró que ambas soluciones eran posibles y que no existía instrumento internacional vinculante alguno a este respecto. En general, sería preferible obtener la autorización expresa, siempre que sea posible, para reforzar la confianza en</w:t>
      </w:r>
      <w:r w:rsidR="004A5E39">
        <w:t xml:space="preserve"> el uso de las TIC y proteger me</w:t>
      </w:r>
      <w:r w:rsidRPr="002B60AC">
        <w:t>jor la privacidad de las personas.</w:t>
      </w:r>
    </w:p>
    <w:p w:rsidR="00FD7EB1" w:rsidRPr="002B60AC" w:rsidRDefault="00FD7EB1" w:rsidP="00FD7EB1">
      <w:r w:rsidRPr="002B60AC">
        <w:lastRenderedPageBreak/>
        <w:t>Habida cuenta de que varios puntos requerían ser objeto de may</w:t>
      </w:r>
      <w:r w:rsidR="00301425">
        <w:t>ores debates y aclaraciones, el </w:t>
      </w:r>
      <w:r w:rsidRPr="002B60AC">
        <w:t>GANT no aprobó la propuesta del Presidente de la CE</w:t>
      </w:r>
      <w:r w:rsidR="00301425">
        <w:t> </w:t>
      </w:r>
      <w:r w:rsidRPr="002B60AC">
        <w:t xml:space="preserve">9 (modificada en el Documento </w:t>
      </w:r>
      <w:hyperlink r:id="rId20" w:history="1">
        <w:r w:rsidRPr="002B60AC">
          <w:rPr>
            <w:bCs/>
            <w:color w:val="0000FF"/>
            <w:u w:val="single"/>
          </w:rPr>
          <w:t>TD 618</w:t>
        </w:r>
      </w:hyperlink>
      <w:r w:rsidRPr="002B60AC">
        <w:t xml:space="preserve">). El acuerdo alcanzado en la reunión de febrero de 2016 del GANT (Documento </w:t>
      </w:r>
      <w:hyperlink r:id="rId21" w:history="1">
        <w:r w:rsidRPr="002B60AC">
          <w:rPr>
            <w:color w:val="0000FF"/>
            <w:u w:val="single"/>
          </w:rPr>
          <w:t>TD 460 Rev1</w:t>
        </w:r>
      </w:hyperlink>
      <w:r w:rsidRPr="002B60AC">
        <w:t xml:space="preserve">, véase también el </w:t>
      </w:r>
      <w:r w:rsidRPr="002B60AC">
        <w:rPr>
          <w:b/>
          <w:bCs/>
          <w:i/>
          <w:iCs/>
        </w:rPr>
        <w:t>Anexo 1</w:t>
      </w:r>
      <w:r w:rsidRPr="002B60AC">
        <w:t>) sigue vigente.</w:t>
      </w:r>
    </w:p>
    <w:p w:rsidR="00FD7EB1" w:rsidRPr="002B60AC" w:rsidRDefault="00FD7EB1" w:rsidP="00FD7EB1">
      <w:pPr>
        <w:pStyle w:val="Heading2"/>
      </w:pPr>
      <w:r w:rsidRPr="002B60AC">
        <w:t>3.2</w:t>
      </w:r>
      <w:r w:rsidRPr="002B60AC">
        <w:tab/>
        <w:t>Aplicación de las directrices de la CE</w:t>
      </w:r>
      <w:r w:rsidR="00301425">
        <w:t> </w:t>
      </w:r>
      <w:r w:rsidRPr="002B60AC">
        <w:t>9 por otras Comisiones de Estudio del UIT-T</w:t>
      </w:r>
    </w:p>
    <w:p w:rsidR="00FD7EB1" w:rsidRPr="002B60AC" w:rsidRDefault="00FD7EB1" w:rsidP="00FD7EB1">
      <w:r w:rsidRPr="000F2CC1">
        <w:t>Además de la CE</w:t>
      </w:r>
      <w:r w:rsidR="00301425">
        <w:t> </w:t>
      </w:r>
      <w:r w:rsidRPr="000F2CC1">
        <w:t>9, las Comisiones de Estudio 17 y 11 crearon una página web especialmente destinada a dar reconocimiento a los autores de las contribuciones a sus trabajos</w:t>
      </w:r>
      <w:r w:rsidRPr="002B60AC">
        <w:t>. Las demás Comisiones de Estudio del UIT-T también están estudiando la posibil</w:t>
      </w:r>
      <w:r w:rsidR="00301425">
        <w:t>idad de seguir el ejemplo de la </w:t>
      </w:r>
      <w:r w:rsidRPr="002B60AC">
        <w:t>CE</w:t>
      </w:r>
      <w:r w:rsidR="00301425">
        <w:t> </w:t>
      </w:r>
      <w:r w:rsidRPr="002B60AC">
        <w:t>9.</w:t>
      </w:r>
    </w:p>
    <w:p w:rsidR="00FD7EB1" w:rsidRPr="002B60AC" w:rsidRDefault="00FD7EB1" w:rsidP="00FD7EB1">
      <w:pPr>
        <w:pStyle w:val="Heading1"/>
      </w:pPr>
      <w:r w:rsidRPr="002B60AC">
        <w:t>4</w:t>
      </w:r>
      <w:r w:rsidRPr="002B60AC">
        <w:tab/>
        <w:t>Preparación para la AMNT-16</w:t>
      </w:r>
    </w:p>
    <w:p w:rsidR="00FD7EB1" w:rsidRPr="002B60AC" w:rsidRDefault="00FD7EB1" w:rsidP="00FD7EB1">
      <w:r w:rsidRPr="002B60AC">
        <w:t xml:space="preserve">En la reunión de julio de 2016 del GANT, el Relator Asociado del Grupo de Relator del GANT sobre métodos de trabajo propuso que se actualizara la Resolución 80 de la AMNT (Documento </w:t>
      </w:r>
      <w:hyperlink r:id="rId22" w:history="1">
        <w:r w:rsidRPr="002B60AC">
          <w:rPr>
            <w:color w:val="0000FF"/>
            <w:u w:val="single"/>
          </w:rPr>
          <w:t>TD 592</w:t>
        </w:r>
      </w:hyperlink>
      <w:r w:rsidRPr="002B60AC">
        <w:rPr>
          <w:color w:val="0000FF"/>
          <w:u w:val="single"/>
        </w:rPr>
        <w:t>)</w:t>
      </w:r>
      <w:r w:rsidRPr="002B60AC">
        <w:t>.</w:t>
      </w:r>
    </w:p>
    <w:p w:rsidR="00FD7EB1" w:rsidRPr="002B60AC" w:rsidRDefault="00FD7EB1" w:rsidP="009C5F85">
      <w:r w:rsidRPr="002B60AC">
        <w:t xml:space="preserve">El GANT examinó la propuesta y dijo que necesitaba seguir reflexionando al respecto, en particular acerca de la noción de </w:t>
      </w:r>
      <w:r w:rsidR="009C5F85">
        <w:t>"</w:t>
      </w:r>
      <w:r w:rsidRPr="002B60AC">
        <w:t>contribución significat</w:t>
      </w:r>
      <w:r w:rsidR="009C5F85">
        <w:t>iva"</w:t>
      </w:r>
      <w:r w:rsidRPr="002B60AC">
        <w:t>, que es difícil de definir. Se decidió remitir este asunto a la AMNT.</w:t>
      </w:r>
    </w:p>
    <w:p w:rsidR="00FD7EB1" w:rsidRPr="002B60AC" w:rsidRDefault="00FD7EB1" w:rsidP="00FD7EB1">
      <w:pPr>
        <w:tabs>
          <w:tab w:val="clear" w:pos="1134"/>
          <w:tab w:val="clear" w:pos="1871"/>
          <w:tab w:val="clear" w:pos="2268"/>
        </w:tabs>
        <w:overflowPunct/>
        <w:autoSpaceDE/>
        <w:autoSpaceDN/>
        <w:adjustRightInd/>
        <w:spacing w:before="0"/>
        <w:textAlignment w:val="auto"/>
      </w:pPr>
      <w:r w:rsidRPr="002B60AC">
        <w:br w:type="page"/>
      </w:r>
    </w:p>
    <w:p w:rsidR="00FD7EB1" w:rsidRPr="002B60AC" w:rsidRDefault="00FD7EB1" w:rsidP="00FD7EB1">
      <w:pPr>
        <w:pStyle w:val="AnnexNo"/>
      </w:pPr>
      <w:r w:rsidRPr="002B60AC">
        <w:lastRenderedPageBreak/>
        <w:t>ANEXo I</w:t>
      </w:r>
    </w:p>
    <w:p w:rsidR="00FD7EB1" w:rsidRPr="002B60AC" w:rsidRDefault="00FD7EB1" w:rsidP="00FD7EB1">
      <w:pPr>
        <w:pStyle w:val="Annextitle"/>
      </w:pPr>
      <w:r w:rsidRPr="002B60AC">
        <w:t>Opciones para el reconocimiento a los autores de las contribuciones en la elaboración de los productos de las Comisiones de Estudio de acuerdo con la Resolución 80 de la AMNT-12, actualmente en vigor de conformidad con la decisión del GANT adoptada en febrero 2016</w:t>
      </w:r>
    </w:p>
    <w:p w:rsidR="00FD7EB1" w:rsidRPr="002B60AC" w:rsidRDefault="00FD7EB1" w:rsidP="00FD7EB1">
      <w:pPr>
        <w:pStyle w:val="Annexref"/>
      </w:pPr>
      <w:r w:rsidRPr="002B60AC">
        <w:t xml:space="preserve">(fuente: </w:t>
      </w:r>
      <w:hyperlink r:id="rId23" w:history="1">
        <w:r w:rsidRPr="002B60AC">
          <w:rPr>
            <w:color w:val="0000FF"/>
            <w:szCs w:val="24"/>
            <w:u w:val="single"/>
          </w:rPr>
          <w:t>TD 460 Rev.1</w:t>
        </w:r>
      </w:hyperlink>
      <w:r w:rsidRPr="002B60AC">
        <w:t>)</w:t>
      </w:r>
    </w:p>
    <w:p w:rsidR="00FD7EB1" w:rsidRPr="002B60AC" w:rsidRDefault="00FD7EB1" w:rsidP="00FD7EB1">
      <w:r w:rsidRPr="002B60AC">
        <w:t>Las siguientes opciones están disponibles para las Comisiones de Estudio que quieren reconocer claramente las contribuciones significativas en la elaboración de sus productos.</w:t>
      </w:r>
    </w:p>
    <w:p w:rsidR="00FD7EB1" w:rsidRPr="002B60AC" w:rsidRDefault="00FD7EB1" w:rsidP="00FD7EB1">
      <w:pPr>
        <w:pStyle w:val="Heading1"/>
      </w:pPr>
      <w:r w:rsidRPr="002B60AC">
        <w:t>1</w:t>
      </w:r>
      <w:r w:rsidRPr="002B60AC">
        <w:tab/>
        <w:t>Fomentar el uso de referencias bibliográficas de publicaciones arbitradas que apoyan las decisiones técnicas tomadas en las Recomendaciones del UIT-T.</w:t>
      </w:r>
    </w:p>
    <w:p w:rsidR="00FD7EB1" w:rsidRPr="002B60AC" w:rsidRDefault="00FD7EB1" w:rsidP="00FD7EB1">
      <w:pPr>
        <w:pStyle w:val="enumlev1"/>
      </w:pPr>
      <w:r w:rsidRPr="002B60AC">
        <w:t>–</w:t>
      </w:r>
      <w:r w:rsidRPr="002B60AC">
        <w:tab/>
        <w:t>Las referencias bibliográficas, con el propósito de reconocer una contribución al contenido de una Recomendación del UIT-T, deben consistir en publicaciones arbitradas o libros considerados como útiles para la comprensión o la elaboración de la misma.</w:t>
      </w:r>
    </w:p>
    <w:p w:rsidR="00FD7EB1" w:rsidRPr="002B60AC" w:rsidRDefault="00FD7EB1" w:rsidP="00FD7EB1">
      <w:pPr>
        <w:pStyle w:val="enumlev1"/>
      </w:pPr>
      <w:r w:rsidRPr="002B60AC">
        <w:t>–</w:t>
      </w:r>
      <w:r w:rsidRPr="002B60AC">
        <w:tab/>
      </w:r>
      <w:r w:rsidRPr="002B60AC">
        <w:rPr>
          <w:i/>
          <w:iCs/>
        </w:rPr>
        <w:t>Web of science, Google Scholar</w:t>
      </w:r>
      <w:r w:rsidRPr="002B60AC">
        <w:t xml:space="preserve"> e </w:t>
      </w:r>
      <w:r w:rsidRPr="002B60AC">
        <w:rPr>
          <w:i/>
          <w:iCs/>
        </w:rPr>
        <w:t>IEEE-explore</w:t>
      </w:r>
      <w:r w:rsidRPr="002B60AC">
        <w:t xml:space="preserve"> se utilizarán como ejemplos de bases de datos fiables de artículos revisados por pares.</w:t>
      </w:r>
    </w:p>
    <w:p w:rsidR="00FD7EB1" w:rsidRPr="002B60AC" w:rsidRDefault="00FD7EB1" w:rsidP="00FD7EB1">
      <w:pPr>
        <w:pStyle w:val="enumlev1"/>
      </w:pPr>
      <w:r w:rsidRPr="002B60AC">
        <w:t>–</w:t>
      </w:r>
      <w:r w:rsidRPr="002B60AC">
        <w:tab/>
        <w:t>El autor de un artículo citado en la bibliografía de una Recomendación no es automáticamente un autor de contribución de la propia Recomendación del UIT-T.</w:t>
      </w:r>
    </w:p>
    <w:p w:rsidR="00FD7EB1" w:rsidRPr="002B60AC" w:rsidRDefault="00FD7EB1" w:rsidP="00FD7EB1">
      <w:pPr>
        <w:pStyle w:val="enumlev1"/>
        <w:rPr>
          <w:highlight w:val="yellow"/>
        </w:rPr>
      </w:pPr>
      <w:r w:rsidRPr="002B60AC">
        <w:t>–</w:t>
      </w:r>
      <w:r w:rsidRPr="002B60AC">
        <w:tab/>
        <w:t>El Relator debe documentar en su informe de reunión la publicación de la cita en una revista arbitrada. Por ejemplo, "</w:t>
      </w:r>
      <w:r w:rsidRPr="002B60AC">
        <w:rPr>
          <w:i/>
          <w:iCs/>
        </w:rPr>
        <w:t>El artículo de la revista arbitrada IEEE xxx se incluye en la Recomendación UIT-T X.nnn porque su autor Sr. AAA contribuyó con la tecnología estudiada en este artículo que forma parte de elementos significativos de esta Recomendación</w:t>
      </w:r>
      <w:r w:rsidRPr="002B60AC">
        <w:t>".</w:t>
      </w:r>
    </w:p>
    <w:p w:rsidR="00FD7EB1" w:rsidRPr="002B60AC" w:rsidRDefault="00FD7EB1" w:rsidP="00FD7EB1">
      <w:pPr>
        <w:pStyle w:val="Heading1"/>
      </w:pPr>
      <w:r w:rsidRPr="002B60AC">
        <w:t>2</w:t>
      </w:r>
      <w:r w:rsidRPr="002B60AC">
        <w:tab/>
        <w:t>Crear una página web de la comisión de estudio para cada periodo de estudio, en la cual se mencione a los participantes en cada sesión</w:t>
      </w:r>
    </w:p>
    <w:p w:rsidR="00FD7EB1" w:rsidRPr="002B60AC" w:rsidRDefault="00FD7EB1" w:rsidP="00FD7EB1">
      <w:pPr>
        <w:pStyle w:val="enumlev1"/>
        <w:rPr>
          <w:highlight w:val="yellow"/>
        </w:rPr>
      </w:pPr>
      <w:r w:rsidRPr="002B60AC">
        <w:t>–</w:t>
      </w:r>
      <w:r w:rsidRPr="002B60AC">
        <w:tab/>
        <w:t>Proporcionar una página web pública que contiene una lista dinámica (por sesión) de:</w:t>
      </w:r>
    </w:p>
    <w:p w:rsidR="00FD7EB1" w:rsidRPr="002B60AC" w:rsidRDefault="00FD7EB1" w:rsidP="00FD7EB1">
      <w:pPr>
        <w:pStyle w:val="enumlev2"/>
      </w:pPr>
      <w:r w:rsidRPr="002B60AC">
        <w:t>•</w:t>
      </w:r>
      <w:r w:rsidRPr="002B60AC">
        <w:tab/>
        <w:t>Presidente y Vicepresidentes de la Comisión de Estudio, Presidente y Vicepresidentes de grupo de trabajo, Presidente y Vicepresidentes de grupo temático;</w:t>
      </w:r>
    </w:p>
    <w:p w:rsidR="00FD7EB1" w:rsidRPr="002B60AC" w:rsidRDefault="00FD7EB1" w:rsidP="00FD7EB1">
      <w:pPr>
        <w:pStyle w:val="enumlev2"/>
        <w:rPr>
          <w:highlight w:val="yellow"/>
        </w:rPr>
      </w:pPr>
      <w:r w:rsidRPr="002B60AC">
        <w:t>•</w:t>
      </w:r>
      <w:r w:rsidRPr="002B60AC">
        <w:tab/>
        <w:t>Relatores y subrelatores de todas las Cuestiones.</w:t>
      </w:r>
    </w:p>
    <w:p w:rsidR="00FD7EB1" w:rsidRPr="002B60AC" w:rsidRDefault="00FD7EB1" w:rsidP="00FD7EB1">
      <w:pPr>
        <w:pStyle w:val="enumlev1"/>
        <w:rPr>
          <w:highlight w:val="yellow"/>
        </w:rPr>
      </w:pPr>
      <w:r w:rsidRPr="002B60AC">
        <w:t>–</w:t>
      </w:r>
      <w:r w:rsidRPr="002B60AC">
        <w:tab/>
        <w:t>Proporciona la información con acceso restringido TIES (de cada reunión) que contiene:</w:t>
      </w:r>
    </w:p>
    <w:p w:rsidR="00FD7EB1" w:rsidRPr="002B60AC" w:rsidRDefault="00FD7EB1" w:rsidP="00FD7EB1">
      <w:pPr>
        <w:pStyle w:val="enumlev2"/>
        <w:rPr>
          <w:highlight w:val="yellow"/>
        </w:rPr>
      </w:pPr>
      <w:r w:rsidRPr="002B60AC">
        <w:t>•</w:t>
      </w:r>
      <w:r w:rsidRPr="002B60AC">
        <w:tab/>
        <w:t>Editores y colaboradores de las Recomendaciones del UIT-T y demás productos acordados por la Comisión de Estudio.</w:t>
      </w:r>
      <w:r w:rsidRPr="002B60AC">
        <w:br/>
        <w:t>N</w:t>
      </w:r>
      <w:bookmarkStart w:id="0" w:name="_GoBack"/>
      <w:r w:rsidR="00E74CA0" w:rsidRPr="002B60AC">
        <w:t>ota</w:t>
      </w:r>
      <w:bookmarkEnd w:id="0"/>
      <w:r w:rsidRPr="002B60AC">
        <w:t xml:space="preserve"> 1 – Únicamente los editores y los autores de contribución que aceptan previamente, o con una aceptación explícita para la publicación de sus nombres, aparecerán en la lista. La afiliación de los autores de contribución es el mencionado en el "origen", en la parte superior (y no en el "contacto", en la parte inferior) de sus contribuciones.</w:t>
      </w:r>
    </w:p>
    <w:p w:rsidR="00FD7EB1" w:rsidRPr="002B60AC" w:rsidRDefault="00FD7EB1" w:rsidP="00FD7EB1">
      <w:pPr>
        <w:pStyle w:val="enumlev2"/>
        <w:rPr>
          <w:highlight w:val="yellow"/>
        </w:rPr>
      </w:pPr>
      <w:r w:rsidRPr="002B60AC">
        <w:lastRenderedPageBreak/>
        <w:t>•</w:t>
      </w:r>
      <w:r w:rsidRPr="002B60AC">
        <w:tab/>
        <w:t>Los asistentes de las reuniones de las Comisiones de Estudio (y de sus grupos de trabajo) estarán disponibles en un enlace con acceso restringido TIES a la lista elaborada por la TSB en cada reunión.</w:t>
      </w:r>
    </w:p>
    <w:p w:rsidR="00FD7EB1" w:rsidRPr="002B60AC" w:rsidRDefault="00FD7EB1" w:rsidP="00FD7EB1">
      <w:pPr>
        <w:pStyle w:val="Heading1"/>
        <w:rPr>
          <w:highlight w:val="yellow"/>
        </w:rPr>
      </w:pPr>
      <w:r w:rsidRPr="002B60AC">
        <w:t>3</w:t>
      </w:r>
      <w:r w:rsidRPr="002B60AC">
        <w:tab/>
        <w:t>En la página de publicación de una Recomendación del UIT-T determinada, añadir un enlace a una página donde se enumeren los autores de contribución que presentaron al menos una contribución al desarrollo de la Recomendación</w:t>
      </w:r>
    </w:p>
    <w:p w:rsidR="00FD7EB1" w:rsidRPr="002B60AC" w:rsidRDefault="00FD7EB1" w:rsidP="00FD7EB1">
      <w:pPr>
        <w:pStyle w:val="Note"/>
      </w:pPr>
      <w:r w:rsidRPr="002B60AC">
        <w:t>NOTA – El "contacto" de una contribución no es necesariamente el "autor de la contribución". El nombre de los autores de las contribuciones puede proporcionarse voluntariamente en el momento de la presentación de la contribución, insertando la información al principio de la propia contribución. Esta incorporación no constituye una aceptación previa. Debe recibirse una aceptación explícita para poder incluir a estos autores de contribución en cualquier página web o lista pública (es decir, sin acceso restringido TIES). Se están estudiando métodos de aceptación previa.</w:t>
      </w:r>
    </w:p>
    <w:p w:rsidR="00FD7EB1" w:rsidRPr="002B60AC" w:rsidRDefault="00FD7EB1" w:rsidP="00FD7EB1">
      <w:pPr>
        <w:pStyle w:val="enumlev1"/>
      </w:pPr>
      <w:r w:rsidRPr="002B60AC">
        <w:t>–</w:t>
      </w:r>
      <w:r w:rsidRPr="002B60AC">
        <w:tab/>
        <w:t>En la página de publicación de cada Recomendación y de los otros productos aprobados en las Comisiones de Estudio, añadir un enlace adicional con la etiqueta "Autores de contribución". Este enlace llevará a un documento donde se enumeran los autores de las contribuciones aceptadas en la elaboración de la Recomendación o de los otros productos. Después de una aceptación clara, se proporcionará el nombre, la afiliación y el país de los autores de las contribuciones según aparecen en el origen de la contribución en el momento de la presentación.</w:t>
      </w:r>
      <w:r w:rsidRPr="002B60AC">
        <w:br/>
        <w:t>N</w:t>
      </w:r>
      <w:r w:rsidR="00E74CA0" w:rsidRPr="002B60AC">
        <w:t>ota</w:t>
      </w:r>
      <w:r w:rsidRPr="002B60AC">
        <w:t xml:space="preserve"> – Estas páginas deben encabezarse con un texto como: "La Comisión de Estudio NN quiere reconocer a los autores de las contribuciones para la elaboración de esta Recomendación del UIT-T. Téngase en cuenta que esta lista puede no contener todos los participantes que contribuyeron a la elaboración de esta Recomendación del UIT-T". Debe tenerse en cuenta, que en el caso de trabajo conjunto con otra organización, las personas que han presentado contribuciones en la otra organización no se incluirán probablemente en la lista.</w:t>
      </w:r>
    </w:p>
    <w:p w:rsidR="00FD7EB1" w:rsidRPr="002B60AC" w:rsidRDefault="00FD7EB1" w:rsidP="00FD7EB1">
      <w:pPr>
        <w:pStyle w:val="enumlev1"/>
        <w:rPr>
          <w:highlight w:val="yellow"/>
        </w:rPr>
      </w:pPr>
      <w:r w:rsidRPr="002B60AC">
        <w:t>–</w:t>
      </w:r>
      <w:r w:rsidRPr="002B60AC">
        <w:tab/>
        <w:t>Con el acuerdo de la Comisión de Estudio, una Recomendación del UIT-T elaborada por esa Comisión de Estudio puede incluir una lista de los autores de contribuciones que hayan presentado una aceptación previa.</w:t>
      </w:r>
      <w:r w:rsidRPr="002B60AC">
        <w:br/>
        <w:t>N</w:t>
      </w:r>
      <w:r w:rsidR="00E74CA0" w:rsidRPr="002B60AC">
        <w:t>ota</w:t>
      </w:r>
      <w:r w:rsidRPr="002B60AC">
        <w:t xml:space="preserve"> – Cualquier actualización de la "Guía del autor para la elaboración y presentación de Recomendaciones del UIT-T", es responsabilidad de la TSB, en consulta con el Grupo de Relator sobre métodos de trabajo del GANT.</w:t>
      </w:r>
    </w:p>
    <w:p w:rsidR="00FD7EB1" w:rsidRPr="00FD7EB1" w:rsidRDefault="00FD7EB1" w:rsidP="00FD7EB1">
      <w:pPr>
        <w:pStyle w:val="enumlev1"/>
      </w:pPr>
      <w:r w:rsidRPr="002B60AC">
        <w:t>–</w:t>
      </w:r>
      <w:r w:rsidRPr="002B60AC">
        <w:tab/>
        <w:t>Es importante reconocer que la UIT conserva los derechos de autor independientemente de cualquier reconocimiento a los autores de las contribuciones.</w:t>
      </w:r>
    </w:p>
    <w:p w:rsidR="00FD7EB1" w:rsidRDefault="00FD7EB1" w:rsidP="0032202E">
      <w:pPr>
        <w:pStyle w:val="Reasons"/>
      </w:pPr>
    </w:p>
    <w:p w:rsidR="009721B5" w:rsidRDefault="00FD7EB1" w:rsidP="009C5F85">
      <w:pPr>
        <w:jc w:val="center"/>
      </w:pPr>
      <w:r>
        <w:t>______________</w:t>
      </w:r>
    </w:p>
    <w:sectPr w:rsidR="009721B5">
      <w:headerReference w:type="default" r:id="rId24"/>
      <w:footerReference w:type="even" r:id="rId25"/>
      <w:footerReference w:type="default" r:id="rId26"/>
      <w:footerReference w:type="first" r:id="rId27"/>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2C63" w:rsidRDefault="00F02C63">
      <w:r>
        <w:separator/>
      </w:r>
    </w:p>
  </w:endnote>
  <w:endnote w:type="continuationSeparator" w:id="0">
    <w:p w:rsidR="00F02C63" w:rsidRDefault="00F02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C333F3">
      <w:rPr>
        <w:noProof/>
      </w:rPr>
      <w:t>24.10.16</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0B8" w:rsidRPr="00C550B8" w:rsidRDefault="00C550B8" w:rsidP="00C550B8">
    <w:pPr>
      <w:pStyle w:val="Footer"/>
      <w:rPr>
        <w:lang w:val="fr-CH"/>
      </w:rPr>
    </w:pPr>
    <w:r>
      <w:fldChar w:fldCharType="begin"/>
    </w:r>
    <w:r w:rsidRPr="00C550B8">
      <w:rPr>
        <w:lang w:val="fr-CH"/>
      </w:rPr>
      <w:instrText xml:space="preserve"> FILENAME \p  \* MERGEFORMAT </w:instrText>
    </w:r>
    <w:r>
      <w:fldChar w:fldCharType="separate"/>
    </w:r>
    <w:r w:rsidRPr="00C550B8">
      <w:rPr>
        <w:lang w:val="fr-CH"/>
      </w:rPr>
      <w:t>P:\ESP\ITU-T\CONF-T\WTSA16\000\059S.docx</w:t>
    </w:r>
    <w:r>
      <w:fldChar w:fldCharType="end"/>
    </w:r>
    <w:r>
      <w:rPr>
        <w:lang w:val="fr-CH"/>
      </w:rPr>
      <w:t xml:space="preserve"> (407149</w:t>
    </w:r>
    <w:r w:rsidRPr="00C550B8">
      <w:rPr>
        <w:lang w:val="fr-CH"/>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Pr="00C550B8" w:rsidRDefault="00C550B8" w:rsidP="00C550B8">
    <w:pPr>
      <w:pStyle w:val="Footer"/>
      <w:rPr>
        <w:lang w:val="fr-CH"/>
      </w:rPr>
    </w:pPr>
    <w:r>
      <w:fldChar w:fldCharType="begin"/>
    </w:r>
    <w:r w:rsidRPr="00C550B8">
      <w:rPr>
        <w:lang w:val="fr-CH"/>
      </w:rPr>
      <w:instrText xml:space="preserve"> FILENAME \p  \* MERGEFORMAT </w:instrText>
    </w:r>
    <w:r>
      <w:fldChar w:fldCharType="separate"/>
    </w:r>
    <w:r w:rsidRPr="00C550B8">
      <w:rPr>
        <w:lang w:val="fr-CH"/>
      </w:rPr>
      <w:t>P:\ESP\ITU-T\CONF-T\WTSA16\000\059S.docx</w:t>
    </w:r>
    <w:r>
      <w:fldChar w:fldCharType="end"/>
    </w:r>
    <w:r>
      <w:rPr>
        <w:lang w:val="fr-CH"/>
      </w:rPr>
      <w:t xml:space="preserve"> (407149</w:t>
    </w:r>
    <w:r w:rsidRPr="00C550B8">
      <w:rPr>
        <w:lang w:val="fr-CH"/>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2C63" w:rsidRDefault="00F02C63">
      <w:r>
        <w:rPr>
          <w:b/>
        </w:rPr>
        <w:t>_______________</w:t>
      </w:r>
    </w:p>
  </w:footnote>
  <w:footnote w:type="continuationSeparator" w:id="0">
    <w:p w:rsidR="00F02C63" w:rsidRDefault="00F02C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Default="00E83D45" w:rsidP="00E83D45">
    <w:pPr>
      <w:pStyle w:val="Header"/>
    </w:pPr>
    <w:r>
      <w:fldChar w:fldCharType="begin"/>
    </w:r>
    <w:r>
      <w:instrText xml:space="preserve"> PAGE  \* MERGEFORMAT </w:instrText>
    </w:r>
    <w:r>
      <w:fldChar w:fldCharType="separate"/>
    </w:r>
    <w:r w:rsidR="00E74CA0">
      <w:rPr>
        <w:noProof/>
      </w:rPr>
      <w:t>5</w:t>
    </w:r>
    <w:r>
      <w:fldChar w:fldCharType="end"/>
    </w:r>
  </w:p>
  <w:p w:rsidR="00E83D45" w:rsidRPr="00C72D5C" w:rsidRDefault="00566BEE" w:rsidP="00E83D45">
    <w:pPr>
      <w:pStyle w:val="Header"/>
    </w:pPr>
    <w:r>
      <w:t>AMNT</w:t>
    </w:r>
    <w:r w:rsidR="00E83D45">
      <w:t>16/59-</w:t>
    </w:r>
    <w:r w:rsidR="00E83D45" w:rsidRPr="004A26C4">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isplayBackgroundShape/>
  <w:printFractionalCharacterWidth/>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57296"/>
    <w:rsid w:val="00087AE8"/>
    <w:rsid w:val="000A5B9A"/>
    <w:rsid w:val="000C7758"/>
    <w:rsid w:val="000E5BF9"/>
    <w:rsid w:val="000E5EE9"/>
    <w:rsid w:val="000F0E6D"/>
    <w:rsid w:val="000F2CC1"/>
    <w:rsid w:val="00120191"/>
    <w:rsid w:val="00121170"/>
    <w:rsid w:val="00123CC5"/>
    <w:rsid w:val="0015142D"/>
    <w:rsid w:val="001616DC"/>
    <w:rsid w:val="00163962"/>
    <w:rsid w:val="00191A97"/>
    <w:rsid w:val="001A083F"/>
    <w:rsid w:val="001A584A"/>
    <w:rsid w:val="001C41FA"/>
    <w:rsid w:val="001D380F"/>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701F"/>
    <w:rsid w:val="00301425"/>
    <w:rsid w:val="003237B0"/>
    <w:rsid w:val="003248A9"/>
    <w:rsid w:val="00324FFA"/>
    <w:rsid w:val="0032680B"/>
    <w:rsid w:val="00363A65"/>
    <w:rsid w:val="00377EC9"/>
    <w:rsid w:val="003B1E8C"/>
    <w:rsid w:val="003C2508"/>
    <w:rsid w:val="003D0AA3"/>
    <w:rsid w:val="004104AC"/>
    <w:rsid w:val="00454553"/>
    <w:rsid w:val="00476FB2"/>
    <w:rsid w:val="004A5E39"/>
    <w:rsid w:val="004B124A"/>
    <w:rsid w:val="004B520A"/>
    <w:rsid w:val="004C3636"/>
    <w:rsid w:val="004C3A5A"/>
    <w:rsid w:val="004D5BE0"/>
    <w:rsid w:val="00523269"/>
    <w:rsid w:val="00532097"/>
    <w:rsid w:val="00566BEE"/>
    <w:rsid w:val="0058350F"/>
    <w:rsid w:val="005A374D"/>
    <w:rsid w:val="005E782D"/>
    <w:rsid w:val="005F2605"/>
    <w:rsid w:val="006078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65578"/>
    <w:rsid w:val="0077084A"/>
    <w:rsid w:val="00786250"/>
    <w:rsid w:val="00790506"/>
    <w:rsid w:val="007952C7"/>
    <w:rsid w:val="007C2317"/>
    <w:rsid w:val="007C39FA"/>
    <w:rsid w:val="007D330A"/>
    <w:rsid w:val="007E667F"/>
    <w:rsid w:val="007F1AE8"/>
    <w:rsid w:val="00866AE6"/>
    <w:rsid w:val="00866BBD"/>
    <w:rsid w:val="00873B75"/>
    <w:rsid w:val="008750A8"/>
    <w:rsid w:val="008E35DA"/>
    <w:rsid w:val="008E4453"/>
    <w:rsid w:val="0090121B"/>
    <w:rsid w:val="009144C9"/>
    <w:rsid w:val="00916196"/>
    <w:rsid w:val="0094091F"/>
    <w:rsid w:val="009721B5"/>
    <w:rsid w:val="00973754"/>
    <w:rsid w:val="0097673E"/>
    <w:rsid w:val="00990278"/>
    <w:rsid w:val="009A137D"/>
    <w:rsid w:val="009C0BED"/>
    <w:rsid w:val="009C5F85"/>
    <w:rsid w:val="009E11EC"/>
    <w:rsid w:val="009F6A67"/>
    <w:rsid w:val="00A118DB"/>
    <w:rsid w:val="00A135F9"/>
    <w:rsid w:val="00A24AC0"/>
    <w:rsid w:val="00A4450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333F3"/>
    <w:rsid w:val="00C550B8"/>
    <w:rsid w:val="00C614DC"/>
    <w:rsid w:val="00C63EB5"/>
    <w:rsid w:val="00C858D0"/>
    <w:rsid w:val="00CA1F40"/>
    <w:rsid w:val="00CB35C9"/>
    <w:rsid w:val="00CC01E0"/>
    <w:rsid w:val="00CD5FEE"/>
    <w:rsid w:val="00CD663E"/>
    <w:rsid w:val="00CE60D2"/>
    <w:rsid w:val="00D0288A"/>
    <w:rsid w:val="00D56781"/>
    <w:rsid w:val="00D72A5D"/>
    <w:rsid w:val="00DC629B"/>
    <w:rsid w:val="00DC7617"/>
    <w:rsid w:val="00E05BFF"/>
    <w:rsid w:val="00E21778"/>
    <w:rsid w:val="00E262F1"/>
    <w:rsid w:val="00E32BEE"/>
    <w:rsid w:val="00E47B44"/>
    <w:rsid w:val="00E71D14"/>
    <w:rsid w:val="00E74CA0"/>
    <w:rsid w:val="00E8097C"/>
    <w:rsid w:val="00E83D45"/>
    <w:rsid w:val="00E94A4A"/>
    <w:rsid w:val="00EE1779"/>
    <w:rsid w:val="00EF0D6D"/>
    <w:rsid w:val="00F0220A"/>
    <w:rsid w:val="00F02C63"/>
    <w:rsid w:val="00F247BB"/>
    <w:rsid w:val="00F26F4E"/>
    <w:rsid w:val="00F54E0E"/>
    <w:rsid w:val="00F606A0"/>
    <w:rsid w:val="00F62AB3"/>
    <w:rsid w:val="00F63177"/>
    <w:rsid w:val="00F66597"/>
    <w:rsid w:val="00F7212F"/>
    <w:rsid w:val="00F8150C"/>
    <w:rsid w:val="00FC3528"/>
    <w:rsid w:val="00FD5C8C"/>
    <w:rsid w:val="00FD7EB1"/>
    <w:rsid w:val="00FE161E"/>
    <w:rsid w:val="00FE4574"/>
    <w:rsid w:val="00FF0475"/>
    <w:rsid w:val="00FF4088"/>
    <w:rsid w:val="00FF67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customStyle="1" w:styleId="href">
    <w:name w:val="href"/>
    <w:basedOn w:val="DefaultParagraphFont"/>
    <w:uiPriority w:val="99"/>
    <w:rsid w:val="00705B93"/>
  </w:style>
  <w:style w:type="character" w:styleId="Hyperlink">
    <w:name w:val="Hyperlink"/>
    <w:aliases w:val="超级链接"/>
    <w:basedOn w:val="DefaultParagraphFont"/>
    <w:rsid w:val="00FD7EB1"/>
    <w:rPr>
      <w:color w:val="0000FF"/>
      <w:u w:val="single"/>
    </w:rPr>
  </w:style>
  <w:style w:type="character" w:styleId="FollowedHyperlink">
    <w:name w:val="FollowedHyperlink"/>
    <w:basedOn w:val="DefaultParagraphFont"/>
    <w:semiHidden/>
    <w:unhideWhenUsed/>
    <w:rsid w:val="004A5E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tu.int/md/T13-TSAG-C-0018/es" TargetMode="External"/><Relationship Id="rId18" Type="http://schemas.openxmlformats.org/officeDocument/2006/relationships/hyperlink" Target="http://www.itu.int/md/T13-TSAG-160718-TD-GEN-0583/e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itu.int/md/T13-TSAG-160201-TD-GEN-0460/es" TargetMode="External"/><Relationship Id="rId7" Type="http://schemas.openxmlformats.org/officeDocument/2006/relationships/webSettings" Target="webSettings.xml"/><Relationship Id="rId12" Type="http://schemas.openxmlformats.org/officeDocument/2006/relationships/hyperlink" Target="http://www.itu.int/md/T09-WTSA.12-C-0057/es" TargetMode="External"/><Relationship Id="rId17" Type="http://schemas.openxmlformats.org/officeDocument/2006/relationships/hyperlink" Target="http://www.itu.int/en/ITU-T/studygroups/2013-2016/09/Pages/acknowledgements.aspx"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itu.int/md/T13-TSAG-160201-TD-GEN-0460/es" TargetMode="External"/><Relationship Id="rId20" Type="http://schemas.openxmlformats.org/officeDocument/2006/relationships/hyperlink" Target="http://www.itu.int/md/T13-TSAG-160718-TD-GEN-0618/es"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www.itu.int/md/T13-SG09-160121-TD-GEN-0816/es" TargetMode="External"/><Relationship Id="rId23" Type="http://schemas.openxmlformats.org/officeDocument/2006/relationships/hyperlink" Target="http://www.itu.int/md/T13-TSAG-160201-TD-GEN-0460/es" TargetMode="External"/><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www.itu.int/md/T13-TSAG-160718-TD-GEN-0583/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itu.int/md/T13-SG09-160121-TD-GEN-0899/es" TargetMode="External"/><Relationship Id="rId22" Type="http://schemas.openxmlformats.org/officeDocument/2006/relationships/hyperlink" Target="http://www.itu.int/md/T13-TSAG-160718-TD-GEN-0592/es" TargetMode="External"/><Relationship Id="rId27" Type="http://schemas.openxmlformats.org/officeDocument/2006/relationships/footer" Target="footer3.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F2070"/>
    <w:rsid w:val="002C1D30"/>
    <w:rsid w:val="003331C5"/>
    <w:rsid w:val="00502EF4"/>
    <w:rsid w:val="00503226"/>
    <w:rsid w:val="005A230A"/>
    <w:rsid w:val="00690C7B"/>
    <w:rsid w:val="007B3EF8"/>
    <w:rsid w:val="009124B2"/>
    <w:rsid w:val="00986969"/>
    <w:rsid w:val="009E7F8E"/>
    <w:rsid w:val="00BD59AE"/>
    <w:rsid w:val="00DA0CD6"/>
    <w:rsid w:val="00E04EE8"/>
    <w:rsid w:val="00E30626"/>
    <w:rsid w:val="00E3524E"/>
    <w:rsid w:val="00E80C1D"/>
    <w:rsid w:val="00E96DFB"/>
    <w:rsid w:val="00EA4B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f275e38-f032-49d6-94c9-a01f89e07018" targetNamespace="http://schemas.microsoft.com/office/2006/metadata/properties" ma:root="true" ma:fieldsID="d41af5c836d734370eb92e7ee5f83852" ns2:_="" ns3:_="">
    <xsd:import namespace="996b2e75-67fd-4955-a3b0-5ab9934cb50b"/>
    <xsd:import namespace="af275e38-f032-49d6-94c9-a01f89e0701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f275e38-f032-49d6-94c9-a01f89e0701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af275e38-f032-49d6-94c9-a01f89e07018">Documents Proposals Manager (DPM)</DPM_x0020_Author>
    <DPM_x0020_File_x0020_name xmlns="af275e38-f032-49d6-94c9-a01f89e07018">T13-WTSA.16-C-0059!!MSW-S</DPM_x0020_File_x0020_name>
    <DPM_x0020_Version xmlns="af275e38-f032-49d6-94c9-a01f89e07018">DPM_v2016.10.20.1_prod</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f275e38-f032-49d6-94c9-a01f89e070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dcmitype/"/>
    <ds:schemaRef ds:uri="http://schemas.microsoft.com/office/infopath/2007/PartnerControls"/>
    <ds:schemaRef ds:uri="http://schemas.microsoft.com/office/2006/metadata/properties"/>
    <ds:schemaRef ds:uri="http://purl.org/dc/elements/1.1/"/>
    <ds:schemaRef ds:uri="http://schemas.microsoft.com/office/2006/documentManagement/types"/>
    <ds:schemaRef ds:uri="http://www.w3.org/XML/1998/namespace"/>
    <ds:schemaRef ds:uri="http://schemas.openxmlformats.org/package/2006/metadata/core-properties"/>
    <ds:schemaRef ds:uri="af275e38-f032-49d6-94c9-a01f89e07018"/>
    <ds:schemaRef ds:uri="996b2e75-67fd-4955-a3b0-5ab9934cb50b"/>
    <ds:schemaRef ds:uri="http://purl.org/dc/terms/"/>
  </ds:schemaRefs>
</ds:datastoreItem>
</file>

<file path=customXml/itemProps3.xml><?xml version="1.0" encoding="utf-8"?>
<ds:datastoreItem xmlns:ds="http://schemas.openxmlformats.org/officeDocument/2006/customXml" ds:itemID="{1FDA85C9-608A-4544-BB93-2394EFEC1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6</Pages>
  <Words>2321</Words>
  <Characters>12959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T13-WTSA.16-C-0059!!MSW-S</vt:lpstr>
    </vt:vector>
  </TitlesOfParts>
  <Manager>Secretaría General - Pool</Manager>
  <Company>International Telecommunication Union (ITU)</Company>
  <LinksUpToDate>false</LinksUpToDate>
  <CharactersWithSpaces>15250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T13-WTSA.16-C-0059!!MSW-S</dc:title>
  <dc:subject>World Telecommunication Standardization Assembly</dc:subject>
  <dc:creator>Documents Proposals Manager (DPM)</dc:creator>
  <cp:keywords>DPM_v2016.10.20.1_prod</cp:keywords>
  <dc:description>Template used by DPM and CPI for the WTSA-16</dc:description>
  <cp:lastModifiedBy>Spanish</cp:lastModifiedBy>
  <cp:revision>15</cp:revision>
  <cp:lastPrinted>2016-03-08T15:23:00Z</cp:lastPrinted>
  <dcterms:created xsi:type="dcterms:W3CDTF">2016-10-24T13:19:00Z</dcterms:created>
  <dcterms:modified xsi:type="dcterms:W3CDTF">2016-10-24T15:32:00Z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