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9E44C8" w:rsidTr="00190D8B">
        <w:trPr>
          <w:cantSplit/>
        </w:trPr>
        <w:tc>
          <w:tcPr>
            <w:tcW w:w="1560" w:type="dxa"/>
          </w:tcPr>
          <w:p w:rsidR="00261604" w:rsidRPr="009E44C8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E44C8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9E44C8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E44C8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</w:t>
            </w:r>
            <w:proofErr w:type="gramStart"/>
            <w:r w:rsidRPr="009E44C8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9E44C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9E44C8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gramEnd"/>
            <w:r w:rsidRPr="009E44C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9E44C8" w:rsidRDefault="00261604" w:rsidP="00190D8B">
            <w:pPr>
              <w:spacing w:line="240" w:lineRule="atLeast"/>
              <w:jc w:val="right"/>
            </w:pPr>
            <w:r w:rsidRPr="009E44C8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E44C8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9E44C8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9E44C8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E44C8" w:rsidTr="00190D8B">
        <w:trPr>
          <w:cantSplit/>
        </w:trPr>
        <w:tc>
          <w:tcPr>
            <w:tcW w:w="6946" w:type="dxa"/>
            <w:gridSpan w:val="2"/>
          </w:tcPr>
          <w:p w:rsidR="00E11080" w:rsidRPr="009E44C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E44C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9E44C8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E44C8">
              <w:rPr>
                <w:rFonts w:ascii="Verdana" w:hAnsi="Verdana"/>
                <w:b/>
                <w:bCs/>
                <w:sz w:val="18"/>
                <w:szCs w:val="18"/>
              </w:rPr>
              <w:t>Документ 57-R</w:t>
            </w:r>
          </w:p>
        </w:tc>
      </w:tr>
      <w:tr w:rsidR="00E11080" w:rsidRPr="009E44C8" w:rsidTr="00190D8B">
        <w:trPr>
          <w:cantSplit/>
        </w:trPr>
        <w:tc>
          <w:tcPr>
            <w:tcW w:w="6946" w:type="dxa"/>
            <w:gridSpan w:val="2"/>
          </w:tcPr>
          <w:p w:rsidR="00E11080" w:rsidRPr="009E44C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9E44C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E44C8">
              <w:rPr>
                <w:rFonts w:ascii="Verdana" w:hAnsi="Verdana"/>
                <w:b/>
                <w:bCs/>
                <w:sz w:val="18"/>
                <w:szCs w:val="18"/>
              </w:rPr>
              <w:t>11 октября 2016 года</w:t>
            </w:r>
          </w:p>
        </w:tc>
      </w:tr>
      <w:tr w:rsidR="00E11080" w:rsidRPr="009E44C8" w:rsidTr="00190D8B">
        <w:trPr>
          <w:cantSplit/>
        </w:trPr>
        <w:tc>
          <w:tcPr>
            <w:tcW w:w="6946" w:type="dxa"/>
            <w:gridSpan w:val="2"/>
          </w:tcPr>
          <w:p w:rsidR="00E11080" w:rsidRPr="009E44C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9E44C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E44C8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E44C8" w:rsidTr="00190D8B">
        <w:trPr>
          <w:cantSplit/>
        </w:trPr>
        <w:tc>
          <w:tcPr>
            <w:tcW w:w="9781" w:type="dxa"/>
            <w:gridSpan w:val="4"/>
          </w:tcPr>
          <w:p w:rsidR="00E11080" w:rsidRPr="009E44C8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E44C8" w:rsidTr="00190D8B">
        <w:trPr>
          <w:cantSplit/>
        </w:trPr>
        <w:tc>
          <w:tcPr>
            <w:tcW w:w="9781" w:type="dxa"/>
            <w:gridSpan w:val="4"/>
          </w:tcPr>
          <w:p w:rsidR="00E11080" w:rsidRPr="009E44C8" w:rsidRDefault="00E11080" w:rsidP="00190D8B">
            <w:pPr>
              <w:pStyle w:val="Source"/>
            </w:pPr>
            <w:r w:rsidRPr="009E44C8">
              <w:rPr>
                <w:szCs w:val="26"/>
              </w:rPr>
              <w:t>Замбия (Республика)</w:t>
            </w:r>
          </w:p>
        </w:tc>
      </w:tr>
      <w:tr w:rsidR="00E11080" w:rsidRPr="009E44C8" w:rsidTr="00190D8B">
        <w:trPr>
          <w:cantSplit/>
        </w:trPr>
        <w:tc>
          <w:tcPr>
            <w:tcW w:w="9781" w:type="dxa"/>
            <w:gridSpan w:val="4"/>
          </w:tcPr>
          <w:p w:rsidR="00E11080" w:rsidRPr="009E44C8" w:rsidRDefault="00D13EAB" w:rsidP="00D13EAB">
            <w:pPr>
              <w:pStyle w:val="Title1"/>
            </w:pPr>
            <w:r w:rsidRPr="009E44C8">
              <w:rPr>
                <w:szCs w:val="26"/>
              </w:rPr>
              <w:t>ПРЕДЛОЖЕНИЕ НЕ ВНОСИТЬ ИЗМЕНЕНИЯ В РЕЗОЛЮЦИЮ 54 ВАСЭ-12 –</w:t>
            </w:r>
            <w:r w:rsidRPr="009E44C8">
              <w:t xml:space="preserve"> </w:t>
            </w:r>
            <w:r w:rsidRPr="009E44C8">
              <w:rPr>
                <w:szCs w:val="26"/>
              </w:rPr>
              <w:t>СОЗДАНИЕ РЕГИОНАЛЬНЫХ ГРУПП И ОКАЗАНИЕ ИМ ПОМОЩИ</w:t>
            </w:r>
          </w:p>
        </w:tc>
      </w:tr>
      <w:tr w:rsidR="00E11080" w:rsidRPr="009E44C8" w:rsidTr="00190D8B">
        <w:trPr>
          <w:cantSplit/>
        </w:trPr>
        <w:tc>
          <w:tcPr>
            <w:tcW w:w="9781" w:type="dxa"/>
            <w:gridSpan w:val="4"/>
          </w:tcPr>
          <w:p w:rsidR="00E11080" w:rsidRPr="009E44C8" w:rsidRDefault="00E11080" w:rsidP="00190D8B">
            <w:pPr>
              <w:pStyle w:val="Title2"/>
            </w:pPr>
          </w:p>
        </w:tc>
      </w:tr>
      <w:tr w:rsidR="00E11080" w:rsidRPr="009E44C8" w:rsidTr="00190D8B">
        <w:trPr>
          <w:cantSplit/>
        </w:trPr>
        <w:tc>
          <w:tcPr>
            <w:tcW w:w="9781" w:type="dxa"/>
            <w:gridSpan w:val="4"/>
          </w:tcPr>
          <w:p w:rsidR="00E11080" w:rsidRPr="009E44C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9E44C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9E44C8" w:rsidTr="00193AD1">
        <w:trPr>
          <w:cantSplit/>
        </w:trPr>
        <w:tc>
          <w:tcPr>
            <w:tcW w:w="1560" w:type="dxa"/>
          </w:tcPr>
          <w:p w:rsidR="001434F1" w:rsidRPr="009E44C8" w:rsidRDefault="001434F1" w:rsidP="00193AD1">
            <w:r w:rsidRPr="009E44C8">
              <w:rPr>
                <w:b/>
                <w:bCs/>
                <w:szCs w:val="22"/>
              </w:rPr>
              <w:t>Резюме</w:t>
            </w:r>
            <w:r w:rsidRPr="009E44C8">
              <w:t>:</w:t>
            </w:r>
          </w:p>
        </w:tc>
        <w:sdt>
          <w:sdtPr>
            <w:rPr>
              <w:szCs w:val="22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9E44C8" w:rsidRDefault="00D13EAB" w:rsidP="00D37CCC">
                <w:pPr>
                  <w:rPr>
                    <w:color w:val="000000" w:themeColor="text1"/>
                  </w:rPr>
                </w:pPr>
                <w:r w:rsidRPr="009E44C8">
                  <w:rPr>
                    <w:szCs w:val="22"/>
                  </w:rPr>
                  <w:t>Настоящий вклад содержит замечания по поводу Дополнительного документа 8 к Документу 47 о региональных группах и предлагаемого проекта пересмотра Резолюции 54, а также по поводу Дополнительного документа 14 к Документу 48 и предлагаемого изменения Резолюции 54 "Создание региональных групп и оказание им помощи". Он завершается предложением не вносить изменения в Резолюцию 54.</w:t>
                </w:r>
              </w:p>
            </w:tc>
          </w:sdtContent>
        </w:sdt>
      </w:tr>
    </w:tbl>
    <w:p w:rsidR="00D13EAB" w:rsidRPr="009E44C8" w:rsidRDefault="00D13EAB" w:rsidP="009E44C8">
      <w:pPr>
        <w:pStyle w:val="Headingb"/>
        <w:rPr>
          <w:lang w:val="ru-RU"/>
        </w:rPr>
      </w:pPr>
      <w:r w:rsidRPr="009E44C8">
        <w:rPr>
          <w:lang w:val="ru-RU"/>
        </w:rPr>
        <w:t>Обсуждение</w:t>
      </w:r>
    </w:p>
    <w:p w:rsidR="00D13EAB" w:rsidRPr="009E44C8" w:rsidRDefault="00D13EAB" w:rsidP="009E44C8">
      <w:r w:rsidRPr="009E44C8">
        <w:t>В Дополнительном документе 8 к Документу 47 предлагается иметь по одной региональной группе на каждый регион, аккредитованный в соответствующих исследовательских комиссиях МСЭ-Т. Может показаться, что это в определенной мере обеспечивает синергетический эффект и экономию, однако следует учитывать практические следствия и возможные подводные камни в связи с таким предложением. На наш взгляд, создание одной региональной группы на каждый регион, аккредитованный в ИК МСЭ-Т по рассматриваемой тематике, может в действительности поставить некоторые группы в невыгодное положение с учетом следующего.</w:t>
      </w:r>
    </w:p>
    <w:p w:rsidR="00D13EAB" w:rsidRPr="009E44C8" w:rsidRDefault="009E44C8" w:rsidP="009E44C8">
      <w:pPr>
        <w:pStyle w:val="Heading1"/>
        <w:rPr>
          <w:lang w:val="ru-RU"/>
        </w:rPr>
      </w:pPr>
      <w:r w:rsidRPr="009E44C8">
        <w:rPr>
          <w:lang w:val="ru-RU"/>
        </w:rPr>
        <w:t>1</w:t>
      </w:r>
      <w:r w:rsidR="00D13EAB" w:rsidRPr="009E44C8">
        <w:rPr>
          <w:lang w:val="ru-RU"/>
        </w:rPr>
        <w:tab/>
        <w:t>Разнообразие и слабая взаимосвязь мандатов</w:t>
      </w:r>
    </w:p>
    <w:p w:rsidR="0092220F" w:rsidRPr="009E44C8" w:rsidRDefault="00D13EAB" w:rsidP="009E44C8">
      <w:r w:rsidRPr="009E44C8">
        <w:t>Документ 47 подчеркивает все возрастающую взаимоувязанность рассматриваемых вопросов по актуальным направлениям исследований как один из основных мотивов, побудивших выдвинуть указанное предложение. Однако приведенная ниже таблица демонстрирует, насколько разнообразны – а в ряде случаев и вовсе не связаны между собой – направления деятельности исследовательских комиссий.</w:t>
      </w:r>
    </w:p>
    <w:p w:rsidR="00D13EAB" w:rsidRPr="009E44C8" w:rsidRDefault="00D13EA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E44C8">
        <w:br w:type="page"/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977"/>
        <w:gridCol w:w="7799"/>
      </w:tblGrid>
      <w:tr w:rsidR="00D13EAB" w:rsidRPr="009E44C8" w:rsidTr="00D73E92">
        <w:trPr>
          <w:jc w:val="center"/>
        </w:trPr>
        <w:tc>
          <w:tcPr>
            <w:tcW w:w="1977" w:type="dxa"/>
            <w:vAlign w:val="center"/>
          </w:tcPr>
          <w:p w:rsidR="00D13EAB" w:rsidRPr="009E44C8" w:rsidRDefault="00D13EAB" w:rsidP="009E44C8">
            <w:pPr>
              <w:pStyle w:val="Tablehead"/>
              <w:rPr>
                <w:lang w:val="ru-RU"/>
              </w:rPr>
            </w:pPr>
            <w:r w:rsidRPr="009E44C8">
              <w:rPr>
                <w:lang w:val="ru-RU"/>
              </w:rPr>
              <w:lastRenderedPageBreak/>
              <w:t>Исследовательская комиссия</w:t>
            </w:r>
          </w:p>
        </w:tc>
        <w:tc>
          <w:tcPr>
            <w:tcW w:w="7799" w:type="dxa"/>
            <w:vAlign w:val="center"/>
          </w:tcPr>
          <w:p w:rsidR="00D13EAB" w:rsidRPr="009E44C8" w:rsidRDefault="00D13EAB" w:rsidP="009E44C8">
            <w:pPr>
              <w:pStyle w:val="Tablehead"/>
              <w:rPr>
                <w:lang w:val="ru-RU"/>
              </w:rPr>
            </w:pPr>
            <w:r w:rsidRPr="009E44C8">
              <w:rPr>
                <w:lang w:val="ru-RU"/>
              </w:rPr>
              <w:t>Мандат/сфера ответственности</w:t>
            </w:r>
          </w:p>
        </w:tc>
      </w:tr>
      <w:tr w:rsidR="00D13EAB" w:rsidRPr="009E44C8" w:rsidTr="00D73E92">
        <w:trPr>
          <w:jc w:val="center"/>
        </w:trPr>
        <w:tc>
          <w:tcPr>
            <w:tcW w:w="1977" w:type="dxa"/>
          </w:tcPr>
          <w:p w:rsidR="00D13EAB" w:rsidRPr="009E44C8" w:rsidRDefault="00D13EAB" w:rsidP="009E44C8">
            <w:pPr>
              <w:pStyle w:val="Tabletext"/>
              <w:jc w:val="center"/>
            </w:pPr>
            <w:r w:rsidRPr="009E44C8">
              <w:t>2</w:t>
            </w:r>
          </w:p>
        </w:tc>
        <w:tc>
          <w:tcPr>
            <w:tcW w:w="7799" w:type="dxa"/>
          </w:tcPr>
          <w:p w:rsidR="00D13EAB" w:rsidRPr="009E44C8" w:rsidRDefault="00D13EAB" w:rsidP="009E44C8">
            <w:pPr>
              <w:pStyle w:val="Tabletext"/>
            </w:pPr>
            <w:r w:rsidRPr="009E44C8">
              <w:t>Эксплуатационные аспекты предоставления услуг и управление электросвязью</w:t>
            </w:r>
          </w:p>
        </w:tc>
      </w:tr>
      <w:tr w:rsidR="00D13EAB" w:rsidRPr="009E44C8" w:rsidTr="00D73E92">
        <w:trPr>
          <w:jc w:val="center"/>
        </w:trPr>
        <w:tc>
          <w:tcPr>
            <w:tcW w:w="1977" w:type="dxa"/>
          </w:tcPr>
          <w:p w:rsidR="00D13EAB" w:rsidRPr="009E44C8" w:rsidRDefault="00D13EAB" w:rsidP="009E44C8">
            <w:pPr>
              <w:pStyle w:val="Tabletext"/>
              <w:jc w:val="center"/>
            </w:pPr>
            <w:r w:rsidRPr="009E44C8">
              <w:t>3</w:t>
            </w:r>
          </w:p>
        </w:tc>
        <w:tc>
          <w:tcPr>
            <w:tcW w:w="7799" w:type="dxa"/>
          </w:tcPr>
          <w:p w:rsidR="00D13EAB" w:rsidRPr="009E44C8" w:rsidRDefault="00D13EAB" w:rsidP="009E44C8">
            <w:pPr>
              <w:pStyle w:val="Tabletext"/>
            </w:pPr>
            <w:r w:rsidRPr="009E44C8">
              <w:t>Принципы тарификации и учета, включая соответствующие экономические и стратегические вопросы электросвязи</w:t>
            </w:r>
          </w:p>
        </w:tc>
      </w:tr>
      <w:tr w:rsidR="00D13EAB" w:rsidRPr="009E44C8" w:rsidTr="00D73E92">
        <w:trPr>
          <w:jc w:val="center"/>
        </w:trPr>
        <w:tc>
          <w:tcPr>
            <w:tcW w:w="1977" w:type="dxa"/>
          </w:tcPr>
          <w:p w:rsidR="00D13EAB" w:rsidRPr="009E44C8" w:rsidRDefault="00D13EAB" w:rsidP="009E44C8">
            <w:pPr>
              <w:pStyle w:val="Tabletext"/>
              <w:jc w:val="center"/>
            </w:pPr>
            <w:r w:rsidRPr="009E44C8">
              <w:t>5</w:t>
            </w:r>
          </w:p>
        </w:tc>
        <w:tc>
          <w:tcPr>
            <w:tcW w:w="7799" w:type="dxa"/>
          </w:tcPr>
          <w:p w:rsidR="00D13EAB" w:rsidRPr="009E44C8" w:rsidRDefault="00D13EAB" w:rsidP="009E44C8">
            <w:pPr>
              <w:pStyle w:val="Tabletext"/>
            </w:pPr>
            <w:r w:rsidRPr="009E44C8">
              <w:t>Окружающая среда и изменение климата</w:t>
            </w:r>
          </w:p>
        </w:tc>
      </w:tr>
      <w:tr w:rsidR="00D13EAB" w:rsidRPr="009E44C8" w:rsidTr="00D73E92">
        <w:trPr>
          <w:jc w:val="center"/>
        </w:trPr>
        <w:tc>
          <w:tcPr>
            <w:tcW w:w="1977" w:type="dxa"/>
          </w:tcPr>
          <w:p w:rsidR="00D13EAB" w:rsidRPr="009E44C8" w:rsidRDefault="00D13EAB" w:rsidP="009E44C8">
            <w:pPr>
              <w:pStyle w:val="Tabletext"/>
              <w:jc w:val="center"/>
            </w:pPr>
            <w:r w:rsidRPr="009E44C8">
              <w:t>9</w:t>
            </w:r>
          </w:p>
        </w:tc>
        <w:tc>
          <w:tcPr>
            <w:tcW w:w="7799" w:type="dxa"/>
          </w:tcPr>
          <w:p w:rsidR="00D13EAB" w:rsidRPr="009E44C8" w:rsidRDefault="00D13EAB" w:rsidP="009E44C8">
            <w:pPr>
              <w:pStyle w:val="Tabletext"/>
            </w:pPr>
            <w:r w:rsidRPr="009E44C8">
              <w:t>Передача телевизионных и звуковых сигналов и интегрированные широкополосные кабельные сети</w:t>
            </w:r>
          </w:p>
        </w:tc>
      </w:tr>
      <w:tr w:rsidR="00D13EAB" w:rsidRPr="009E44C8" w:rsidTr="00D73E92">
        <w:trPr>
          <w:jc w:val="center"/>
        </w:trPr>
        <w:tc>
          <w:tcPr>
            <w:tcW w:w="1977" w:type="dxa"/>
          </w:tcPr>
          <w:p w:rsidR="00D13EAB" w:rsidRPr="009E44C8" w:rsidRDefault="00D13EAB" w:rsidP="009E44C8">
            <w:pPr>
              <w:pStyle w:val="Tabletext"/>
              <w:jc w:val="center"/>
            </w:pPr>
            <w:r w:rsidRPr="009E44C8">
              <w:t>11</w:t>
            </w:r>
          </w:p>
        </w:tc>
        <w:tc>
          <w:tcPr>
            <w:tcW w:w="7799" w:type="dxa"/>
          </w:tcPr>
          <w:p w:rsidR="00D13EAB" w:rsidRPr="009E44C8" w:rsidRDefault="00D13EAB" w:rsidP="009E44C8">
            <w:pPr>
              <w:pStyle w:val="Tabletext"/>
            </w:pPr>
            <w:r w:rsidRPr="009E44C8">
              <w:t>Требования к сигнализации, протоколы и спецификации тестирования</w:t>
            </w:r>
          </w:p>
        </w:tc>
      </w:tr>
      <w:tr w:rsidR="00D13EAB" w:rsidRPr="009E44C8" w:rsidTr="00D73E92">
        <w:trPr>
          <w:jc w:val="center"/>
        </w:trPr>
        <w:tc>
          <w:tcPr>
            <w:tcW w:w="1977" w:type="dxa"/>
          </w:tcPr>
          <w:p w:rsidR="00D13EAB" w:rsidRPr="009E44C8" w:rsidRDefault="00D13EAB" w:rsidP="009E44C8">
            <w:pPr>
              <w:pStyle w:val="Tabletext"/>
              <w:jc w:val="center"/>
            </w:pPr>
            <w:r w:rsidRPr="009E44C8">
              <w:t>12</w:t>
            </w:r>
          </w:p>
        </w:tc>
        <w:tc>
          <w:tcPr>
            <w:tcW w:w="7799" w:type="dxa"/>
          </w:tcPr>
          <w:p w:rsidR="00D13EAB" w:rsidRPr="009E44C8" w:rsidRDefault="00D13EAB" w:rsidP="009E44C8">
            <w:pPr>
              <w:pStyle w:val="Tabletext"/>
            </w:pPr>
            <w:r w:rsidRPr="009E44C8">
              <w:t>Показатели работы, качество обслуживания и оценка пользователем качества услуги</w:t>
            </w:r>
          </w:p>
        </w:tc>
      </w:tr>
      <w:tr w:rsidR="00D13EAB" w:rsidRPr="009E44C8" w:rsidTr="00D73E92">
        <w:trPr>
          <w:jc w:val="center"/>
        </w:trPr>
        <w:tc>
          <w:tcPr>
            <w:tcW w:w="1977" w:type="dxa"/>
          </w:tcPr>
          <w:p w:rsidR="00D13EAB" w:rsidRPr="009E44C8" w:rsidRDefault="00D13EAB" w:rsidP="009E44C8">
            <w:pPr>
              <w:pStyle w:val="Tabletext"/>
              <w:jc w:val="center"/>
            </w:pPr>
            <w:r w:rsidRPr="009E44C8">
              <w:t>13</w:t>
            </w:r>
          </w:p>
        </w:tc>
        <w:tc>
          <w:tcPr>
            <w:tcW w:w="7799" w:type="dxa"/>
          </w:tcPr>
          <w:p w:rsidR="00D13EAB" w:rsidRPr="009E44C8" w:rsidRDefault="00D13EAB" w:rsidP="009E44C8">
            <w:pPr>
              <w:pStyle w:val="Tabletext"/>
            </w:pPr>
            <w:r w:rsidRPr="009E44C8">
              <w:t>Будущие сети, включая облачные вычисления, сети подвижной связи и сети последующих поколений</w:t>
            </w:r>
          </w:p>
        </w:tc>
      </w:tr>
      <w:tr w:rsidR="00D13EAB" w:rsidRPr="009E44C8" w:rsidTr="00D73E92">
        <w:trPr>
          <w:jc w:val="center"/>
        </w:trPr>
        <w:tc>
          <w:tcPr>
            <w:tcW w:w="1977" w:type="dxa"/>
          </w:tcPr>
          <w:p w:rsidR="00D13EAB" w:rsidRPr="009E44C8" w:rsidRDefault="00D13EAB" w:rsidP="009E44C8">
            <w:pPr>
              <w:pStyle w:val="Tabletext"/>
              <w:jc w:val="center"/>
            </w:pPr>
            <w:r w:rsidRPr="009E44C8">
              <w:t>15</w:t>
            </w:r>
          </w:p>
        </w:tc>
        <w:tc>
          <w:tcPr>
            <w:tcW w:w="7799" w:type="dxa"/>
          </w:tcPr>
          <w:p w:rsidR="00D13EAB" w:rsidRPr="009E44C8" w:rsidRDefault="00D13EAB" w:rsidP="009E44C8">
            <w:pPr>
              <w:pStyle w:val="Tabletext"/>
            </w:pPr>
            <w:r w:rsidRPr="009E44C8">
              <w:t>Сети, технологии и инфраструктура для транспортирования, доступа и жилищ</w:t>
            </w:r>
          </w:p>
        </w:tc>
      </w:tr>
      <w:tr w:rsidR="00D13EAB" w:rsidRPr="009E44C8" w:rsidTr="00D73E92">
        <w:trPr>
          <w:jc w:val="center"/>
        </w:trPr>
        <w:tc>
          <w:tcPr>
            <w:tcW w:w="1977" w:type="dxa"/>
          </w:tcPr>
          <w:p w:rsidR="00D13EAB" w:rsidRPr="009E44C8" w:rsidRDefault="00D13EAB" w:rsidP="009E44C8">
            <w:pPr>
              <w:pStyle w:val="Tabletext"/>
              <w:jc w:val="center"/>
            </w:pPr>
            <w:r w:rsidRPr="009E44C8">
              <w:t>16</w:t>
            </w:r>
          </w:p>
        </w:tc>
        <w:tc>
          <w:tcPr>
            <w:tcW w:w="7799" w:type="dxa"/>
          </w:tcPr>
          <w:p w:rsidR="00D13EAB" w:rsidRPr="009E44C8" w:rsidRDefault="00D13EAB" w:rsidP="009E44C8">
            <w:pPr>
              <w:pStyle w:val="Tabletext"/>
            </w:pPr>
            <w:r w:rsidRPr="009E44C8">
              <w:t>Кодирование, системы и приложения мультимедиа</w:t>
            </w:r>
          </w:p>
        </w:tc>
      </w:tr>
      <w:tr w:rsidR="00233C7D" w:rsidRPr="009E44C8" w:rsidTr="002904C2">
        <w:trPr>
          <w:jc w:val="center"/>
        </w:trPr>
        <w:tc>
          <w:tcPr>
            <w:tcW w:w="1977" w:type="dxa"/>
          </w:tcPr>
          <w:p w:rsidR="00D13EAB" w:rsidRPr="009E44C8" w:rsidRDefault="00D13EAB" w:rsidP="009E44C8">
            <w:pPr>
              <w:pStyle w:val="Tabletext"/>
              <w:jc w:val="center"/>
            </w:pPr>
            <w:r w:rsidRPr="009E44C8">
              <w:t>17</w:t>
            </w:r>
          </w:p>
        </w:tc>
        <w:tc>
          <w:tcPr>
            <w:tcW w:w="7799" w:type="dxa"/>
          </w:tcPr>
          <w:p w:rsidR="00D13EAB" w:rsidRPr="009E44C8" w:rsidRDefault="00D13EAB" w:rsidP="009E44C8">
            <w:pPr>
              <w:pStyle w:val="Tabletext"/>
            </w:pPr>
            <w:r w:rsidRPr="009E44C8">
              <w:t>Безопасность</w:t>
            </w:r>
          </w:p>
        </w:tc>
      </w:tr>
    </w:tbl>
    <w:p w:rsidR="00D13EAB" w:rsidRPr="009E44C8" w:rsidRDefault="00D13EAB" w:rsidP="009E44C8">
      <w:r w:rsidRPr="009E44C8">
        <w:t xml:space="preserve">Побочным эффектом слияния региональных групп вышеуказанных исследовательских комиссий в одну станет не только дополнительное административное бремя, связанное с необходимостью организовывать совещания и мобилизовать весь профильный персонал МСЭ и делегатов в столь широком спектре предметных областей, но и то, что некоторые группы могут оказаться в тени более активных и представительных групп. </w:t>
      </w:r>
    </w:p>
    <w:p w:rsidR="00D13EAB" w:rsidRPr="009E44C8" w:rsidRDefault="009E44C8" w:rsidP="009E44C8">
      <w:pPr>
        <w:pStyle w:val="Heading1"/>
        <w:rPr>
          <w:lang w:val="ru-RU"/>
        </w:rPr>
      </w:pPr>
      <w:r w:rsidRPr="009E44C8">
        <w:rPr>
          <w:lang w:val="ru-RU"/>
        </w:rPr>
        <w:t>2</w:t>
      </w:r>
      <w:r w:rsidR="00D13EAB" w:rsidRPr="009E44C8">
        <w:rPr>
          <w:lang w:val="ru-RU"/>
        </w:rPr>
        <w:tab/>
        <w:t>Уровень зрелости и активности</w:t>
      </w:r>
    </w:p>
    <w:p w:rsidR="00D13EAB" w:rsidRPr="009E44C8" w:rsidRDefault="00D13EAB" w:rsidP="009E44C8">
      <w:r w:rsidRPr="009E44C8">
        <w:t>3-я Исследовательская комиссия одной из первых занялась развитием региональных групп; сейчас их в ней шесть. Эти группы существуют дольше всех и отличаются наибольшей зрелостью. Слияние региональных групп поставит под удар те из них, которые были активны и у которых было запланировано большое количество совещаний на протяжении всего года.</w:t>
      </w:r>
    </w:p>
    <w:p w:rsidR="00D13EAB" w:rsidRPr="009E44C8" w:rsidRDefault="00D13EAB" w:rsidP="009E44C8">
      <w:r w:rsidRPr="009E44C8">
        <w:t>Например, в 2016 году Африканская группа 3-й Исследовательской комиссии была самой активной и получила 41 вклад, тогда как другие исследовательские комиссии – не более четырех, как показано на приведенной ниже диаграмме.</w:t>
      </w:r>
    </w:p>
    <w:p w:rsidR="00D13EAB" w:rsidRPr="009E44C8" w:rsidRDefault="00B1096A" w:rsidP="002904C2">
      <w:pPr>
        <w:pStyle w:val="Figure"/>
        <w:keepNext w:val="0"/>
        <w:keepLines w:val="0"/>
        <w:spacing w:before="360"/>
      </w:pPr>
      <w:r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D5C93" wp14:editId="726559C0">
                <wp:simplePos x="0" y="0"/>
                <wp:positionH relativeFrom="column">
                  <wp:posOffset>1130656</wp:posOffset>
                </wp:positionH>
                <wp:positionV relativeFrom="paragraph">
                  <wp:posOffset>2689911</wp:posOffset>
                </wp:positionV>
                <wp:extent cx="3979265" cy="197510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265" cy="1975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96A" w:rsidRPr="00B1096A" w:rsidRDefault="00B1096A" w:rsidP="00B1096A">
                            <w:pPr>
                              <w:tabs>
                                <w:tab w:val="clear" w:pos="1134"/>
                                <w:tab w:val="clear" w:pos="1871"/>
                                <w:tab w:val="clear" w:pos="2268"/>
                                <w:tab w:val="left" w:pos="84"/>
                                <w:tab w:val="left" w:pos="1190"/>
                                <w:tab w:val="left" w:pos="2324"/>
                                <w:tab w:val="left" w:pos="3430"/>
                                <w:tab w:val="left" w:pos="4494"/>
                                <w:tab w:val="left" w:pos="5558"/>
                              </w:tabs>
                              <w:spacing w:before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Pr="00B1096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ИК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ИК3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ИК5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ИК12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ИК13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ИК17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D5C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9.05pt;margin-top:211.8pt;width:313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" fillcolor="#404040 [2429]" stroked="f" strokeweight=".5pt">
                <v:textbox>
                  <w:txbxContent>
                    <w:p w:rsidR="00B1096A" w:rsidRPr="00B1096A" w:rsidRDefault="00B1096A" w:rsidP="00B1096A">
                      <w:pPr>
                        <w:tabs>
                          <w:tab w:val="clear" w:pos="1134"/>
                          <w:tab w:val="clear" w:pos="1871"/>
                          <w:tab w:val="clear" w:pos="2268"/>
                          <w:tab w:val="left" w:pos="84"/>
                          <w:tab w:val="left" w:pos="1190"/>
                          <w:tab w:val="left" w:pos="2324"/>
                          <w:tab w:val="left" w:pos="3430"/>
                          <w:tab w:val="left" w:pos="4494"/>
                          <w:tab w:val="left" w:pos="5558"/>
                        </w:tabs>
                        <w:spacing w:before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B1096A">
                        <w:rPr>
                          <w:color w:val="FFFFFF" w:themeColor="background1"/>
                          <w:sz w:val="16"/>
                          <w:szCs w:val="16"/>
                        </w:rPr>
                        <w:t>ИК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  <w:proofErr w:type="spellEnd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ИК3</w:t>
                      </w:r>
                      <w:proofErr w:type="spellEnd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ИК5</w:t>
                      </w:r>
                      <w:proofErr w:type="spellEnd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ИК12</w:t>
                      </w:r>
                      <w:proofErr w:type="spellEnd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ИК13</w:t>
                      </w:r>
                      <w:proofErr w:type="spellEnd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ИК17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13EAB" w:rsidRPr="009E44C8">
        <w:rPr>
          <w:noProof/>
          <w:lang w:val="en-GB" w:eastAsia="zh-CN"/>
        </w:rPr>
        <w:drawing>
          <wp:inline distT="0" distB="0" distL="0" distR="0" wp14:anchorId="27C8D99A" wp14:editId="5F50C0E9">
            <wp:extent cx="4651513" cy="2703195"/>
            <wp:effectExtent l="0" t="0" r="0" b="190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3EAB" w:rsidRPr="009E44C8" w:rsidRDefault="00D13EAB" w:rsidP="002904C2">
      <w:pPr>
        <w:pStyle w:val="Figuretitle"/>
        <w:keepNext w:val="0"/>
        <w:keepLines w:val="0"/>
        <w:spacing w:before="120"/>
      </w:pPr>
      <w:r w:rsidRPr="009E44C8">
        <w:t>Слияние вышеуказанн</w:t>
      </w:r>
      <w:bookmarkStart w:id="0" w:name="_GoBack"/>
      <w:bookmarkEnd w:id="0"/>
      <w:r w:rsidRPr="009E44C8">
        <w:t>ых исследовательских комиссий в конечном счете поставит в невыгодное положение менее активные группы, а также снизит эффективность работы региональных групп 3-й Исследовательской комиссии</w:t>
      </w:r>
    </w:p>
    <w:p w:rsidR="00D13EAB" w:rsidRPr="009E44C8" w:rsidRDefault="00D13EAB" w:rsidP="009E44C8">
      <w:r w:rsidRPr="009E44C8">
        <w:lastRenderedPageBreak/>
        <w:t>Более того, 3-я Исследовательская комиссия была определена как уникальная платформа в соответствии с разделом 9.2.1 Резолюции 1, который дает ей полномочия на разработку и, в частности, гласит: "Региональная группа 3-й Исследовательской комиссии принимает решение о применении этой процедуры (TAP/AAP) самостоятельно только в целях установления региональных тарифов". Слияние региональных групп в конечном счете повлияет на статус 3</w:t>
      </w:r>
      <w:r w:rsidRPr="009E44C8">
        <w:noBreakHyphen/>
        <w:t>й Исследовательской комиссии.</w:t>
      </w:r>
    </w:p>
    <w:p w:rsidR="00D13EAB" w:rsidRPr="009E44C8" w:rsidRDefault="00D13EAB" w:rsidP="009E44C8">
      <w:pPr>
        <w:rPr>
          <w:szCs w:val="22"/>
        </w:rPr>
      </w:pPr>
      <w:r w:rsidRPr="009E44C8">
        <w:rPr>
          <w:szCs w:val="22"/>
        </w:rPr>
        <w:t>Формулировка одного из предлагаемых изменений, приведенная в Дополнительном документе 14 к Документу 48, такова: "Все Государства – Члены Союза и Члены Сектора T приглашаются к участию во всех совещаниях региональных групп исследовательских комиссий МСЭ-Т".</w:t>
      </w:r>
    </w:p>
    <w:p w:rsidR="00D13EAB" w:rsidRPr="009E44C8" w:rsidRDefault="00D13EAB" w:rsidP="009E44C8">
      <w:pPr>
        <w:rPr>
          <w:szCs w:val="22"/>
        </w:rPr>
      </w:pPr>
      <w:r w:rsidRPr="009E44C8">
        <w:rPr>
          <w:szCs w:val="22"/>
        </w:rPr>
        <w:t>По нашему мнению, региональные группы учреждаются для того, чтобы лучше учесть нужды и заботы конкретного региона в определенной сфере. Исходя из этого приглашение государств региона, не являющихся членами Союза, и Членов Сектора к участию в совещаниях региональных групп будет контрпродуктивным и может привести к искажению духа Резолюции 54 в части учета конкретных нужд и забот региона.</w:t>
      </w:r>
    </w:p>
    <w:p w:rsidR="00D13EAB" w:rsidRPr="009E44C8" w:rsidRDefault="00D13EAB" w:rsidP="009E44C8">
      <w:pPr>
        <w:pStyle w:val="Headingb"/>
        <w:rPr>
          <w:lang w:val="ru-RU"/>
        </w:rPr>
      </w:pPr>
      <w:r w:rsidRPr="009E44C8">
        <w:rPr>
          <w:lang w:val="ru-RU"/>
        </w:rPr>
        <w:t>Предложение</w:t>
      </w:r>
    </w:p>
    <w:p w:rsidR="00D13EAB" w:rsidRPr="009E44C8" w:rsidRDefault="00D13EAB" w:rsidP="009E44C8">
      <w:r w:rsidRPr="009E44C8">
        <w:t xml:space="preserve">Ввиду вышесказанного предлагаем не вносить в Резолюцию 54 изменения, предложенные в Дополнительном документе 8 к Документу 47 с конкретной ссылкой на пункт g) раздела </w:t>
      </w:r>
      <w:r w:rsidRPr="009E44C8">
        <w:rPr>
          <w:i/>
        </w:rPr>
        <w:t>отмечая</w:t>
      </w:r>
      <w:r w:rsidRPr="009E44C8">
        <w:t xml:space="preserve"> и пункты 1, 2 и 3 раздела </w:t>
      </w:r>
      <w:r w:rsidRPr="009E44C8">
        <w:rPr>
          <w:i/>
        </w:rPr>
        <w:t>решает</w:t>
      </w:r>
      <w:r w:rsidRPr="009E44C8">
        <w:t xml:space="preserve"> предлагаемой пересмотренной Резолюции, </w:t>
      </w:r>
      <w:r w:rsidRPr="009E44C8">
        <w:br/>
        <w:t xml:space="preserve">а также в Дополнительном документе 14 к Документу 48 с конкретной ссылкой на пункт 3 раздела </w:t>
      </w:r>
      <w:r w:rsidRPr="009E44C8">
        <w:rPr>
          <w:i/>
        </w:rPr>
        <w:t>решает</w:t>
      </w:r>
      <w:r w:rsidRPr="009E44C8">
        <w:t xml:space="preserve"> предлагаемой пересмотренной Резолюции.</w:t>
      </w:r>
    </w:p>
    <w:p w:rsidR="0092220F" w:rsidRPr="009E44C8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E44C8">
        <w:br w:type="page"/>
      </w:r>
    </w:p>
    <w:p w:rsidR="00A571C0" w:rsidRPr="009E44C8" w:rsidRDefault="00656521">
      <w:pPr>
        <w:pStyle w:val="Proposal"/>
      </w:pPr>
      <w:r w:rsidRPr="009E44C8">
        <w:rPr>
          <w:u w:val="single"/>
        </w:rPr>
        <w:lastRenderedPageBreak/>
        <w:t>NOC</w:t>
      </w:r>
      <w:r w:rsidRPr="009E44C8">
        <w:tab/>
        <w:t>ZMB/57/1</w:t>
      </w:r>
    </w:p>
    <w:p w:rsidR="001C7B7E" w:rsidRPr="009E44C8" w:rsidRDefault="00656521" w:rsidP="0034000C">
      <w:pPr>
        <w:pStyle w:val="ResNo"/>
      </w:pPr>
      <w:r w:rsidRPr="009E44C8">
        <w:t xml:space="preserve">РЕЗОЛЮЦИЯ </w:t>
      </w:r>
      <w:r w:rsidRPr="009E44C8">
        <w:rPr>
          <w:rStyle w:val="href"/>
        </w:rPr>
        <w:t>54</w:t>
      </w:r>
      <w:r w:rsidRPr="009E44C8">
        <w:t xml:space="preserve"> (Пересм. Дубай, 2012 г.)</w:t>
      </w:r>
    </w:p>
    <w:p w:rsidR="001C7B7E" w:rsidRPr="009E44C8" w:rsidRDefault="00656521" w:rsidP="001C7B7E">
      <w:pPr>
        <w:pStyle w:val="Restitle"/>
        <w:snapToGrid w:val="0"/>
      </w:pPr>
      <w:bookmarkStart w:id="1" w:name="_Toc349120788"/>
      <w:r w:rsidRPr="009E44C8">
        <w:t>Создание региональных групп и оказание им помощи</w:t>
      </w:r>
      <w:bookmarkEnd w:id="1"/>
    </w:p>
    <w:p w:rsidR="001C7B7E" w:rsidRPr="009E44C8" w:rsidRDefault="00656521" w:rsidP="001C7B7E">
      <w:pPr>
        <w:pStyle w:val="Resref"/>
        <w:snapToGrid w:val="0"/>
      </w:pPr>
      <w:r w:rsidRPr="009E44C8">
        <w:t>(Флорианополис, 2004 г.; Йоханнесбург, 2008 г.; Дубай, 2012 г.)</w:t>
      </w:r>
    </w:p>
    <w:p w:rsidR="001C7B7E" w:rsidRPr="009E44C8" w:rsidRDefault="00656521" w:rsidP="001C7B7E">
      <w:pPr>
        <w:pStyle w:val="Normalaftertitle"/>
        <w:snapToGrid w:val="0"/>
      </w:pPr>
      <w:r w:rsidRPr="009E44C8">
        <w:t>Всемирная ассамблея по стандартизации электросвязи (Дубай, 2012 г.),</w:t>
      </w:r>
    </w:p>
    <w:p w:rsidR="00D37CCC" w:rsidRPr="009E44C8" w:rsidRDefault="00656521" w:rsidP="0032202E">
      <w:pPr>
        <w:pStyle w:val="Reasons"/>
      </w:pPr>
      <w:proofErr w:type="gramStart"/>
      <w:r w:rsidRPr="009E44C8">
        <w:rPr>
          <w:b/>
        </w:rPr>
        <w:t>Основания</w:t>
      </w:r>
      <w:r w:rsidRPr="009E44C8">
        <w:rPr>
          <w:bCs/>
        </w:rPr>
        <w:t>:</w:t>
      </w:r>
      <w:r w:rsidRPr="009E44C8">
        <w:tab/>
      </w:r>
      <w:proofErr w:type="gramEnd"/>
      <w:r w:rsidR="00D37CCC" w:rsidRPr="009E44C8">
        <w:rPr>
          <w:szCs w:val="22"/>
        </w:rPr>
        <w:t>См. разделы "Обсуждение" и "Предложение" Документа 57 ВАСЭ-16.</w:t>
      </w:r>
    </w:p>
    <w:p w:rsidR="00A571C0" w:rsidRPr="009E44C8" w:rsidRDefault="00D37CCC" w:rsidP="00D37CCC">
      <w:pPr>
        <w:spacing w:before="720"/>
        <w:jc w:val="center"/>
      </w:pPr>
      <w:r w:rsidRPr="009E44C8">
        <w:t>______________</w:t>
      </w:r>
    </w:p>
    <w:sectPr w:rsidR="00A571C0" w:rsidRPr="009E44C8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521" w:rsidRDefault="00656521">
      <w:r>
        <w:separator/>
      </w:r>
    </w:p>
  </w:endnote>
  <w:endnote w:type="continuationSeparator" w:id="0">
    <w:p w:rsidR="00656521" w:rsidRDefault="0065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1324F">
      <w:rPr>
        <w:noProof/>
        <w:lang w:val="fr-FR"/>
      </w:rPr>
      <w:t>P:\RUS\ITU-T\CONF-T\WTSA16\000\057R.docx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1096A">
      <w:rPr>
        <w:noProof/>
      </w:rPr>
      <w:t>21.10.16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1324F">
      <w:rPr>
        <w:noProof/>
      </w:rPr>
      <w:t>21.10.16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37CCC" w:rsidRDefault="00567276" w:rsidP="00777F17">
    <w:pPr>
      <w:pStyle w:val="Footer"/>
      <w:rPr>
        <w:lang w:val="ru-RU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71324F">
      <w:t>P:\RUS\ITU-T\CONF-T\WTSA16\000\057R.docx</w:t>
    </w:r>
    <w:r>
      <w:fldChar w:fldCharType="end"/>
    </w:r>
    <w:r w:rsidR="00D37CCC">
      <w:rPr>
        <w:lang w:val="ru-RU"/>
      </w:rPr>
      <w:t xml:space="preserve"> (406515)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D37CCC" w:rsidRDefault="00D37CCC" w:rsidP="00D37CCC">
    <w:pPr>
      <w:pStyle w:val="Footer"/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71324F">
      <w:t>P:\RUS\ITU-T\CONF-T\WTSA16\000\057R.docx</w:t>
    </w:r>
    <w:r>
      <w:fldChar w:fldCharType="end"/>
    </w:r>
    <w:r>
      <w:rPr>
        <w:lang w:val="ru-RU"/>
      </w:rPr>
      <w:t xml:space="preserve"> (406515)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521" w:rsidRDefault="00656521">
      <w:r>
        <w:rPr>
          <w:b/>
        </w:rPr>
        <w:t>_______________</w:t>
      </w:r>
    </w:p>
  </w:footnote>
  <w:footnote w:type="continuationSeparator" w:id="0">
    <w:p w:rsidR="00656521" w:rsidRDefault="00656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12117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WTSA16/57-R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3C7D"/>
    <w:rsid w:val="00237D09"/>
    <w:rsid w:val="002449AA"/>
    <w:rsid w:val="00245A1F"/>
    <w:rsid w:val="00261604"/>
    <w:rsid w:val="002904C2"/>
    <w:rsid w:val="00290C74"/>
    <w:rsid w:val="002A2D3F"/>
    <w:rsid w:val="002E533D"/>
    <w:rsid w:val="00300F84"/>
    <w:rsid w:val="00306147"/>
    <w:rsid w:val="00344EB8"/>
    <w:rsid w:val="00346BEC"/>
    <w:rsid w:val="003C583C"/>
    <w:rsid w:val="003F0078"/>
    <w:rsid w:val="0040677A"/>
    <w:rsid w:val="004123B3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6521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1324F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44C8"/>
    <w:rsid w:val="009E5FC8"/>
    <w:rsid w:val="00A138D0"/>
    <w:rsid w:val="00A141AF"/>
    <w:rsid w:val="00A2044F"/>
    <w:rsid w:val="00A4600A"/>
    <w:rsid w:val="00A571C0"/>
    <w:rsid w:val="00A57C04"/>
    <w:rsid w:val="00A61057"/>
    <w:rsid w:val="00A710E7"/>
    <w:rsid w:val="00A81026"/>
    <w:rsid w:val="00A85E0F"/>
    <w:rsid w:val="00A97EC0"/>
    <w:rsid w:val="00AC66E6"/>
    <w:rsid w:val="00B0332B"/>
    <w:rsid w:val="00B1096A"/>
    <w:rsid w:val="00B12117"/>
    <w:rsid w:val="00B468A6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3EAB"/>
    <w:rsid w:val="00D15F4D"/>
    <w:rsid w:val="00D37CCC"/>
    <w:rsid w:val="00D53715"/>
    <w:rsid w:val="00DE2EBA"/>
    <w:rsid w:val="00E003CD"/>
    <w:rsid w:val="00E11080"/>
    <w:rsid w:val="00E2253F"/>
    <w:rsid w:val="00E30B92"/>
    <w:rsid w:val="00E43B1B"/>
    <w:rsid w:val="00E5155F"/>
    <w:rsid w:val="00E976C1"/>
    <w:rsid w:val="00EA5313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uiPriority w:val="99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table" w:styleId="TableGrid">
    <w:name w:val="Table Grid"/>
    <w:basedOn w:val="TableNormal"/>
    <w:uiPriority w:val="39"/>
    <w:rsid w:val="00D13EAB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вкладов, полученных на собрания Африканской региональной группы в </a:t>
            </a:r>
            <a:r>
              <a:rPr lang="en-GB"/>
              <a:t>2016</a:t>
            </a:r>
            <a:r>
              <a:rPr lang="ru-RU"/>
              <a:t> году</a:t>
            </a:r>
            <a:endParaRPr lang="en-GB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Sheet1!$G$12</c:f>
              <c:strCache>
                <c:ptCount val="1"/>
                <c:pt idx="0">
                  <c:v>Number of Contributions received by Africa Regional Group Meetings in 2016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Sheet1!$F$13:$F$18</c:f>
              <c:strCache>
                <c:ptCount val="6"/>
                <c:pt idx="0">
                  <c:v>SG2</c:v>
                </c:pt>
                <c:pt idx="1">
                  <c:v>SG3</c:v>
                </c:pt>
                <c:pt idx="2">
                  <c:v>SG5</c:v>
                </c:pt>
                <c:pt idx="3">
                  <c:v>SG12</c:v>
                </c:pt>
                <c:pt idx="4">
                  <c:v>SG13</c:v>
                </c:pt>
                <c:pt idx="5">
                  <c:v>SG17</c:v>
                </c:pt>
              </c:strCache>
            </c:strRef>
          </c:cat>
          <c:val>
            <c:numRef>
              <c:f>Sheet1!$G$13:$G$18</c:f>
              <c:numCache>
                <c:formatCode>General</c:formatCode>
                <c:ptCount val="6"/>
                <c:pt idx="0">
                  <c:v>0</c:v>
                </c:pt>
                <c:pt idx="1">
                  <c:v>41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47131904"/>
        <c:axId val="347130728"/>
      </c:barChart>
      <c:catAx>
        <c:axId val="34713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7130728"/>
        <c:crosses val="autoZero"/>
        <c:auto val="1"/>
        <c:lblAlgn val="ctr"/>
        <c:lblOffset val="100"/>
        <c:noMultiLvlLbl val="0"/>
      </c:catAx>
      <c:valAx>
        <c:axId val="347130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7131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24112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ba1d255-2e8b-4957-b5a1-9a1864b730d4" targetNamespace="http://schemas.microsoft.com/office/2006/metadata/properties" ma:root="true" ma:fieldsID="d41af5c836d734370eb92e7ee5f83852" ns2:_="" ns3:_="">
    <xsd:import namespace="996b2e75-67fd-4955-a3b0-5ab9934cb50b"/>
    <xsd:import namespace="3ba1d255-2e8b-4957-b5a1-9a1864b730d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1d255-2e8b-4957-b5a1-9a1864b730d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ba1d255-2e8b-4957-b5a1-9a1864b730d4">Documents Proposals Manager (DPM)</DPM_x0020_Author>
    <DPM_x0020_File_x0020_name xmlns="3ba1d255-2e8b-4957-b5a1-9a1864b730d4">T13-WTSA.16-C-0057!!MSW-R</DPM_x0020_File_x0020_name>
    <DPM_x0020_Version xmlns="3ba1d255-2e8b-4957-b5a1-9a1864b730d4">DPM_v2016.10.20.1_prod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ba1d255-2e8b-4957-b5a1-9a1864b73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ba1d255-2e8b-4957-b5a1-9a1864b730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712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5542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T13-WTSA.16-C-0057!!MSW-R</dc:title>
  <dc:subject>World Telecommunication Standardization Assembly</dc:subject>
  <dc:creator>Documents Proposals Manager (DPM)</dc:creator>
  <cp:keywords>DPM_v2016.10.20.1_prod</cp:keywords>
  <dc:description>Template used by DPM and CPI for the WTSA-16</dc:description>
  <cp:lastModifiedBy>Maloletkova, Svetlana</cp:lastModifiedBy>
  <cp:revision>7</cp:revision>
  <cp:lastPrinted>2016-10-21T15:22:00Z</cp:lastPrinted>
  <dcterms:created xsi:type="dcterms:W3CDTF">2016-10-21T15:16:00Z</dcterms:created>
  <dcterms:modified xsi:type="dcterms:W3CDTF">2016-10-21T15:56:00Z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