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987B51" w:rsidTr="00F00DDC">
        <w:trPr>
          <w:cantSplit/>
        </w:trPr>
        <w:tc>
          <w:tcPr>
            <w:tcW w:w="1357" w:type="dxa"/>
            <w:vAlign w:val="center"/>
          </w:tcPr>
          <w:p w:rsidR="00BC7D84" w:rsidRPr="00987B51" w:rsidRDefault="00BC7D84" w:rsidP="00F00DDC">
            <w:pPr>
              <w:pStyle w:val="TopHeader"/>
              <w:rPr>
                <w:sz w:val="22"/>
                <w:szCs w:val="22"/>
              </w:rPr>
            </w:pPr>
            <w:r w:rsidRPr="00987B51">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987B51" w:rsidRDefault="00BC7D84" w:rsidP="00E94DBA">
            <w:pPr>
              <w:pStyle w:val="TopHeader"/>
              <w:rPr>
                <w:sz w:val="22"/>
                <w:szCs w:val="22"/>
              </w:rPr>
            </w:pPr>
            <w:r w:rsidRPr="00987B51">
              <w:t>World Telecommunication Standardization Assembly (WTSA-16)</w:t>
            </w:r>
            <w:r w:rsidRPr="00987B51">
              <w:br/>
            </w:r>
            <w:proofErr w:type="spellStart"/>
            <w:r w:rsidRPr="00987B51">
              <w:rPr>
                <w:sz w:val="20"/>
                <w:szCs w:val="20"/>
              </w:rPr>
              <w:t>Hammamet</w:t>
            </w:r>
            <w:proofErr w:type="spellEnd"/>
            <w:r w:rsidRPr="00987B51">
              <w:rPr>
                <w:sz w:val="20"/>
                <w:szCs w:val="20"/>
              </w:rPr>
              <w:t>, 25 October - 3 November 2016</w:t>
            </w:r>
          </w:p>
        </w:tc>
        <w:tc>
          <w:tcPr>
            <w:tcW w:w="1804" w:type="dxa"/>
            <w:vAlign w:val="center"/>
          </w:tcPr>
          <w:p w:rsidR="00BC7D84" w:rsidRPr="00987B51" w:rsidRDefault="00BC7D84" w:rsidP="00F00DDC">
            <w:pPr>
              <w:jc w:val="right"/>
            </w:pPr>
            <w:r w:rsidRPr="00987B51">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987B51" w:rsidTr="00F00DDC">
        <w:trPr>
          <w:cantSplit/>
        </w:trPr>
        <w:tc>
          <w:tcPr>
            <w:tcW w:w="6617" w:type="dxa"/>
            <w:gridSpan w:val="2"/>
            <w:tcBorders>
              <w:bottom w:val="single" w:sz="12" w:space="0" w:color="auto"/>
            </w:tcBorders>
          </w:tcPr>
          <w:p w:rsidR="00BC7D84" w:rsidRPr="00987B51" w:rsidRDefault="00BC7D84" w:rsidP="00F00DDC">
            <w:pPr>
              <w:pStyle w:val="TopHeader"/>
              <w:spacing w:before="60"/>
              <w:rPr>
                <w:sz w:val="20"/>
                <w:szCs w:val="20"/>
              </w:rPr>
            </w:pPr>
          </w:p>
        </w:tc>
        <w:tc>
          <w:tcPr>
            <w:tcW w:w="3194" w:type="dxa"/>
            <w:gridSpan w:val="2"/>
            <w:tcBorders>
              <w:bottom w:val="single" w:sz="12" w:space="0" w:color="auto"/>
            </w:tcBorders>
          </w:tcPr>
          <w:p w:rsidR="00BC7D84" w:rsidRPr="00987B51" w:rsidRDefault="00BC7D84" w:rsidP="00F00DDC">
            <w:pPr>
              <w:spacing w:before="0"/>
              <w:rPr>
                <w:sz w:val="20"/>
              </w:rPr>
            </w:pPr>
          </w:p>
        </w:tc>
      </w:tr>
      <w:tr w:rsidR="00BC7D84" w:rsidRPr="00987B51" w:rsidTr="00F00DDC">
        <w:trPr>
          <w:cantSplit/>
        </w:trPr>
        <w:tc>
          <w:tcPr>
            <w:tcW w:w="6617" w:type="dxa"/>
            <w:gridSpan w:val="2"/>
            <w:tcBorders>
              <w:top w:val="single" w:sz="12" w:space="0" w:color="auto"/>
            </w:tcBorders>
          </w:tcPr>
          <w:p w:rsidR="00BC7D84" w:rsidRPr="00987B51" w:rsidRDefault="00BC7D84" w:rsidP="00F00DDC">
            <w:pPr>
              <w:spacing w:before="0"/>
              <w:rPr>
                <w:sz w:val="20"/>
              </w:rPr>
            </w:pPr>
          </w:p>
        </w:tc>
        <w:tc>
          <w:tcPr>
            <w:tcW w:w="3194" w:type="dxa"/>
            <w:gridSpan w:val="2"/>
          </w:tcPr>
          <w:p w:rsidR="00BC7D84" w:rsidRPr="00987B51" w:rsidRDefault="00BC7D84" w:rsidP="00F00DDC">
            <w:pPr>
              <w:spacing w:before="0"/>
              <w:rPr>
                <w:rFonts w:ascii="Verdana" w:hAnsi="Verdana"/>
                <w:b/>
                <w:bCs/>
                <w:sz w:val="20"/>
              </w:rPr>
            </w:pPr>
          </w:p>
        </w:tc>
      </w:tr>
      <w:tr w:rsidR="00BC7D84" w:rsidRPr="00987B51" w:rsidTr="00F00DDC">
        <w:trPr>
          <w:cantSplit/>
        </w:trPr>
        <w:tc>
          <w:tcPr>
            <w:tcW w:w="6617" w:type="dxa"/>
            <w:gridSpan w:val="2"/>
          </w:tcPr>
          <w:p w:rsidR="00BC7D84" w:rsidRPr="00987B51" w:rsidRDefault="00AB416A" w:rsidP="00F00DDC">
            <w:pPr>
              <w:pStyle w:val="Committee"/>
            </w:pPr>
            <w:r w:rsidRPr="00987B51">
              <w:t>PLENARY MEETING</w:t>
            </w:r>
          </w:p>
        </w:tc>
        <w:tc>
          <w:tcPr>
            <w:tcW w:w="3194" w:type="dxa"/>
            <w:gridSpan w:val="2"/>
          </w:tcPr>
          <w:p w:rsidR="00BC7D84" w:rsidRPr="00987B51" w:rsidRDefault="00BC7D84" w:rsidP="00F00DDC">
            <w:pPr>
              <w:pStyle w:val="Docnumber"/>
              <w:ind w:left="-57"/>
            </w:pPr>
            <w:r w:rsidRPr="00987B51">
              <w:t>Document 57-E</w:t>
            </w:r>
          </w:p>
        </w:tc>
      </w:tr>
      <w:tr w:rsidR="00BC7D84" w:rsidRPr="00987B51" w:rsidTr="00F00DDC">
        <w:trPr>
          <w:cantSplit/>
        </w:trPr>
        <w:tc>
          <w:tcPr>
            <w:tcW w:w="6617" w:type="dxa"/>
            <w:gridSpan w:val="2"/>
          </w:tcPr>
          <w:p w:rsidR="00BC7D84" w:rsidRPr="00987B51" w:rsidRDefault="00BC7D84" w:rsidP="00F00DDC">
            <w:pPr>
              <w:spacing w:before="0"/>
              <w:rPr>
                <w:sz w:val="20"/>
              </w:rPr>
            </w:pPr>
          </w:p>
        </w:tc>
        <w:tc>
          <w:tcPr>
            <w:tcW w:w="3194" w:type="dxa"/>
            <w:gridSpan w:val="2"/>
          </w:tcPr>
          <w:p w:rsidR="00BC7D84" w:rsidRPr="00987B51" w:rsidRDefault="00BC7D84" w:rsidP="00E94DBA">
            <w:pPr>
              <w:pStyle w:val="Docnumber"/>
              <w:ind w:left="-57"/>
            </w:pPr>
            <w:r w:rsidRPr="00987B51">
              <w:t>11 October 2016</w:t>
            </w:r>
          </w:p>
        </w:tc>
      </w:tr>
      <w:tr w:rsidR="00BC7D84" w:rsidRPr="00987B51" w:rsidTr="00F00DDC">
        <w:trPr>
          <w:cantSplit/>
        </w:trPr>
        <w:tc>
          <w:tcPr>
            <w:tcW w:w="6617" w:type="dxa"/>
            <w:gridSpan w:val="2"/>
          </w:tcPr>
          <w:p w:rsidR="00BC7D84" w:rsidRPr="00987B51" w:rsidRDefault="00BC7D84" w:rsidP="00F00DDC">
            <w:pPr>
              <w:spacing w:before="0"/>
              <w:rPr>
                <w:sz w:val="20"/>
              </w:rPr>
            </w:pPr>
          </w:p>
        </w:tc>
        <w:tc>
          <w:tcPr>
            <w:tcW w:w="3194" w:type="dxa"/>
            <w:gridSpan w:val="2"/>
          </w:tcPr>
          <w:p w:rsidR="00BC7D84" w:rsidRPr="00987B51" w:rsidRDefault="00BC7D84" w:rsidP="00E94DBA">
            <w:pPr>
              <w:pStyle w:val="Docnumber"/>
              <w:ind w:left="-57"/>
            </w:pPr>
            <w:r w:rsidRPr="00987B51">
              <w:t>Original: English</w:t>
            </w:r>
          </w:p>
        </w:tc>
      </w:tr>
      <w:tr w:rsidR="00BC7D84" w:rsidRPr="00987B51" w:rsidTr="00F00DDC">
        <w:trPr>
          <w:cantSplit/>
        </w:trPr>
        <w:tc>
          <w:tcPr>
            <w:tcW w:w="9811" w:type="dxa"/>
            <w:gridSpan w:val="4"/>
          </w:tcPr>
          <w:p w:rsidR="00BC7D84" w:rsidRPr="00987B51" w:rsidRDefault="00BC7D84" w:rsidP="00F00DDC">
            <w:pPr>
              <w:pStyle w:val="TopHeader"/>
              <w:spacing w:before="0"/>
              <w:rPr>
                <w:sz w:val="20"/>
                <w:szCs w:val="20"/>
              </w:rPr>
            </w:pPr>
          </w:p>
        </w:tc>
      </w:tr>
      <w:tr w:rsidR="00BC7D84" w:rsidRPr="00987B51" w:rsidTr="00F00DDC">
        <w:trPr>
          <w:cantSplit/>
        </w:trPr>
        <w:tc>
          <w:tcPr>
            <w:tcW w:w="9811" w:type="dxa"/>
            <w:gridSpan w:val="4"/>
          </w:tcPr>
          <w:p w:rsidR="00BC7D84" w:rsidRPr="00987B51" w:rsidRDefault="00BC7D84" w:rsidP="00F00DDC">
            <w:pPr>
              <w:pStyle w:val="Source"/>
            </w:pPr>
            <w:r w:rsidRPr="00987B51">
              <w:t>Zambia (Republic of)</w:t>
            </w:r>
          </w:p>
        </w:tc>
      </w:tr>
      <w:tr w:rsidR="00BC7D84" w:rsidRPr="00987B51" w:rsidTr="00F00DDC">
        <w:trPr>
          <w:cantSplit/>
        </w:trPr>
        <w:tc>
          <w:tcPr>
            <w:tcW w:w="9811" w:type="dxa"/>
            <w:gridSpan w:val="4"/>
          </w:tcPr>
          <w:p w:rsidR="00BC7D84" w:rsidRPr="00987B51" w:rsidRDefault="00704E9A" w:rsidP="00F00DDC">
            <w:pPr>
              <w:pStyle w:val="Title1"/>
            </w:pPr>
            <w:r w:rsidRPr="00987B51">
              <w:t>Proposal to not change WTSA-12 Resolution 54 - Creation of, and assistance to, regional groups</w:t>
            </w:r>
          </w:p>
        </w:tc>
      </w:tr>
      <w:tr w:rsidR="00BC7D84" w:rsidRPr="00987B51" w:rsidTr="00F00DDC">
        <w:trPr>
          <w:cantSplit/>
        </w:trPr>
        <w:tc>
          <w:tcPr>
            <w:tcW w:w="9811" w:type="dxa"/>
            <w:gridSpan w:val="4"/>
          </w:tcPr>
          <w:p w:rsidR="00BC7D84" w:rsidRPr="00987B51" w:rsidRDefault="00BC7D84" w:rsidP="00F00DDC">
            <w:pPr>
              <w:pStyle w:val="Title2"/>
            </w:pPr>
          </w:p>
        </w:tc>
      </w:tr>
      <w:tr w:rsidR="00BC7D84" w:rsidRPr="00987B51" w:rsidTr="00F00DDC">
        <w:trPr>
          <w:cantSplit/>
        </w:trPr>
        <w:tc>
          <w:tcPr>
            <w:tcW w:w="9811" w:type="dxa"/>
            <w:gridSpan w:val="4"/>
          </w:tcPr>
          <w:p w:rsidR="00BC7D84" w:rsidRPr="00987B51" w:rsidRDefault="00BC7D84" w:rsidP="00F00DDC">
            <w:pPr>
              <w:pStyle w:val="Agendaitem"/>
              <w:rPr>
                <w:lang w:val="en-GB"/>
              </w:rPr>
            </w:pPr>
          </w:p>
        </w:tc>
      </w:tr>
    </w:tbl>
    <w:p w:rsidR="009E1967" w:rsidRPr="00987B51"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987B51" w:rsidTr="00D055D3">
        <w:trPr>
          <w:cantSplit/>
        </w:trPr>
        <w:tc>
          <w:tcPr>
            <w:tcW w:w="1951" w:type="dxa"/>
          </w:tcPr>
          <w:p w:rsidR="009E1967" w:rsidRPr="00987B51" w:rsidRDefault="009E1967" w:rsidP="00D055D3">
            <w:r w:rsidRPr="00987B51">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987B51" w:rsidRDefault="00EC702D" w:rsidP="00D055D3">
                <w:pPr>
                  <w:rPr>
                    <w:color w:val="000000" w:themeColor="text1"/>
                  </w:rPr>
                </w:pPr>
                <w:r w:rsidRPr="00987B51">
                  <w:rPr>
                    <w:color w:val="000000" w:themeColor="text1"/>
                    <w:lang w:val="en-US"/>
                  </w:rPr>
                  <w:t xml:space="preserve">This contribution provides comments on Document 47 Addendum 8 on Regional Groups and the proposed draft revision of Resolution 54, as well as Document 48 Addendum 14 also on the proposed modification of Resolution 54, “Creation of, and assistance to, regional groups”. It concludes by proposing that no changes are made to Resolution 54. </w:t>
                </w:r>
              </w:p>
            </w:tc>
          </w:sdtContent>
        </w:sdt>
      </w:tr>
    </w:tbl>
    <w:p w:rsidR="00ED30BC" w:rsidRPr="00987B51" w:rsidRDefault="00ED30BC">
      <w:pPr>
        <w:tabs>
          <w:tab w:val="clear" w:pos="1134"/>
          <w:tab w:val="clear" w:pos="1871"/>
          <w:tab w:val="clear" w:pos="2268"/>
        </w:tabs>
        <w:overflowPunct/>
        <w:autoSpaceDE/>
        <w:autoSpaceDN/>
        <w:adjustRightInd/>
        <w:spacing w:before="0"/>
        <w:textAlignment w:val="auto"/>
      </w:pPr>
    </w:p>
    <w:p w:rsidR="00EC702D" w:rsidRPr="00987B51" w:rsidRDefault="00EC702D" w:rsidP="00EC702D">
      <w:pPr>
        <w:pStyle w:val="Headingb"/>
        <w:rPr>
          <w:lang w:val="en-US"/>
        </w:rPr>
      </w:pPr>
      <w:r w:rsidRPr="00987B51">
        <w:rPr>
          <w:lang w:val="en-US"/>
        </w:rPr>
        <w:t>Discussion</w:t>
      </w:r>
    </w:p>
    <w:p w:rsidR="00EC702D" w:rsidRPr="00987B51" w:rsidRDefault="00EC702D" w:rsidP="00EC702D">
      <w:pPr>
        <w:jc w:val="both"/>
        <w:rPr>
          <w:lang w:val="en-US"/>
        </w:rPr>
      </w:pPr>
      <w:r w:rsidRPr="00987B51">
        <w:rPr>
          <w:lang w:val="en-US"/>
        </w:rPr>
        <w:t xml:space="preserve">Document 47 Addendum 8 proposes to have one regional group for each region accredited in the relevant ITU-T study groups of interest. While this may appear to provide a certain level of synergy and cost savings, cognizance should be taken of the practical implications and possible pitfalls of such a proposal. It is our considered view that the creation of one regional group for each region accredited in the relevant ITU-T Study Groups may in fact disadvantage some groups on account the following: </w:t>
      </w:r>
    </w:p>
    <w:p w:rsidR="00EC702D" w:rsidRPr="00987B51" w:rsidRDefault="00EC702D" w:rsidP="00EC702D">
      <w:pPr>
        <w:pStyle w:val="Headingb"/>
        <w:rPr>
          <w:lang w:val="en-GB"/>
        </w:rPr>
      </w:pPr>
      <w:r w:rsidRPr="00987B51">
        <w:rPr>
          <w:lang w:val="en-GB"/>
        </w:rPr>
        <w:t>1)</w:t>
      </w:r>
      <w:r w:rsidRPr="00987B51">
        <w:rPr>
          <w:lang w:val="en-GB"/>
        </w:rPr>
        <w:tab/>
        <w:t>Diverse/divergent mandates</w:t>
      </w:r>
    </w:p>
    <w:p w:rsidR="00EC702D" w:rsidRPr="00987B51" w:rsidRDefault="00EC702D" w:rsidP="00EC702D">
      <w:pPr>
        <w:rPr>
          <w:lang w:val="en-US"/>
        </w:rPr>
      </w:pPr>
      <w:r w:rsidRPr="00987B51">
        <w:rPr>
          <w:lang w:val="en-US"/>
        </w:rPr>
        <w:t>Document 47 highlights the</w:t>
      </w:r>
      <w:r w:rsidRPr="00987B51">
        <w:t xml:space="preserve"> increasingly interrelated nature of questions under study</w:t>
      </w:r>
      <w:r w:rsidRPr="00987B51">
        <w:rPr>
          <w:lang w:val="en-US"/>
        </w:rPr>
        <w:t xml:space="preserve"> as </w:t>
      </w:r>
      <w:proofErr w:type="spellStart"/>
      <w:r w:rsidRPr="00987B51">
        <w:rPr>
          <w:lang w:val="en-US"/>
        </w:rPr>
        <w:t>on</w:t>
      </w:r>
      <w:proofErr w:type="spellEnd"/>
      <w:r w:rsidRPr="00987B51">
        <w:rPr>
          <w:lang w:val="en-US"/>
        </w:rPr>
        <w:t xml:space="preserve"> of the key motivations behind the proposal. However, the table below highlights just how diverse and, in a number of cases, unrelated the study groups are.</w:t>
      </w:r>
    </w:p>
    <w:tbl>
      <w:tblPr>
        <w:tblStyle w:val="TableGrid"/>
        <w:tblW w:w="9776" w:type="dxa"/>
        <w:jc w:val="center"/>
        <w:tblLook w:val="04A0" w:firstRow="1" w:lastRow="0" w:firstColumn="1" w:lastColumn="0" w:noHBand="0" w:noVBand="1"/>
      </w:tblPr>
      <w:tblGrid>
        <w:gridCol w:w="1555"/>
        <w:gridCol w:w="8221"/>
      </w:tblGrid>
      <w:tr w:rsidR="00EC702D" w:rsidRPr="00987B51" w:rsidTr="00EC702D">
        <w:trPr>
          <w:jc w:val="center"/>
        </w:trPr>
        <w:tc>
          <w:tcPr>
            <w:tcW w:w="1555" w:type="dxa"/>
            <w:vAlign w:val="center"/>
          </w:tcPr>
          <w:p w:rsidR="00EC702D" w:rsidRPr="00987B51" w:rsidRDefault="00EC702D" w:rsidP="00EC702D">
            <w:pPr>
              <w:keepNext/>
              <w:keepLines/>
              <w:spacing w:before="60"/>
              <w:jc w:val="center"/>
              <w:rPr>
                <w:b/>
                <w:lang w:val="en-US"/>
              </w:rPr>
            </w:pPr>
            <w:r w:rsidRPr="00987B51">
              <w:rPr>
                <w:b/>
                <w:lang w:val="en-US"/>
              </w:rPr>
              <w:lastRenderedPageBreak/>
              <w:t>Study group</w:t>
            </w:r>
          </w:p>
        </w:tc>
        <w:tc>
          <w:tcPr>
            <w:tcW w:w="8221" w:type="dxa"/>
            <w:vAlign w:val="center"/>
          </w:tcPr>
          <w:p w:rsidR="00EC702D" w:rsidRPr="00987B51" w:rsidRDefault="00EC702D" w:rsidP="00EC702D">
            <w:pPr>
              <w:keepNext/>
              <w:keepLines/>
              <w:spacing w:before="60"/>
              <w:jc w:val="center"/>
              <w:rPr>
                <w:b/>
                <w:lang w:val="en-US"/>
              </w:rPr>
            </w:pPr>
            <w:r w:rsidRPr="00987B51">
              <w:rPr>
                <w:b/>
                <w:lang w:val="en-US"/>
              </w:rPr>
              <w:t>Mandate / area of responsibility</w:t>
            </w:r>
          </w:p>
        </w:tc>
      </w:tr>
      <w:tr w:rsidR="00EC702D" w:rsidRPr="00987B51" w:rsidTr="00EC702D">
        <w:trPr>
          <w:jc w:val="center"/>
        </w:trPr>
        <w:tc>
          <w:tcPr>
            <w:tcW w:w="1555" w:type="dxa"/>
          </w:tcPr>
          <w:p w:rsidR="00EC702D" w:rsidRPr="00987B51" w:rsidRDefault="00EC702D" w:rsidP="00EC702D">
            <w:pPr>
              <w:keepNext/>
              <w:keepLines/>
              <w:spacing w:before="60"/>
              <w:jc w:val="center"/>
              <w:rPr>
                <w:lang w:val="en-US"/>
              </w:rPr>
            </w:pPr>
            <w:r w:rsidRPr="00987B51">
              <w:rPr>
                <w:lang w:val="en-US"/>
              </w:rPr>
              <w:t>2</w:t>
            </w:r>
          </w:p>
        </w:tc>
        <w:tc>
          <w:tcPr>
            <w:tcW w:w="8221" w:type="dxa"/>
          </w:tcPr>
          <w:p w:rsidR="00EC702D" w:rsidRPr="00987B51" w:rsidRDefault="00EC702D" w:rsidP="00EC702D">
            <w:pPr>
              <w:keepNext/>
              <w:keepLines/>
              <w:spacing w:before="60"/>
              <w:rPr>
                <w:lang w:val="en-US"/>
              </w:rPr>
            </w:pPr>
            <w:r w:rsidRPr="00987B51">
              <w:t>Operational aspects of service provision and telecommunication management</w:t>
            </w:r>
          </w:p>
        </w:tc>
      </w:tr>
      <w:tr w:rsidR="00EC702D" w:rsidRPr="00987B51" w:rsidTr="00EC702D">
        <w:trPr>
          <w:jc w:val="center"/>
        </w:trPr>
        <w:tc>
          <w:tcPr>
            <w:tcW w:w="1555" w:type="dxa"/>
          </w:tcPr>
          <w:p w:rsidR="00EC702D" w:rsidRPr="00987B51" w:rsidRDefault="00EC702D" w:rsidP="00EC702D">
            <w:pPr>
              <w:keepNext/>
              <w:keepLines/>
              <w:spacing w:before="60"/>
              <w:jc w:val="center"/>
              <w:rPr>
                <w:lang w:val="en-US"/>
              </w:rPr>
            </w:pPr>
            <w:r w:rsidRPr="00987B51">
              <w:rPr>
                <w:lang w:val="en-US"/>
              </w:rPr>
              <w:t>3</w:t>
            </w:r>
          </w:p>
        </w:tc>
        <w:tc>
          <w:tcPr>
            <w:tcW w:w="8221" w:type="dxa"/>
          </w:tcPr>
          <w:p w:rsidR="00EC702D" w:rsidRPr="00987B51" w:rsidRDefault="00EC702D" w:rsidP="00EC702D">
            <w:pPr>
              <w:keepNext/>
              <w:keepLines/>
              <w:spacing w:before="60"/>
              <w:rPr>
                <w:lang w:val="en-US"/>
              </w:rPr>
            </w:pPr>
            <w:r w:rsidRPr="00987B51">
              <w:t>Tariff and accounting principles including related telecommunication economic and policy issues</w:t>
            </w:r>
          </w:p>
        </w:tc>
      </w:tr>
      <w:tr w:rsidR="00EC702D" w:rsidRPr="00987B51" w:rsidTr="00EC702D">
        <w:trPr>
          <w:jc w:val="center"/>
        </w:trPr>
        <w:tc>
          <w:tcPr>
            <w:tcW w:w="1555" w:type="dxa"/>
          </w:tcPr>
          <w:p w:rsidR="00EC702D" w:rsidRPr="00987B51" w:rsidRDefault="00EC702D" w:rsidP="00EC702D">
            <w:pPr>
              <w:keepNext/>
              <w:keepLines/>
              <w:spacing w:before="60"/>
              <w:jc w:val="center"/>
              <w:rPr>
                <w:lang w:val="en-US"/>
              </w:rPr>
            </w:pPr>
            <w:r w:rsidRPr="00987B51">
              <w:rPr>
                <w:lang w:val="en-US"/>
              </w:rPr>
              <w:t>5</w:t>
            </w:r>
          </w:p>
        </w:tc>
        <w:tc>
          <w:tcPr>
            <w:tcW w:w="8221" w:type="dxa"/>
          </w:tcPr>
          <w:p w:rsidR="00EC702D" w:rsidRPr="00987B51" w:rsidRDefault="00EC702D" w:rsidP="00EC702D">
            <w:pPr>
              <w:keepNext/>
              <w:keepLines/>
              <w:spacing w:before="60"/>
              <w:rPr>
                <w:lang w:val="en-US"/>
              </w:rPr>
            </w:pPr>
            <w:r w:rsidRPr="00987B51">
              <w:t>Environment and climate change</w:t>
            </w:r>
          </w:p>
        </w:tc>
      </w:tr>
      <w:tr w:rsidR="00EC702D" w:rsidRPr="00987B51" w:rsidTr="00EC702D">
        <w:trPr>
          <w:jc w:val="center"/>
        </w:trPr>
        <w:tc>
          <w:tcPr>
            <w:tcW w:w="1555" w:type="dxa"/>
          </w:tcPr>
          <w:p w:rsidR="00EC702D" w:rsidRPr="00987B51" w:rsidRDefault="00EC702D" w:rsidP="00EC702D">
            <w:pPr>
              <w:keepNext/>
              <w:keepLines/>
              <w:spacing w:before="60"/>
              <w:jc w:val="center"/>
              <w:rPr>
                <w:lang w:val="en-US"/>
              </w:rPr>
            </w:pPr>
            <w:r w:rsidRPr="00987B51">
              <w:rPr>
                <w:lang w:val="en-US"/>
              </w:rPr>
              <w:t>9</w:t>
            </w:r>
          </w:p>
        </w:tc>
        <w:tc>
          <w:tcPr>
            <w:tcW w:w="8221" w:type="dxa"/>
          </w:tcPr>
          <w:p w:rsidR="00EC702D" w:rsidRPr="00987B51" w:rsidRDefault="00EC702D" w:rsidP="00EC702D">
            <w:pPr>
              <w:keepNext/>
              <w:keepLines/>
              <w:spacing w:before="60"/>
              <w:rPr>
                <w:lang w:val="en-US"/>
              </w:rPr>
            </w:pPr>
            <w:r w:rsidRPr="00987B51">
              <w:t>Television and sound transmission and integrated broadband cable networks</w:t>
            </w:r>
          </w:p>
        </w:tc>
      </w:tr>
      <w:tr w:rsidR="00EC702D" w:rsidRPr="00987B51" w:rsidTr="00EC702D">
        <w:trPr>
          <w:jc w:val="center"/>
        </w:trPr>
        <w:tc>
          <w:tcPr>
            <w:tcW w:w="1555" w:type="dxa"/>
          </w:tcPr>
          <w:p w:rsidR="00EC702D" w:rsidRPr="00987B51" w:rsidRDefault="00EC702D" w:rsidP="00EC702D">
            <w:pPr>
              <w:keepNext/>
              <w:keepLines/>
              <w:spacing w:before="60"/>
              <w:jc w:val="center"/>
              <w:rPr>
                <w:lang w:val="en-US"/>
              </w:rPr>
            </w:pPr>
            <w:r w:rsidRPr="00987B51">
              <w:rPr>
                <w:lang w:val="en-US"/>
              </w:rPr>
              <w:t>11</w:t>
            </w:r>
          </w:p>
        </w:tc>
        <w:tc>
          <w:tcPr>
            <w:tcW w:w="8221" w:type="dxa"/>
          </w:tcPr>
          <w:p w:rsidR="00EC702D" w:rsidRPr="00987B51" w:rsidRDefault="00EC702D" w:rsidP="00EC702D">
            <w:pPr>
              <w:keepNext/>
              <w:keepLines/>
              <w:spacing w:before="60"/>
              <w:rPr>
                <w:lang w:val="en-US"/>
              </w:rPr>
            </w:pPr>
            <w:r w:rsidRPr="00987B51">
              <w:t>Signalling requirements, protocols and test specifications</w:t>
            </w:r>
          </w:p>
        </w:tc>
      </w:tr>
      <w:tr w:rsidR="00EC702D" w:rsidRPr="00987B51" w:rsidTr="00EC702D">
        <w:trPr>
          <w:jc w:val="center"/>
        </w:trPr>
        <w:tc>
          <w:tcPr>
            <w:tcW w:w="1555" w:type="dxa"/>
          </w:tcPr>
          <w:p w:rsidR="00EC702D" w:rsidRPr="00987B51" w:rsidRDefault="00EC702D" w:rsidP="00EC702D">
            <w:pPr>
              <w:keepNext/>
              <w:keepLines/>
              <w:spacing w:before="60"/>
              <w:jc w:val="center"/>
              <w:rPr>
                <w:lang w:val="en-US"/>
              </w:rPr>
            </w:pPr>
            <w:r w:rsidRPr="00987B51">
              <w:rPr>
                <w:lang w:val="en-US"/>
              </w:rPr>
              <w:t>12</w:t>
            </w:r>
          </w:p>
        </w:tc>
        <w:tc>
          <w:tcPr>
            <w:tcW w:w="8221" w:type="dxa"/>
          </w:tcPr>
          <w:p w:rsidR="00EC702D" w:rsidRPr="00987B51" w:rsidRDefault="00EC702D" w:rsidP="00EC702D">
            <w:pPr>
              <w:keepNext/>
              <w:keepLines/>
              <w:spacing w:before="60"/>
              <w:rPr>
                <w:lang w:val="en-US"/>
              </w:rPr>
            </w:pPr>
            <w:r w:rsidRPr="00987B51">
              <w:t>Performance, quality of service and quality of experience</w:t>
            </w:r>
          </w:p>
        </w:tc>
      </w:tr>
      <w:tr w:rsidR="00EC702D" w:rsidRPr="00987B51" w:rsidTr="00EC702D">
        <w:trPr>
          <w:jc w:val="center"/>
        </w:trPr>
        <w:tc>
          <w:tcPr>
            <w:tcW w:w="1555" w:type="dxa"/>
          </w:tcPr>
          <w:p w:rsidR="00EC702D" w:rsidRPr="00987B51" w:rsidRDefault="00EC702D" w:rsidP="00EC702D">
            <w:pPr>
              <w:keepNext/>
              <w:keepLines/>
              <w:spacing w:before="60"/>
              <w:jc w:val="center"/>
              <w:rPr>
                <w:lang w:val="en-US"/>
              </w:rPr>
            </w:pPr>
            <w:r w:rsidRPr="00987B51">
              <w:rPr>
                <w:lang w:val="en-US"/>
              </w:rPr>
              <w:t>13</w:t>
            </w:r>
          </w:p>
        </w:tc>
        <w:tc>
          <w:tcPr>
            <w:tcW w:w="8221" w:type="dxa"/>
          </w:tcPr>
          <w:p w:rsidR="00EC702D" w:rsidRPr="00987B51" w:rsidRDefault="00EC702D" w:rsidP="00EC702D">
            <w:pPr>
              <w:keepNext/>
              <w:keepLines/>
              <w:spacing w:before="60"/>
              <w:rPr>
                <w:lang w:val="en-US"/>
              </w:rPr>
            </w:pPr>
            <w:r w:rsidRPr="00987B51">
              <w:t>Future networks, including cloud-computing, mobile and next-generation networks</w:t>
            </w:r>
          </w:p>
        </w:tc>
      </w:tr>
      <w:tr w:rsidR="00EC702D" w:rsidRPr="00987B51" w:rsidTr="00EC702D">
        <w:trPr>
          <w:jc w:val="center"/>
        </w:trPr>
        <w:tc>
          <w:tcPr>
            <w:tcW w:w="1555" w:type="dxa"/>
          </w:tcPr>
          <w:p w:rsidR="00EC702D" w:rsidRPr="00987B51" w:rsidRDefault="00EC702D" w:rsidP="00EC702D">
            <w:pPr>
              <w:keepNext/>
              <w:keepLines/>
              <w:spacing w:before="60"/>
              <w:jc w:val="center"/>
              <w:rPr>
                <w:lang w:val="en-US"/>
              </w:rPr>
            </w:pPr>
            <w:r w:rsidRPr="00987B51">
              <w:rPr>
                <w:lang w:val="en-US"/>
              </w:rPr>
              <w:t>15</w:t>
            </w:r>
          </w:p>
        </w:tc>
        <w:tc>
          <w:tcPr>
            <w:tcW w:w="8221" w:type="dxa"/>
          </w:tcPr>
          <w:p w:rsidR="00EC702D" w:rsidRPr="00987B51" w:rsidRDefault="00EC702D" w:rsidP="00EC702D">
            <w:pPr>
              <w:keepNext/>
              <w:keepLines/>
              <w:spacing w:before="60"/>
              <w:rPr>
                <w:lang w:val="en-US"/>
              </w:rPr>
            </w:pPr>
            <w:r w:rsidRPr="00987B51">
              <w:t>Networks, technologies and infrastructures for transport, access and home</w:t>
            </w:r>
          </w:p>
        </w:tc>
      </w:tr>
      <w:tr w:rsidR="00EC702D" w:rsidRPr="00987B51" w:rsidTr="00EC702D">
        <w:trPr>
          <w:jc w:val="center"/>
        </w:trPr>
        <w:tc>
          <w:tcPr>
            <w:tcW w:w="1555" w:type="dxa"/>
          </w:tcPr>
          <w:p w:rsidR="00EC702D" w:rsidRPr="00987B51" w:rsidRDefault="00EC702D" w:rsidP="00EC702D">
            <w:pPr>
              <w:keepNext/>
              <w:keepLines/>
              <w:spacing w:before="60"/>
              <w:jc w:val="center"/>
              <w:rPr>
                <w:lang w:val="en-US"/>
              </w:rPr>
            </w:pPr>
            <w:r w:rsidRPr="00987B51">
              <w:rPr>
                <w:lang w:val="en-US"/>
              </w:rPr>
              <w:t>16</w:t>
            </w:r>
          </w:p>
        </w:tc>
        <w:tc>
          <w:tcPr>
            <w:tcW w:w="8221" w:type="dxa"/>
          </w:tcPr>
          <w:p w:rsidR="00EC702D" w:rsidRPr="00987B51" w:rsidRDefault="00EC702D" w:rsidP="00EC702D">
            <w:pPr>
              <w:keepNext/>
              <w:keepLines/>
              <w:spacing w:before="60"/>
              <w:rPr>
                <w:lang w:val="en-US"/>
              </w:rPr>
            </w:pPr>
            <w:r w:rsidRPr="00987B51">
              <w:t>Multimedia coding, systems and applications</w:t>
            </w:r>
          </w:p>
        </w:tc>
      </w:tr>
      <w:tr w:rsidR="00EC702D" w:rsidRPr="00987B51" w:rsidTr="00EC702D">
        <w:trPr>
          <w:jc w:val="center"/>
        </w:trPr>
        <w:tc>
          <w:tcPr>
            <w:tcW w:w="1555" w:type="dxa"/>
          </w:tcPr>
          <w:p w:rsidR="00EC702D" w:rsidRPr="00987B51" w:rsidRDefault="00EC702D" w:rsidP="00EC702D">
            <w:pPr>
              <w:keepNext/>
              <w:keepLines/>
              <w:spacing w:before="60"/>
              <w:jc w:val="center"/>
              <w:rPr>
                <w:lang w:val="en-US"/>
              </w:rPr>
            </w:pPr>
            <w:r w:rsidRPr="00987B51">
              <w:rPr>
                <w:lang w:val="en-US"/>
              </w:rPr>
              <w:t>17</w:t>
            </w:r>
          </w:p>
        </w:tc>
        <w:tc>
          <w:tcPr>
            <w:tcW w:w="8221" w:type="dxa"/>
          </w:tcPr>
          <w:p w:rsidR="00EC702D" w:rsidRPr="00987B51" w:rsidRDefault="00EC702D" w:rsidP="00EC702D">
            <w:pPr>
              <w:keepNext/>
              <w:keepLines/>
              <w:spacing w:before="60"/>
              <w:rPr>
                <w:lang w:val="en-US"/>
              </w:rPr>
            </w:pPr>
            <w:r w:rsidRPr="00987B51">
              <w:t>Security</w:t>
            </w:r>
          </w:p>
        </w:tc>
      </w:tr>
    </w:tbl>
    <w:p w:rsidR="00EC702D" w:rsidRPr="00987B51" w:rsidRDefault="00EC702D" w:rsidP="00EC702D">
      <w:r w:rsidRPr="00987B51">
        <w:t xml:space="preserve">Merging the regional groups of the aforementioned study groups into one would inadvertently create not only an administrative burden in terms of scheduling meetings and mobilizing all the relevant ITU personnel and Delegates across such a wide spectrum of expertise, but would also result in certain groups being overshadowed by the more active and prominent groups. </w:t>
      </w:r>
    </w:p>
    <w:p w:rsidR="00EC702D" w:rsidRPr="00987B51" w:rsidRDefault="00EC702D" w:rsidP="00EC702D">
      <w:pPr>
        <w:pStyle w:val="Headingb"/>
        <w:rPr>
          <w:lang w:val="en-GB"/>
        </w:rPr>
      </w:pPr>
      <w:r w:rsidRPr="00987B51">
        <w:rPr>
          <w:lang w:val="en-GB"/>
        </w:rPr>
        <w:t>2)</w:t>
      </w:r>
      <w:r w:rsidRPr="00987B51">
        <w:rPr>
          <w:lang w:val="en-GB"/>
        </w:rPr>
        <w:tab/>
        <w:t>Level of maturity and activity</w:t>
      </w:r>
    </w:p>
    <w:p w:rsidR="00EC702D" w:rsidRPr="00987B51" w:rsidRDefault="00EC702D" w:rsidP="00EC702D">
      <w:r w:rsidRPr="00987B51">
        <w:t>Study Group 3 has been a pioneer in the development of regional groups and currently has six. The aforementioned regional groups are the longest standing and most mature. Merging the regional groups would penalize those groups that have been active and those that have a large number of meetings to schedule throughout the year.</w:t>
      </w:r>
    </w:p>
    <w:p w:rsidR="00EC702D" w:rsidRPr="00987B51" w:rsidRDefault="00EC702D" w:rsidP="007804A2">
      <w:r w:rsidRPr="00987B51">
        <w:t xml:space="preserve">For instance, in 2016 the African Group of Study Group 3 was the most active and received 41 contributions compared to </w:t>
      </w:r>
      <w:r w:rsidR="007804A2" w:rsidRPr="00987B51">
        <w:t>four</w:t>
      </w:r>
      <w:r w:rsidRPr="00987B51">
        <w:t xml:space="preserve"> and below in the other </w:t>
      </w:r>
      <w:r w:rsidR="007804A2" w:rsidRPr="00987B51">
        <w:t xml:space="preserve">study groups </w:t>
      </w:r>
      <w:r w:rsidRPr="00987B51">
        <w:t>as</w:t>
      </w:r>
      <w:r w:rsidR="007804A2" w:rsidRPr="00987B51">
        <w:t xml:space="preserve"> illustrated in the chart below.</w:t>
      </w:r>
    </w:p>
    <w:p w:rsidR="00EC702D" w:rsidRPr="00987B51" w:rsidRDefault="00EC702D" w:rsidP="00EC702D">
      <w:pPr>
        <w:ind w:left="567"/>
        <w:jc w:val="center"/>
      </w:pPr>
      <w:r w:rsidRPr="00987B51">
        <w:rPr>
          <w:noProof/>
          <w:lang w:eastAsia="zh-CN"/>
        </w:rPr>
        <w:drawing>
          <wp:inline distT="0" distB="0" distL="0" distR="0" wp14:anchorId="553E694C" wp14:editId="565A5CAE">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702D" w:rsidRPr="00987B51" w:rsidRDefault="00EC702D" w:rsidP="00EC702D">
      <w:pPr>
        <w:pStyle w:val="Figuretitle"/>
      </w:pPr>
      <w:r w:rsidRPr="00987B51">
        <w:t>Merging the above study groups would ultimately disadvantage the less active groups and also dilute the effectiveness of the Study Group 3 Regional Group</w:t>
      </w:r>
      <w:r w:rsidR="007804A2" w:rsidRPr="00987B51">
        <w:t>s</w:t>
      </w:r>
    </w:p>
    <w:p w:rsidR="00EC702D" w:rsidRPr="00987B51" w:rsidRDefault="00EC702D" w:rsidP="00EC702D"/>
    <w:p w:rsidR="00EC702D" w:rsidRPr="00987B51" w:rsidRDefault="00EC702D" w:rsidP="00EC702D">
      <w:r w:rsidRPr="00987B51">
        <w:t>Further</w:t>
      </w:r>
      <w:r w:rsidR="007804A2" w:rsidRPr="00987B51">
        <w:t>,</w:t>
      </w:r>
      <w:r w:rsidRPr="00987B51">
        <w:t xml:space="preserve"> Study Group 3 has been identified as a unique platform as provided for under section 9.2.1 of Resolution 1 which gives </w:t>
      </w:r>
      <w:r w:rsidR="007804A2" w:rsidRPr="00987B51">
        <w:t xml:space="preserve">Study Group </w:t>
      </w:r>
      <w:r w:rsidRPr="00987B51">
        <w:t>3 the power to develop regional recommendations and reads in part “A Study Group 3 regional group shall decide on its own to apply this procedure (TAP/AAP) for the limited purpose of establishing regional tariffs.” Merging the regional groups would ultimately affect the status of Study Group 3.</w:t>
      </w:r>
    </w:p>
    <w:p w:rsidR="00EC702D" w:rsidRPr="00987B51" w:rsidRDefault="00EC702D" w:rsidP="00EC702D">
      <w:r w:rsidRPr="00987B51">
        <w:rPr>
          <w:lang w:val="en-US"/>
        </w:rPr>
        <w:t>One of the proposed modifications contained in Document 48 Addendum 14 reads as “</w:t>
      </w:r>
      <w:r w:rsidRPr="00987B51">
        <w:t>all Member States and T-Sector Members shall be invited to participate in all regional groups of ITU-T study group meetings,”</w:t>
      </w:r>
    </w:p>
    <w:p w:rsidR="00EC702D" w:rsidRPr="00987B51" w:rsidRDefault="00EC702D" w:rsidP="00EC702D">
      <w:pPr>
        <w:rPr>
          <w:lang w:val="en-US"/>
        </w:rPr>
      </w:pPr>
      <w:r w:rsidRPr="00987B51">
        <w:t xml:space="preserve">It is our considered view that regional groups are established with a view to ensuring that their specific needs and concerns are better taken into account from the specific regions perspective. As such inviting Non-Member </w:t>
      </w:r>
      <w:r w:rsidR="007804A2" w:rsidRPr="00987B51">
        <w:t xml:space="preserve">States </w:t>
      </w:r>
      <w:r w:rsidRPr="00987B51">
        <w:t xml:space="preserve">of the region and Sector Members to attend regional group meetings would be counterproductive and may distort the spirit of Resolution 54 in ensuring that the specific needs and concerns of the region are taken into account.   </w:t>
      </w:r>
    </w:p>
    <w:p w:rsidR="00EC702D" w:rsidRPr="00987B51" w:rsidRDefault="00EC702D" w:rsidP="00EC702D">
      <w:pPr>
        <w:pStyle w:val="Headingb"/>
        <w:rPr>
          <w:lang w:val="en-GB"/>
        </w:rPr>
      </w:pPr>
      <w:r w:rsidRPr="00987B51">
        <w:rPr>
          <w:lang w:val="en-GB"/>
        </w:rPr>
        <w:t>Proposal</w:t>
      </w:r>
    </w:p>
    <w:p w:rsidR="00EC702D" w:rsidRPr="00987B51" w:rsidRDefault="00EC702D" w:rsidP="00EC702D">
      <w:pPr>
        <w:rPr>
          <w:lang w:val="en-US"/>
        </w:rPr>
      </w:pPr>
      <w:r w:rsidRPr="00987B51">
        <w:t>In view of the foregoing, we propose that no changes be made to resolution 54 as proposed in document 47 Addendum 8, with</w:t>
      </w:r>
      <w:r w:rsidRPr="00987B51">
        <w:rPr>
          <w:lang w:val="en-US"/>
        </w:rPr>
        <w:t xml:space="preserve"> particular reference to point g) under </w:t>
      </w:r>
      <w:r w:rsidRPr="00987B51">
        <w:rPr>
          <w:i/>
          <w:lang w:val="en-US"/>
        </w:rPr>
        <w:t>noting</w:t>
      </w:r>
      <w:r w:rsidRPr="00987B51">
        <w:rPr>
          <w:lang w:val="en-US"/>
        </w:rPr>
        <w:t xml:space="preserve"> and points 1, 2 and 3 under the </w:t>
      </w:r>
      <w:r w:rsidRPr="00987B51">
        <w:rPr>
          <w:i/>
          <w:lang w:val="en-US"/>
        </w:rPr>
        <w:t>resolves</w:t>
      </w:r>
      <w:r w:rsidRPr="00987B51">
        <w:rPr>
          <w:lang w:val="en-US"/>
        </w:rPr>
        <w:t xml:space="preserve"> of the proposed revised resolution and document 48 Addendum 14 with particular reference to point 3 under the </w:t>
      </w:r>
      <w:r w:rsidRPr="00987B51">
        <w:rPr>
          <w:i/>
          <w:iCs/>
          <w:lang w:val="en-US"/>
        </w:rPr>
        <w:t>resolves</w:t>
      </w:r>
      <w:r w:rsidRPr="00987B51">
        <w:rPr>
          <w:lang w:val="en-US"/>
        </w:rPr>
        <w:t xml:space="preserve"> of the proposed revised resolution.</w:t>
      </w:r>
    </w:p>
    <w:p w:rsidR="00EC702D" w:rsidRPr="00987B51" w:rsidRDefault="00EC702D" w:rsidP="00EC702D"/>
    <w:p w:rsidR="00ED30BC" w:rsidRPr="00987B51" w:rsidRDefault="00ED30BC">
      <w:pPr>
        <w:tabs>
          <w:tab w:val="clear" w:pos="1134"/>
          <w:tab w:val="clear" w:pos="1871"/>
          <w:tab w:val="clear" w:pos="2268"/>
        </w:tabs>
        <w:overflowPunct/>
        <w:autoSpaceDE/>
        <w:autoSpaceDN/>
        <w:adjustRightInd/>
        <w:spacing w:before="0"/>
        <w:textAlignment w:val="auto"/>
      </w:pPr>
      <w:r w:rsidRPr="00987B51">
        <w:br w:type="page"/>
      </w:r>
    </w:p>
    <w:p w:rsidR="009E1967" w:rsidRPr="00987B51" w:rsidRDefault="009E1967" w:rsidP="009E1967"/>
    <w:p w:rsidR="00557450" w:rsidRPr="00987B51" w:rsidRDefault="007804A2">
      <w:pPr>
        <w:pStyle w:val="Proposal"/>
      </w:pPr>
      <w:r w:rsidRPr="00987B51">
        <w:rPr>
          <w:u w:val="single"/>
        </w:rPr>
        <w:t>NOC</w:t>
      </w:r>
      <w:r w:rsidRPr="00987B51">
        <w:tab/>
        <w:t>ZMB/57/1</w:t>
      </w:r>
    </w:p>
    <w:p w:rsidR="00324ABE" w:rsidRPr="00987B51" w:rsidRDefault="007804A2" w:rsidP="00324ABE">
      <w:pPr>
        <w:pStyle w:val="ResNo"/>
      </w:pPr>
      <w:r w:rsidRPr="00987B51">
        <w:t>RESOLUTION 54 (REV. DUBAI, 2012)</w:t>
      </w:r>
    </w:p>
    <w:p w:rsidR="00324ABE" w:rsidRPr="00987B51" w:rsidRDefault="007804A2" w:rsidP="00324ABE">
      <w:pPr>
        <w:pStyle w:val="Restitle"/>
      </w:pPr>
      <w:r w:rsidRPr="00987B51">
        <w:t>Creation of, and assistance to, regional groups</w:t>
      </w:r>
    </w:p>
    <w:p w:rsidR="00324ABE" w:rsidRPr="00987B51" w:rsidRDefault="007804A2" w:rsidP="00324ABE">
      <w:pPr>
        <w:pStyle w:val="Resref"/>
      </w:pPr>
      <w:r w:rsidRPr="00987B51">
        <w:t>(Florianópolis, 2004; Johannesburg, 2008; Dubai, 2012)</w:t>
      </w:r>
    </w:p>
    <w:p w:rsidR="00324ABE" w:rsidRPr="00987B51" w:rsidRDefault="007804A2" w:rsidP="00324ABE">
      <w:pPr>
        <w:pStyle w:val="Normalaftertitle"/>
        <w:rPr>
          <w:lang w:val="en-US"/>
        </w:rPr>
      </w:pPr>
      <w:r w:rsidRPr="00987B51">
        <w:rPr>
          <w:lang w:val="en-US"/>
        </w:rPr>
        <w:t>The World Telecommunication Standardization Assembly (Dubai, 2012),</w:t>
      </w:r>
    </w:p>
    <w:p w:rsidR="00557450" w:rsidRDefault="007804A2">
      <w:pPr>
        <w:pStyle w:val="Reasons"/>
      </w:pPr>
      <w:r w:rsidRPr="00987B51">
        <w:rPr>
          <w:b/>
        </w:rPr>
        <w:t>Reasons:</w:t>
      </w:r>
      <w:r w:rsidRPr="00987B51">
        <w:tab/>
      </w:r>
      <w:r w:rsidR="00EC702D" w:rsidRPr="00987B51">
        <w:t>See discussion and proposal in WTSA-16 Document 57.</w:t>
      </w:r>
      <w:bookmarkStart w:id="0" w:name="_GoBack"/>
      <w:bookmarkEnd w:id="0"/>
    </w:p>
    <w:sectPr w:rsidR="00557450">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987B51">
      <w:rPr>
        <w:noProof/>
      </w:rPr>
      <w:t>11.10.16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EC702D" w:rsidRDefault="00EC702D" w:rsidP="00EC702D">
    <w:pPr>
      <w:pStyle w:val="Footer"/>
      <w:rPr>
        <w:lang w:val="fr-CH"/>
      </w:rPr>
    </w:pPr>
    <w:r w:rsidRPr="00EC702D">
      <w:rPr>
        <w:lang w:val="fr-CH"/>
      </w:rPr>
      <w:t>I</w:t>
    </w:r>
    <w:r>
      <w:rPr>
        <w:lang w:val="fr-CH"/>
      </w:rPr>
      <w:t>TU-T\CONF-T\WTSA16\000\57</w:t>
    </w:r>
    <w:r w:rsidRPr="00EC702D">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EC702D" w:rsidRDefault="00EC702D" w:rsidP="00EC702D">
    <w:pPr>
      <w:pStyle w:val="Footer"/>
      <w:rPr>
        <w:lang w:val="fr-CH"/>
      </w:rPr>
    </w:pPr>
    <w:r w:rsidRPr="00EC702D">
      <w:rPr>
        <w:lang w:val="fr-CH"/>
      </w:rPr>
      <w:t>I</w:t>
    </w:r>
    <w:r>
      <w:rPr>
        <w:lang w:val="fr-CH"/>
      </w:rPr>
      <w:t>TU-T\CONF-T\WTSA16\000\57</w:t>
    </w:r>
    <w:r w:rsidRPr="00EC702D">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987B51">
      <w:rPr>
        <w:noProof/>
      </w:rPr>
      <w:t>4</w:t>
    </w:r>
    <w:r>
      <w:fldChar w:fldCharType="end"/>
    </w:r>
  </w:p>
  <w:p w:rsidR="00A066F1" w:rsidRPr="00C72D5C" w:rsidRDefault="00C72D5C" w:rsidP="008E67E5">
    <w:pPr>
      <w:pStyle w:val="Header"/>
    </w:pPr>
    <w:r>
      <w:t>WTSA16/</w:t>
    </w:r>
    <w:r w:rsidR="008E67E5">
      <w:t>57-E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1F61094"/>
    <w:multiLevelType w:val="hybridMultilevel"/>
    <w:tmpl w:val="54A47C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2A55"/>
    <w:rsid w:val="004D5D5C"/>
    <w:rsid w:val="004D6DFC"/>
    <w:rsid w:val="0050139F"/>
    <w:rsid w:val="0055140B"/>
    <w:rsid w:val="00553247"/>
    <w:rsid w:val="00557450"/>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4E9A"/>
    <w:rsid w:val="00707E39"/>
    <w:rsid w:val="007149F9"/>
    <w:rsid w:val="00733A30"/>
    <w:rsid w:val="00742F1D"/>
    <w:rsid w:val="00745AEE"/>
    <w:rsid w:val="00750F10"/>
    <w:rsid w:val="00761B19"/>
    <w:rsid w:val="007742CA"/>
    <w:rsid w:val="007804A2"/>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87B51"/>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29C1"/>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02D"/>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uiPriority w:val="39"/>
    <w:rsid w:val="00EC70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Sheet1!$G$12</c:f>
              <c:strCache>
                <c:ptCount val="1"/>
                <c:pt idx="0">
                  <c:v>Number of Contributions received by Africa Regional Group Meetings in 2016</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Sheet1!$F$13:$F$18</c:f>
              <c:strCache>
                <c:ptCount val="6"/>
                <c:pt idx="0">
                  <c:v>SG2</c:v>
                </c:pt>
                <c:pt idx="1">
                  <c:v>SG3</c:v>
                </c:pt>
                <c:pt idx="2">
                  <c:v>SG5</c:v>
                </c:pt>
                <c:pt idx="3">
                  <c:v>SG12</c:v>
                </c:pt>
                <c:pt idx="4">
                  <c:v>SG13</c:v>
                </c:pt>
                <c:pt idx="5">
                  <c:v>SG17</c:v>
                </c:pt>
              </c:strCache>
            </c:strRef>
          </c:cat>
          <c:val>
            <c:numRef>
              <c:f>Sheet1!$G$13:$G$18</c:f>
              <c:numCache>
                <c:formatCode>General</c:formatCode>
                <c:ptCount val="6"/>
                <c:pt idx="0">
                  <c:v>0</c:v>
                </c:pt>
                <c:pt idx="1">
                  <c:v>41</c:v>
                </c:pt>
                <c:pt idx="2">
                  <c:v>2</c:v>
                </c:pt>
                <c:pt idx="3">
                  <c:v>1</c:v>
                </c:pt>
                <c:pt idx="4">
                  <c:v>4</c:v>
                </c:pt>
                <c:pt idx="5">
                  <c:v>3</c:v>
                </c:pt>
              </c:numCache>
            </c:numRef>
          </c:val>
        </c:ser>
        <c:dLbls>
          <c:dLblPos val="outEnd"/>
          <c:showLegendKey val="0"/>
          <c:showVal val="1"/>
          <c:showCatName val="0"/>
          <c:showSerName val="0"/>
          <c:showPercent val="0"/>
          <c:showBubbleSize val="0"/>
        </c:dLbls>
        <c:gapWidth val="100"/>
        <c:overlap val="-24"/>
        <c:axId val="208181104"/>
        <c:axId val="208181664"/>
      </c:barChart>
      <c:catAx>
        <c:axId val="20818110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8181664"/>
        <c:crosses val="autoZero"/>
        <c:auto val="1"/>
        <c:lblAlgn val="ctr"/>
        <c:lblOffset val="100"/>
        <c:noMultiLvlLbl val="0"/>
      </c:catAx>
      <c:valAx>
        <c:axId val="20818166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818110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d9fb198-c598-40a2-9b3f-1c6febca365c" targetNamespace="http://schemas.microsoft.com/office/2006/metadata/properties" ma:root="true" ma:fieldsID="d41af5c836d734370eb92e7ee5f83852" ns2:_="" ns3:_="">
    <xsd:import namespace="996b2e75-67fd-4955-a3b0-5ab9934cb50b"/>
    <xsd:import namespace="ad9fb198-c598-40a2-9b3f-1c6febca365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d9fb198-c598-40a2-9b3f-1c6febca365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d9fb198-c598-40a2-9b3f-1c6febca365c">Documents Proposals Manager (DPM)</DPM_x0020_Author>
    <DPM_x0020_File_x0020_name xmlns="ad9fb198-c598-40a2-9b3f-1c6febca365c">T13-WTSA.16-C-0057!!MSW-E</DPM_x0020_File_x0020_name>
    <DPM_x0020_Version xmlns="ad9fb198-c598-40a2-9b3f-1c6febca365c">DPM_v2016.10.7.1_prod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d9fb198-c598-40a2-9b3f-1c6febca3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purl.org/dc/elements/1.1/"/>
    <ds:schemaRef ds:uri="ad9fb198-c598-40a2-9b3f-1c6febca365c"/>
    <ds:schemaRef ds:uri="http://schemas.microsoft.com/office/infopath/2007/PartnerControl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759</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T13-WTSA.16-C-0057!!MSW-E</vt:lpstr>
    </vt:vector>
  </TitlesOfParts>
  <Manager>General Secretariat - Pool</Manager>
  <Company>International Telecommunication Union (ITU)</Company>
  <LinksUpToDate>false</LinksUpToDate>
  <CharactersWithSpaces>4959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T13-WTSA.16-C-0057!!MSW-E</dc:title>
  <dc:subject>World Telecommunication Standardization Assembly</dc:subject>
  <dc:creator>Documents Proposals Manager (DPM)</dc:creator>
  <cp:keywords>DPM_v2016.10.7.1_prod</cp:keywords>
  <dc:description>Template used by DPM and CPI for the WTSA-16</dc:description>
  <cp:lastModifiedBy>TSB (RC)</cp:lastModifiedBy>
  <cp:revision>6</cp:revision>
  <cp:lastPrinted>2016-06-06T07:49:00Z</cp:lastPrinted>
  <dcterms:created xsi:type="dcterms:W3CDTF">2016-10-11T10:11:00Z</dcterms:created>
  <dcterms:modified xsi:type="dcterms:W3CDTF">2016-10-12T07:26:00Z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