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89" w:type="pct"/>
        <w:tblLook w:val="04A0" w:firstRow="1" w:lastRow="0" w:firstColumn="1" w:lastColumn="0" w:noHBand="0" w:noVBand="1"/>
      </w:tblPr>
      <w:tblGrid>
        <w:gridCol w:w="1383"/>
        <w:gridCol w:w="5231"/>
        <w:gridCol w:w="3197"/>
      </w:tblGrid>
      <w:tr w:rsidR="009759FE" w:rsidTr="00E2414B">
        <w:trPr>
          <w:cantSplit/>
        </w:trPr>
        <w:tc>
          <w:tcPr>
            <w:tcW w:w="1383" w:type="dxa"/>
            <w:vAlign w:val="center"/>
            <w:hideMark/>
          </w:tcPr>
          <w:p w:rsidR="009759FE" w:rsidRPr="00031E6B" w:rsidRDefault="009759FE" w:rsidP="00E2414B">
            <w:pPr>
              <w:spacing w:after="160"/>
              <w:rPr>
                <w:rFonts w:ascii="Verdana" w:hAnsi="Verdana" w:cs="Times New Roman Bold"/>
                <w:b/>
                <w:bCs/>
                <w:sz w:val="22"/>
                <w:szCs w:val="22"/>
              </w:rPr>
            </w:pPr>
            <w:r w:rsidRPr="00031E6B">
              <w:rPr>
                <w:noProof/>
                <w:lang w:eastAsia="zh-CN"/>
              </w:rPr>
              <w:drawing>
                <wp:inline distT="0" distB="0" distL="0" distR="0">
                  <wp:extent cx="723900" cy="800100"/>
                  <wp:effectExtent l="0" t="0" r="0" b="0"/>
                  <wp:docPr id="5" name="Picture 5" descr="itu_logo" title="ITU logo"/>
                  <wp:cNvGraphicFramePr/>
                  <a:graphic xmlns:a="http://schemas.openxmlformats.org/drawingml/2006/main">
                    <a:graphicData uri="http://schemas.openxmlformats.org/drawingml/2006/picture">
                      <pic:pic xmlns:pic="http://schemas.openxmlformats.org/drawingml/2006/picture">
                        <pic:nvPicPr>
                          <pic:cNvPr id="3" name="Picture 3" descr="itu_logo" title="ITU logo"/>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17550" cy="799465"/>
                          </a:xfrm>
                          <a:prstGeom prst="rect">
                            <a:avLst/>
                          </a:prstGeom>
                          <a:noFill/>
                          <a:ln>
                            <a:noFill/>
                          </a:ln>
                        </pic:spPr>
                      </pic:pic>
                    </a:graphicData>
                  </a:graphic>
                </wp:inline>
              </w:drawing>
            </w:r>
          </w:p>
        </w:tc>
        <w:tc>
          <w:tcPr>
            <w:tcW w:w="5231" w:type="dxa"/>
            <w:vAlign w:val="center"/>
            <w:hideMark/>
          </w:tcPr>
          <w:p w:rsidR="009759FE" w:rsidRPr="00031E6B" w:rsidRDefault="009759FE" w:rsidP="00E2414B">
            <w:pPr>
              <w:rPr>
                <w:rFonts w:ascii="Verdana" w:hAnsi="Verdana" w:cs="Times New Roman Bold"/>
                <w:b/>
                <w:bCs/>
                <w:szCs w:val="24"/>
                <w:lang w:eastAsia="zh-CN"/>
              </w:rPr>
            </w:pPr>
            <w:r w:rsidRPr="00031E6B">
              <w:rPr>
                <w:rFonts w:ascii="Verdana" w:hAnsi="Verdana" w:cs="Times New Roman Bold" w:hint="eastAsia"/>
                <w:b/>
                <w:bCs/>
                <w:szCs w:val="24"/>
                <w:lang w:eastAsia="zh-CN"/>
              </w:rPr>
              <w:t>世界电信标准化全会</w:t>
            </w:r>
          </w:p>
          <w:p w:rsidR="009759FE" w:rsidRPr="00400909" w:rsidRDefault="009759FE" w:rsidP="00E2414B">
            <w:pPr>
              <w:rPr>
                <w:rFonts w:ascii="Verdana" w:hAnsi="Verdana" w:cs="Times New Roman Bold"/>
                <w:b/>
                <w:bCs/>
                <w:sz w:val="22"/>
                <w:szCs w:val="22"/>
                <w:lang w:eastAsia="zh-CN"/>
              </w:rPr>
            </w:pPr>
            <w:r w:rsidRPr="00400909">
              <w:rPr>
                <w:rFonts w:ascii="Verdana" w:hAnsi="Verdana" w:cs="Times New Roman Bold"/>
                <w:b/>
                <w:bCs/>
                <w:szCs w:val="24"/>
                <w:lang w:eastAsia="zh-CN"/>
              </w:rPr>
              <w:t>（</w:t>
            </w:r>
            <w:r w:rsidRPr="00400909">
              <w:rPr>
                <w:rFonts w:ascii="Verdana" w:hAnsi="Verdana" w:cs="Times New Roman Bold"/>
                <w:b/>
                <w:bCs/>
                <w:szCs w:val="24"/>
                <w:lang w:eastAsia="zh-CN"/>
              </w:rPr>
              <w:t>WTSA-16</w:t>
            </w:r>
            <w:r w:rsidRPr="00400909">
              <w:rPr>
                <w:rFonts w:ascii="Verdana" w:hAnsi="Verdana" w:cs="Times New Roman Bold"/>
                <w:b/>
                <w:bCs/>
                <w:szCs w:val="24"/>
                <w:lang w:eastAsia="zh-CN"/>
              </w:rPr>
              <w:t>）</w:t>
            </w:r>
            <w:r w:rsidRPr="00400909">
              <w:rPr>
                <w:rFonts w:ascii="Verdana" w:hAnsi="Verdana" w:cs="Times New Roman Bold"/>
                <w:b/>
                <w:bCs/>
                <w:lang w:eastAsia="zh-CN"/>
              </w:rPr>
              <w:br/>
            </w:r>
            <w:r w:rsidRPr="00400909">
              <w:rPr>
                <w:rFonts w:ascii="Verdana" w:hAnsi="Verdana" w:cs="Times New Roman Bold"/>
                <w:b/>
                <w:bCs/>
                <w:sz w:val="20"/>
                <w:lang w:eastAsia="zh-CN"/>
              </w:rPr>
              <w:t>2016</w:t>
            </w:r>
            <w:r w:rsidRPr="00400909">
              <w:rPr>
                <w:rFonts w:ascii="Verdana" w:hAnsi="Verdana" w:cs="Times New Roman Bold"/>
                <w:b/>
                <w:bCs/>
                <w:sz w:val="20"/>
                <w:lang w:eastAsia="zh-CN"/>
              </w:rPr>
              <w:t>年</w:t>
            </w:r>
            <w:r w:rsidRPr="00400909">
              <w:rPr>
                <w:rFonts w:ascii="Verdana" w:hAnsi="Verdana" w:cs="Times New Roman Bold"/>
                <w:b/>
                <w:bCs/>
                <w:sz w:val="20"/>
                <w:lang w:eastAsia="zh-CN"/>
              </w:rPr>
              <w:t>10</w:t>
            </w:r>
            <w:r w:rsidRPr="00400909">
              <w:rPr>
                <w:rFonts w:ascii="Verdana" w:hAnsi="Verdana" w:cs="Times New Roman Bold"/>
                <w:b/>
                <w:bCs/>
                <w:sz w:val="20"/>
                <w:lang w:eastAsia="zh-CN"/>
              </w:rPr>
              <w:t>月</w:t>
            </w:r>
            <w:r w:rsidRPr="00400909">
              <w:rPr>
                <w:rFonts w:ascii="Verdana" w:hAnsi="Verdana" w:cs="Times New Roman Bold"/>
                <w:b/>
                <w:bCs/>
                <w:sz w:val="20"/>
                <w:lang w:eastAsia="zh-CN"/>
              </w:rPr>
              <w:t>25</w:t>
            </w:r>
            <w:r w:rsidRPr="00400909">
              <w:rPr>
                <w:rFonts w:ascii="Verdana" w:hAnsi="Verdana" w:cs="Times New Roman Bold"/>
                <w:b/>
                <w:bCs/>
                <w:sz w:val="20"/>
                <w:lang w:eastAsia="zh-CN"/>
              </w:rPr>
              <w:t>日</w:t>
            </w:r>
            <w:r w:rsidRPr="00400909">
              <w:rPr>
                <w:rFonts w:ascii="Verdana" w:hAnsi="Verdana" w:cs="Times New Roman Bold"/>
                <w:b/>
                <w:bCs/>
                <w:sz w:val="20"/>
                <w:lang w:eastAsia="zh-CN"/>
              </w:rPr>
              <w:t>-11</w:t>
            </w:r>
            <w:r w:rsidRPr="00400909">
              <w:rPr>
                <w:rFonts w:ascii="Verdana" w:hAnsi="Verdana" w:cs="Times New Roman Bold"/>
                <w:b/>
                <w:bCs/>
                <w:sz w:val="20"/>
                <w:lang w:eastAsia="zh-CN"/>
              </w:rPr>
              <w:t>月</w:t>
            </w:r>
            <w:r w:rsidRPr="00400909">
              <w:rPr>
                <w:rFonts w:ascii="Verdana" w:hAnsi="Verdana" w:cs="Times New Roman Bold"/>
                <w:b/>
                <w:bCs/>
                <w:sz w:val="20"/>
                <w:lang w:eastAsia="zh-CN"/>
              </w:rPr>
              <w:t>3</w:t>
            </w:r>
            <w:r w:rsidRPr="00400909">
              <w:rPr>
                <w:rFonts w:ascii="Verdana" w:hAnsi="Verdana" w:cs="Times New Roman Bold"/>
                <w:b/>
                <w:bCs/>
                <w:sz w:val="20"/>
                <w:lang w:eastAsia="zh-CN"/>
              </w:rPr>
              <w:t>日，哈马马特</w:t>
            </w:r>
          </w:p>
        </w:tc>
        <w:tc>
          <w:tcPr>
            <w:tcW w:w="3197" w:type="dxa"/>
            <w:vAlign w:val="center"/>
            <w:hideMark/>
          </w:tcPr>
          <w:p w:rsidR="009759FE" w:rsidRPr="00031E6B" w:rsidRDefault="009759FE" w:rsidP="00E2414B">
            <w:pPr>
              <w:spacing w:after="160"/>
              <w:jc w:val="right"/>
              <w:rPr>
                <w:sz w:val="22"/>
                <w:szCs w:val="22"/>
              </w:rPr>
            </w:pPr>
            <w:r w:rsidRPr="00031E6B">
              <w:rPr>
                <w:noProof/>
                <w:lang w:eastAsia="zh-CN"/>
              </w:rPr>
              <w:drawing>
                <wp:inline distT="0" distB="0" distL="0" distR="0">
                  <wp:extent cx="885825" cy="790575"/>
                  <wp:effectExtent l="0" t="0" r="9525" b="9525"/>
                  <wp:docPr id="4" name="Picture 4" descr="Title: 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tle: CCITT/ITU-T 60th Anniversary log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5825" cy="790575"/>
                          </a:xfrm>
                          <a:prstGeom prst="rect">
                            <a:avLst/>
                          </a:prstGeom>
                          <a:noFill/>
                          <a:ln>
                            <a:noFill/>
                          </a:ln>
                        </pic:spPr>
                      </pic:pic>
                    </a:graphicData>
                  </a:graphic>
                </wp:inline>
              </w:drawing>
            </w:r>
          </w:p>
        </w:tc>
      </w:tr>
      <w:tr w:rsidR="009759FE" w:rsidRPr="000A3B30" w:rsidTr="00E2414B">
        <w:trPr>
          <w:cantSplit/>
        </w:trPr>
        <w:tc>
          <w:tcPr>
            <w:tcW w:w="6614" w:type="dxa"/>
            <w:gridSpan w:val="2"/>
            <w:tcBorders>
              <w:top w:val="nil"/>
              <w:left w:val="nil"/>
              <w:bottom w:val="single" w:sz="12" w:space="0" w:color="auto"/>
              <w:right w:val="nil"/>
            </w:tcBorders>
          </w:tcPr>
          <w:p w:rsidR="009759FE" w:rsidRPr="000A3B30" w:rsidRDefault="009759FE" w:rsidP="00E2414B">
            <w:pPr>
              <w:spacing w:before="0"/>
              <w:rPr>
                <w:rFonts w:eastAsia="Times New Roman"/>
              </w:rPr>
            </w:pPr>
          </w:p>
        </w:tc>
        <w:tc>
          <w:tcPr>
            <w:tcW w:w="3197" w:type="dxa"/>
            <w:tcBorders>
              <w:top w:val="nil"/>
              <w:left w:val="nil"/>
              <w:bottom w:val="single" w:sz="12" w:space="0" w:color="auto"/>
              <w:right w:val="nil"/>
            </w:tcBorders>
          </w:tcPr>
          <w:p w:rsidR="009759FE" w:rsidRPr="000A3B30" w:rsidRDefault="009759FE" w:rsidP="00E2414B">
            <w:pPr>
              <w:spacing w:before="0"/>
              <w:rPr>
                <w:rFonts w:eastAsia="Times New Roman"/>
              </w:rPr>
            </w:pPr>
          </w:p>
        </w:tc>
      </w:tr>
      <w:tr w:rsidR="009759FE" w:rsidTr="00E2414B">
        <w:trPr>
          <w:cantSplit/>
        </w:trPr>
        <w:tc>
          <w:tcPr>
            <w:tcW w:w="6614" w:type="dxa"/>
            <w:gridSpan w:val="2"/>
            <w:tcBorders>
              <w:top w:val="single" w:sz="12" w:space="0" w:color="auto"/>
              <w:left w:val="nil"/>
              <w:bottom w:val="nil"/>
              <w:right w:val="nil"/>
            </w:tcBorders>
          </w:tcPr>
          <w:p w:rsidR="009759FE" w:rsidRPr="00400909" w:rsidRDefault="009759FE" w:rsidP="00E2414B">
            <w:pPr>
              <w:spacing w:before="0"/>
              <w:rPr>
                <w:rFonts w:eastAsia="Times New Roman"/>
              </w:rPr>
            </w:pPr>
          </w:p>
        </w:tc>
        <w:tc>
          <w:tcPr>
            <w:tcW w:w="3197" w:type="dxa"/>
          </w:tcPr>
          <w:p w:rsidR="009759FE" w:rsidRPr="00031E6B" w:rsidRDefault="009759FE" w:rsidP="00E2414B">
            <w:pPr>
              <w:spacing w:before="0"/>
              <w:rPr>
                <w:rFonts w:ascii="Verdana" w:hAnsi="Verdana"/>
                <w:b/>
                <w:bCs/>
                <w:sz w:val="20"/>
                <w:szCs w:val="22"/>
              </w:rPr>
            </w:pPr>
          </w:p>
        </w:tc>
      </w:tr>
      <w:tr w:rsidR="000A3B30" w:rsidTr="00E2414B">
        <w:trPr>
          <w:cantSplit/>
        </w:trPr>
        <w:tc>
          <w:tcPr>
            <w:tcW w:w="6614" w:type="dxa"/>
            <w:gridSpan w:val="2"/>
          </w:tcPr>
          <w:p w:rsidR="000A3B30" w:rsidRPr="00031E6B" w:rsidRDefault="000A3B30" w:rsidP="00E2414B">
            <w:pPr>
              <w:spacing w:before="0"/>
              <w:rPr>
                <w:sz w:val="22"/>
                <w:szCs w:val="22"/>
              </w:rPr>
            </w:pPr>
            <w:r w:rsidRPr="00A466E6">
              <w:rPr>
                <w:rFonts w:ascii="Verdana" w:hAnsi="Verdana"/>
                <w:b/>
                <w:sz w:val="20"/>
              </w:rPr>
              <w:t>全体会议</w:t>
            </w:r>
          </w:p>
        </w:tc>
        <w:tc>
          <w:tcPr>
            <w:tcW w:w="3197" w:type="dxa"/>
            <w:hideMark/>
          </w:tcPr>
          <w:p w:rsidR="000A3B30" w:rsidRPr="00622560" w:rsidRDefault="000A3B30" w:rsidP="00E2414B">
            <w:pPr>
              <w:spacing w:before="0"/>
              <w:rPr>
                <w:rFonts w:ascii="Verdana" w:hAnsi="Verdana"/>
                <w:sz w:val="20"/>
              </w:rPr>
            </w:pPr>
            <w:r>
              <w:rPr>
                <w:rFonts w:ascii="Verdana" w:hAnsi="Verdana"/>
                <w:b/>
                <w:sz w:val="20"/>
              </w:rPr>
              <w:t>文件</w:t>
            </w:r>
            <w:r>
              <w:rPr>
                <w:rFonts w:ascii="Verdana" w:hAnsi="Verdana"/>
                <w:b/>
                <w:sz w:val="20"/>
              </w:rPr>
              <w:t xml:space="preserve"> 55</w:t>
            </w:r>
            <w:r w:rsidRPr="00622560">
              <w:rPr>
                <w:rFonts w:ascii="Verdana" w:hAnsi="Verdana"/>
                <w:b/>
                <w:sz w:val="20"/>
              </w:rPr>
              <w:t>-</w:t>
            </w:r>
            <w:r w:rsidRPr="000273B7">
              <w:rPr>
                <w:rFonts w:ascii="Verdana" w:hAnsi="Verdana"/>
                <w:b/>
                <w:sz w:val="20"/>
              </w:rPr>
              <w:t>C</w:t>
            </w:r>
          </w:p>
        </w:tc>
      </w:tr>
      <w:tr w:rsidR="000A3B30" w:rsidTr="00E2414B">
        <w:trPr>
          <w:cantSplit/>
        </w:trPr>
        <w:tc>
          <w:tcPr>
            <w:tcW w:w="6614" w:type="dxa"/>
            <w:gridSpan w:val="2"/>
          </w:tcPr>
          <w:p w:rsidR="000A3B30" w:rsidRPr="00C324A8" w:rsidRDefault="000A3B30" w:rsidP="00E2414B">
            <w:pPr>
              <w:spacing w:before="0"/>
              <w:rPr>
                <w:rFonts w:ascii="Verdana" w:hAnsi="Verdana"/>
                <w:b/>
                <w:smallCaps/>
                <w:sz w:val="20"/>
              </w:rPr>
            </w:pPr>
          </w:p>
        </w:tc>
        <w:tc>
          <w:tcPr>
            <w:tcW w:w="3197" w:type="dxa"/>
            <w:hideMark/>
          </w:tcPr>
          <w:p w:rsidR="000A3B30" w:rsidRPr="00622560" w:rsidRDefault="000A3B30" w:rsidP="00E2414B">
            <w:pPr>
              <w:spacing w:before="0"/>
              <w:rPr>
                <w:rFonts w:ascii="Verdana" w:hAnsi="Verdana"/>
                <w:sz w:val="20"/>
              </w:rPr>
            </w:pPr>
            <w:r w:rsidRPr="000273B7">
              <w:rPr>
                <w:rFonts w:ascii="Verdana" w:hAnsi="Verdana"/>
                <w:b/>
                <w:bCs/>
                <w:sz w:val="20"/>
              </w:rPr>
              <w:t>2016</w:t>
            </w:r>
            <w:r w:rsidRPr="000273B7">
              <w:rPr>
                <w:rFonts w:ascii="Verdana" w:hAnsi="Verdana"/>
                <w:b/>
                <w:bCs/>
                <w:sz w:val="20"/>
              </w:rPr>
              <w:t>年</w:t>
            </w:r>
            <w:r w:rsidRPr="000273B7">
              <w:rPr>
                <w:rFonts w:ascii="Verdana" w:hAnsi="Verdana"/>
                <w:b/>
                <w:bCs/>
                <w:sz w:val="20"/>
              </w:rPr>
              <w:t>10</w:t>
            </w:r>
            <w:r w:rsidRPr="000273B7">
              <w:rPr>
                <w:rFonts w:ascii="Verdana" w:hAnsi="Verdana"/>
                <w:b/>
                <w:bCs/>
                <w:sz w:val="20"/>
              </w:rPr>
              <w:t>月</w:t>
            </w:r>
            <w:r w:rsidRPr="000273B7">
              <w:rPr>
                <w:rFonts w:ascii="Verdana" w:hAnsi="Verdana"/>
                <w:b/>
                <w:bCs/>
                <w:sz w:val="20"/>
              </w:rPr>
              <w:t>9</w:t>
            </w:r>
            <w:r w:rsidRPr="000273B7">
              <w:rPr>
                <w:rFonts w:ascii="Verdana" w:hAnsi="Verdana"/>
                <w:b/>
                <w:bCs/>
                <w:sz w:val="20"/>
              </w:rPr>
              <w:t>日</w:t>
            </w:r>
          </w:p>
        </w:tc>
      </w:tr>
      <w:tr w:rsidR="000A3B30" w:rsidTr="00E2414B">
        <w:trPr>
          <w:cantSplit/>
        </w:trPr>
        <w:tc>
          <w:tcPr>
            <w:tcW w:w="6614" w:type="dxa"/>
            <w:gridSpan w:val="2"/>
          </w:tcPr>
          <w:p w:rsidR="000A3B30" w:rsidRPr="00031E6B" w:rsidRDefault="000A3B30" w:rsidP="00E2414B">
            <w:pPr>
              <w:spacing w:before="0"/>
              <w:rPr>
                <w:sz w:val="22"/>
                <w:szCs w:val="22"/>
              </w:rPr>
            </w:pPr>
          </w:p>
        </w:tc>
        <w:tc>
          <w:tcPr>
            <w:tcW w:w="3197" w:type="dxa"/>
            <w:hideMark/>
          </w:tcPr>
          <w:p w:rsidR="000A3B30" w:rsidRPr="00622560" w:rsidRDefault="000A3B30" w:rsidP="00E2414B">
            <w:pPr>
              <w:spacing w:before="0"/>
              <w:rPr>
                <w:rFonts w:ascii="Verdana" w:hAnsi="Verdana"/>
                <w:sz w:val="20"/>
              </w:rPr>
            </w:pPr>
            <w:r w:rsidRPr="000273B7">
              <w:rPr>
                <w:rFonts w:ascii="Verdana" w:hAnsi="Verdana"/>
                <w:b/>
                <w:bCs/>
                <w:sz w:val="20"/>
              </w:rPr>
              <w:t>原文：英文</w:t>
            </w:r>
          </w:p>
        </w:tc>
      </w:tr>
      <w:tr w:rsidR="009D164C" w:rsidTr="00E2414B">
        <w:trPr>
          <w:cantSplit/>
        </w:trPr>
        <w:tc>
          <w:tcPr>
            <w:tcW w:w="9811" w:type="dxa"/>
            <w:gridSpan w:val="3"/>
          </w:tcPr>
          <w:p w:rsidR="009D164C" w:rsidRPr="00031E6B" w:rsidRDefault="009D164C" w:rsidP="00E2414B">
            <w:pPr>
              <w:spacing w:before="0"/>
              <w:rPr>
                <w:rFonts w:ascii="Verdana" w:hAnsi="Verdana"/>
                <w:b/>
                <w:bCs/>
                <w:sz w:val="20"/>
                <w:szCs w:val="22"/>
              </w:rPr>
            </w:pPr>
          </w:p>
        </w:tc>
      </w:tr>
      <w:tr w:rsidR="000A3B30" w:rsidTr="00E2414B">
        <w:trPr>
          <w:cantSplit/>
        </w:trPr>
        <w:tc>
          <w:tcPr>
            <w:tcW w:w="9811" w:type="dxa"/>
            <w:gridSpan w:val="3"/>
            <w:hideMark/>
          </w:tcPr>
          <w:p w:rsidR="000A3B30" w:rsidRPr="00031E6B" w:rsidRDefault="000A3B30" w:rsidP="00E2414B">
            <w:pPr>
              <w:pStyle w:val="Source"/>
              <w:rPr>
                <w:lang w:eastAsia="zh-CN"/>
              </w:rPr>
            </w:pPr>
            <w:r w:rsidRPr="000273B7">
              <w:rPr>
                <w:lang w:eastAsia="zh-CN"/>
              </w:rPr>
              <w:t>伊朗（伊斯兰共和国）</w:t>
            </w:r>
          </w:p>
        </w:tc>
      </w:tr>
      <w:tr w:rsidR="000A3B30" w:rsidTr="00E2414B">
        <w:trPr>
          <w:cantSplit/>
        </w:trPr>
        <w:tc>
          <w:tcPr>
            <w:tcW w:w="9811" w:type="dxa"/>
            <w:gridSpan w:val="3"/>
            <w:hideMark/>
          </w:tcPr>
          <w:p w:rsidR="000A3B30" w:rsidRPr="00C965FB" w:rsidRDefault="00C965FB" w:rsidP="001D05D5">
            <w:pPr>
              <w:pStyle w:val="Title1"/>
              <w:rPr>
                <w:lang w:eastAsia="zh-CN"/>
              </w:rPr>
            </w:pPr>
            <w:r>
              <w:rPr>
                <w:rFonts w:hint="eastAsia"/>
                <w:lang w:eastAsia="zh-CN"/>
              </w:rPr>
              <w:t>WTSA-12</w:t>
            </w:r>
            <w:r>
              <w:rPr>
                <w:rFonts w:hint="eastAsia"/>
                <w:lang w:eastAsia="zh-CN"/>
              </w:rPr>
              <w:t>第</w:t>
            </w:r>
            <w:r>
              <w:rPr>
                <w:rFonts w:hint="eastAsia"/>
                <w:lang w:eastAsia="zh-CN"/>
              </w:rPr>
              <w:t>76</w:t>
            </w:r>
            <w:r>
              <w:rPr>
                <w:rFonts w:hint="eastAsia"/>
                <w:lang w:eastAsia="zh-CN"/>
              </w:rPr>
              <w:t>号决议</w:t>
            </w:r>
            <w:r w:rsidR="001D05D5">
              <w:rPr>
                <w:rFonts w:hint="eastAsia"/>
                <w:lang w:eastAsia="zh-CN"/>
              </w:rPr>
              <w:t>“</w:t>
            </w:r>
            <w:r w:rsidR="001D05D5" w:rsidRPr="001D05D5">
              <w:rPr>
                <w:rFonts w:hint="eastAsia"/>
                <w:lang w:eastAsia="zh-CN"/>
              </w:rPr>
              <w:t>有关合规性和</w:t>
            </w:r>
            <w:r w:rsidR="00BD195A">
              <w:rPr>
                <w:lang w:eastAsia="zh-CN"/>
              </w:rPr>
              <w:br/>
            </w:r>
            <w:r w:rsidR="001D05D5" w:rsidRPr="001D05D5">
              <w:rPr>
                <w:rFonts w:hint="eastAsia"/>
                <w:lang w:eastAsia="zh-CN"/>
              </w:rPr>
              <w:t>互操作性测试的研究、向发展中国家提供的帮助和</w:t>
            </w:r>
            <w:r w:rsidR="00BD195A">
              <w:rPr>
                <w:lang w:eastAsia="zh-CN"/>
              </w:rPr>
              <w:br/>
            </w:r>
            <w:r w:rsidR="001D05D5" w:rsidRPr="001D05D5">
              <w:rPr>
                <w:rFonts w:hint="eastAsia"/>
                <w:lang w:eastAsia="zh-CN"/>
              </w:rPr>
              <w:t>可能的未来国际电联标志计划</w:t>
            </w:r>
            <w:r w:rsidR="001D05D5">
              <w:rPr>
                <w:rFonts w:hint="eastAsia"/>
                <w:lang w:eastAsia="zh-CN"/>
              </w:rPr>
              <w:t>”</w:t>
            </w:r>
            <w:r>
              <w:rPr>
                <w:rFonts w:hint="eastAsia"/>
                <w:lang w:eastAsia="zh-CN"/>
              </w:rPr>
              <w:t>的拟议修改</w:t>
            </w:r>
          </w:p>
        </w:tc>
      </w:tr>
      <w:tr w:rsidR="000A3B30" w:rsidTr="00E2414B">
        <w:trPr>
          <w:cantSplit/>
        </w:trPr>
        <w:tc>
          <w:tcPr>
            <w:tcW w:w="9811" w:type="dxa"/>
            <w:gridSpan w:val="3"/>
            <w:hideMark/>
          </w:tcPr>
          <w:p w:rsidR="000A3B30" w:rsidRPr="00400909" w:rsidRDefault="000A3B30" w:rsidP="00E2414B">
            <w:pPr>
              <w:pStyle w:val="Title2"/>
              <w:rPr>
                <w:rFonts w:ascii="Verdana" w:hAnsi="Verdana"/>
                <w:lang w:eastAsia="zh-CN"/>
              </w:rPr>
            </w:pPr>
          </w:p>
        </w:tc>
      </w:tr>
      <w:tr w:rsidR="000A3B30" w:rsidTr="00E2414B">
        <w:trPr>
          <w:cantSplit/>
        </w:trPr>
        <w:tc>
          <w:tcPr>
            <w:tcW w:w="9811" w:type="dxa"/>
            <w:gridSpan w:val="3"/>
          </w:tcPr>
          <w:p w:rsidR="000A3B30" w:rsidRPr="000273B7" w:rsidRDefault="000A3B30" w:rsidP="00E2414B">
            <w:pPr>
              <w:pStyle w:val="Agendaitem"/>
            </w:pPr>
          </w:p>
        </w:tc>
      </w:tr>
    </w:tbl>
    <w:p w:rsidR="003556C0" w:rsidRDefault="003556C0" w:rsidP="003556C0">
      <w:pPr>
        <w:rPr>
          <w:lang w:val="en-US" w:eastAsia="zh-CN"/>
        </w:rPr>
      </w:pPr>
    </w:p>
    <w:tbl>
      <w:tblPr>
        <w:tblW w:w="5089" w:type="pct"/>
        <w:tblLayout w:type="fixed"/>
        <w:tblLook w:val="0000" w:firstRow="0" w:lastRow="0" w:firstColumn="0" w:lastColumn="0" w:noHBand="0" w:noVBand="0"/>
      </w:tblPr>
      <w:tblGrid>
        <w:gridCol w:w="851"/>
        <w:gridCol w:w="8960"/>
      </w:tblGrid>
      <w:tr w:rsidR="003556C0" w:rsidRPr="00426748" w:rsidTr="00193AD1">
        <w:trPr>
          <w:cantSplit/>
        </w:trPr>
        <w:tc>
          <w:tcPr>
            <w:tcW w:w="851" w:type="dxa"/>
          </w:tcPr>
          <w:p w:rsidR="003556C0" w:rsidRPr="00426748" w:rsidRDefault="003556C0" w:rsidP="00193AD1">
            <w:proofErr w:type="spellStart"/>
            <w:r w:rsidRPr="001051B1">
              <w:rPr>
                <w:rFonts w:hint="eastAsia"/>
                <w:b/>
                <w:bCs/>
              </w:rPr>
              <w:t>摘要</w:t>
            </w:r>
            <w:proofErr w:type="spellEnd"/>
            <w:r w:rsidRPr="008F7104">
              <w:rPr>
                <w:b/>
                <w:bCs/>
              </w:rPr>
              <w:t>:</w:t>
            </w:r>
          </w:p>
        </w:tc>
        <w:sdt>
          <w:sdtPr>
            <w:rPr>
              <w:rFonts w:ascii="SimSun" w:hAnsi="SimSun" w:cs="SimSun"/>
              <w:color w:val="000000"/>
              <w:lang w:val="en-US" w:eastAsia="zh-CN"/>
            </w:rPr>
            <w:alias w:val="Abstract"/>
            <w:tag w:val="Abstract"/>
            <w:id w:val="-939903723"/>
            <w:placeholder>
              <w:docPart w:val="D6F4CC86FB0D4519B33A4152A00EAE9F"/>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EndPr/>
          <w:sdtContent>
            <w:tc>
              <w:tcPr>
                <w:tcW w:w="8960" w:type="dxa"/>
              </w:tcPr>
              <w:p w:rsidR="003556C0" w:rsidRPr="00231452" w:rsidRDefault="001D05D5" w:rsidP="001D05D5">
                <w:pPr>
                  <w:rPr>
                    <w:lang w:eastAsia="zh-CN"/>
                  </w:rPr>
                </w:pPr>
                <w:r>
                  <w:rPr>
                    <w:rFonts w:ascii="SimSun" w:hAnsi="SimSun" w:cs="SimSun" w:hint="eastAsia"/>
                    <w:color w:val="000000"/>
                    <w:lang w:val="en-US" w:eastAsia="zh-CN"/>
                  </w:rPr>
                  <w:t>伊朗伊斯兰共和国</w:t>
                </w:r>
                <w:r w:rsidRPr="001D05D5">
                  <w:rPr>
                    <w:rFonts w:ascii="SimSun" w:hAnsi="SimSun" w:cs="SimSun" w:hint="eastAsia"/>
                    <w:color w:val="000000"/>
                    <w:lang w:val="en-US" w:eastAsia="zh-CN"/>
                  </w:rPr>
                  <w:t>主管部门提议修改本文件所载第</w:t>
                </w:r>
                <w:r>
                  <w:rPr>
                    <w:rFonts w:ascii="SimSun" w:hAnsi="SimSun" w:cs="SimSun" w:hint="eastAsia"/>
                    <w:color w:val="000000"/>
                    <w:lang w:val="en-US" w:eastAsia="zh-CN"/>
                  </w:rPr>
                  <w:t>76</w:t>
                </w:r>
                <w:r w:rsidRPr="001D05D5">
                  <w:rPr>
                    <w:rFonts w:ascii="SimSun" w:hAnsi="SimSun" w:cs="SimSun" w:hint="eastAsia"/>
                    <w:color w:val="000000"/>
                    <w:lang w:val="en-US" w:eastAsia="zh-CN"/>
                  </w:rPr>
                  <w:t>号决议。</w:t>
                </w:r>
              </w:p>
            </w:tc>
          </w:sdtContent>
        </w:sdt>
      </w:tr>
    </w:tbl>
    <w:p w:rsidR="005C7B12" w:rsidRDefault="005C7B12" w:rsidP="006F409E">
      <w:pPr>
        <w:rPr>
          <w:lang w:eastAsia="zh-CN"/>
        </w:rPr>
      </w:pPr>
    </w:p>
    <w:p w:rsidR="00C965FB" w:rsidRPr="00285B05" w:rsidRDefault="001D05D5" w:rsidP="00C965FB">
      <w:pPr>
        <w:pStyle w:val="Headingb"/>
        <w:rPr>
          <w:lang w:eastAsia="zh-CN"/>
        </w:rPr>
      </w:pPr>
      <w:r>
        <w:rPr>
          <w:rFonts w:hint="eastAsia"/>
          <w:lang w:eastAsia="zh-CN"/>
        </w:rPr>
        <w:t>理由</w:t>
      </w:r>
    </w:p>
    <w:p w:rsidR="00BD195A" w:rsidRDefault="001D05D5" w:rsidP="00503B10">
      <w:pPr>
        <w:ind w:firstLineChars="200" w:firstLine="480"/>
        <w:rPr>
          <w:lang w:eastAsia="zh-CN"/>
        </w:rPr>
      </w:pPr>
      <w:r>
        <w:rPr>
          <w:rFonts w:hint="eastAsia"/>
          <w:lang w:eastAsia="zh-CN"/>
        </w:rPr>
        <w:t>伊朗伊斯兰共和国</w:t>
      </w:r>
      <w:r w:rsidR="007F633A">
        <w:rPr>
          <w:rFonts w:hint="eastAsia"/>
          <w:lang w:eastAsia="zh-CN"/>
        </w:rPr>
        <w:t>主管部门</w:t>
      </w:r>
      <w:r>
        <w:rPr>
          <w:rFonts w:hint="eastAsia"/>
          <w:lang w:eastAsia="zh-CN"/>
        </w:rPr>
        <w:t>提议</w:t>
      </w:r>
      <w:r w:rsidR="007F633A">
        <w:rPr>
          <w:rFonts w:hint="eastAsia"/>
          <w:lang w:eastAsia="zh-CN"/>
        </w:rPr>
        <w:t>按下文所示修改第</w:t>
      </w:r>
      <w:r w:rsidR="007F633A">
        <w:rPr>
          <w:rFonts w:hint="eastAsia"/>
          <w:lang w:eastAsia="zh-CN"/>
        </w:rPr>
        <w:t>76</w:t>
      </w:r>
      <w:r w:rsidR="007F633A">
        <w:rPr>
          <w:rFonts w:hint="eastAsia"/>
          <w:lang w:eastAsia="zh-CN"/>
        </w:rPr>
        <w:t>号决议，添加一点漏掉的内容，即尤其在发展中国家因缺乏</w:t>
      </w:r>
      <w:r w:rsidR="007D511C">
        <w:rPr>
          <w:rFonts w:hint="eastAsia"/>
          <w:lang w:eastAsia="zh-CN"/>
        </w:rPr>
        <w:t>合规性</w:t>
      </w:r>
      <w:r w:rsidR="007F633A">
        <w:rPr>
          <w:rFonts w:hint="eastAsia"/>
          <w:lang w:eastAsia="zh-CN"/>
        </w:rPr>
        <w:t>和互操作性（</w:t>
      </w:r>
      <w:r w:rsidR="007F633A" w:rsidRPr="00285B05">
        <w:rPr>
          <w:lang w:eastAsia="zh-CN"/>
        </w:rPr>
        <w:t>C&amp;I</w:t>
      </w:r>
      <w:r w:rsidR="007F633A">
        <w:rPr>
          <w:rFonts w:hint="eastAsia"/>
          <w:lang w:eastAsia="zh-CN"/>
        </w:rPr>
        <w:t>）所导致的负面后果。目前没有基于最佳做法的信息和建议可以提供给成员来评价和评估因缺乏</w:t>
      </w:r>
      <w:r w:rsidR="007F633A" w:rsidRPr="00285B05">
        <w:rPr>
          <w:lang w:eastAsia="zh-CN"/>
        </w:rPr>
        <w:t>C&amp;I</w:t>
      </w:r>
      <w:r w:rsidR="007F633A">
        <w:rPr>
          <w:rFonts w:hint="eastAsia"/>
          <w:lang w:eastAsia="zh-CN"/>
        </w:rPr>
        <w:t>可能造成的损失。因此，</w:t>
      </w:r>
      <w:r w:rsidR="007D511C">
        <w:rPr>
          <w:rFonts w:hint="eastAsia"/>
          <w:lang w:eastAsia="zh-CN"/>
        </w:rPr>
        <w:t>根据国际电联</w:t>
      </w:r>
      <w:r w:rsidR="007D511C">
        <w:rPr>
          <w:lang w:eastAsia="zh-CN"/>
        </w:rPr>
        <w:t>C&amp;I</w:t>
      </w:r>
      <w:r w:rsidR="007D511C">
        <w:rPr>
          <w:rFonts w:hint="eastAsia"/>
          <w:lang w:eastAsia="zh-CN"/>
        </w:rPr>
        <w:t>项目支柱</w:t>
      </w:r>
      <w:r w:rsidR="007D511C">
        <w:rPr>
          <w:rFonts w:hint="eastAsia"/>
          <w:lang w:eastAsia="zh-CN"/>
        </w:rPr>
        <w:t>4</w:t>
      </w:r>
      <w:r w:rsidR="007D511C">
        <w:rPr>
          <w:rFonts w:hint="eastAsia"/>
          <w:lang w:eastAsia="zh-CN"/>
        </w:rPr>
        <w:t>，显然有必要作此添加并要求予以认真重视。</w:t>
      </w:r>
    </w:p>
    <w:p w:rsidR="00502B2E" w:rsidRDefault="00502B2E" w:rsidP="00503B10">
      <w:pPr>
        <w:ind w:firstLineChars="200" w:firstLine="480"/>
        <w:rPr>
          <w:lang w:eastAsia="zh-CN"/>
        </w:rPr>
      </w:pPr>
      <w:r>
        <w:rPr>
          <w:lang w:eastAsia="zh-CN"/>
        </w:rPr>
        <w:br w:type="page"/>
      </w:r>
    </w:p>
    <w:p w:rsidR="005C7B12" w:rsidRDefault="005C7B12">
      <w:pPr>
        <w:tabs>
          <w:tab w:val="clear" w:pos="1134"/>
          <w:tab w:val="clear" w:pos="1871"/>
          <w:tab w:val="clear" w:pos="2268"/>
        </w:tabs>
        <w:overflowPunct/>
        <w:autoSpaceDE/>
        <w:autoSpaceDN/>
        <w:adjustRightInd/>
        <w:spacing w:before="0"/>
        <w:textAlignment w:val="auto"/>
        <w:rPr>
          <w:lang w:eastAsia="zh-CN"/>
        </w:rPr>
      </w:pPr>
    </w:p>
    <w:p w:rsidR="00F63353" w:rsidRDefault="00C965FB">
      <w:pPr>
        <w:pStyle w:val="Proposal"/>
        <w:rPr>
          <w:lang w:eastAsia="zh-CN"/>
        </w:rPr>
      </w:pPr>
      <w:r>
        <w:rPr>
          <w:lang w:eastAsia="zh-CN"/>
        </w:rPr>
        <w:t>MOD</w:t>
      </w:r>
      <w:r>
        <w:rPr>
          <w:lang w:eastAsia="zh-CN"/>
        </w:rPr>
        <w:tab/>
        <w:t>IRN/55/1</w:t>
      </w:r>
    </w:p>
    <w:p w:rsidR="002F3272" w:rsidRPr="00E04A5F" w:rsidRDefault="00C965FB" w:rsidP="00503B10">
      <w:pPr>
        <w:pStyle w:val="ResNo"/>
        <w:rPr>
          <w:lang w:eastAsia="zh-CN"/>
        </w:rPr>
      </w:pPr>
      <w:bookmarkStart w:id="0" w:name="_Toc219521779"/>
      <w:bookmarkStart w:id="1" w:name="_Toc348252508"/>
      <w:r w:rsidRPr="00C52866">
        <w:rPr>
          <w:rStyle w:val="href"/>
          <w:rFonts w:hint="eastAsia"/>
        </w:rPr>
        <w:t>第</w:t>
      </w:r>
      <w:r w:rsidRPr="00C52866">
        <w:rPr>
          <w:rStyle w:val="href"/>
          <w:rFonts w:hint="eastAsia"/>
        </w:rPr>
        <w:t>76</w:t>
      </w:r>
      <w:r w:rsidRPr="00C52866">
        <w:rPr>
          <w:rStyle w:val="href"/>
          <w:rFonts w:hint="eastAsia"/>
        </w:rPr>
        <w:t>号决议</w:t>
      </w:r>
      <w:bookmarkEnd w:id="0"/>
      <w:r>
        <w:rPr>
          <w:rFonts w:hint="eastAsia"/>
          <w:lang w:eastAsia="zh-CN"/>
        </w:rPr>
        <w:t>（</w:t>
      </w:r>
      <w:del w:id="2" w:author="Tang, Ting" w:date="2016-10-20T16:42:00Z">
        <w:r w:rsidDel="00503B10">
          <w:rPr>
            <w:rFonts w:hint="eastAsia"/>
            <w:lang w:eastAsia="zh-CN"/>
          </w:rPr>
          <w:delText>2012</w:delText>
        </w:r>
        <w:r w:rsidDel="00503B10">
          <w:rPr>
            <w:rFonts w:hint="eastAsia"/>
            <w:lang w:eastAsia="zh-CN"/>
          </w:rPr>
          <w:delText>年，迪拜</w:delText>
        </w:r>
      </w:del>
      <w:ins w:id="3" w:author="Tang, Ting" w:date="2016-10-20T16:42:00Z">
        <w:r w:rsidR="00503B10">
          <w:rPr>
            <w:rFonts w:hint="eastAsia"/>
            <w:lang w:eastAsia="zh-CN"/>
          </w:rPr>
          <w:t>2016</w:t>
        </w:r>
        <w:r w:rsidR="00503B10">
          <w:rPr>
            <w:rFonts w:hint="eastAsia"/>
            <w:lang w:eastAsia="zh-CN"/>
          </w:rPr>
          <w:t>年</w:t>
        </w:r>
        <w:r w:rsidR="00503B10">
          <w:rPr>
            <w:lang w:eastAsia="zh-CN"/>
          </w:rPr>
          <w:t>，哈马马特</w:t>
        </w:r>
      </w:ins>
      <w:r>
        <w:rPr>
          <w:rFonts w:hint="eastAsia"/>
          <w:lang w:eastAsia="zh-CN"/>
        </w:rPr>
        <w:t>，修订版）</w:t>
      </w:r>
      <w:bookmarkEnd w:id="1"/>
    </w:p>
    <w:p w:rsidR="002F3272" w:rsidRPr="00531E9C" w:rsidRDefault="00C965FB" w:rsidP="002F3272">
      <w:pPr>
        <w:pStyle w:val="Restitle"/>
        <w:rPr>
          <w:vertAlign w:val="superscript"/>
          <w:lang w:eastAsia="zh-CN"/>
        </w:rPr>
      </w:pPr>
      <w:bookmarkStart w:id="4" w:name="_Toc348252509"/>
      <w:r w:rsidRPr="00E04A5F">
        <w:rPr>
          <w:rFonts w:hint="eastAsia"/>
          <w:lang w:eastAsia="zh-CN"/>
        </w:rPr>
        <w:t>有关合规性和互操作性测试、</w:t>
      </w:r>
      <w:r>
        <w:rPr>
          <w:lang w:eastAsia="zh-CN"/>
        </w:rPr>
        <w:br/>
      </w:r>
      <w:r w:rsidRPr="00E04A5F">
        <w:rPr>
          <w:rFonts w:hint="eastAsia"/>
          <w:lang w:eastAsia="zh-CN"/>
        </w:rPr>
        <w:t>向发展中国家</w:t>
      </w:r>
      <w:r w:rsidRPr="00190B26">
        <w:rPr>
          <w:b w:val="0"/>
          <w:vertAlign w:val="superscript"/>
          <w:lang w:eastAsia="zh-CN"/>
        </w:rPr>
        <w:footnoteReference w:customMarkFollows="1" w:id="1"/>
        <w:t>1</w:t>
      </w:r>
      <w:r>
        <w:rPr>
          <w:rFonts w:hint="eastAsia"/>
          <w:lang w:eastAsia="zh-CN"/>
        </w:rPr>
        <w:t>提供</w:t>
      </w:r>
      <w:r w:rsidRPr="00E04A5F">
        <w:rPr>
          <w:rFonts w:hint="eastAsia"/>
          <w:lang w:eastAsia="zh-CN"/>
        </w:rPr>
        <w:t>帮助和未来可能</w:t>
      </w:r>
      <w:r>
        <w:rPr>
          <w:rFonts w:hint="eastAsia"/>
          <w:lang w:eastAsia="zh-CN"/>
        </w:rPr>
        <w:t>采用</w:t>
      </w:r>
      <w:r w:rsidRPr="00E04A5F">
        <w:rPr>
          <w:rFonts w:hint="eastAsia"/>
          <w:lang w:eastAsia="zh-CN"/>
        </w:rPr>
        <w:t>的</w:t>
      </w:r>
      <w:r>
        <w:rPr>
          <w:lang w:eastAsia="zh-CN"/>
        </w:rPr>
        <w:br/>
      </w:r>
      <w:r w:rsidRPr="00E04A5F">
        <w:rPr>
          <w:rFonts w:hint="eastAsia"/>
          <w:lang w:eastAsia="zh-CN"/>
        </w:rPr>
        <w:t>国际电联标志计划的研究</w:t>
      </w:r>
      <w:bookmarkEnd w:id="4"/>
    </w:p>
    <w:p w:rsidR="002F3272" w:rsidRPr="007C1552" w:rsidRDefault="00C965FB" w:rsidP="002F3272">
      <w:pPr>
        <w:pStyle w:val="Resref"/>
        <w:rPr>
          <w:iCs/>
          <w:lang w:eastAsia="zh-CN"/>
        </w:rPr>
      </w:pPr>
      <w:r w:rsidRPr="007C1552">
        <w:rPr>
          <w:rFonts w:hint="eastAsia"/>
          <w:iCs/>
          <w:lang w:eastAsia="zh-CN"/>
        </w:rPr>
        <w:t>（</w:t>
      </w:r>
      <w:r w:rsidRPr="004F297E">
        <w:rPr>
          <w:rFonts w:asciiTheme="majorBidi" w:hAnsiTheme="majorBidi" w:cstheme="majorBidi"/>
          <w:iCs/>
          <w:lang w:eastAsia="zh-CN"/>
        </w:rPr>
        <w:t>2008</w:t>
      </w:r>
      <w:r w:rsidRPr="007C1552">
        <w:rPr>
          <w:rFonts w:hint="eastAsia"/>
          <w:iCs/>
          <w:lang w:eastAsia="zh-CN"/>
        </w:rPr>
        <w:t>年，约翰内斯堡</w:t>
      </w:r>
      <w:r>
        <w:rPr>
          <w:rFonts w:hint="eastAsia"/>
          <w:iCs/>
          <w:lang w:eastAsia="zh-CN"/>
        </w:rPr>
        <w:t>；</w:t>
      </w:r>
      <w:r w:rsidRPr="004F297E">
        <w:rPr>
          <w:rFonts w:asciiTheme="majorBidi" w:hAnsiTheme="majorBidi" w:cstheme="majorBidi"/>
          <w:iCs/>
          <w:lang w:eastAsia="zh-CN"/>
        </w:rPr>
        <w:t>2012</w:t>
      </w:r>
      <w:r>
        <w:rPr>
          <w:rFonts w:hint="eastAsia"/>
          <w:iCs/>
          <w:lang w:eastAsia="zh-CN"/>
        </w:rPr>
        <w:t>年，迪拜</w:t>
      </w:r>
      <w:ins w:id="5" w:author="Tang, Ting" w:date="2016-10-20T16:42:00Z">
        <w:r w:rsidR="00503B10">
          <w:rPr>
            <w:rFonts w:hint="eastAsia"/>
            <w:iCs/>
            <w:lang w:eastAsia="zh-CN"/>
          </w:rPr>
          <w:t>；</w:t>
        </w:r>
        <w:r w:rsidR="00503B10">
          <w:rPr>
            <w:rFonts w:hint="eastAsia"/>
            <w:iCs/>
            <w:lang w:eastAsia="zh-CN"/>
          </w:rPr>
          <w:t>2016</w:t>
        </w:r>
        <w:r w:rsidR="00503B10">
          <w:rPr>
            <w:rFonts w:hint="eastAsia"/>
            <w:iCs/>
            <w:lang w:eastAsia="zh-CN"/>
          </w:rPr>
          <w:t>年</w:t>
        </w:r>
        <w:r w:rsidR="00503B10">
          <w:rPr>
            <w:iCs/>
            <w:lang w:eastAsia="zh-CN"/>
          </w:rPr>
          <w:t>，哈马马特</w:t>
        </w:r>
      </w:ins>
      <w:r w:rsidRPr="007C1552">
        <w:rPr>
          <w:rFonts w:hint="eastAsia"/>
          <w:iCs/>
          <w:lang w:eastAsia="zh-CN"/>
        </w:rPr>
        <w:t>）</w:t>
      </w:r>
    </w:p>
    <w:p w:rsidR="002F3272" w:rsidRPr="00E04A5F" w:rsidRDefault="00C965FB">
      <w:pPr>
        <w:pStyle w:val="Normalaftertitle0"/>
        <w:rPr>
          <w:lang w:eastAsia="zh-CN"/>
        </w:rPr>
      </w:pPr>
      <w:r w:rsidRPr="00E04A5F">
        <w:rPr>
          <w:rFonts w:hint="eastAsia"/>
          <w:lang w:eastAsia="zh-CN"/>
        </w:rPr>
        <w:t>世界电信标准化全会（</w:t>
      </w:r>
      <w:del w:id="6" w:author="Tang, Ting" w:date="2016-10-20T16:42:00Z">
        <w:r w:rsidDel="00503B10">
          <w:rPr>
            <w:rFonts w:hint="eastAsia"/>
            <w:lang w:eastAsia="zh-CN"/>
          </w:rPr>
          <w:delText>2012</w:delText>
        </w:r>
        <w:r w:rsidDel="00503B10">
          <w:rPr>
            <w:rFonts w:hint="eastAsia"/>
            <w:lang w:eastAsia="zh-CN"/>
          </w:rPr>
          <w:delText>年，迪拜</w:delText>
        </w:r>
      </w:del>
      <w:ins w:id="7" w:author="Tang, Ting" w:date="2016-10-20T16:42:00Z">
        <w:r w:rsidR="00503B10">
          <w:rPr>
            <w:rFonts w:hint="eastAsia"/>
            <w:lang w:eastAsia="zh-CN"/>
          </w:rPr>
          <w:t>2016</w:t>
        </w:r>
        <w:r w:rsidR="00503B10">
          <w:rPr>
            <w:rFonts w:hint="eastAsia"/>
            <w:lang w:eastAsia="zh-CN"/>
          </w:rPr>
          <w:t>年</w:t>
        </w:r>
        <w:r w:rsidR="00503B10">
          <w:rPr>
            <w:lang w:eastAsia="zh-CN"/>
          </w:rPr>
          <w:t>，哈马马特</w:t>
        </w:r>
      </w:ins>
      <w:r w:rsidRPr="00E04A5F">
        <w:rPr>
          <w:rFonts w:hint="eastAsia"/>
          <w:lang w:eastAsia="zh-CN"/>
        </w:rPr>
        <w:t>），</w:t>
      </w:r>
    </w:p>
    <w:p w:rsidR="002F3272" w:rsidRPr="00E04A5F" w:rsidRDefault="00C965FB" w:rsidP="002F3272">
      <w:pPr>
        <w:pStyle w:val="Call"/>
        <w:rPr>
          <w:lang w:eastAsia="zh-CN"/>
        </w:rPr>
      </w:pPr>
      <w:r w:rsidRPr="00E04A5F">
        <w:rPr>
          <w:rFonts w:hint="eastAsia"/>
          <w:lang w:eastAsia="zh-CN"/>
        </w:rPr>
        <w:t>认识到</w:t>
      </w:r>
    </w:p>
    <w:p w:rsidR="002F3272" w:rsidRPr="00E04A5F" w:rsidRDefault="00C965FB" w:rsidP="002F3272">
      <w:pPr>
        <w:rPr>
          <w:lang w:eastAsia="zh-CN"/>
        </w:rPr>
      </w:pPr>
      <w:r w:rsidRPr="007C1552">
        <w:rPr>
          <w:i/>
          <w:iCs/>
          <w:lang w:eastAsia="zh-CN"/>
        </w:rPr>
        <w:t>a)</w:t>
      </w:r>
      <w:r w:rsidRPr="00E04A5F">
        <w:rPr>
          <w:lang w:eastAsia="zh-CN"/>
        </w:rPr>
        <w:tab/>
      </w:r>
      <w:r w:rsidRPr="00E04A5F">
        <w:rPr>
          <w:rFonts w:hint="eastAsia"/>
          <w:lang w:eastAsia="zh-CN"/>
        </w:rPr>
        <w:t>确保国际电信网络的互操作性是</w:t>
      </w:r>
      <w:r w:rsidRPr="00E04A5F">
        <w:rPr>
          <w:rFonts w:hint="eastAsia"/>
          <w:lang w:eastAsia="zh-CN"/>
        </w:rPr>
        <w:t>1865</w:t>
      </w:r>
      <w:r w:rsidRPr="00E04A5F">
        <w:rPr>
          <w:rFonts w:hint="eastAsia"/>
          <w:lang w:eastAsia="zh-CN"/>
        </w:rPr>
        <w:t>年成立国际电报联盟的主要原因，而且一直是国际电联的主要目标之一；</w:t>
      </w:r>
    </w:p>
    <w:p w:rsidR="002F3272" w:rsidRPr="00E04A5F" w:rsidRDefault="00C965FB" w:rsidP="002F3272">
      <w:pPr>
        <w:rPr>
          <w:lang w:eastAsia="zh-CN"/>
        </w:rPr>
      </w:pPr>
      <w:r w:rsidRPr="007C1552">
        <w:rPr>
          <w:i/>
          <w:iCs/>
          <w:lang w:eastAsia="zh-CN"/>
        </w:rPr>
        <w:t>b)</w:t>
      </w:r>
      <w:r w:rsidRPr="00E04A5F">
        <w:rPr>
          <w:lang w:eastAsia="zh-CN"/>
        </w:rPr>
        <w:tab/>
      </w:r>
      <w:r w:rsidRPr="00E04A5F">
        <w:rPr>
          <w:rFonts w:hint="eastAsia"/>
          <w:lang w:eastAsia="zh-CN"/>
        </w:rPr>
        <w:t>合规性评估是公认的证明一产品符合国际标准的方式，并在世界贸易组织成员根据</w:t>
      </w:r>
      <w:r w:rsidRPr="00E04A5F">
        <w:rPr>
          <w:lang w:eastAsia="zh-CN"/>
        </w:rPr>
        <w:t>《技术性贸易壁垒协议》</w:t>
      </w:r>
      <w:r w:rsidRPr="00E04A5F">
        <w:rPr>
          <w:rFonts w:hint="eastAsia"/>
          <w:lang w:eastAsia="zh-CN"/>
        </w:rPr>
        <w:t>所作的国际标准化承诺之中占有越来越重要的地位；</w:t>
      </w:r>
    </w:p>
    <w:p w:rsidR="002F3272" w:rsidRPr="00E04A5F" w:rsidRDefault="00C965FB" w:rsidP="002F3272">
      <w:pPr>
        <w:rPr>
          <w:lang w:eastAsia="zh-CN"/>
        </w:rPr>
      </w:pPr>
      <w:r w:rsidRPr="007C1552">
        <w:rPr>
          <w:i/>
          <w:iCs/>
          <w:lang w:eastAsia="zh-CN"/>
        </w:rPr>
        <w:t>c)</w:t>
      </w:r>
      <w:r w:rsidRPr="00E04A5F">
        <w:rPr>
          <w:lang w:eastAsia="zh-CN"/>
        </w:rPr>
        <w:tab/>
      </w:r>
      <w:r>
        <w:rPr>
          <w:rFonts w:hint="eastAsia"/>
          <w:lang w:eastAsia="zh-CN"/>
        </w:rPr>
        <w:t>国际电联电信标准化部门（</w:t>
      </w:r>
      <w:r w:rsidRPr="00E04A5F">
        <w:rPr>
          <w:lang w:eastAsia="zh-CN"/>
        </w:rPr>
        <w:t>ITU-T</w:t>
      </w:r>
      <w:r>
        <w:rPr>
          <w:rFonts w:hint="eastAsia"/>
          <w:lang w:eastAsia="zh-CN"/>
        </w:rPr>
        <w:t>）</w:t>
      </w:r>
      <w:r w:rsidRPr="00E04A5F">
        <w:rPr>
          <w:lang w:eastAsia="zh-CN"/>
        </w:rPr>
        <w:t>X.290</w:t>
      </w:r>
      <w:r w:rsidRPr="00E04A5F">
        <w:rPr>
          <w:rFonts w:hint="eastAsia"/>
          <w:lang w:eastAsia="zh-CN"/>
        </w:rPr>
        <w:t>至</w:t>
      </w:r>
      <w:r w:rsidRPr="00E04A5F">
        <w:rPr>
          <w:lang w:eastAsia="zh-CN"/>
        </w:rPr>
        <w:t>X.296</w:t>
      </w:r>
      <w:r w:rsidRPr="00E04A5F">
        <w:rPr>
          <w:rFonts w:hint="eastAsia"/>
          <w:lang w:eastAsia="zh-CN"/>
        </w:rPr>
        <w:t>建议书明确提出了检测设备是否符合</w:t>
      </w:r>
      <w:r w:rsidRPr="00E04A5F">
        <w:rPr>
          <w:lang w:eastAsia="zh-CN"/>
        </w:rPr>
        <w:t>ITU-T</w:t>
      </w:r>
      <w:r w:rsidRPr="00E04A5F">
        <w:rPr>
          <w:rFonts w:hint="eastAsia"/>
          <w:lang w:eastAsia="zh-CN"/>
        </w:rPr>
        <w:t>建议书的通用方</w:t>
      </w:r>
      <w:r>
        <w:rPr>
          <w:rFonts w:hint="eastAsia"/>
          <w:lang w:eastAsia="zh-CN"/>
        </w:rPr>
        <w:t>法</w:t>
      </w:r>
      <w:r w:rsidRPr="00E04A5F">
        <w:rPr>
          <w:rFonts w:hint="eastAsia"/>
          <w:lang w:eastAsia="zh-CN"/>
        </w:rPr>
        <w:t>；</w:t>
      </w:r>
    </w:p>
    <w:p w:rsidR="002F3272" w:rsidRDefault="00C965FB" w:rsidP="002F3272">
      <w:pPr>
        <w:rPr>
          <w:lang w:eastAsia="zh-CN"/>
        </w:rPr>
      </w:pPr>
      <w:r w:rsidRPr="007C1552">
        <w:rPr>
          <w:i/>
          <w:iCs/>
          <w:lang w:eastAsia="zh-CN"/>
        </w:rPr>
        <w:t>d)</w:t>
      </w:r>
      <w:r w:rsidRPr="00E04A5F">
        <w:rPr>
          <w:lang w:eastAsia="zh-CN"/>
        </w:rPr>
        <w:tab/>
      </w:r>
      <w:r w:rsidRPr="00E04A5F">
        <w:rPr>
          <w:rFonts w:hint="eastAsia"/>
          <w:lang w:eastAsia="zh-CN"/>
        </w:rPr>
        <w:t>合规性测试</w:t>
      </w:r>
      <w:r>
        <w:rPr>
          <w:rFonts w:hint="eastAsia"/>
          <w:lang w:eastAsia="zh-CN"/>
        </w:rPr>
        <w:t>并不保证具有互操作性，而只是</w:t>
      </w:r>
      <w:r w:rsidRPr="00E04A5F">
        <w:rPr>
          <w:rFonts w:hint="eastAsia"/>
          <w:lang w:eastAsia="zh-CN"/>
        </w:rPr>
        <w:t>提高</w:t>
      </w:r>
      <w:r>
        <w:rPr>
          <w:rFonts w:hint="eastAsia"/>
          <w:lang w:eastAsia="zh-CN"/>
        </w:rPr>
        <w:t>了</w:t>
      </w:r>
      <w:r w:rsidRPr="00E04A5F">
        <w:rPr>
          <w:rFonts w:hint="eastAsia"/>
          <w:lang w:eastAsia="zh-CN"/>
        </w:rPr>
        <w:t>符合国际电联标准的设备的互操作可能性；</w:t>
      </w:r>
    </w:p>
    <w:p w:rsidR="002F3272" w:rsidRPr="00E04A5F" w:rsidRDefault="00C965FB" w:rsidP="002F3272">
      <w:pPr>
        <w:rPr>
          <w:lang w:eastAsia="zh-CN"/>
        </w:rPr>
      </w:pPr>
      <w:r w:rsidRPr="007C1552">
        <w:rPr>
          <w:i/>
          <w:iCs/>
          <w:lang w:eastAsia="zh-CN"/>
        </w:rPr>
        <w:t>e)</w:t>
      </w:r>
      <w:r w:rsidRPr="00E04A5F">
        <w:rPr>
          <w:lang w:eastAsia="zh-CN"/>
        </w:rPr>
        <w:tab/>
      </w:r>
      <w:r>
        <w:rPr>
          <w:rFonts w:hint="eastAsia"/>
          <w:lang w:eastAsia="zh-CN"/>
        </w:rPr>
        <w:t>只有</w:t>
      </w:r>
      <w:r w:rsidRPr="00E04A5F">
        <w:rPr>
          <w:rFonts w:hint="eastAsia"/>
          <w:lang w:eastAsia="zh-CN"/>
        </w:rPr>
        <w:t>极少数现行</w:t>
      </w:r>
      <w:r w:rsidRPr="00E04A5F">
        <w:rPr>
          <w:lang w:eastAsia="zh-CN"/>
        </w:rPr>
        <w:t>ITU-T</w:t>
      </w:r>
      <w:r w:rsidRPr="00E04A5F">
        <w:rPr>
          <w:rFonts w:hint="eastAsia"/>
          <w:lang w:eastAsia="zh-CN"/>
        </w:rPr>
        <w:t>建议书确定了互操作性或合规性测试要求；</w:t>
      </w:r>
    </w:p>
    <w:p w:rsidR="002F3272" w:rsidRPr="00E04A5F" w:rsidRDefault="00C965FB" w:rsidP="002F3272">
      <w:pPr>
        <w:rPr>
          <w:lang w:eastAsia="zh-CN"/>
        </w:rPr>
      </w:pPr>
      <w:r w:rsidRPr="007C1552">
        <w:rPr>
          <w:i/>
          <w:iCs/>
          <w:lang w:eastAsia="zh-CN"/>
        </w:rPr>
        <w:t>f)</w:t>
      </w:r>
      <w:r w:rsidRPr="00E04A5F">
        <w:rPr>
          <w:lang w:eastAsia="zh-CN"/>
        </w:rPr>
        <w:tab/>
      </w:r>
      <w:r w:rsidRPr="00E04A5F">
        <w:rPr>
          <w:rFonts w:hint="eastAsia"/>
          <w:lang w:eastAsia="zh-CN"/>
        </w:rPr>
        <w:t>全权代表大会第</w:t>
      </w:r>
      <w:r w:rsidRPr="00E04A5F">
        <w:rPr>
          <w:rFonts w:hint="eastAsia"/>
          <w:lang w:eastAsia="zh-CN"/>
        </w:rPr>
        <w:t>123</w:t>
      </w:r>
      <w:r w:rsidRPr="00E04A5F">
        <w:rPr>
          <w:rFonts w:hint="eastAsia"/>
          <w:lang w:eastAsia="zh-CN"/>
        </w:rPr>
        <w:t>号决议（</w:t>
      </w:r>
      <w:r>
        <w:rPr>
          <w:rFonts w:hint="eastAsia"/>
          <w:lang w:eastAsia="zh-CN"/>
        </w:rPr>
        <w:t>2010</w:t>
      </w:r>
      <w:r>
        <w:rPr>
          <w:rFonts w:hint="eastAsia"/>
          <w:lang w:eastAsia="zh-CN"/>
        </w:rPr>
        <w:t>年，瓜达拉哈拉</w:t>
      </w:r>
      <w:r w:rsidRPr="00E04A5F">
        <w:rPr>
          <w:rFonts w:hint="eastAsia"/>
          <w:lang w:eastAsia="zh-CN"/>
        </w:rPr>
        <w:t>，修订版）责成秘书长和三个局的主任紧密合作，采取有助于弥合发展中国家和发达国家之间标准化工作差距的举措；</w:t>
      </w:r>
    </w:p>
    <w:p w:rsidR="002F3272" w:rsidRPr="00E04A5F" w:rsidRDefault="00C965FB" w:rsidP="002F3272">
      <w:pPr>
        <w:rPr>
          <w:lang w:eastAsia="zh-CN"/>
        </w:rPr>
      </w:pPr>
      <w:r w:rsidRPr="007C1552">
        <w:rPr>
          <w:i/>
          <w:iCs/>
          <w:lang w:eastAsia="zh-CN"/>
        </w:rPr>
        <w:t>g)</w:t>
      </w:r>
      <w:r w:rsidRPr="00E04A5F">
        <w:rPr>
          <w:lang w:eastAsia="zh-CN"/>
        </w:rPr>
        <w:tab/>
      </w:r>
      <w:r w:rsidRPr="00E04A5F">
        <w:rPr>
          <w:rFonts w:hint="eastAsia"/>
          <w:lang w:eastAsia="zh-CN"/>
        </w:rPr>
        <w:t>测试和认证所需的技术培训和制度化能力，对于各国改善其合规评估程序、扩大先进电信网络部署并提高全球连通性至关重要；</w:t>
      </w:r>
    </w:p>
    <w:p w:rsidR="002F3272" w:rsidRPr="00E04A5F" w:rsidRDefault="00C965FB" w:rsidP="002F3272">
      <w:pPr>
        <w:rPr>
          <w:lang w:eastAsia="zh-CN"/>
        </w:rPr>
      </w:pPr>
      <w:r w:rsidRPr="007C1552">
        <w:rPr>
          <w:i/>
          <w:iCs/>
          <w:lang w:eastAsia="zh-CN"/>
        </w:rPr>
        <w:t>h)</w:t>
      </w:r>
      <w:r w:rsidRPr="00E04A5F">
        <w:rPr>
          <w:lang w:eastAsia="zh-CN"/>
        </w:rPr>
        <w:tab/>
      </w:r>
      <w:r w:rsidRPr="00E04A5F">
        <w:rPr>
          <w:rFonts w:hint="eastAsia"/>
          <w:lang w:eastAsia="zh-CN"/>
        </w:rPr>
        <w:t>国际电联不适宜亲自参与设备和服务的认证和测试工作，因为许多区域和国家标准机构都在提供合规性测试服务；</w:t>
      </w:r>
    </w:p>
    <w:p w:rsidR="002F3272" w:rsidRPr="00E04A5F" w:rsidRDefault="00C965FB" w:rsidP="002F3272">
      <w:pPr>
        <w:rPr>
          <w:lang w:eastAsia="zh-CN"/>
        </w:rPr>
      </w:pPr>
      <w:r w:rsidRPr="007C1552">
        <w:rPr>
          <w:rFonts w:hint="eastAsia"/>
          <w:i/>
          <w:iCs/>
          <w:lang w:eastAsia="zh-CN"/>
        </w:rPr>
        <w:t>i)</w:t>
      </w:r>
      <w:r w:rsidRPr="00E04A5F">
        <w:rPr>
          <w:rFonts w:hint="eastAsia"/>
          <w:lang w:eastAsia="zh-CN"/>
        </w:rPr>
        <w:tab/>
      </w:r>
      <w:r w:rsidRPr="00E04A5F">
        <w:rPr>
          <w:rFonts w:hint="eastAsia"/>
          <w:lang w:eastAsia="zh-CN"/>
        </w:rPr>
        <w:t>国际电联《组织法》第</w:t>
      </w:r>
      <w:r w:rsidRPr="00E04A5F">
        <w:rPr>
          <w:rFonts w:hint="eastAsia"/>
          <w:lang w:eastAsia="zh-CN"/>
        </w:rPr>
        <w:t>17</w:t>
      </w:r>
      <w:r w:rsidRPr="00E04A5F">
        <w:rPr>
          <w:rFonts w:hint="eastAsia"/>
          <w:lang w:eastAsia="zh-CN"/>
        </w:rPr>
        <w:t>条除规定</w:t>
      </w:r>
      <w:r w:rsidRPr="00E04A5F">
        <w:rPr>
          <w:lang w:eastAsia="zh-CN"/>
        </w:rPr>
        <w:t>ITU</w:t>
      </w:r>
      <w:r w:rsidRPr="00E04A5F">
        <w:rPr>
          <w:rFonts w:hint="eastAsia"/>
          <w:lang w:eastAsia="zh-CN"/>
        </w:rPr>
        <w:t>-</w:t>
      </w:r>
      <w:r w:rsidRPr="00E04A5F">
        <w:rPr>
          <w:lang w:eastAsia="zh-CN"/>
        </w:rPr>
        <w:t>T</w:t>
      </w:r>
      <w:r w:rsidRPr="00E04A5F">
        <w:rPr>
          <w:rFonts w:hint="eastAsia"/>
          <w:lang w:eastAsia="zh-CN"/>
        </w:rPr>
        <w:t>的职能是实现国际电联与电信标准化相关的宗旨外，还规定在履行这些职能时须“铭记发展中国家特别关注的问题”；</w:t>
      </w:r>
    </w:p>
    <w:p w:rsidR="002F3272" w:rsidRPr="00E04A5F" w:rsidRDefault="00C965FB" w:rsidP="002F3272">
      <w:pPr>
        <w:rPr>
          <w:lang w:eastAsia="zh-CN"/>
        </w:rPr>
      </w:pPr>
      <w:r w:rsidRPr="007C1552">
        <w:rPr>
          <w:rFonts w:hint="eastAsia"/>
          <w:i/>
          <w:iCs/>
          <w:lang w:eastAsia="zh-CN"/>
        </w:rPr>
        <w:t>j)</w:t>
      </w:r>
      <w:r w:rsidRPr="00E04A5F">
        <w:rPr>
          <w:rFonts w:hint="eastAsia"/>
          <w:lang w:eastAsia="zh-CN"/>
        </w:rPr>
        <w:tab/>
      </w:r>
      <w:r w:rsidRPr="00E04A5F">
        <w:rPr>
          <w:rFonts w:hint="eastAsia"/>
          <w:lang w:eastAsia="zh-CN"/>
        </w:rPr>
        <w:t>国际电联卓有成效地将国际电联标志用于</w:t>
      </w:r>
      <w:r w:rsidRPr="00E04A5F">
        <w:rPr>
          <w:lang w:eastAsia="zh-CN"/>
        </w:rPr>
        <w:t>全球个人移动通信</w:t>
      </w:r>
      <w:r w:rsidRPr="00E04A5F">
        <w:rPr>
          <w:rFonts w:hint="eastAsia"/>
          <w:lang w:eastAsia="zh-CN"/>
        </w:rPr>
        <w:t>系统（</w:t>
      </w:r>
      <w:r w:rsidRPr="00E04A5F">
        <w:rPr>
          <w:lang w:eastAsia="zh-CN"/>
        </w:rPr>
        <w:t>GMPCS</w:t>
      </w:r>
      <w:r w:rsidRPr="00E04A5F">
        <w:rPr>
          <w:rFonts w:hint="eastAsia"/>
          <w:lang w:eastAsia="zh-CN"/>
        </w:rPr>
        <w:t>），</w:t>
      </w:r>
    </w:p>
    <w:p w:rsidR="002F3272" w:rsidRPr="00E04A5F" w:rsidRDefault="00C965FB" w:rsidP="002F3272">
      <w:pPr>
        <w:pStyle w:val="Call"/>
        <w:rPr>
          <w:lang w:eastAsia="zh-CN"/>
        </w:rPr>
      </w:pPr>
      <w:r w:rsidRPr="00E04A5F">
        <w:rPr>
          <w:rFonts w:hint="eastAsia"/>
          <w:lang w:eastAsia="zh-CN"/>
        </w:rPr>
        <w:t>进一步认识到</w:t>
      </w:r>
    </w:p>
    <w:p w:rsidR="002F3272" w:rsidRPr="00E04A5F" w:rsidRDefault="00C965FB" w:rsidP="002F3272">
      <w:pPr>
        <w:ind w:firstLineChars="200" w:firstLine="480"/>
        <w:rPr>
          <w:lang w:eastAsia="zh-CN"/>
        </w:rPr>
      </w:pPr>
      <w:r w:rsidRPr="00E04A5F">
        <w:rPr>
          <w:rFonts w:hint="eastAsia"/>
          <w:lang w:eastAsia="zh-CN"/>
        </w:rPr>
        <w:t>规定互操作性应该是未来</w:t>
      </w:r>
      <w:r w:rsidRPr="00E04A5F">
        <w:rPr>
          <w:lang w:eastAsia="zh-CN"/>
        </w:rPr>
        <w:t>ITU-T</w:t>
      </w:r>
      <w:r w:rsidRPr="00E04A5F">
        <w:rPr>
          <w:rFonts w:hint="eastAsia"/>
          <w:lang w:eastAsia="zh-CN"/>
        </w:rPr>
        <w:t>建议书的最终目标，</w:t>
      </w:r>
    </w:p>
    <w:p w:rsidR="002F3272" w:rsidRPr="00E04A5F" w:rsidRDefault="00C965FB" w:rsidP="002F3272">
      <w:pPr>
        <w:pStyle w:val="Call"/>
        <w:rPr>
          <w:lang w:eastAsia="zh-CN"/>
        </w:rPr>
      </w:pPr>
      <w:r w:rsidRPr="00E04A5F">
        <w:rPr>
          <w:rFonts w:hint="eastAsia"/>
          <w:lang w:eastAsia="zh-CN"/>
        </w:rPr>
        <w:t>考虑到</w:t>
      </w:r>
    </w:p>
    <w:p w:rsidR="002F3272" w:rsidRPr="00E04A5F" w:rsidRDefault="00C965FB" w:rsidP="002F3272">
      <w:pPr>
        <w:rPr>
          <w:lang w:eastAsia="zh-CN"/>
        </w:rPr>
      </w:pPr>
      <w:r w:rsidRPr="007C1552">
        <w:rPr>
          <w:i/>
          <w:iCs/>
          <w:lang w:eastAsia="zh-CN"/>
        </w:rPr>
        <w:t>a)</w:t>
      </w:r>
      <w:r w:rsidRPr="00E04A5F">
        <w:rPr>
          <w:lang w:eastAsia="zh-CN"/>
        </w:rPr>
        <w:tab/>
      </w:r>
      <w:r w:rsidRPr="00E04A5F">
        <w:rPr>
          <w:rFonts w:hint="eastAsia"/>
          <w:lang w:eastAsia="zh-CN"/>
        </w:rPr>
        <w:t>有关设备时常无法与其它设备实现充分互操作的投诉与日俱增；</w:t>
      </w:r>
    </w:p>
    <w:p w:rsidR="002F3272" w:rsidRPr="00E04A5F" w:rsidRDefault="00C965FB" w:rsidP="002F3272">
      <w:pPr>
        <w:rPr>
          <w:lang w:eastAsia="zh-CN"/>
        </w:rPr>
      </w:pPr>
      <w:r w:rsidRPr="007C1552">
        <w:rPr>
          <w:i/>
          <w:iCs/>
          <w:lang w:eastAsia="zh-CN"/>
        </w:rPr>
        <w:lastRenderedPageBreak/>
        <w:t>b)</w:t>
      </w:r>
      <w:r w:rsidRPr="00E04A5F">
        <w:rPr>
          <w:lang w:eastAsia="zh-CN"/>
        </w:rPr>
        <w:tab/>
      </w:r>
      <w:r w:rsidRPr="00E04A5F">
        <w:rPr>
          <w:rFonts w:hint="eastAsia"/>
          <w:lang w:eastAsia="zh-CN"/>
        </w:rPr>
        <w:t>某些国家，特别是发展中国家，尚不具备对设备进行检测和向其国内消费者提供保障的能力；</w:t>
      </w:r>
    </w:p>
    <w:p w:rsidR="002F3272" w:rsidRPr="006E18AF" w:rsidRDefault="00C965FB" w:rsidP="002F3272">
      <w:pPr>
        <w:rPr>
          <w:lang w:val="fr-CH" w:eastAsia="zh-CN"/>
        </w:rPr>
      </w:pPr>
      <w:r w:rsidRPr="007C1552">
        <w:rPr>
          <w:i/>
          <w:iCs/>
          <w:lang w:eastAsia="zh-CN"/>
        </w:rPr>
        <w:t>c)</w:t>
      </w:r>
      <w:r w:rsidRPr="00E04A5F">
        <w:rPr>
          <w:lang w:eastAsia="zh-CN"/>
        </w:rPr>
        <w:tab/>
      </w:r>
      <w:r w:rsidRPr="00E04A5F">
        <w:rPr>
          <w:rFonts w:hint="eastAsia"/>
          <w:lang w:eastAsia="zh-CN"/>
        </w:rPr>
        <w:t>增强对信息通信技术设备符合</w:t>
      </w:r>
      <w:r w:rsidRPr="00E04A5F">
        <w:rPr>
          <w:lang w:eastAsia="zh-CN"/>
        </w:rPr>
        <w:t>ITU-T</w:t>
      </w:r>
      <w:r w:rsidRPr="00E04A5F">
        <w:rPr>
          <w:rFonts w:hint="eastAsia"/>
          <w:lang w:eastAsia="zh-CN"/>
        </w:rPr>
        <w:t>建议书的信心将提升不同制造商设备之间端到端互操作的可能性，还可帮助发展中国家选择解决方案</w:t>
      </w:r>
      <w:r>
        <w:rPr>
          <w:rFonts w:hint="eastAsia"/>
          <w:lang w:val="fr-CH" w:eastAsia="zh-CN"/>
        </w:rPr>
        <w:t>；</w:t>
      </w:r>
    </w:p>
    <w:p w:rsidR="002F3272" w:rsidRPr="008859F7" w:rsidRDefault="00C965FB" w:rsidP="002F3272">
      <w:pPr>
        <w:rPr>
          <w:lang w:val="en-US" w:eastAsia="zh-CN"/>
        </w:rPr>
      </w:pPr>
      <w:r w:rsidRPr="0022332C">
        <w:rPr>
          <w:i/>
          <w:iCs/>
          <w:lang w:val="en-US" w:eastAsia="zh-CN"/>
        </w:rPr>
        <w:t>d)</w:t>
      </w:r>
      <w:r w:rsidRPr="00D64BE4">
        <w:rPr>
          <w:lang w:val="en-US" w:eastAsia="zh-CN"/>
        </w:rPr>
        <w:tab/>
      </w:r>
      <w:r>
        <w:rPr>
          <w:lang w:eastAsia="zh-CN"/>
        </w:rPr>
        <w:t>国际电联理事会</w:t>
      </w:r>
      <w:r>
        <w:rPr>
          <w:lang w:eastAsia="zh-CN"/>
        </w:rPr>
        <w:t>2012</w:t>
      </w:r>
      <w:r>
        <w:rPr>
          <w:lang w:eastAsia="zh-CN"/>
        </w:rPr>
        <w:t>年会议在审议有关长期实施</w:t>
      </w:r>
      <w:r>
        <w:rPr>
          <w:rFonts w:hint="eastAsia"/>
          <w:lang w:eastAsia="zh-CN"/>
        </w:rPr>
        <w:t>合</w:t>
      </w:r>
      <w:r>
        <w:rPr>
          <w:lang w:eastAsia="zh-CN"/>
        </w:rPr>
        <w:t>规</w:t>
      </w:r>
      <w:r>
        <w:rPr>
          <w:rFonts w:hint="eastAsia"/>
          <w:lang w:eastAsia="zh-CN"/>
        </w:rPr>
        <w:t>性</w:t>
      </w:r>
      <w:r>
        <w:rPr>
          <w:lang w:eastAsia="zh-CN"/>
        </w:rPr>
        <w:t>和互操作性</w:t>
      </w:r>
      <w:r>
        <w:rPr>
          <w:rFonts w:hint="eastAsia"/>
          <w:lang w:eastAsia="zh-CN"/>
        </w:rPr>
        <w:t>（</w:t>
      </w:r>
      <w:r w:rsidRPr="006E18AF">
        <w:rPr>
          <w:lang w:eastAsia="zh-CN"/>
        </w:rPr>
        <w:t>C&amp;I</w:t>
      </w:r>
      <w:r>
        <w:rPr>
          <w:rFonts w:hint="eastAsia"/>
          <w:lang w:eastAsia="zh-CN"/>
        </w:rPr>
        <w:t>）的国际电联合规性和互操作性业务计划</w:t>
      </w:r>
      <w:r>
        <w:rPr>
          <w:lang w:eastAsia="zh-CN"/>
        </w:rPr>
        <w:t>时</w:t>
      </w:r>
      <w:r>
        <w:rPr>
          <w:rFonts w:hint="eastAsia"/>
          <w:lang w:eastAsia="zh-CN"/>
        </w:rPr>
        <w:t>，</w:t>
      </w:r>
      <w:r>
        <w:rPr>
          <w:lang w:eastAsia="zh-CN"/>
        </w:rPr>
        <w:t>就一项行动计划达成一致，特别</w:t>
      </w:r>
      <w:r>
        <w:rPr>
          <w:rFonts w:hint="eastAsia"/>
          <w:lang w:eastAsia="zh-CN"/>
        </w:rPr>
        <w:t>请本届全会</w:t>
      </w:r>
      <w:r>
        <w:rPr>
          <w:lang w:eastAsia="zh-CN"/>
        </w:rPr>
        <w:t>指定适当的研究</w:t>
      </w:r>
      <w:r>
        <w:rPr>
          <w:rFonts w:hint="eastAsia"/>
          <w:lang w:eastAsia="zh-CN"/>
        </w:rPr>
        <w:t>组</w:t>
      </w:r>
      <w:r>
        <w:rPr>
          <w:lang w:eastAsia="zh-CN"/>
        </w:rPr>
        <w:t>，</w:t>
      </w:r>
      <w:r>
        <w:rPr>
          <w:rFonts w:hint="eastAsia"/>
          <w:lang w:eastAsia="zh-CN"/>
        </w:rPr>
        <w:t>对</w:t>
      </w:r>
      <w:r>
        <w:rPr>
          <w:lang w:eastAsia="zh-CN"/>
        </w:rPr>
        <w:t>该部门</w:t>
      </w:r>
      <w:r>
        <w:rPr>
          <w:rFonts w:hint="eastAsia"/>
          <w:lang w:eastAsia="zh-CN"/>
        </w:rPr>
        <w:t>各</w:t>
      </w:r>
      <w:r>
        <w:rPr>
          <w:lang w:eastAsia="zh-CN"/>
        </w:rPr>
        <w:t>研究组涉及国际电联</w:t>
      </w:r>
      <w:r>
        <w:rPr>
          <w:rFonts w:hint="eastAsia"/>
          <w:lang w:eastAsia="zh-CN"/>
        </w:rPr>
        <w:t>合</w:t>
      </w:r>
      <w:r>
        <w:rPr>
          <w:lang w:eastAsia="zh-CN"/>
        </w:rPr>
        <w:t>规和</w:t>
      </w:r>
      <w:r>
        <w:rPr>
          <w:rFonts w:hint="eastAsia"/>
          <w:lang w:eastAsia="zh-CN"/>
        </w:rPr>
        <w:t>互操作</w:t>
      </w:r>
      <w:r>
        <w:rPr>
          <w:lang w:eastAsia="zh-CN"/>
        </w:rPr>
        <w:t>性</w:t>
      </w:r>
      <w:r>
        <w:rPr>
          <w:rFonts w:hint="eastAsia"/>
          <w:lang w:eastAsia="zh-CN"/>
        </w:rPr>
        <w:t>业务</w:t>
      </w:r>
      <w:r>
        <w:rPr>
          <w:lang w:eastAsia="zh-CN"/>
        </w:rPr>
        <w:t>计划的活动</w:t>
      </w:r>
      <w:r>
        <w:rPr>
          <w:rFonts w:hint="eastAsia"/>
          <w:lang w:eastAsia="zh-CN"/>
        </w:rPr>
        <w:t>开展研究；</w:t>
      </w:r>
    </w:p>
    <w:p w:rsidR="002F3272" w:rsidRDefault="00C965FB" w:rsidP="002F3272">
      <w:pPr>
        <w:rPr>
          <w:i/>
          <w:iCs/>
          <w:lang w:val="en-US" w:eastAsia="zh-CN"/>
        </w:rPr>
      </w:pPr>
      <w:r>
        <w:rPr>
          <w:rFonts w:hint="eastAsia"/>
          <w:i/>
          <w:iCs/>
          <w:lang w:val="en-US" w:eastAsia="zh-CN"/>
        </w:rPr>
        <w:t>e</w:t>
      </w:r>
      <w:r w:rsidRPr="006E18AF">
        <w:rPr>
          <w:i/>
          <w:iCs/>
          <w:lang w:val="en-US" w:eastAsia="zh-CN"/>
        </w:rPr>
        <w:t>)</w:t>
      </w:r>
      <w:r w:rsidRPr="00551D2F">
        <w:rPr>
          <w:lang w:val="en-US" w:eastAsia="zh-CN"/>
        </w:rPr>
        <w:tab/>
      </w:r>
      <w:r>
        <w:rPr>
          <w:rFonts w:hint="eastAsia"/>
          <w:lang w:val="en-US" w:eastAsia="zh-CN"/>
        </w:rPr>
        <w:t>全权代表大会通过了第</w:t>
      </w:r>
      <w:r>
        <w:rPr>
          <w:rFonts w:hint="eastAsia"/>
          <w:lang w:val="en-US" w:eastAsia="zh-CN"/>
        </w:rPr>
        <w:t>177</w:t>
      </w:r>
      <w:r>
        <w:rPr>
          <w:rFonts w:hint="eastAsia"/>
          <w:lang w:val="en-US" w:eastAsia="zh-CN"/>
        </w:rPr>
        <w:t>号决议（</w:t>
      </w:r>
      <w:r>
        <w:rPr>
          <w:rFonts w:hint="eastAsia"/>
          <w:lang w:val="en-US" w:eastAsia="zh-CN"/>
        </w:rPr>
        <w:t>2010</w:t>
      </w:r>
      <w:r>
        <w:rPr>
          <w:rFonts w:hint="eastAsia"/>
          <w:lang w:val="en-US" w:eastAsia="zh-CN"/>
        </w:rPr>
        <w:t>年，瓜达拉哈拉）；</w:t>
      </w:r>
    </w:p>
    <w:p w:rsidR="002F3272" w:rsidRPr="00551D2F" w:rsidRDefault="00C965FB" w:rsidP="002F3272">
      <w:pPr>
        <w:rPr>
          <w:lang w:val="en-US" w:eastAsia="zh-CN"/>
        </w:rPr>
      </w:pPr>
      <w:r>
        <w:rPr>
          <w:rFonts w:hint="eastAsia"/>
          <w:i/>
          <w:iCs/>
          <w:lang w:val="en-US" w:eastAsia="zh-CN"/>
        </w:rPr>
        <w:t>f</w:t>
      </w:r>
      <w:r w:rsidRPr="006E18AF">
        <w:rPr>
          <w:i/>
          <w:iCs/>
          <w:lang w:val="en-US" w:eastAsia="zh-CN"/>
        </w:rPr>
        <w:t>)</w:t>
      </w:r>
      <w:r w:rsidRPr="00551D2F">
        <w:rPr>
          <w:lang w:val="en-US" w:eastAsia="zh-CN"/>
        </w:rPr>
        <w:tab/>
      </w:r>
      <w:r>
        <w:rPr>
          <w:rFonts w:hint="eastAsia"/>
          <w:lang w:eastAsia="zh-CN"/>
        </w:rPr>
        <w:t>世界电信标准化全会通过了第</w:t>
      </w:r>
      <w:r>
        <w:rPr>
          <w:rFonts w:hint="eastAsia"/>
          <w:lang w:eastAsia="zh-CN"/>
        </w:rPr>
        <w:t>76</w:t>
      </w:r>
      <w:r>
        <w:rPr>
          <w:rFonts w:hint="eastAsia"/>
          <w:lang w:eastAsia="zh-CN"/>
        </w:rPr>
        <w:t>号决议（</w:t>
      </w:r>
      <w:r>
        <w:rPr>
          <w:rFonts w:hint="eastAsia"/>
          <w:lang w:eastAsia="zh-CN"/>
        </w:rPr>
        <w:t>2008</w:t>
      </w:r>
      <w:r>
        <w:rPr>
          <w:rFonts w:hint="eastAsia"/>
          <w:lang w:eastAsia="zh-CN"/>
        </w:rPr>
        <w:t>年，约翰内斯堡）；</w:t>
      </w:r>
    </w:p>
    <w:p w:rsidR="002F3272" w:rsidRPr="00551D2F" w:rsidRDefault="00C965FB" w:rsidP="002F3272">
      <w:pPr>
        <w:rPr>
          <w:lang w:val="en-US" w:eastAsia="zh-CN"/>
        </w:rPr>
      </w:pPr>
      <w:r>
        <w:rPr>
          <w:rFonts w:hint="eastAsia"/>
          <w:i/>
          <w:iCs/>
          <w:lang w:val="en-US" w:eastAsia="zh-CN"/>
        </w:rPr>
        <w:t>g</w:t>
      </w:r>
      <w:r w:rsidRPr="006E18AF">
        <w:rPr>
          <w:i/>
          <w:iCs/>
          <w:lang w:val="en-US" w:eastAsia="zh-CN"/>
        </w:rPr>
        <w:t>)</w:t>
      </w:r>
      <w:r w:rsidRPr="00551D2F">
        <w:rPr>
          <w:lang w:val="en-US" w:eastAsia="zh-CN"/>
        </w:rPr>
        <w:tab/>
      </w:r>
      <w:r w:rsidRPr="000A3B3D">
        <w:rPr>
          <w:rFonts w:hint="eastAsia"/>
          <w:lang w:val="en-US" w:eastAsia="zh-CN"/>
        </w:rPr>
        <w:t>世界电信发展大会通过了第</w:t>
      </w:r>
      <w:r w:rsidRPr="000A3B3D">
        <w:rPr>
          <w:rFonts w:hint="eastAsia"/>
          <w:lang w:val="en-US" w:eastAsia="zh-CN"/>
        </w:rPr>
        <w:t>47</w:t>
      </w:r>
      <w:r w:rsidRPr="000A3B3D">
        <w:rPr>
          <w:rFonts w:hint="eastAsia"/>
          <w:lang w:val="en-US" w:eastAsia="zh-CN"/>
        </w:rPr>
        <w:t>号决议（</w:t>
      </w:r>
      <w:r w:rsidRPr="000A3B3D">
        <w:rPr>
          <w:rFonts w:hint="eastAsia"/>
          <w:lang w:val="en-US" w:eastAsia="zh-CN"/>
        </w:rPr>
        <w:t>2010</w:t>
      </w:r>
      <w:r w:rsidRPr="000A3B3D">
        <w:rPr>
          <w:rFonts w:hint="eastAsia"/>
          <w:lang w:val="en-US" w:eastAsia="zh-CN"/>
        </w:rPr>
        <w:t>年，海得拉巴，修订版）；</w:t>
      </w:r>
    </w:p>
    <w:p w:rsidR="002F3272" w:rsidRPr="00551D2F" w:rsidRDefault="00C965FB" w:rsidP="002F3272">
      <w:pPr>
        <w:rPr>
          <w:lang w:val="en-US" w:eastAsia="zh-CN"/>
        </w:rPr>
      </w:pPr>
      <w:r>
        <w:rPr>
          <w:rFonts w:hint="eastAsia"/>
          <w:i/>
          <w:iCs/>
          <w:lang w:val="en-US" w:eastAsia="zh-CN"/>
        </w:rPr>
        <w:t>h</w:t>
      </w:r>
      <w:r w:rsidRPr="006E18AF">
        <w:rPr>
          <w:i/>
          <w:iCs/>
          <w:lang w:val="en-US" w:eastAsia="zh-CN"/>
        </w:rPr>
        <w:t>)</w:t>
      </w:r>
      <w:r w:rsidRPr="00551D2F">
        <w:rPr>
          <w:lang w:val="en-US" w:eastAsia="zh-CN"/>
        </w:rPr>
        <w:tab/>
      </w:r>
      <w:r w:rsidRPr="000B4BE5">
        <w:rPr>
          <w:rFonts w:hint="eastAsia"/>
          <w:lang w:val="en-US" w:eastAsia="zh-CN"/>
        </w:rPr>
        <w:t>国际电联无线电通信全会</w:t>
      </w:r>
      <w:r>
        <w:rPr>
          <w:rFonts w:hint="eastAsia"/>
          <w:lang w:val="en-US" w:eastAsia="zh-CN"/>
        </w:rPr>
        <w:t>通过的</w:t>
      </w:r>
      <w:r>
        <w:rPr>
          <w:rFonts w:hint="eastAsia"/>
          <w:lang w:val="en-US" w:eastAsia="zh-CN"/>
        </w:rPr>
        <w:t>ITU-R</w:t>
      </w:r>
      <w:r w:rsidRPr="000B4BE5">
        <w:rPr>
          <w:rFonts w:hint="eastAsia"/>
          <w:lang w:val="en-US" w:eastAsia="zh-CN"/>
        </w:rPr>
        <w:t>第</w:t>
      </w:r>
      <w:r w:rsidRPr="000B4BE5">
        <w:rPr>
          <w:rFonts w:hint="eastAsia"/>
          <w:lang w:val="en-US" w:eastAsia="zh-CN"/>
        </w:rPr>
        <w:t>62</w:t>
      </w:r>
      <w:r w:rsidRPr="000B4BE5">
        <w:rPr>
          <w:rFonts w:hint="eastAsia"/>
          <w:lang w:val="en-US" w:eastAsia="zh-CN"/>
        </w:rPr>
        <w:t>号决议</w:t>
      </w:r>
      <w:r>
        <w:rPr>
          <w:rFonts w:hint="eastAsia"/>
          <w:lang w:val="en-US" w:eastAsia="zh-CN"/>
        </w:rPr>
        <w:t>（</w:t>
      </w:r>
      <w:r>
        <w:rPr>
          <w:rFonts w:hint="eastAsia"/>
          <w:lang w:val="en-US" w:eastAsia="zh-CN"/>
        </w:rPr>
        <w:t>2012</w:t>
      </w:r>
      <w:r>
        <w:rPr>
          <w:rFonts w:hint="eastAsia"/>
          <w:lang w:val="en-US" w:eastAsia="zh-CN"/>
        </w:rPr>
        <w:t>年，日内瓦）；</w:t>
      </w:r>
    </w:p>
    <w:p w:rsidR="002F3272" w:rsidRPr="00551D2F" w:rsidRDefault="00C965FB" w:rsidP="002F3272">
      <w:pPr>
        <w:rPr>
          <w:lang w:val="en-US" w:eastAsia="zh-CN"/>
        </w:rPr>
      </w:pPr>
      <w:r>
        <w:rPr>
          <w:rFonts w:hint="eastAsia"/>
          <w:i/>
          <w:iCs/>
          <w:lang w:val="en-US" w:eastAsia="zh-CN"/>
        </w:rPr>
        <w:t>i</w:t>
      </w:r>
      <w:r w:rsidRPr="006E18AF">
        <w:rPr>
          <w:i/>
          <w:iCs/>
          <w:lang w:val="en-US" w:eastAsia="zh-CN"/>
        </w:rPr>
        <w:t>)</w:t>
      </w:r>
      <w:r w:rsidRPr="00551D2F">
        <w:rPr>
          <w:lang w:val="en-US" w:eastAsia="zh-CN"/>
        </w:rPr>
        <w:tab/>
      </w:r>
      <w:r>
        <w:rPr>
          <w:rFonts w:hint="eastAsia"/>
          <w:lang w:val="en-US" w:eastAsia="zh-CN"/>
        </w:rPr>
        <w:t>电信标准化局主任向理事会</w:t>
      </w:r>
      <w:r>
        <w:rPr>
          <w:rFonts w:hint="eastAsia"/>
          <w:lang w:val="en-US" w:eastAsia="zh-CN"/>
        </w:rPr>
        <w:t>2009</w:t>
      </w:r>
      <w:r>
        <w:rPr>
          <w:rFonts w:hint="eastAsia"/>
          <w:lang w:val="en-US" w:eastAsia="zh-CN"/>
        </w:rPr>
        <w:t>年、</w:t>
      </w:r>
      <w:r>
        <w:rPr>
          <w:rFonts w:hint="eastAsia"/>
          <w:lang w:val="en-US" w:eastAsia="zh-CN"/>
        </w:rPr>
        <w:t>2010</w:t>
      </w:r>
      <w:r>
        <w:rPr>
          <w:rFonts w:hint="eastAsia"/>
          <w:lang w:val="en-US" w:eastAsia="zh-CN"/>
        </w:rPr>
        <w:t>年、</w:t>
      </w:r>
      <w:r>
        <w:rPr>
          <w:rFonts w:hint="eastAsia"/>
          <w:lang w:val="en-US" w:eastAsia="zh-CN"/>
        </w:rPr>
        <w:t>2011</w:t>
      </w:r>
      <w:r>
        <w:rPr>
          <w:rFonts w:hint="eastAsia"/>
          <w:lang w:val="en-US" w:eastAsia="zh-CN"/>
        </w:rPr>
        <w:t>年和</w:t>
      </w:r>
      <w:r>
        <w:rPr>
          <w:rFonts w:hint="eastAsia"/>
          <w:lang w:val="en-US" w:eastAsia="zh-CN"/>
        </w:rPr>
        <w:t>2012</w:t>
      </w:r>
      <w:r>
        <w:rPr>
          <w:rFonts w:hint="eastAsia"/>
          <w:lang w:val="en-US" w:eastAsia="zh-CN"/>
        </w:rPr>
        <w:t>年会议以及</w:t>
      </w:r>
      <w:r>
        <w:rPr>
          <w:rFonts w:hint="eastAsia"/>
          <w:lang w:val="en-US" w:eastAsia="zh-CN"/>
        </w:rPr>
        <w:t>2010</w:t>
      </w:r>
      <w:r>
        <w:rPr>
          <w:rFonts w:hint="eastAsia"/>
          <w:lang w:val="en-US" w:eastAsia="zh-CN"/>
        </w:rPr>
        <w:t>年全权代表大会提交的进展报告；</w:t>
      </w:r>
    </w:p>
    <w:p w:rsidR="002F3272" w:rsidRPr="00551D2F" w:rsidRDefault="00C965FB" w:rsidP="002F3272">
      <w:pPr>
        <w:rPr>
          <w:lang w:val="en-US" w:eastAsia="zh-CN"/>
        </w:rPr>
      </w:pPr>
      <w:r>
        <w:rPr>
          <w:rFonts w:hint="eastAsia"/>
          <w:i/>
          <w:iCs/>
          <w:lang w:val="en-US" w:eastAsia="zh-CN"/>
        </w:rPr>
        <w:t>j</w:t>
      </w:r>
      <w:r w:rsidRPr="006E18AF">
        <w:rPr>
          <w:i/>
          <w:iCs/>
          <w:lang w:val="en-US" w:eastAsia="zh-CN"/>
        </w:rPr>
        <w:t>)</w:t>
      </w:r>
      <w:r w:rsidRPr="00551D2F">
        <w:rPr>
          <w:lang w:val="en-US" w:eastAsia="zh-CN"/>
        </w:rPr>
        <w:tab/>
      </w:r>
      <w:r>
        <w:rPr>
          <w:rFonts w:hint="eastAsia"/>
          <w:lang w:val="en-US" w:eastAsia="zh-CN"/>
        </w:rPr>
        <w:t>国际电联在互操作性问题上发挥主导作用十分重要，对发展中国家尤其如此，这是批准上述第</w:t>
      </w:r>
      <w:r w:rsidRPr="003151E7">
        <w:rPr>
          <w:rFonts w:hint="eastAsia"/>
          <w:i/>
          <w:iCs/>
          <w:lang w:val="en-US" w:eastAsia="zh-CN"/>
        </w:rPr>
        <w:t>d)</w:t>
      </w:r>
      <w:r>
        <w:rPr>
          <w:rFonts w:hint="eastAsia"/>
          <w:lang w:val="en-US" w:eastAsia="zh-CN"/>
        </w:rPr>
        <w:t>、</w:t>
      </w:r>
      <w:r w:rsidRPr="003151E7">
        <w:rPr>
          <w:rFonts w:hint="eastAsia"/>
          <w:i/>
          <w:iCs/>
          <w:lang w:val="en-US" w:eastAsia="zh-CN"/>
        </w:rPr>
        <w:t>e)</w:t>
      </w:r>
      <w:r>
        <w:rPr>
          <w:rFonts w:hint="eastAsia"/>
          <w:lang w:val="en-US" w:eastAsia="zh-CN"/>
        </w:rPr>
        <w:t>、</w:t>
      </w:r>
      <w:r w:rsidRPr="003151E7">
        <w:rPr>
          <w:rFonts w:hint="eastAsia"/>
          <w:i/>
          <w:iCs/>
          <w:lang w:val="en-US" w:eastAsia="zh-CN"/>
        </w:rPr>
        <w:t>f)</w:t>
      </w:r>
      <w:r>
        <w:rPr>
          <w:rFonts w:hint="eastAsia"/>
          <w:lang w:val="en-US" w:eastAsia="zh-CN"/>
        </w:rPr>
        <w:t>和</w:t>
      </w:r>
      <w:r w:rsidRPr="003151E7">
        <w:rPr>
          <w:rFonts w:hint="eastAsia"/>
          <w:i/>
          <w:iCs/>
          <w:lang w:val="en-US" w:eastAsia="zh-CN"/>
        </w:rPr>
        <w:t>g)</w:t>
      </w:r>
      <w:r>
        <w:rPr>
          <w:rFonts w:hint="eastAsia"/>
          <w:lang w:val="en-US" w:eastAsia="zh-CN"/>
        </w:rPr>
        <w:t>项所列决议要实现的一个目标，而且拟议的</w:t>
      </w:r>
      <w:r>
        <w:rPr>
          <w:rFonts w:hint="eastAsia"/>
          <w:lang w:val="en-US" w:eastAsia="zh-CN"/>
        </w:rPr>
        <w:t>C&amp;I</w:t>
      </w:r>
      <w:r>
        <w:rPr>
          <w:rFonts w:hint="eastAsia"/>
          <w:lang w:val="en-US" w:eastAsia="zh-CN"/>
        </w:rPr>
        <w:t>项目旨在满足这些需求；</w:t>
      </w:r>
    </w:p>
    <w:p w:rsidR="002F3272" w:rsidRDefault="00C965FB" w:rsidP="002F3272">
      <w:pPr>
        <w:rPr>
          <w:lang w:val="en-US" w:eastAsia="zh-CN"/>
        </w:rPr>
      </w:pPr>
      <w:r w:rsidRPr="000A4B84">
        <w:rPr>
          <w:i/>
          <w:iCs/>
          <w:lang w:eastAsia="zh-CN"/>
        </w:rPr>
        <w:t>k)</w:t>
      </w:r>
      <w:r>
        <w:rPr>
          <w:rFonts w:hint="eastAsia"/>
          <w:i/>
          <w:iCs/>
          <w:lang w:eastAsia="zh-CN"/>
        </w:rPr>
        <w:tab/>
      </w:r>
      <w:r>
        <w:rPr>
          <w:rFonts w:hint="eastAsia"/>
          <w:lang w:eastAsia="zh-CN"/>
        </w:rPr>
        <w:t>国际电联合规性和互操作性业务计划的内容摘要强调了国际电联</w:t>
      </w:r>
      <w:r>
        <w:rPr>
          <w:rFonts w:hint="eastAsia"/>
          <w:lang w:val="en-US" w:eastAsia="zh-CN"/>
        </w:rPr>
        <w:t>C&amp;I</w:t>
      </w:r>
      <w:r>
        <w:rPr>
          <w:rFonts w:hint="eastAsia"/>
          <w:lang w:val="en-US" w:eastAsia="zh-CN"/>
        </w:rPr>
        <w:t>项目四个支柱的相关重要问题：即，</w:t>
      </w:r>
      <w:r>
        <w:rPr>
          <w:rFonts w:hint="eastAsia"/>
          <w:lang w:val="en-US" w:eastAsia="zh-CN"/>
        </w:rPr>
        <w:t>1-</w:t>
      </w:r>
      <w:r>
        <w:rPr>
          <w:rFonts w:hint="eastAsia"/>
          <w:lang w:val="en-US" w:eastAsia="zh-CN"/>
        </w:rPr>
        <w:t>合规性评估；</w:t>
      </w:r>
      <w:r>
        <w:rPr>
          <w:rFonts w:hint="eastAsia"/>
          <w:lang w:val="en-US" w:eastAsia="zh-CN"/>
        </w:rPr>
        <w:t>2-</w:t>
      </w:r>
      <w:r>
        <w:rPr>
          <w:rFonts w:hint="eastAsia"/>
          <w:lang w:val="en-US" w:eastAsia="zh-CN"/>
        </w:rPr>
        <w:t>互操作性活动；</w:t>
      </w:r>
      <w:r>
        <w:rPr>
          <w:rFonts w:hint="eastAsia"/>
          <w:lang w:val="en-US" w:eastAsia="zh-CN"/>
        </w:rPr>
        <w:t>3-</w:t>
      </w:r>
      <w:r>
        <w:rPr>
          <w:rFonts w:hint="eastAsia"/>
          <w:lang w:val="en-US" w:eastAsia="zh-CN"/>
        </w:rPr>
        <w:t>能力建设；以及</w:t>
      </w:r>
      <w:r>
        <w:rPr>
          <w:rFonts w:hint="eastAsia"/>
          <w:lang w:val="en-US" w:eastAsia="zh-CN"/>
        </w:rPr>
        <w:t>4-</w:t>
      </w:r>
      <w:r>
        <w:rPr>
          <w:rFonts w:hint="eastAsia"/>
          <w:lang w:val="en-US" w:eastAsia="zh-CN"/>
        </w:rPr>
        <w:t>在发展中国家设立测试中心，</w:t>
      </w:r>
    </w:p>
    <w:p w:rsidR="002F3272" w:rsidRPr="00E04A5F" w:rsidRDefault="00C965FB" w:rsidP="002F3272">
      <w:pPr>
        <w:pStyle w:val="Call"/>
        <w:rPr>
          <w:lang w:eastAsia="zh-CN"/>
        </w:rPr>
      </w:pPr>
      <w:r w:rsidRPr="00E04A5F">
        <w:rPr>
          <w:rFonts w:hint="eastAsia"/>
          <w:lang w:eastAsia="zh-CN"/>
        </w:rPr>
        <w:t>注意到</w:t>
      </w:r>
    </w:p>
    <w:p w:rsidR="002F3272" w:rsidRPr="00E04A5F" w:rsidRDefault="00C965FB" w:rsidP="002F3272">
      <w:pPr>
        <w:rPr>
          <w:lang w:eastAsia="zh-CN"/>
        </w:rPr>
      </w:pPr>
      <w:r w:rsidRPr="007C1552">
        <w:rPr>
          <w:i/>
          <w:iCs/>
          <w:lang w:eastAsia="zh-CN"/>
        </w:rPr>
        <w:t>a)</w:t>
      </w:r>
      <w:r w:rsidRPr="00E04A5F">
        <w:rPr>
          <w:lang w:eastAsia="zh-CN"/>
        </w:rPr>
        <w:tab/>
      </w:r>
      <w:r w:rsidRPr="00E04A5F">
        <w:rPr>
          <w:rFonts w:hint="eastAsia"/>
          <w:lang w:eastAsia="zh-CN"/>
        </w:rPr>
        <w:t>支持测试的合规性和互操作性要求，是开发基于</w:t>
      </w:r>
      <w:r w:rsidRPr="00E04A5F">
        <w:rPr>
          <w:lang w:eastAsia="zh-CN"/>
        </w:rPr>
        <w:t>ITU-T</w:t>
      </w:r>
      <w:r w:rsidRPr="00E04A5F">
        <w:rPr>
          <w:rFonts w:hint="eastAsia"/>
          <w:lang w:eastAsia="zh-CN"/>
        </w:rPr>
        <w:t>建议书的互操作性设备不可或缺的组成部分；</w:t>
      </w:r>
    </w:p>
    <w:p w:rsidR="002F3272" w:rsidRPr="00E04A5F" w:rsidRDefault="00C965FB" w:rsidP="002F3272">
      <w:pPr>
        <w:rPr>
          <w:lang w:eastAsia="zh-CN"/>
        </w:rPr>
      </w:pPr>
      <w:r w:rsidRPr="007C1552">
        <w:rPr>
          <w:i/>
          <w:iCs/>
          <w:lang w:eastAsia="zh-CN"/>
        </w:rPr>
        <w:t>b)</w:t>
      </w:r>
      <w:r w:rsidRPr="00E04A5F">
        <w:rPr>
          <w:lang w:eastAsia="zh-CN"/>
        </w:rPr>
        <w:tab/>
        <w:t>ITU-T</w:t>
      </w:r>
      <w:r w:rsidRPr="00E04A5F">
        <w:rPr>
          <w:rFonts w:hint="eastAsia"/>
          <w:lang w:eastAsia="zh-CN"/>
        </w:rPr>
        <w:t>成员当中拥有大量制定相关测试标准和测试程序的实践经验，而本决议提出的行动正是以这些标准和程序为依据的；</w:t>
      </w:r>
    </w:p>
    <w:p w:rsidR="002F3272" w:rsidRPr="00E04A5F" w:rsidRDefault="00C965FB" w:rsidP="002F3272">
      <w:pPr>
        <w:rPr>
          <w:lang w:eastAsia="zh-CN"/>
        </w:rPr>
      </w:pPr>
      <w:r w:rsidRPr="007C1552">
        <w:rPr>
          <w:i/>
          <w:iCs/>
          <w:lang w:eastAsia="zh-CN"/>
        </w:rPr>
        <w:t>c)</w:t>
      </w:r>
      <w:r w:rsidRPr="00E04A5F">
        <w:rPr>
          <w:lang w:eastAsia="zh-CN"/>
        </w:rPr>
        <w:tab/>
      </w:r>
      <w:r w:rsidRPr="00E04A5F">
        <w:rPr>
          <w:rFonts w:hint="eastAsia"/>
          <w:lang w:eastAsia="zh-CN"/>
        </w:rPr>
        <w:t>有必要帮助发展中国家制定解决方案，以此在提高产品质量的同时，展示互操作性并削减运营商、尤其是发展中国家运营商的系统和设备采购成本；</w:t>
      </w:r>
    </w:p>
    <w:p w:rsidR="002F3272" w:rsidRDefault="00C965FB" w:rsidP="002F3272">
      <w:pPr>
        <w:rPr>
          <w:lang w:eastAsia="zh-CN"/>
        </w:rPr>
      </w:pPr>
      <w:r w:rsidRPr="007C1552">
        <w:rPr>
          <w:i/>
          <w:iCs/>
          <w:lang w:eastAsia="zh-CN"/>
        </w:rPr>
        <w:t>d)</w:t>
      </w:r>
      <w:r w:rsidRPr="00E04A5F">
        <w:rPr>
          <w:lang w:eastAsia="zh-CN"/>
        </w:rPr>
        <w:tab/>
      </w:r>
      <w:r w:rsidRPr="00E04A5F">
        <w:rPr>
          <w:rFonts w:hint="eastAsia"/>
          <w:lang w:eastAsia="zh-CN"/>
        </w:rPr>
        <w:t>在没有进行互操作性试验或测试的情况下，不同厂家的设备可能会给用户带来互连性能低下的问题</w:t>
      </w:r>
      <w:r>
        <w:rPr>
          <w:rFonts w:hint="eastAsia"/>
          <w:lang w:eastAsia="zh-CN"/>
        </w:rPr>
        <w:t>，</w:t>
      </w:r>
    </w:p>
    <w:p w:rsidR="002F3272" w:rsidRPr="00E04A5F" w:rsidRDefault="00C965FB" w:rsidP="002F3272">
      <w:pPr>
        <w:pStyle w:val="Call"/>
        <w:rPr>
          <w:lang w:eastAsia="zh-CN"/>
        </w:rPr>
      </w:pPr>
      <w:r w:rsidRPr="00E04A5F">
        <w:rPr>
          <w:rFonts w:hint="eastAsia"/>
          <w:lang w:eastAsia="zh-CN"/>
        </w:rPr>
        <w:t>考虑到</w:t>
      </w:r>
    </w:p>
    <w:p w:rsidR="002F3272" w:rsidRPr="00E04A5F" w:rsidRDefault="00C965FB" w:rsidP="002F3272">
      <w:pPr>
        <w:rPr>
          <w:lang w:eastAsia="zh-CN"/>
        </w:rPr>
      </w:pPr>
      <w:r w:rsidRPr="007C1552">
        <w:rPr>
          <w:i/>
          <w:iCs/>
          <w:lang w:eastAsia="zh-CN"/>
        </w:rPr>
        <w:t>a)</w:t>
      </w:r>
      <w:r w:rsidRPr="00E04A5F">
        <w:rPr>
          <w:lang w:eastAsia="zh-CN"/>
        </w:rPr>
        <w:tab/>
      </w:r>
      <w:r w:rsidRPr="00E04A5F">
        <w:rPr>
          <w:rFonts w:hint="eastAsia"/>
          <w:lang w:eastAsia="zh-CN"/>
        </w:rPr>
        <w:t>如《</w:t>
      </w:r>
      <w:r w:rsidRPr="00E04A5F">
        <w:rPr>
          <w:rFonts w:hint="eastAsia"/>
          <w:lang w:eastAsia="zh-CN"/>
        </w:rPr>
        <w:t>ITU-T A</w:t>
      </w:r>
      <w:r w:rsidRPr="00E04A5F">
        <w:rPr>
          <w:rFonts w:hint="eastAsia"/>
          <w:lang w:eastAsia="zh-CN"/>
        </w:rPr>
        <w:t>系列建议书增补</w:t>
      </w:r>
      <w:r w:rsidRPr="00E04A5F">
        <w:rPr>
          <w:rFonts w:hint="eastAsia"/>
          <w:lang w:eastAsia="zh-CN"/>
        </w:rPr>
        <w:t>2</w:t>
      </w:r>
      <w:r w:rsidRPr="00E04A5F">
        <w:rPr>
          <w:rFonts w:hint="eastAsia"/>
          <w:lang w:eastAsia="zh-CN"/>
        </w:rPr>
        <w:t>》所述，国际电联电信标准化部门在过去曾偶尔开展过合规性和互操作性测试；</w:t>
      </w:r>
    </w:p>
    <w:p w:rsidR="002F3272" w:rsidRPr="00E04A5F" w:rsidRDefault="00C965FB" w:rsidP="002F3272">
      <w:pPr>
        <w:rPr>
          <w:lang w:eastAsia="zh-CN"/>
        </w:rPr>
      </w:pPr>
      <w:r w:rsidRPr="007C1552">
        <w:rPr>
          <w:i/>
          <w:iCs/>
          <w:lang w:eastAsia="zh-CN"/>
        </w:rPr>
        <w:t>b)</w:t>
      </w:r>
      <w:r w:rsidRPr="00E04A5F">
        <w:rPr>
          <w:lang w:eastAsia="zh-CN"/>
        </w:rPr>
        <w:tab/>
      </w:r>
      <w:r w:rsidRPr="00E04A5F">
        <w:rPr>
          <w:rFonts w:hint="eastAsia"/>
          <w:lang w:eastAsia="zh-CN"/>
        </w:rPr>
        <w:t>国际电联的标准化资源有限，而且互操作性测试需要专用技术基础设施；</w:t>
      </w:r>
    </w:p>
    <w:p w:rsidR="002F3272" w:rsidRPr="00E04A5F" w:rsidRDefault="00C965FB" w:rsidP="002F3272">
      <w:pPr>
        <w:rPr>
          <w:lang w:eastAsia="zh-CN"/>
        </w:rPr>
      </w:pPr>
      <w:r w:rsidRPr="007C1552">
        <w:rPr>
          <w:i/>
          <w:iCs/>
          <w:lang w:eastAsia="zh-CN"/>
        </w:rPr>
        <w:t>c)</w:t>
      </w:r>
      <w:r w:rsidRPr="00E04A5F">
        <w:rPr>
          <w:lang w:eastAsia="zh-CN"/>
        </w:rPr>
        <w:tab/>
      </w:r>
      <w:r>
        <w:rPr>
          <w:rFonts w:hint="eastAsia"/>
          <w:lang w:eastAsia="zh-CN"/>
        </w:rPr>
        <w:t>编写测试套件、</w:t>
      </w:r>
      <w:r w:rsidRPr="00E04A5F">
        <w:rPr>
          <w:rFonts w:hint="eastAsia"/>
          <w:lang w:eastAsia="zh-CN"/>
        </w:rPr>
        <w:t>互操作性测试的标准化、产品开发及其测试工作需要不同类型的专家；</w:t>
      </w:r>
    </w:p>
    <w:p w:rsidR="002F3272" w:rsidRPr="00E04A5F" w:rsidRDefault="00C965FB" w:rsidP="002F3272">
      <w:pPr>
        <w:rPr>
          <w:lang w:eastAsia="zh-CN"/>
        </w:rPr>
      </w:pPr>
      <w:r w:rsidRPr="007C1552">
        <w:rPr>
          <w:i/>
          <w:iCs/>
          <w:lang w:eastAsia="zh-CN"/>
        </w:rPr>
        <w:t>d)</w:t>
      </w:r>
      <w:r w:rsidRPr="00E04A5F">
        <w:rPr>
          <w:lang w:eastAsia="zh-CN"/>
        </w:rPr>
        <w:tab/>
      </w:r>
      <w:r w:rsidRPr="00E04A5F">
        <w:rPr>
          <w:rFonts w:hint="eastAsia"/>
          <w:lang w:eastAsia="zh-CN"/>
        </w:rPr>
        <w:t>由未参与标准化进程的标准用户，而不是编制规范的标准化专家进行互操作性测试，是一种好方法；</w:t>
      </w:r>
    </w:p>
    <w:p w:rsidR="002F3272" w:rsidRDefault="00C965FB" w:rsidP="002F3272">
      <w:pPr>
        <w:rPr>
          <w:lang w:eastAsia="zh-CN"/>
        </w:rPr>
      </w:pPr>
      <w:r w:rsidRPr="007C1552">
        <w:rPr>
          <w:i/>
          <w:iCs/>
          <w:lang w:eastAsia="zh-CN"/>
        </w:rPr>
        <w:lastRenderedPageBreak/>
        <w:t>e)</w:t>
      </w:r>
      <w:r w:rsidRPr="00E04A5F">
        <w:rPr>
          <w:lang w:eastAsia="zh-CN"/>
        </w:rPr>
        <w:tab/>
      </w:r>
      <w:r w:rsidRPr="00E04A5F">
        <w:rPr>
          <w:rFonts w:hint="eastAsia"/>
          <w:lang w:eastAsia="zh-CN"/>
        </w:rPr>
        <w:t>因此有必要与外部</w:t>
      </w:r>
      <w:r>
        <w:rPr>
          <w:rFonts w:hint="eastAsia"/>
          <w:lang w:eastAsia="zh-CN"/>
        </w:rPr>
        <w:t>的鉴定、合规评估和认证</w:t>
      </w:r>
      <w:r w:rsidRPr="00E04A5F">
        <w:rPr>
          <w:rFonts w:hint="eastAsia"/>
          <w:lang w:eastAsia="zh-CN"/>
        </w:rPr>
        <w:t>机构开展合作</w:t>
      </w:r>
      <w:r>
        <w:rPr>
          <w:rFonts w:hint="eastAsia"/>
          <w:lang w:eastAsia="zh-CN"/>
        </w:rPr>
        <w:t>；</w:t>
      </w:r>
    </w:p>
    <w:p w:rsidR="002F3272" w:rsidRPr="00E04A5F" w:rsidRDefault="00C965FB" w:rsidP="002F3272">
      <w:pPr>
        <w:rPr>
          <w:lang w:eastAsia="zh-CN"/>
        </w:rPr>
      </w:pPr>
      <w:r w:rsidRPr="00E067CF">
        <w:rPr>
          <w:i/>
          <w:iCs/>
          <w:lang w:val="en-US" w:eastAsia="zh-CN"/>
        </w:rPr>
        <w:t>f</w:t>
      </w:r>
      <w:r>
        <w:rPr>
          <w:rFonts w:hint="eastAsia"/>
          <w:i/>
          <w:iCs/>
          <w:lang w:val="en-US" w:eastAsia="zh-CN"/>
        </w:rPr>
        <w:t>)</w:t>
      </w:r>
      <w:r>
        <w:rPr>
          <w:rFonts w:hint="eastAsia"/>
          <w:i/>
          <w:iCs/>
          <w:lang w:val="en-US" w:eastAsia="zh-CN"/>
        </w:rPr>
        <w:tab/>
      </w:r>
      <w:r>
        <w:rPr>
          <w:rFonts w:hint="eastAsia"/>
          <w:lang w:val="en-US" w:eastAsia="zh-CN"/>
        </w:rPr>
        <w:t>各</w:t>
      </w:r>
      <w:r>
        <w:rPr>
          <w:rFonts w:hint="eastAsia"/>
          <w:lang w:eastAsia="zh-CN"/>
        </w:rPr>
        <w:t>论坛、联盟及其它组织已经制定了认证计划，</w:t>
      </w:r>
    </w:p>
    <w:p w:rsidR="002F3272" w:rsidRPr="00E04A5F" w:rsidRDefault="00C965FB" w:rsidP="002F3272">
      <w:pPr>
        <w:pStyle w:val="Call"/>
        <w:rPr>
          <w:lang w:eastAsia="zh-CN"/>
        </w:rPr>
      </w:pPr>
      <w:r w:rsidRPr="00E04A5F">
        <w:rPr>
          <w:rFonts w:hint="eastAsia"/>
          <w:lang w:eastAsia="zh-CN"/>
        </w:rPr>
        <w:t>做出决议</w:t>
      </w:r>
    </w:p>
    <w:p w:rsidR="002F3272" w:rsidRPr="00E04A5F" w:rsidRDefault="00C965FB" w:rsidP="002F3272">
      <w:pPr>
        <w:rPr>
          <w:lang w:eastAsia="zh-CN"/>
        </w:rPr>
      </w:pPr>
      <w:r w:rsidRPr="00E04A5F">
        <w:rPr>
          <w:lang w:eastAsia="zh-CN"/>
        </w:rPr>
        <w:t>1</w:t>
      </w:r>
      <w:r w:rsidRPr="00E04A5F">
        <w:rPr>
          <w:lang w:eastAsia="zh-CN"/>
        </w:rPr>
        <w:tab/>
        <w:t>ITU-T</w:t>
      </w:r>
      <w:r>
        <w:rPr>
          <w:rFonts w:hint="eastAsia"/>
          <w:lang w:eastAsia="zh-CN"/>
        </w:rPr>
        <w:t>各</w:t>
      </w:r>
      <w:r w:rsidRPr="00E04A5F">
        <w:rPr>
          <w:rFonts w:hint="eastAsia"/>
          <w:lang w:eastAsia="zh-CN"/>
        </w:rPr>
        <w:t>研究组尽快为电信</w:t>
      </w:r>
      <w:r w:rsidRPr="00E04A5F">
        <w:rPr>
          <w:rFonts w:hint="eastAsia"/>
          <w:lang w:eastAsia="zh-CN"/>
        </w:rPr>
        <w:t>/</w:t>
      </w:r>
      <w:r w:rsidRPr="00E04A5F">
        <w:rPr>
          <w:lang w:eastAsia="zh-CN"/>
        </w:rPr>
        <w:t>ICT</w:t>
      </w:r>
      <w:r w:rsidRPr="00E04A5F">
        <w:rPr>
          <w:rFonts w:hint="eastAsia"/>
          <w:lang w:eastAsia="zh-CN"/>
        </w:rPr>
        <w:t>设备编制必要的</w:t>
      </w:r>
      <w:r w:rsidRPr="00E04A5F">
        <w:rPr>
          <w:lang w:eastAsia="zh-CN"/>
        </w:rPr>
        <w:t>ITU-T</w:t>
      </w:r>
      <w:r w:rsidRPr="00E04A5F">
        <w:rPr>
          <w:rFonts w:hint="eastAsia"/>
          <w:lang w:eastAsia="zh-CN"/>
        </w:rPr>
        <w:t>合规性测试建议书；</w:t>
      </w:r>
    </w:p>
    <w:p w:rsidR="002F3272" w:rsidRPr="00E04A5F" w:rsidRDefault="00C965FB" w:rsidP="002F3272">
      <w:pPr>
        <w:rPr>
          <w:lang w:eastAsia="zh-CN"/>
        </w:rPr>
      </w:pPr>
      <w:r>
        <w:rPr>
          <w:rFonts w:hint="eastAsia"/>
          <w:lang w:eastAsia="zh-CN"/>
        </w:rPr>
        <w:t>2</w:t>
      </w:r>
      <w:r>
        <w:rPr>
          <w:rFonts w:hint="eastAsia"/>
          <w:lang w:eastAsia="zh-CN"/>
        </w:rPr>
        <w:tab/>
      </w:r>
      <w:r w:rsidRPr="00B3647A">
        <w:rPr>
          <w:szCs w:val="24"/>
          <w:lang w:eastAsia="zh-CN"/>
        </w:rPr>
        <w:t>ITU-T</w:t>
      </w:r>
      <w:r>
        <w:rPr>
          <w:rFonts w:hint="eastAsia"/>
          <w:szCs w:val="24"/>
          <w:lang w:eastAsia="zh-CN"/>
        </w:rPr>
        <w:t>第</w:t>
      </w:r>
      <w:r>
        <w:rPr>
          <w:szCs w:val="24"/>
          <w:lang w:eastAsia="zh-CN"/>
        </w:rPr>
        <w:t>11</w:t>
      </w:r>
      <w:r>
        <w:rPr>
          <w:szCs w:val="24"/>
          <w:lang w:eastAsia="zh-CN"/>
        </w:rPr>
        <w:t>研究组协调</w:t>
      </w:r>
      <w:r>
        <w:rPr>
          <w:rFonts w:hint="eastAsia"/>
          <w:szCs w:val="24"/>
          <w:lang w:eastAsia="zh-CN"/>
        </w:rPr>
        <w:t>本</w:t>
      </w:r>
      <w:r>
        <w:rPr>
          <w:szCs w:val="24"/>
          <w:lang w:eastAsia="zh-CN"/>
        </w:rPr>
        <w:t>部门</w:t>
      </w:r>
      <w:r>
        <w:rPr>
          <w:rFonts w:hint="eastAsia"/>
          <w:szCs w:val="24"/>
          <w:lang w:eastAsia="zh-CN"/>
        </w:rPr>
        <w:t>各</w:t>
      </w:r>
      <w:r>
        <w:rPr>
          <w:szCs w:val="24"/>
          <w:lang w:eastAsia="zh-CN"/>
        </w:rPr>
        <w:t>研究组</w:t>
      </w:r>
      <w:r>
        <w:rPr>
          <w:rFonts w:hint="eastAsia"/>
          <w:szCs w:val="24"/>
          <w:lang w:eastAsia="zh-CN"/>
        </w:rPr>
        <w:t>开展</w:t>
      </w:r>
      <w:r>
        <w:rPr>
          <w:szCs w:val="24"/>
          <w:lang w:eastAsia="zh-CN"/>
        </w:rPr>
        <w:t>的</w:t>
      </w:r>
      <w:r>
        <w:rPr>
          <w:lang w:eastAsia="zh-CN"/>
        </w:rPr>
        <w:t>有关</w:t>
      </w:r>
      <w:r>
        <w:rPr>
          <w:rFonts w:hint="eastAsia"/>
          <w:lang w:eastAsia="zh-CN"/>
        </w:rPr>
        <w:t>国际电联合规性和互操作性（</w:t>
      </w:r>
      <w:r w:rsidRPr="00045A16">
        <w:rPr>
          <w:lang w:eastAsia="zh-CN"/>
        </w:rPr>
        <w:t>C&amp;I</w:t>
      </w:r>
      <w:r>
        <w:rPr>
          <w:rFonts w:hint="eastAsia"/>
          <w:lang w:eastAsia="zh-CN"/>
        </w:rPr>
        <w:t>）业务计划的活动，并对合规性和互操作性业务计划中的建议进行审查，以便长期实施</w:t>
      </w:r>
      <w:r w:rsidRPr="00045A16">
        <w:rPr>
          <w:lang w:eastAsia="zh-CN"/>
        </w:rPr>
        <w:t>C&amp;I</w:t>
      </w:r>
      <w:r>
        <w:rPr>
          <w:rFonts w:hint="eastAsia"/>
          <w:lang w:eastAsia="zh-CN"/>
        </w:rPr>
        <w:t>计划</w:t>
      </w:r>
      <w:r>
        <w:rPr>
          <w:color w:val="000000"/>
          <w:szCs w:val="24"/>
          <w:shd w:val="clear" w:color="auto" w:fill="FFFFFF"/>
          <w:lang w:eastAsia="zh-CN"/>
        </w:rPr>
        <w:t>；</w:t>
      </w:r>
    </w:p>
    <w:p w:rsidR="002F3272" w:rsidRPr="00E04A5F" w:rsidRDefault="00C965FB" w:rsidP="002F3272">
      <w:pPr>
        <w:rPr>
          <w:lang w:eastAsia="zh-CN"/>
        </w:rPr>
      </w:pPr>
      <w:r>
        <w:rPr>
          <w:lang w:val="en-US" w:eastAsia="zh-CN"/>
        </w:rPr>
        <w:t>3</w:t>
      </w:r>
      <w:r w:rsidRPr="00E04A5F">
        <w:rPr>
          <w:lang w:eastAsia="zh-CN"/>
        </w:rPr>
        <w:tab/>
      </w:r>
      <w:r w:rsidRPr="00E04A5F">
        <w:rPr>
          <w:rFonts w:hint="eastAsia"/>
          <w:lang w:eastAsia="zh-CN"/>
        </w:rPr>
        <w:t>应尽快推进解决互操作性测试问题的</w:t>
      </w:r>
      <w:r w:rsidRPr="00E04A5F">
        <w:rPr>
          <w:lang w:eastAsia="zh-CN"/>
        </w:rPr>
        <w:t>ITU-T</w:t>
      </w:r>
      <w:r w:rsidRPr="00E04A5F">
        <w:rPr>
          <w:rFonts w:hint="eastAsia"/>
          <w:lang w:eastAsia="zh-CN"/>
        </w:rPr>
        <w:t>建议书的制定工作；</w:t>
      </w:r>
    </w:p>
    <w:p w:rsidR="002F3272" w:rsidRDefault="00C965FB" w:rsidP="002F3272">
      <w:pPr>
        <w:rPr>
          <w:lang w:eastAsia="zh-CN"/>
        </w:rPr>
      </w:pPr>
      <w:r>
        <w:rPr>
          <w:rFonts w:hint="eastAsia"/>
          <w:lang w:eastAsia="zh-CN"/>
        </w:rPr>
        <w:t>4</w:t>
      </w:r>
      <w:r>
        <w:rPr>
          <w:rFonts w:hint="eastAsia"/>
          <w:lang w:eastAsia="zh-CN"/>
        </w:rPr>
        <w:tab/>
      </w:r>
      <w:r w:rsidRPr="00E04A5F">
        <w:rPr>
          <w:lang w:eastAsia="zh-CN"/>
        </w:rPr>
        <w:t>ITU-T</w:t>
      </w:r>
      <w:r>
        <w:rPr>
          <w:rFonts w:hint="eastAsia"/>
          <w:lang w:eastAsia="zh-CN"/>
        </w:rPr>
        <w:t>酌情与其它部门就计划制定</w:t>
      </w:r>
      <w:r w:rsidRPr="00E04A5F">
        <w:rPr>
          <w:rFonts w:hint="eastAsia"/>
          <w:lang w:eastAsia="zh-CN"/>
        </w:rPr>
        <w:t>开展合作，以便：</w:t>
      </w:r>
    </w:p>
    <w:p w:rsidR="002F3272" w:rsidRPr="00E04A5F" w:rsidRDefault="00C965FB" w:rsidP="002F3272">
      <w:pPr>
        <w:pStyle w:val="enumlev10"/>
        <w:rPr>
          <w:lang w:eastAsia="zh-CN"/>
        </w:rPr>
      </w:pPr>
      <w:r w:rsidRPr="00E04A5F">
        <w:rPr>
          <w:rFonts w:hint="eastAsia"/>
          <w:lang w:eastAsia="zh-CN"/>
        </w:rPr>
        <w:t>i)</w:t>
      </w:r>
      <w:r w:rsidRPr="00E04A5F">
        <w:rPr>
          <w:rFonts w:hint="eastAsia"/>
          <w:lang w:eastAsia="zh-CN"/>
        </w:rPr>
        <w:tab/>
      </w:r>
      <w:r w:rsidRPr="00E04A5F">
        <w:rPr>
          <w:rFonts w:hint="eastAsia"/>
          <w:lang w:eastAsia="zh-CN"/>
        </w:rPr>
        <w:t>帮助发展中国家寻求合规性和互操作性测试的人员和机构能力建设和培训机遇；</w:t>
      </w:r>
    </w:p>
    <w:p w:rsidR="002F3272" w:rsidRPr="00E04A5F" w:rsidRDefault="00C965FB" w:rsidP="002F3272">
      <w:pPr>
        <w:pStyle w:val="enumlev10"/>
        <w:rPr>
          <w:lang w:eastAsia="zh-CN"/>
        </w:rPr>
      </w:pPr>
      <w:r w:rsidRPr="00E04A5F">
        <w:rPr>
          <w:rFonts w:hint="eastAsia"/>
          <w:lang w:eastAsia="zh-CN"/>
        </w:rPr>
        <w:t>ii)</w:t>
      </w:r>
      <w:r w:rsidRPr="00E04A5F">
        <w:rPr>
          <w:rFonts w:hint="eastAsia"/>
          <w:lang w:eastAsia="zh-CN"/>
        </w:rPr>
        <w:tab/>
      </w:r>
      <w:r w:rsidRPr="00E04A5F">
        <w:rPr>
          <w:rFonts w:hint="eastAsia"/>
          <w:lang w:eastAsia="zh-CN"/>
        </w:rPr>
        <w:t>帮助发展中国家建设能够酌情进行合规性和互操作性测试的区域或次区域合规性和互操作性中心</w:t>
      </w:r>
      <w:r>
        <w:rPr>
          <w:rFonts w:hint="eastAsia"/>
          <w:lang w:eastAsia="zh-CN"/>
        </w:rPr>
        <w:t>，鼓励与政府和非政府、各国和区域组织以及国际鉴定和认证机构开展合作；</w:t>
      </w:r>
    </w:p>
    <w:p w:rsidR="002F3272" w:rsidRDefault="00C965FB" w:rsidP="007D511C">
      <w:pPr>
        <w:rPr>
          <w:ins w:id="8" w:author="Tang, Ting" w:date="2016-10-11T14:54:00Z"/>
          <w:lang w:eastAsia="zh-CN"/>
        </w:rPr>
      </w:pPr>
      <w:r>
        <w:rPr>
          <w:rFonts w:hint="eastAsia"/>
          <w:lang w:eastAsia="zh-CN"/>
        </w:rPr>
        <w:t>5</w:t>
      </w:r>
      <w:r w:rsidRPr="00E04A5F">
        <w:rPr>
          <w:lang w:eastAsia="zh-CN"/>
        </w:rPr>
        <w:tab/>
      </w:r>
      <w:r w:rsidRPr="00E04A5F">
        <w:rPr>
          <w:rFonts w:hint="eastAsia"/>
          <w:lang w:eastAsia="zh-CN"/>
        </w:rPr>
        <w:t>合规性和互操作性测试要求</w:t>
      </w:r>
      <w:r>
        <w:rPr>
          <w:rFonts w:hint="eastAsia"/>
          <w:lang w:eastAsia="zh-CN"/>
        </w:rPr>
        <w:t>须规定制定建议书的研究组所确定的、</w:t>
      </w:r>
      <w:r w:rsidRPr="00E04A5F">
        <w:rPr>
          <w:rFonts w:hint="eastAsia"/>
          <w:lang w:eastAsia="zh-CN"/>
        </w:rPr>
        <w:t>现行和未来</w:t>
      </w:r>
      <w:r w:rsidRPr="00E04A5F">
        <w:rPr>
          <w:lang w:eastAsia="zh-CN"/>
        </w:rPr>
        <w:t>ITU-T</w:t>
      </w:r>
      <w:r w:rsidRPr="00E04A5F">
        <w:rPr>
          <w:rFonts w:hint="eastAsia"/>
          <w:lang w:eastAsia="zh-CN"/>
        </w:rPr>
        <w:t>建议书</w:t>
      </w:r>
      <w:r>
        <w:rPr>
          <w:rFonts w:hint="eastAsia"/>
          <w:lang w:eastAsia="zh-CN"/>
        </w:rPr>
        <w:t>所定义</w:t>
      </w:r>
      <w:r w:rsidRPr="00E04A5F">
        <w:rPr>
          <w:rFonts w:hint="eastAsia"/>
          <w:lang w:eastAsia="zh-CN"/>
        </w:rPr>
        <w:t>参数的</w:t>
      </w:r>
      <w:r>
        <w:rPr>
          <w:rFonts w:hint="eastAsia"/>
          <w:lang w:eastAsia="zh-CN"/>
        </w:rPr>
        <w:t>验证</w:t>
      </w:r>
      <w:r w:rsidRPr="00E04A5F">
        <w:rPr>
          <w:rFonts w:hint="eastAsia"/>
          <w:lang w:eastAsia="zh-CN"/>
        </w:rPr>
        <w:t>，</w:t>
      </w:r>
      <w:r>
        <w:rPr>
          <w:rFonts w:hint="eastAsia"/>
          <w:lang w:eastAsia="zh-CN"/>
        </w:rPr>
        <w:t>并规定互操作性测试需</w:t>
      </w:r>
      <w:r w:rsidRPr="00E04A5F">
        <w:rPr>
          <w:rFonts w:hint="eastAsia"/>
          <w:lang w:eastAsia="zh-CN"/>
        </w:rPr>
        <w:t>确保互操作性，</w:t>
      </w:r>
      <w:r>
        <w:rPr>
          <w:rFonts w:hint="eastAsia"/>
          <w:lang w:eastAsia="zh-CN"/>
        </w:rPr>
        <w:t>同时酌情考虑用户需求和市场需求</w:t>
      </w:r>
      <w:ins w:id="9" w:author="Zhou, Zhe" w:date="2016-10-20T15:19:00Z">
        <w:r w:rsidR="007D511C">
          <w:rPr>
            <w:rFonts w:hint="eastAsia"/>
            <w:lang w:eastAsia="zh-CN"/>
          </w:rPr>
          <w:t>；</w:t>
        </w:r>
      </w:ins>
      <w:del w:id="10" w:author="Tang, Ting" w:date="2016-10-11T14:54:00Z">
        <w:r w:rsidDel="00C965FB">
          <w:rPr>
            <w:rFonts w:hint="eastAsia"/>
            <w:lang w:eastAsia="zh-CN"/>
          </w:rPr>
          <w:delText>，</w:delText>
        </w:r>
      </w:del>
    </w:p>
    <w:p w:rsidR="00C965FB" w:rsidRPr="00C965FB" w:rsidRDefault="00C965FB">
      <w:pPr>
        <w:rPr>
          <w:lang w:eastAsia="zh-CN"/>
        </w:rPr>
      </w:pPr>
      <w:ins w:id="11" w:author="Tang, Ting" w:date="2016-10-11T14:54:00Z">
        <w:r w:rsidRPr="00285B05">
          <w:rPr>
            <w:szCs w:val="24"/>
            <w:lang w:eastAsia="zh-CN"/>
          </w:rPr>
          <w:t>6</w:t>
        </w:r>
        <w:r w:rsidRPr="00285B05">
          <w:rPr>
            <w:szCs w:val="24"/>
            <w:lang w:eastAsia="zh-CN"/>
          </w:rPr>
          <w:tab/>
        </w:r>
      </w:ins>
      <w:ins w:id="12" w:author="Zhou, Zhe" w:date="2016-10-20T15:19:00Z">
        <w:r w:rsidR="007D511C">
          <w:rPr>
            <w:rFonts w:hint="eastAsia"/>
            <w:lang w:eastAsia="zh-CN"/>
          </w:rPr>
          <w:t>ITU-T</w:t>
        </w:r>
      </w:ins>
      <w:ins w:id="13" w:author="Zhou, Zhe" w:date="2016-10-20T15:20:00Z">
        <w:r w:rsidR="007D511C">
          <w:rPr>
            <w:rFonts w:hint="eastAsia"/>
            <w:lang w:eastAsia="zh-CN"/>
          </w:rPr>
          <w:t>与其它有关方合作</w:t>
        </w:r>
      </w:ins>
      <w:ins w:id="14" w:author="Zhou, Zhe" w:date="2016-10-20T15:21:00Z">
        <w:r w:rsidR="007D511C">
          <w:rPr>
            <w:rFonts w:hint="eastAsia"/>
            <w:lang w:eastAsia="zh-CN"/>
          </w:rPr>
          <w:t>进行管理和协调，以评价和评估</w:t>
        </w:r>
      </w:ins>
      <w:ins w:id="15" w:author="Zhou, Zhe" w:date="2016-10-20T15:23:00Z">
        <w:r w:rsidR="007D511C">
          <w:rPr>
            <w:rFonts w:hint="eastAsia"/>
            <w:lang w:eastAsia="zh-CN"/>
          </w:rPr>
          <w:t>尤其在发展中国家</w:t>
        </w:r>
      </w:ins>
      <w:ins w:id="16" w:author="Zhou, Zhe" w:date="2016-10-20T15:21:00Z">
        <w:r w:rsidR="007D511C">
          <w:rPr>
            <w:rFonts w:hint="eastAsia"/>
            <w:lang w:eastAsia="zh-CN"/>
          </w:rPr>
          <w:t>因缺乏</w:t>
        </w:r>
      </w:ins>
      <w:ins w:id="17" w:author="Zhou, Zhe" w:date="2016-10-20T15:22:00Z">
        <w:r w:rsidR="007D511C">
          <w:rPr>
            <w:rFonts w:hint="eastAsia"/>
            <w:lang w:eastAsia="zh-CN"/>
          </w:rPr>
          <w:t>合规</w:t>
        </w:r>
      </w:ins>
      <w:ins w:id="18" w:author="Zhou, Zhe" w:date="2016-10-20T15:21:00Z">
        <w:r w:rsidR="007D511C">
          <w:rPr>
            <w:rFonts w:hint="eastAsia"/>
            <w:lang w:eastAsia="zh-CN"/>
          </w:rPr>
          <w:t>性和互操作性</w:t>
        </w:r>
      </w:ins>
      <w:ins w:id="19" w:author="Zhou, Zhe" w:date="2016-10-20T15:22:00Z">
        <w:r w:rsidR="007D511C">
          <w:rPr>
            <w:rFonts w:hint="eastAsia"/>
            <w:lang w:eastAsia="zh-CN"/>
          </w:rPr>
          <w:t>测试</w:t>
        </w:r>
      </w:ins>
      <w:ins w:id="20" w:author="Zhou, Zhe" w:date="2016-10-20T15:26:00Z">
        <w:r w:rsidR="004A3972">
          <w:rPr>
            <w:rFonts w:hint="eastAsia"/>
            <w:lang w:eastAsia="zh-CN"/>
          </w:rPr>
          <w:t>所产生</w:t>
        </w:r>
      </w:ins>
      <w:ins w:id="21" w:author="Zhou, Zhe" w:date="2016-10-20T15:22:00Z">
        <w:r w:rsidR="007D511C">
          <w:rPr>
            <w:rFonts w:hint="eastAsia"/>
            <w:lang w:eastAsia="zh-CN"/>
          </w:rPr>
          <w:t>的风险和多种</w:t>
        </w:r>
      </w:ins>
      <w:ins w:id="22" w:author="Zhou, Zhe" w:date="2016-10-20T15:26:00Z">
        <w:r w:rsidR="004A3972">
          <w:rPr>
            <w:rFonts w:hint="eastAsia"/>
            <w:lang w:eastAsia="zh-CN"/>
          </w:rPr>
          <w:t>费用</w:t>
        </w:r>
      </w:ins>
      <w:ins w:id="23" w:author="Zhou, Zhe" w:date="2016-10-20T15:22:00Z">
        <w:r w:rsidR="007D511C">
          <w:rPr>
            <w:rFonts w:hint="eastAsia"/>
            <w:lang w:eastAsia="zh-CN"/>
          </w:rPr>
          <w:t>，</w:t>
        </w:r>
      </w:ins>
      <w:ins w:id="24" w:author="Zhou, Zhe" w:date="2016-10-20T15:24:00Z">
        <w:r w:rsidR="004A3972">
          <w:rPr>
            <w:rFonts w:hint="eastAsia"/>
            <w:lang w:eastAsia="zh-CN"/>
          </w:rPr>
          <w:t>并（根据国际电联</w:t>
        </w:r>
        <w:r w:rsidR="004A3972">
          <w:rPr>
            <w:rFonts w:hint="eastAsia"/>
            <w:lang w:eastAsia="zh-CN"/>
          </w:rPr>
          <w:t>C&amp;I</w:t>
        </w:r>
        <w:r w:rsidR="004A3972">
          <w:rPr>
            <w:rFonts w:hint="eastAsia"/>
            <w:lang w:eastAsia="zh-CN"/>
          </w:rPr>
          <w:t>项目支柱</w:t>
        </w:r>
        <w:r w:rsidR="004A3972">
          <w:rPr>
            <w:rFonts w:hint="eastAsia"/>
            <w:lang w:eastAsia="zh-CN"/>
          </w:rPr>
          <w:t>4</w:t>
        </w:r>
        <w:r w:rsidR="004A3972">
          <w:rPr>
            <w:rFonts w:hint="eastAsia"/>
            <w:lang w:eastAsia="zh-CN"/>
          </w:rPr>
          <w:t>）</w:t>
        </w:r>
      </w:ins>
      <w:ins w:id="25" w:author="Zhou, Zhe" w:date="2016-10-20T15:26:00Z">
        <w:r w:rsidR="004A3972">
          <w:rPr>
            <w:rFonts w:hint="eastAsia"/>
            <w:lang w:eastAsia="zh-CN"/>
          </w:rPr>
          <w:t>基于最佳做法</w:t>
        </w:r>
      </w:ins>
      <w:ins w:id="26" w:author="Zhou, Zhe" w:date="2016-10-20T15:25:00Z">
        <w:r w:rsidR="004A3972">
          <w:rPr>
            <w:rFonts w:hint="eastAsia"/>
            <w:lang w:eastAsia="zh-CN"/>
          </w:rPr>
          <w:t>为</w:t>
        </w:r>
      </w:ins>
      <w:ins w:id="27" w:author="Zhou, Zhe" w:date="2016-10-20T15:26:00Z">
        <w:r w:rsidR="004A3972">
          <w:rPr>
            <w:rFonts w:hint="eastAsia"/>
            <w:lang w:eastAsia="zh-CN"/>
          </w:rPr>
          <w:t>它们提供必要信息和建议</w:t>
        </w:r>
      </w:ins>
      <w:ins w:id="28" w:author="Zhou, Zhe" w:date="2016-10-20T15:27:00Z">
        <w:r w:rsidR="004A3972">
          <w:rPr>
            <w:rFonts w:hint="eastAsia"/>
            <w:lang w:eastAsia="zh-CN"/>
          </w:rPr>
          <w:t>以避免损失。</w:t>
        </w:r>
      </w:ins>
    </w:p>
    <w:p w:rsidR="002F3272" w:rsidRPr="00E04A5F" w:rsidRDefault="00C965FB" w:rsidP="002F3272">
      <w:pPr>
        <w:pStyle w:val="Call"/>
        <w:rPr>
          <w:lang w:eastAsia="zh-CN"/>
        </w:rPr>
      </w:pPr>
      <w:r w:rsidRPr="00E04A5F">
        <w:rPr>
          <w:rFonts w:hint="eastAsia"/>
          <w:lang w:eastAsia="zh-CN"/>
        </w:rPr>
        <w:t>责成电信标准化局主任</w:t>
      </w:r>
    </w:p>
    <w:p w:rsidR="002F3272" w:rsidRPr="00E04A5F" w:rsidRDefault="00C965FB" w:rsidP="002F3272">
      <w:pPr>
        <w:rPr>
          <w:lang w:eastAsia="zh-CN"/>
        </w:rPr>
      </w:pPr>
      <w:r w:rsidRPr="00E04A5F">
        <w:rPr>
          <w:lang w:eastAsia="zh-CN"/>
        </w:rPr>
        <w:t>1</w:t>
      </w:r>
      <w:r w:rsidRPr="00E04A5F">
        <w:rPr>
          <w:lang w:eastAsia="zh-CN"/>
        </w:rPr>
        <w:tab/>
      </w:r>
      <w:r w:rsidRPr="00E04A5F">
        <w:rPr>
          <w:rFonts w:hint="eastAsia"/>
          <w:lang w:eastAsia="zh-CN"/>
        </w:rPr>
        <w:t>与无线电通信局和电信发展局</w:t>
      </w:r>
      <w:r>
        <w:rPr>
          <w:rFonts w:hint="eastAsia"/>
          <w:lang w:eastAsia="zh-CN"/>
        </w:rPr>
        <w:t>（</w:t>
      </w:r>
      <w:r>
        <w:rPr>
          <w:rFonts w:hint="eastAsia"/>
          <w:lang w:eastAsia="zh-CN"/>
        </w:rPr>
        <w:t>BDT</w:t>
      </w:r>
      <w:r>
        <w:rPr>
          <w:rFonts w:hint="eastAsia"/>
          <w:lang w:eastAsia="zh-CN"/>
        </w:rPr>
        <w:t>）</w:t>
      </w:r>
      <w:r w:rsidRPr="00E04A5F">
        <w:rPr>
          <w:rFonts w:hint="eastAsia"/>
          <w:lang w:eastAsia="zh-CN"/>
        </w:rPr>
        <w:t>合作，</w:t>
      </w:r>
      <w:r>
        <w:rPr>
          <w:rFonts w:hint="eastAsia"/>
          <w:lang w:eastAsia="zh-CN"/>
        </w:rPr>
        <w:t>必要时继续</w:t>
      </w:r>
      <w:r w:rsidRPr="00E04A5F">
        <w:rPr>
          <w:rFonts w:hint="eastAsia"/>
          <w:lang w:eastAsia="zh-CN"/>
        </w:rPr>
        <w:t>在各地区开展探索活动，</w:t>
      </w:r>
      <w:r>
        <w:rPr>
          <w:rFonts w:hint="eastAsia"/>
          <w:lang w:eastAsia="zh-CN"/>
        </w:rPr>
        <w:t>以便</w:t>
      </w:r>
      <w:r w:rsidRPr="00E04A5F">
        <w:rPr>
          <w:rFonts w:hint="eastAsia"/>
          <w:lang w:eastAsia="zh-CN"/>
        </w:rPr>
        <w:t>确定和重点解决发展中国家在实现</w:t>
      </w:r>
      <w:r>
        <w:rPr>
          <w:rFonts w:hint="eastAsia"/>
          <w:lang w:eastAsia="zh-CN"/>
        </w:rPr>
        <w:t>电信</w:t>
      </w:r>
      <w:r>
        <w:rPr>
          <w:rFonts w:hint="eastAsia"/>
          <w:lang w:eastAsia="zh-CN"/>
        </w:rPr>
        <w:t>/</w:t>
      </w:r>
      <w:r w:rsidRPr="00E04A5F">
        <w:rPr>
          <w:lang w:eastAsia="zh-CN"/>
        </w:rPr>
        <w:t>ICT</w:t>
      </w:r>
      <w:r w:rsidRPr="00E04A5F">
        <w:rPr>
          <w:rFonts w:hint="eastAsia"/>
          <w:lang w:eastAsia="zh-CN"/>
        </w:rPr>
        <w:t>设备和服务互操作性方面面临的问题；</w:t>
      </w:r>
    </w:p>
    <w:p w:rsidR="002F3272" w:rsidRDefault="00C965FB" w:rsidP="002F3272">
      <w:pPr>
        <w:rPr>
          <w:lang w:eastAsia="zh-CN"/>
        </w:rPr>
      </w:pPr>
      <w:r w:rsidRPr="00E04A5F">
        <w:rPr>
          <w:lang w:eastAsia="zh-CN"/>
        </w:rPr>
        <w:t>2</w:t>
      </w:r>
      <w:r w:rsidRPr="00E04A5F">
        <w:rPr>
          <w:lang w:eastAsia="zh-CN"/>
        </w:rPr>
        <w:tab/>
      </w:r>
      <w:r w:rsidRPr="00E04A5F">
        <w:rPr>
          <w:rFonts w:hint="eastAsia"/>
          <w:lang w:eastAsia="zh-CN"/>
        </w:rPr>
        <w:t>根据上述</w:t>
      </w:r>
      <w:r>
        <w:rPr>
          <w:rFonts w:hint="eastAsia"/>
          <w:lang w:eastAsia="zh-CN"/>
        </w:rPr>
        <w:t>“</w:t>
      </w:r>
      <w:r w:rsidRPr="00FE3184">
        <w:rPr>
          <w:rFonts w:ascii="STKaiti" w:eastAsia="STKaiti" w:hAnsi="STKaiti" w:hint="eastAsia"/>
          <w:lang w:eastAsia="zh-CN"/>
        </w:rPr>
        <w:t>责成电信标准化局主任</w:t>
      </w:r>
      <w:r w:rsidRPr="00E04A5F">
        <w:rPr>
          <w:rFonts w:hint="eastAsia"/>
          <w:lang w:eastAsia="zh-CN"/>
        </w:rPr>
        <w:t>1</w:t>
      </w:r>
      <w:r>
        <w:rPr>
          <w:rFonts w:hint="eastAsia"/>
          <w:lang w:eastAsia="zh-CN"/>
        </w:rPr>
        <w:t>”</w:t>
      </w:r>
      <w:r w:rsidRPr="00E04A5F">
        <w:rPr>
          <w:rFonts w:hint="eastAsia"/>
          <w:lang w:eastAsia="zh-CN"/>
        </w:rPr>
        <w:t>的结果，</w:t>
      </w:r>
      <w:r>
        <w:rPr>
          <w:rFonts w:hint="eastAsia"/>
          <w:lang w:eastAsia="zh-CN"/>
        </w:rPr>
        <w:t>与</w:t>
      </w:r>
      <w:r w:rsidRPr="00E04A5F">
        <w:rPr>
          <w:rFonts w:hint="eastAsia"/>
          <w:lang w:eastAsia="zh-CN"/>
        </w:rPr>
        <w:t>电信发展局</w:t>
      </w:r>
      <w:r>
        <w:rPr>
          <w:rFonts w:hint="eastAsia"/>
          <w:lang w:eastAsia="zh-CN"/>
        </w:rPr>
        <w:t>主任合作，落实国际电联秘书长在提交</w:t>
      </w:r>
      <w:r>
        <w:rPr>
          <w:rFonts w:hint="eastAsia"/>
          <w:lang w:eastAsia="zh-CN"/>
        </w:rPr>
        <w:t>2012</w:t>
      </w:r>
      <w:r>
        <w:rPr>
          <w:rFonts w:hint="eastAsia"/>
          <w:lang w:eastAsia="zh-CN"/>
        </w:rPr>
        <w:t>年理事会的报告（</w:t>
      </w:r>
      <w:r>
        <w:rPr>
          <w:rFonts w:hint="eastAsia"/>
          <w:lang w:eastAsia="zh-CN"/>
        </w:rPr>
        <w:t>C12/48</w:t>
      </w:r>
      <w:r>
        <w:rPr>
          <w:rFonts w:hint="eastAsia"/>
          <w:lang w:eastAsia="zh-CN"/>
        </w:rPr>
        <w:t>号文件）中提到的、理事会在其</w:t>
      </w:r>
      <w:r>
        <w:rPr>
          <w:rFonts w:hint="eastAsia"/>
          <w:lang w:eastAsia="zh-CN"/>
        </w:rPr>
        <w:t>2012</w:t>
      </w:r>
      <w:r>
        <w:rPr>
          <w:rFonts w:hint="eastAsia"/>
          <w:lang w:eastAsia="zh-CN"/>
        </w:rPr>
        <w:t>年会议上达成一致的行动计划（</w:t>
      </w:r>
      <w:r>
        <w:rPr>
          <w:rFonts w:hint="eastAsia"/>
          <w:lang w:eastAsia="zh-CN"/>
        </w:rPr>
        <w:t>C12/91</w:t>
      </w:r>
      <w:r>
        <w:rPr>
          <w:rFonts w:hint="eastAsia"/>
          <w:lang w:eastAsia="zh-CN"/>
        </w:rPr>
        <w:t>号文件）；</w:t>
      </w:r>
    </w:p>
    <w:p w:rsidR="002F3272" w:rsidRPr="00E04A5F" w:rsidRDefault="00C965FB" w:rsidP="002F3272">
      <w:pPr>
        <w:rPr>
          <w:lang w:eastAsia="zh-CN"/>
        </w:rPr>
      </w:pPr>
      <w:r w:rsidRPr="00E04A5F">
        <w:rPr>
          <w:lang w:eastAsia="zh-CN"/>
        </w:rPr>
        <w:t>3</w:t>
      </w:r>
      <w:r w:rsidRPr="00E04A5F">
        <w:rPr>
          <w:lang w:eastAsia="zh-CN"/>
        </w:rPr>
        <w:tab/>
      </w:r>
      <w:r>
        <w:rPr>
          <w:rFonts w:hint="eastAsia"/>
          <w:lang w:eastAsia="zh-CN"/>
        </w:rPr>
        <w:t>与电信发展局主任合作，落实国际电联合规性和互操作性业务计划，以便根据</w:t>
      </w:r>
      <w:r>
        <w:rPr>
          <w:rFonts w:hint="eastAsia"/>
          <w:lang w:eastAsia="zh-CN"/>
        </w:rPr>
        <w:t>C12/91</w:t>
      </w:r>
      <w:r>
        <w:rPr>
          <w:rFonts w:hint="eastAsia"/>
          <w:lang w:eastAsia="zh-CN"/>
        </w:rPr>
        <w:t>号文件中理事会</w:t>
      </w:r>
      <w:r>
        <w:rPr>
          <w:rFonts w:hint="eastAsia"/>
          <w:lang w:eastAsia="zh-CN"/>
        </w:rPr>
        <w:t>2012</w:t>
      </w:r>
      <w:r>
        <w:rPr>
          <w:rFonts w:hint="eastAsia"/>
          <w:lang w:eastAsia="zh-CN"/>
        </w:rPr>
        <w:t>年会议的决定，可能引入国际电联标志</w:t>
      </w:r>
      <w:r w:rsidRPr="00E04A5F">
        <w:rPr>
          <w:rFonts w:hint="eastAsia"/>
          <w:lang w:eastAsia="zh-CN"/>
        </w:rPr>
        <w:t>；</w:t>
      </w:r>
    </w:p>
    <w:p w:rsidR="002F3272" w:rsidRPr="00E04A5F" w:rsidRDefault="00C965FB" w:rsidP="002F3272">
      <w:pPr>
        <w:rPr>
          <w:lang w:eastAsia="zh-CN"/>
        </w:rPr>
      </w:pPr>
      <w:r>
        <w:rPr>
          <w:rFonts w:hint="eastAsia"/>
          <w:lang w:eastAsia="zh-CN"/>
        </w:rPr>
        <w:t>4</w:t>
      </w:r>
      <w:r w:rsidRPr="00E04A5F">
        <w:rPr>
          <w:lang w:eastAsia="zh-CN"/>
        </w:rPr>
        <w:tab/>
      </w:r>
      <w:r w:rsidRPr="00E04A5F">
        <w:rPr>
          <w:rFonts w:hint="eastAsia"/>
          <w:lang w:eastAsia="zh-CN"/>
        </w:rPr>
        <w:t>酌情邀请专家和外部实体参与工作；</w:t>
      </w:r>
    </w:p>
    <w:p w:rsidR="002F3272" w:rsidRPr="00E04A5F" w:rsidRDefault="00C965FB" w:rsidP="002F3272">
      <w:pPr>
        <w:rPr>
          <w:lang w:eastAsia="zh-CN"/>
        </w:rPr>
      </w:pPr>
      <w:r>
        <w:rPr>
          <w:rFonts w:hint="eastAsia"/>
          <w:lang w:eastAsia="zh-CN"/>
        </w:rPr>
        <w:t>5</w:t>
      </w:r>
      <w:r w:rsidRPr="00E04A5F">
        <w:rPr>
          <w:lang w:eastAsia="zh-CN"/>
        </w:rPr>
        <w:tab/>
      </w:r>
      <w:r w:rsidRPr="00E04A5F">
        <w:rPr>
          <w:rFonts w:hint="eastAsia"/>
          <w:lang w:eastAsia="zh-CN"/>
        </w:rPr>
        <w:t>将这些</w:t>
      </w:r>
      <w:r>
        <w:rPr>
          <w:rFonts w:hint="eastAsia"/>
          <w:lang w:eastAsia="zh-CN"/>
        </w:rPr>
        <w:t>活动的成</w:t>
      </w:r>
      <w:r w:rsidRPr="00E04A5F">
        <w:rPr>
          <w:rFonts w:hint="eastAsia"/>
          <w:lang w:eastAsia="zh-CN"/>
        </w:rPr>
        <w:t>果提交理事会</w:t>
      </w:r>
      <w:r>
        <w:rPr>
          <w:rFonts w:hint="eastAsia"/>
          <w:lang w:eastAsia="zh-CN"/>
        </w:rPr>
        <w:t>审议并</w:t>
      </w:r>
      <w:r w:rsidRPr="00E04A5F">
        <w:rPr>
          <w:rFonts w:hint="eastAsia"/>
          <w:lang w:eastAsia="zh-CN"/>
        </w:rPr>
        <w:t>采取必要行动，</w:t>
      </w:r>
    </w:p>
    <w:p w:rsidR="002F3272" w:rsidRPr="00E04A5F" w:rsidRDefault="00C965FB" w:rsidP="002F3272">
      <w:pPr>
        <w:pStyle w:val="Call"/>
        <w:rPr>
          <w:lang w:eastAsia="zh-CN"/>
        </w:rPr>
      </w:pPr>
      <w:r w:rsidRPr="00E04A5F">
        <w:rPr>
          <w:rFonts w:hint="eastAsia"/>
          <w:lang w:eastAsia="zh-CN"/>
        </w:rPr>
        <w:t>责成各研究组</w:t>
      </w:r>
    </w:p>
    <w:p w:rsidR="002F3272" w:rsidRPr="00E04A5F" w:rsidRDefault="00C965FB" w:rsidP="002F3272">
      <w:pPr>
        <w:rPr>
          <w:lang w:eastAsia="zh-CN"/>
        </w:rPr>
      </w:pPr>
      <w:r w:rsidRPr="00E04A5F">
        <w:rPr>
          <w:lang w:eastAsia="zh-CN"/>
        </w:rPr>
        <w:t>1</w:t>
      </w:r>
      <w:r w:rsidRPr="00E04A5F">
        <w:rPr>
          <w:lang w:eastAsia="zh-CN"/>
        </w:rPr>
        <w:tab/>
      </w:r>
      <w:r w:rsidRPr="00E04A5F">
        <w:rPr>
          <w:rFonts w:hint="eastAsia"/>
          <w:lang w:eastAsia="zh-CN"/>
        </w:rPr>
        <w:t>考虑到有能力在全球提供端到端互操作业务的成员的需求（如下一代网络（</w:t>
      </w:r>
      <w:r w:rsidRPr="00E04A5F">
        <w:rPr>
          <w:lang w:eastAsia="zh-CN"/>
        </w:rPr>
        <w:t>NGN</w:t>
      </w:r>
      <w:r w:rsidRPr="00E04A5F">
        <w:rPr>
          <w:rFonts w:hint="eastAsia"/>
          <w:lang w:eastAsia="zh-CN"/>
        </w:rPr>
        <w:t>）</w:t>
      </w:r>
      <w:r>
        <w:rPr>
          <w:rFonts w:hint="eastAsia"/>
          <w:lang w:eastAsia="zh-CN"/>
        </w:rPr>
        <w:t>和未来网络（</w:t>
      </w:r>
      <w:r>
        <w:rPr>
          <w:rFonts w:hint="eastAsia"/>
          <w:lang w:eastAsia="zh-CN"/>
        </w:rPr>
        <w:t>FN</w:t>
      </w:r>
      <w:r>
        <w:rPr>
          <w:rFonts w:hint="eastAsia"/>
          <w:lang w:eastAsia="zh-CN"/>
        </w:rPr>
        <w:t>）</w:t>
      </w:r>
      <w:r w:rsidRPr="00E04A5F">
        <w:rPr>
          <w:rFonts w:hint="eastAsia"/>
          <w:lang w:eastAsia="zh-CN"/>
        </w:rPr>
        <w:t>设备、终端、音视频编解码器、接入和传输网络</w:t>
      </w:r>
      <w:r>
        <w:rPr>
          <w:rFonts w:hint="eastAsia"/>
          <w:lang w:eastAsia="zh-CN"/>
        </w:rPr>
        <w:t>及其它关键技术的互操作性），尽快确定能够用于合规性和</w:t>
      </w:r>
      <w:r w:rsidRPr="00E04A5F">
        <w:rPr>
          <w:rFonts w:hint="eastAsia"/>
          <w:lang w:eastAsia="zh-CN"/>
        </w:rPr>
        <w:t>互操作性</w:t>
      </w:r>
      <w:r>
        <w:rPr>
          <w:rFonts w:hint="eastAsia"/>
          <w:lang w:eastAsia="zh-CN"/>
        </w:rPr>
        <w:t>测试</w:t>
      </w:r>
      <w:r w:rsidRPr="00E04A5F">
        <w:rPr>
          <w:rFonts w:hint="eastAsia"/>
          <w:lang w:eastAsia="zh-CN"/>
        </w:rPr>
        <w:t>的现有</w:t>
      </w:r>
      <w:r>
        <w:rPr>
          <w:rFonts w:hint="eastAsia"/>
          <w:lang w:eastAsia="zh-CN"/>
        </w:rPr>
        <w:t>的</w:t>
      </w:r>
      <w:r w:rsidRPr="00E04A5F">
        <w:rPr>
          <w:rFonts w:hint="eastAsia"/>
          <w:lang w:eastAsia="zh-CN"/>
        </w:rPr>
        <w:t>和未来</w:t>
      </w:r>
      <w:r>
        <w:rPr>
          <w:rFonts w:hint="eastAsia"/>
          <w:lang w:eastAsia="zh-CN"/>
        </w:rPr>
        <w:t>的</w:t>
      </w:r>
      <w:r w:rsidRPr="00E04A5F">
        <w:rPr>
          <w:lang w:eastAsia="zh-CN"/>
        </w:rPr>
        <w:t>ITU-T</w:t>
      </w:r>
      <w:r w:rsidRPr="00E04A5F">
        <w:rPr>
          <w:rFonts w:hint="eastAsia"/>
          <w:lang w:eastAsia="zh-CN"/>
        </w:rPr>
        <w:t>建议书，并在必要时针对其职责范围内的具体需求充实其内容；</w:t>
      </w:r>
    </w:p>
    <w:p w:rsidR="002F3272" w:rsidRDefault="00C965FB" w:rsidP="002F3272">
      <w:pPr>
        <w:rPr>
          <w:lang w:eastAsia="zh-CN"/>
        </w:rPr>
      </w:pPr>
      <w:r w:rsidRPr="00E04A5F">
        <w:rPr>
          <w:lang w:eastAsia="zh-CN"/>
        </w:rPr>
        <w:t>2</w:t>
      </w:r>
      <w:r w:rsidRPr="00E04A5F">
        <w:rPr>
          <w:lang w:eastAsia="zh-CN"/>
        </w:rPr>
        <w:tab/>
      </w:r>
      <w:r w:rsidRPr="00E04A5F">
        <w:rPr>
          <w:rFonts w:hint="eastAsia"/>
          <w:lang w:eastAsia="zh-CN"/>
        </w:rPr>
        <w:t>制定以上“</w:t>
      </w:r>
      <w:r w:rsidRPr="00FE3184">
        <w:rPr>
          <w:rFonts w:ascii="STKaiti" w:eastAsia="STKaiti" w:hAnsi="STKaiti" w:hint="eastAsia"/>
          <w:lang w:eastAsia="zh-CN"/>
        </w:rPr>
        <w:t>责成</w:t>
      </w:r>
      <w:r>
        <w:rPr>
          <w:rFonts w:ascii="STKaiti" w:eastAsia="STKaiti" w:hAnsi="STKaiti" w:hint="eastAsia"/>
          <w:lang w:eastAsia="zh-CN"/>
        </w:rPr>
        <w:t>各</w:t>
      </w:r>
      <w:r w:rsidRPr="00FE3184">
        <w:rPr>
          <w:rFonts w:ascii="STKaiti" w:eastAsia="STKaiti" w:hAnsi="STKaiti" w:hint="eastAsia"/>
          <w:lang w:eastAsia="zh-CN"/>
        </w:rPr>
        <w:t>研究组</w:t>
      </w:r>
      <w:r w:rsidRPr="00E04A5F">
        <w:rPr>
          <w:rFonts w:hint="eastAsia"/>
          <w:lang w:eastAsia="zh-CN"/>
        </w:rPr>
        <w:t>1</w:t>
      </w:r>
      <w:r w:rsidRPr="00E04A5F">
        <w:rPr>
          <w:rFonts w:hint="eastAsia"/>
          <w:lang w:eastAsia="zh-CN"/>
        </w:rPr>
        <w:t>”</w:t>
      </w:r>
      <w:r>
        <w:rPr>
          <w:rFonts w:hint="eastAsia"/>
          <w:lang w:eastAsia="zh-CN"/>
        </w:rPr>
        <w:t>项中提到</w:t>
      </w:r>
      <w:r w:rsidRPr="00E04A5F">
        <w:rPr>
          <w:rFonts w:hint="eastAsia"/>
          <w:lang w:eastAsia="zh-CN"/>
        </w:rPr>
        <w:t>的</w:t>
      </w:r>
      <w:r w:rsidRPr="00E04A5F">
        <w:rPr>
          <w:lang w:eastAsia="zh-CN"/>
        </w:rPr>
        <w:t>ITU-T</w:t>
      </w:r>
      <w:r w:rsidRPr="00E04A5F">
        <w:rPr>
          <w:rFonts w:hint="eastAsia"/>
          <w:lang w:eastAsia="zh-CN"/>
        </w:rPr>
        <w:t>建议书，以便酌情开展合规性和互操作性测试</w:t>
      </w:r>
      <w:r>
        <w:rPr>
          <w:rFonts w:hint="eastAsia"/>
          <w:lang w:eastAsia="zh-CN"/>
        </w:rPr>
        <w:t>；</w:t>
      </w:r>
    </w:p>
    <w:p w:rsidR="002F3272" w:rsidRPr="00E04A5F" w:rsidRDefault="00C965FB" w:rsidP="002F3272">
      <w:pPr>
        <w:rPr>
          <w:lang w:eastAsia="zh-CN"/>
        </w:rPr>
      </w:pPr>
      <w:r w:rsidRPr="00195904">
        <w:rPr>
          <w:lang w:val="en-US" w:eastAsia="zh-CN"/>
        </w:rPr>
        <w:lastRenderedPageBreak/>
        <w:t>3</w:t>
      </w:r>
      <w:r w:rsidRPr="00195904">
        <w:rPr>
          <w:lang w:val="en-US" w:eastAsia="zh-CN"/>
        </w:rPr>
        <w:tab/>
      </w:r>
      <w:r>
        <w:rPr>
          <w:rFonts w:hint="eastAsia"/>
          <w:lang w:val="en-US" w:eastAsia="zh-CN"/>
        </w:rPr>
        <w:t>酌情与感兴趣的利益攸关方合作，充分利用各项研究，重点针对上述“</w:t>
      </w:r>
      <w:r>
        <w:rPr>
          <w:rFonts w:ascii="STKaiti" w:eastAsia="STKaiti" w:hAnsi="STKaiti" w:hint="eastAsia"/>
          <w:lang w:val="en-US" w:eastAsia="zh-CN"/>
        </w:rPr>
        <w:t>责成各</w:t>
      </w:r>
      <w:r w:rsidRPr="00107E6A">
        <w:rPr>
          <w:rFonts w:ascii="STKaiti" w:eastAsia="STKaiti" w:hAnsi="STKaiti" w:hint="eastAsia"/>
          <w:lang w:val="en-US" w:eastAsia="zh-CN"/>
        </w:rPr>
        <w:t>研究组</w:t>
      </w:r>
      <w:r>
        <w:rPr>
          <w:rFonts w:ascii="STKaiti" w:eastAsia="STKaiti" w:hAnsi="STKaiti" w:hint="eastAsia"/>
          <w:lang w:val="en-US" w:eastAsia="zh-CN"/>
        </w:rPr>
        <w:t>1</w:t>
      </w:r>
      <w:r w:rsidRPr="00BD195A">
        <w:rPr>
          <w:rFonts w:asciiTheme="majorEastAsia" w:eastAsiaTheme="majorEastAsia" w:hAnsiTheme="majorEastAsia" w:hint="eastAsia"/>
          <w:lang w:val="en-US" w:eastAsia="zh-CN"/>
        </w:rPr>
        <w:t>”</w:t>
      </w:r>
      <w:r w:rsidRPr="00746823">
        <w:rPr>
          <w:rFonts w:hint="eastAsia"/>
          <w:lang w:val="en-US" w:eastAsia="zh-CN"/>
        </w:rPr>
        <w:t>项</w:t>
      </w:r>
      <w:r>
        <w:rPr>
          <w:rFonts w:hint="eastAsia"/>
          <w:lang w:val="en-US" w:eastAsia="zh-CN"/>
        </w:rPr>
        <w:t>中的技术起草测试规范，同时顾及用户需求以及对于合规性评估计划的市场需求，</w:t>
      </w:r>
      <w:bookmarkStart w:id="29" w:name="_GoBack"/>
      <w:bookmarkEnd w:id="29"/>
    </w:p>
    <w:p w:rsidR="002F3272" w:rsidRDefault="00C965FB" w:rsidP="002F3272">
      <w:pPr>
        <w:pStyle w:val="Call"/>
        <w:rPr>
          <w:lang w:eastAsia="zh-CN"/>
        </w:rPr>
      </w:pPr>
      <w:r w:rsidRPr="00E04A5F">
        <w:rPr>
          <w:rFonts w:hint="eastAsia"/>
          <w:lang w:eastAsia="zh-CN"/>
        </w:rPr>
        <w:t>请理事会</w:t>
      </w:r>
    </w:p>
    <w:p w:rsidR="002F3272" w:rsidRDefault="00C965FB" w:rsidP="002F3272">
      <w:pPr>
        <w:ind w:firstLineChars="200" w:firstLine="480"/>
        <w:rPr>
          <w:lang w:eastAsia="zh-CN"/>
        </w:rPr>
      </w:pPr>
      <w:r w:rsidRPr="00E04A5F">
        <w:rPr>
          <w:rFonts w:hint="eastAsia"/>
          <w:lang w:eastAsia="zh-CN"/>
        </w:rPr>
        <w:t>审议上述“</w:t>
      </w:r>
      <w:r w:rsidRPr="006E18AF">
        <w:rPr>
          <w:rFonts w:ascii="STKaiti" w:eastAsia="STKaiti" w:hAnsi="STKaiti" w:hint="eastAsia"/>
          <w:iCs/>
          <w:lang w:eastAsia="zh-CN"/>
        </w:rPr>
        <w:t>责成电信标准化局主任</w:t>
      </w:r>
      <w:r w:rsidRPr="006E18AF">
        <w:rPr>
          <w:rFonts w:eastAsia="STKaiti"/>
          <w:iCs/>
          <w:lang w:eastAsia="zh-CN"/>
        </w:rPr>
        <w:t>5</w:t>
      </w:r>
      <w:r>
        <w:rPr>
          <w:rFonts w:hint="eastAsia"/>
          <w:lang w:eastAsia="zh-CN"/>
        </w:rPr>
        <w:t>”提</w:t>
      </w:r>
      <w:r w:rsidRPr="00E04A5F">
        <w:rPr>
          <w:rFonts w:hint="eastAsia"/>
          <w:lang w:eastAsia="zh-CN"/>
        </w:rPr>
        <w:t>及的电信标准化局主任的报告</w:t>
      </w:r>
      <w:r>
        <w:rPr>
          <w:rFonts w:hint="eastAsia"/>
          <w:lang w:eastAsia="zh-CN"/>
        </w:rPr>
        <w:t>，</w:t>
      </w:r>
    </w:p>
    <w:p w:rsidR="002F3272" w:rsidRPr="00E04A5F" w:rsidRDefault="00C965FB" w:rsidP="002F3272">
      <w:pPr>
        <w:pStyle w:val="Call"/>
        <w:rPr>
          <w:lang w:eastAsia="zh-CN"/>
        </w:rPr>
      </w:pPr>
      <w:r w:rsidRPr="00E04A5F">
        <w:rPr>
          <w:rFonts w:hint="eastAsia"/>
          <w:lang w:eastAsia="zh-CN"/>
        </w:rPr>
        <w:t>请成员国和部门成员</w:t>
      </w:r>
    </w:p>
    <w:p w:rsidR="002F3272" w:rsidRPr="00E04A5F" w:rsidRDefault="00C965FB" w:rsidP="002F3272">
      <w:pPr>
        <w:rPr>
          <w:lang w:eastAsia="zh-CN"/>
        </w:rPr>
      </w:pPr>
      <w:r w:rsidRPr="00E04A5F">
        <w:rPr>
          <w:lang w:eastAsia="zh-CN"/>
        </w:rPr>
        <w:t>1</w:t>
      </w:r>
      <w:r w:rsidRPr="00E04A5F">
        <w:rPr>
          <w:lang w:eastAsia="zh-CN"/>
        </w:rPr>
        <w:tab/>
      </w:r>
      <w:r w:rsidRPr="00E04A5F">
        <w:rPr>
          <w:rFonts w:hint="eastAsia"/>
          <w:lang w:eastAsia="zh-CN"/>
        </w:rPr>
        <w:t>为落实本决议贡献力量；</w:t>
      </w:r>
    </w:p>
    <w:p w:rsidR="002F3272" w:rsidRDefault="00C965FB" w:rsidP="002F3272">
      <w:pPr>
        <w:rPr>
          <w:lang w:val="en-US" w:eastAsia="zh-CN"/>
        </w:rPr>
      </w:pPr>
      <w:r w:rsidRPr="00E04A5F">
        <w:rPr>
          <w:lang w:eastAsia="zh-CN"/>
        </w:rPr>
        <w:t>2</w:t>
      </w:r>
      <w:r w:rsidRPr="00E04A5F">
        <w:rPr>
          <w:lang w:eastAsia="zh-CN"/>
        </w:rPr>
        <w:tab/>
      </w:r>
      <w:r w:rsidRPr="00E04A5F">
        <w:rPr>
          <w:rFonts w:hint="eastAsia"/>
          <w:lang w:eastAsia="zh-CN"/>
        </w:rPr>
        <w:t>鼓励国家和区域测试实体协助</w:t>
      </w:r>
      <w:r w:rsidRPr="00E04A5F">
        <w:rPr>
          <w:lang w:eastAsia="zh-CN"/>
        </w:rPr>
        <w:t>ITU-T</w:t>
      </w:r>
      <w:r w:rsidRPr="00E04A5F">
        <w:rPr>
          <w:rFonts w:hint="eastAsia"/>
          <w:lang w:eastAsia="zh-CN"/>
        </w:rPr>
        <w:t>落实本决议。</w:t>
      </w:r>
    </w:p>
    <w:p w:rsidR="00C965FB" w:rsidRDefault="00C965FB" w:rsidP="0032202E">
      <w:pPr>
        <w:pStyle w:val="Reasons"/>
        <w:rPr>
          <w:lang w:eastAsia="zh-CN"/>
        </w:rPr>
      </w:pPr>
    </w:p>
    <w:p w:rsidR="00C965FB" w:rsidRDefault="00C965FB">
      <w:pPr>
        <w:jc w:val="center"/>
      </w:pPr>
      <w:r>
        <w:t>______________</w:t>
      </w:r>
    </w:p>
    <w:p w:rsidR="00F63353" w:rsidRDefault="00F63353">
      <w:pPr>
        <w:pStyle w:val="Reasons"/>
        <w:rPr>
          <w:lang w:eastAsia="zh-CN"/>
        </w:rPr>
      </w:pPr>
    </w:p>
    <w:sectPr w:rsidR="00F63353">
      <w:headerReference w:type="default" r:id="rId10"/>
      <w:footerReference w:type="default" r:id="rId11"/>
      <w:footerReference w:type="first" r:id="rId12"/>
      <w:pgSz w:w="11907" w:h="16834" w:code="9"/>
      <w:pgMar w:top="1418" w:right="1134" w:bottom="1418" w:left="1134"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915DA" w:rsidRDefault="008915DA">
      <w:r>
        <w:separator/>
      </w:r>
    </w:p>
  </w:endnote>
  <w:endnote w:type="continuationSeparator" w:id="0">
    <w:p w:rsidR="008915DA" w:rsidRDefault="008915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STKaiti">
    <w:altName w:val="Arial Unicode MS"/>
    <w:panose1 w:val="02010600040101010101"/>
    <w:charset w:val="86"/>
    <w:family w:val="auto"/>
    <w:pitch w:val="variable"/>
    <w:sig w:usb0="00000287"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Segoe UI">
    <w:panose1 w:val="020B0502040204020203"/>
    <w:charset w:val="00"/>
    <w:family w:val="swiss"/>
    <w:pitch w:val="variable"/>
    <w:sig w:usb0="E10022FF" w:usb1="C000E47F" w:usb2="00000029" w:usb3="00000000" w:csb0="000001D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51D4" w:rsidRPr="00C965FB" w:rsidRDefault="00C965FB" w:rsidP="00C965FB">
    <w:pPr>
      <w:pStyle w:val="Footer"/>
      <w:rPr>
        <w:lang w:val="fr-CH"/>
      </w:rPr>
    </w:pPr>
    <w:r>
      <w:fldChar w:fldCharType="begin"/>
    </w:r>
    <w:r w:rsidRPr="00C965FB">
      <w:rPr>
        <w:lang w:val="fr-CH"/>
      </w:rPr>
      <w:instrText xml:space="preserve"> FILENAME \p  \* MERGEFORMAT </w:instrText>
    </w:r>
    <w:r>
      <w:fldChar w:fldCharType="separate"/>
    </w:r>
    <w:r>
      <w:rPr>
        <w:lang w:val="fr-CH"/>
      </w:rPr>
      <w:t>P:\</w:t>
    </w:r>
    <w:r w:rsidRPr="00C965FB">
      <w:rPr>
        <w:lang w:val="fr-CH"/>
      </w:rPr>
      <w:t>C</w:t>
    </w:r>
    <w:r>
      <w:rPr>
        <w:lang w:val="fr-CH"/>
      </w:rPr>
      <w:t>HI</w:t>
    </w:r>
    <w:r w:rsidRPr="00C965FB">
      <w:rPr>
        <w:lang w:val="fr-CH"/>
      </w:rPr>
      <w:t>\ITU-T\CONF-T\WTSA16\000\055C.docx</w:t>
    </w:r>
    <w:r>
      <w:fldChar w:fldCharType="end"/>
    </w:r>
    <w:r w:rsidRPr="00C965FB">
      <w:rPr>
        <w:lang w:val="fr-CH"/>
      </w:rPr>
      <w:t xml:space="preserve"> (</w:t>
    </w:r>
    <w:r>
      <w:rPr>
        <w:lang w:val="fr-CH"/>
      </w:rPr>
      <w:t>406227</w:t>
    </w:r>
    <w:r w:rsidRPr="00C965FB">
      <w:rPr>
        <w:lang w:val="fr-CH"/>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68CA" w:rsidRPr="00C965FB" w:rsidRDefault="00C965FB" w:rsidP="00C965FB">
    <w:pPr>
      <w:pStyle w:val="Footer"/>
      <w:rPr>
        <w:lang w:val="fr-CH"/>
      </w:rPr>
    </w:pPr>
    <w:r>
      <w:fldChar w:fldCharType="begin"/>
    </w:r>
    <w:r w:rsidRPr="00C965FB">
      <w:rPr>
        <w:lang w:val="fr-CH"/>
      </w:rPr>
      <w:instrText xml:space="preserve"> FILENAME \p  \* MERGEFORMAT </w:instrText>
    </w:r>
    <w:r>
      <w:fldChar w:fldCharType="separate"/>
    </w:r>
    <w:r>
      <w:rPr>
        <w:lang w:val="fr-CH"/>
      </w:rPr>
      <w:t>P:\</w:t>
    </w:r>
    <w:r w:rsidRPr="00C965FB">
      <w:rPr>
        <w:lang w:val="fr-CH"/>
      </w:rPr>
      <w:t>C</w:t>
    </w:r>
    <w:r>
      <w:rPr>
        <w:lang w:val="fr-CH"/>
      </w:rPr>
      <w:t>HI</w:t>
    </w:r>
    <w:r w:rsidRPr="00C965FB">
      <w:rPr>
        <w:lang w:val="fr-CH"/>
      </w:rPr>
      <w:t>\ITU-T\CONF-T\WTSA16\000\055C.docx</w:t>
    </w:r>
    <w:r>
      <w:fldChar w:fldCharType="end"/>
    </w:r>
    <w:r w:rsidRPr="00C965FB">
      <w:rPr>
        <w:lang w:val="fr-CH"/>
      </w:rPr>
      <w:t xml:space="preserve"> (</w:t>
    </w:r>
    <w:r>
      <w:rPr>
        <w:lang w:val="fr-CH"/>
      </w:rPr>
      <w:t>406227</w:t>
    </w:r>
    <w:r w:rsidRPr="00C965FB">
      <w:rPr>
        <w:lang w:val="fr-CH"/>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915DA" w:rsidRDefault="008915DA">
      <w:r>
        <w:t>____________________</w:t>
      </w:r>
    </w:p>
  </w:footnote>
  <w:footnote w:type="continuationSeparator" w:id="0">
    <w:p w:rsidR="008915DA" w:rsidRDefault="008915DA">
      <w:r>
        <w:continuationSeparator/>
      </w:r>
    </w:p>
  </w:footnote>
  <w:footnote w:id="1">
    <w:p w:rsidR="00980E3B" w:rsidRDefault="00C965FB" w:rsidP="002F3272">
      <w:pPr>
        <w:pStyle w:val="FootnoteText"/>
        <w:rPr>
          <w:lang w:eastAsia="zh-CN"/>
        </w:rPr>
      </w:pPr>
      <w:r>
        <w:rPr>
          <w:rStyle w:val="FootnoteReference"/>
          <w:lang w:eastAsia="zh-CN"/>
        </w:rPr>
        <w:t>1</w:t>
      </w:r>
      <w:r>
        <w:rPr>
          <w:rFonts w:hint="eastAsia"/>
          <w:lang w:eastAsia="zh-CN"/>
        </w:rPr>
        <w:tab/>
      </w:r>
      <w:r>
        <w:rPr>
          <w:rFonts w:hint="eastAsia"/>
          <w:lang w:eastAsia="zh-CN"/>
        </w:rPr>
        <w:t>其中包括最不发达国家、小岛屿发展中国家、内陆发展中国家和经济转型国家。</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3B30" w:rsidRDefault="000A3B30" w:rsidP="000A3B30">
    <w:pPr>
      <w:pStyle w:val="Header"/>
      <w:rPr>
        <w:rStyle w:val="PageNumber"/>
      </w:rPr>
    </w:pPr>
    <w:r>
      <w:rPr>
        <w:rStyle w:val="PageNumber"/>
      </w:rPr>
      <w:fldChar w:fldCharType="begin"/>
    </w:r>
    <w:r>
      <w:rPr>
        <w:rStyle w:val="PageNumber"/>
      </w:rPr>
      <w:instrText xml:space="preserve"> PAGE </w:instrText>
    </w:r>
    <w:r>
      <w:rPr>
        <w:rStyle w:val="PageNumber"/>
      </w:rPr>
      <w:fldChar w:fldCharType="separate"/>
    </w:r>
    <w:r w:rsidR="00BD195A">
      <w:rPr>
        <w:rStyle w:val="PageNumber"/>
        <w:noProof/>
      </w:rPr>
      <w:t>5</w:t>
    </w:r>
    <w:r>
      <w:rPr>
        <w:rStyle w:val="PageNumber"/>
      </w:rPr>
      <w:fldChar w:fldCharType="end"/>
    </w:r>
  </w:p>
  <w:p w:rsidR="00B851D4" w:rsidRPr="000A3B30" w:rsidRDefault="00502B2E" w:rsidP="000A3B30">
    <w:pPr>
      <w:pStyle w:val="Header"/>
      <w:rPr>
        <w:lang w:val="en-US"/>
      </w:rPr>
    </w:pPr>
    <w:r>
      <w:t>WTSA16/55-C</w:t>
    </w: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Tang, Ting">
    <w15:presenceInfo w15:providerId="AD" w15:userId="S-1-5-21-8740799-900759487-1415713722-49445"/>
  </w15:person>
  <w15:person w15:author="Zhou, Zhe">
    <w15:presenceInfo w15:providerId="AD" w15:userId="S-1-5-21-8740799-900759487-1415713722-4807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5"/>
  <w:activeWritingStyle w:appName="MSWord" w:lang="en-GB" w:vendorID="64" w:dllVersion="131077" w:nlCheck="1" w:checkStyle="1"/>
  <w:activeWritingStyle w:appName="MSWord" w:lang="en-GB" w:vendorID="64" w:dllVersion="131078" w:nlCheck="1" w:checkStyle="1"/>
  <w:activeWritingStyle w:appName="MSWord" w:lang="en-US" w:vendorID="64" w:dllVersion="131078" w:nlCheck="1" w:checkStyle="1"/>
  <w:activeWritingStyle w:appName="MSWord" w:lang="fr-CH" w:vendorID="64" w:dllVersion="131078" w:nlCheck="1" w:checkStyle="1"/>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7760"/>
    <w:rsid w:val="0001097C"/>
    <w:rsid w:val="000174B1"/>
    <w:rsid w:val="000264C2"/>
    <w:rsid w:val="000273B7"/>
    <w:rsid w:val="00031E6B"/>
    <w:rsid w:val="00037C90"/>
    <w:rsid w:val="00081F9B"/>
    <w:rsid w:val="000A3B30"/>
    <w:rsid w:val="000C09BA"/>
    <w:rsid w:val="000C1F1E"/>
    <w:rsid w:val="000C6AA7"/>
    <w:rsid w:val="000E26F6"/>
    <w:rsid w:val="00123B64"/>
    <w:rsid w:val="00166859"/>
    <w:rsid w:val="001765EC"/>
    <w:rsid w:val="001853E8"/>
    <w:rsid w:val="001B6360"/>
    <w:rsid w:val="001D05D5"/>
    <w:rsid w:val="001F4EA6"/>
    <w:rsid w:val="00214959"/>
    <w:rsid w:val="00231452"/>
    <w:rsid w:val="00246C4C"/>
    <w:rsid w:val="0028063B"/>
    <w:rsid w:val="002A4C9C"/>
    <w:rsid w:val="002B509B"/>
    <w:rsid w:val="002D162B"/>
    <w:rsid w:val="002D625E"/>
    <w:rsid w:val="002E2A59"/>
    <w:rsid w:val="00305254"/>
    <w:rsid w:val="003169D2"/>
    <w:rsid w:val="003468CA"/>
    <w:rsid w:val="003556C0"/>
    <w:rsid w:val="003633AA"/>
    <w:rsid w:val="00372FC2"/>
    <w:rsid w:val="003A69EA"/>
    <w:rsid w:val="003B4BEF"/>
    <w:rsid w:val="003C6B45"/>
    <w:rsid w:val="003F0C01"/>
    <w:rsid w:val="00400909"/>
    <w:rsid w:val="0041282E"/>
    <w:rsid w:val="00437869"/>
    <w:rsid w:val="00465A34"/>
    <w:rsid w:val="004A3972"/>
    <w:rsid w:val="004C4554"/>
    <w:rsid w:val="004D04A4"/>
    <w:rsid w:val="004D2DEC"/>
    <w:rsid w:val="004F2BE6"/>
    <w:rsid w:val="00502B2E"/>
    <w:rsid w:val="00503B10"/>
    <w:rsid w:val="00524E4B"/>
    <w:rsid w:val="00527E8A"/>
    <w:rsid w:val="00534930"/>
    <w:rsid w:val="00536193"/>
    <w:rsid w:val="00542E85"/>
    <w:rsid w:val="00562479"/>
    <w:rsid w:val="00576849"/>
    <w:rsid w:val="005A0ACB"/>
    <w:rsid w:val="005C7B12"/>
    <w:rsid w:val="005E7FD8"/>
    <w:rsid w:val="00611DCC"/>
    <w:rsid w:val="00622560"/>
    <w:rsid w:val="00637760"/>
    <w:rsid w:val="00644391"/>
    <w:rsid w:val="00647712"/>
    <w:rsid w:val="00662E12"/>
    <w:rsid w:val="00691142"/>
    <w:rsid w:val="006B6525"/>
    <w:rsid w:val="006B67CE"/>
    <w:rsid w:val="006C38ED"/>
    <w:rsid w:val="006E6182"/>
    <w:rsid w:val="006F3C60"/>
    <w:rsid w:val="006F409E"/>
    <w:rsid w:val="00707454"/>
    <w:rsid w:val="00736415"/>
    <w:rsid w:val="00770D2A"/>
    <w:rsid w:val="00775B71"/>
    <w:rsid w:val="007864F6"/>
    <w:rsid w:val="007B7C4B"/>
    <w:rsid w:val="007D511C"/>
    <w:rsid w:val="007F0FC5"/>
    <w:rsid w:val="007F1339"/>
    <w:rsid w:val="007F5C36"/>
    <w:rsid w:val="007F633A"/>
    <w:rsid w:val="008047DB"/>
    <w:rsid w:val="008129A9"/>
    <w:rsid w:val="00820712"/>
    <w:rsid w:val="008221A4"/>
    <w:rsid w:val="0082361D"/>
    <w:rsid w:val="00824BD6"/>
    <w:rsid w:val="0083672D"/>
    <w:rsid w:val="00844734"/>
    <w:rsid w:val="00857FA1"/>
    <w:rsid w:val="00865DFB"/>
    <w:rsid w:val="008915DA"/>
    <w:rsid w:val="008A7416"/>
    <w:rsid w:val="008B6852"/>
    <w:rsid w:val="008C26FF"/>
    <w:rsid w:val="008D1D14"/>
    <w:rsid w:val="008E1785"/>
    <w:rsid w:val="008E7127"/>
    <w:rsid w:val="008E7C8E"/>
    <w:rsid w:val="00912959"/>
    <w:rsid w:val="0092075B"/>
    <w:rsid w:val="009657F9"/>
    <w:rsid w:val="009759FE"/>
    <w:rsid w:val="0099525B"/>
    <w:rsid w:val="009C72B7"/>
    <w:rsid w:val="009D164C"/>
    <w:rsid w:val="00A0052C"/>
    <w:rsid w:val="00A06370"/>
    <w:rsid w:val="00A16B3A"/>
    <w:rsid w:val="00A31B14"/>
    <w:rsid w:val="00A323DC"/>
    <w:rsid w:val="00A815BE"/>
    <w:rsid w:val="00AA5DA1"/>
    <w:rsid w:val="00AB7F81"/>
    <w:rsid w:val="00AE369F"/>
    <w:rsid w:val="00B026CB"/>
    <w:rsid w:val="00B637AD"/>
    <w:rsid w:val="00B851D4"/>
    <w:rsid w:val="00B868FC"/>
    <w:rsid w:val="00B95072"/>
    <w:rsid w:val="00BB26CD"/>
    <w:rsid w:val="00BD195A"/>
    <w:rsid w:val="00C07239"/>
    <w:rsid w:val="00C364B1"/>
    <w:rsid w:val="00C47D87"/>
    <w:rsid w:val="00C627F9"/>
    <w:rsid w:val="00C6584D"/>
    <w:rsid w:val="00C929E0"/>
    <w:rsid w:val="00C965FB"/>
    <w:rsid w:val="00CB4E5A"/>
    <w:rsid w:val="00CC73D7"/>
    <w:rsid w:val="00CF0AD7"/>
    <w:rsid w:val="00CF0BE1"/>
    <w:rsid w:val="00CF25B1"/>
    <w:rsid w:val="00CF5665"/>
    <w:rsid w:val="00D061C5"/>
    <w:rsid w:val="00D52A14"/>
    <w:rsid w:val="00D74599"/>
    <w:rsid w:val="00D90575"/>
    <w:rsid w:val="00DA0469"/>
    <w:rsid w:val="00DD13B7"/>
    <w:rsid w:val="00DF3B0C"/>
    <w:rsid w:val="00E148F2"/>
    <w:rsid w:val="00E14984"/>
    <w:rsid w:val="00E22A25"/>
    <w:rsid w:val="00E2414B"/>
    <w:rsid w:val="00E249C7"/>
    <w:rsid w:val="00E249E0"/>
    <w:rsid w:val="00E4252D"/>
    <w:rsid w:val="00E560F1"/>
    <w:rsid w:val="00E9167E"/>
    <w:rsid w:val="00E92319"/>
    <w:rsid w:val="00F469EB"/>
    <w:rsid w:val="00F532F9"/>
    <w:rsid w:val="00F63353"/>
    <w:rsid w:val="00F65C1D"/>
    <w:rsid w:val="00F66B87"/>
    <w:rsid w:val="00F837F4"/>
    <w:rsid w:val="00FC59C4"/>
    <w:rsid w:val="00FF32D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docId w15:val="{555BA2E6-20C2-4DC9-BFD5-FEB15CA076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24BD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rsid w:val="00B026CB"/>
    <w:pPr>
      <w:keepNext/>
      <w:keepLines/>
      <w:spacing w:before="280"/>
      <w:ind w:left="1134" w:hanging="1134"/>
      <w:outlineLvl w:val="0"/>
    </w:pPr>
    <w:rPr>
      <w:b/>
      <w:sz w:val="28"/>
    </w:rPr>
  </w:style>
  <w:style w:type="paragraph" w:styleId="Heading2">
    <w:name w:val="heading 2"/>
    <w:basedOn w:val="Heading1"/>
    <w:next w:val="Normal"/>
    <w:qFormat/>
    <w:rsid w:val="00B026CB"/>
    <w:pPr>
      <w:spacing w:before="200"/>
      <w:outlineLvl w:val="1"/>
    </w:pPr>
    <w:rPr>
      <w:sz w:val="24"/>
    </w:rPr>
  </w:style>
  <w:style w:type="paragraph" w:styleId="Heading3">
    <w:name w:val="heading 3"/>
    <w:basedOn w:val="Heading1"/>
    <w:next w:val="Normal"/>
    <w:qFormat/>
    <w:rsid w:val="00B026CB"/>
    <w:pPr>
      <w:tabs>
        <w:tab w:val="clear" w:pos="1134"/>
      </w:tabs>
      <w:spacing w:before="200"/>
      <w:outlineLvl w:val="2"/>
    </w:pPr>
    <w:rPr>
      <w:sz w:val="24"/>
    </w:rPr>
  </w:style>
  <w:style w:type="paragraph" w:styleId="Heading4">
    <w:name w:val="heading 4"/>
    <w:basedOn w:val="Heading3"/>
    <w:next w:val="Normal"/>
    <w:qFormat/>
    <w:rsid w:val="00B026CB"/>
    <w:pPr>
      <w:outlineLvl w:val="3"/>
    </w:pPr>
  </w:style>
  <w:style w:type="paragraph" w:styleId="Heading5">
    <w:name w:val="heading 5"/>
    <w:basedOn w:val="Heading4"/>
    <w:next w:val="Normal"/>
    <w:qFormat/>
    <w:rsid w:val="00B026CB"/>
    <w:pPr>
      <w:outlineLvl w:val="4"/>
    </w:pPr>
  </w:style>
  <w:style w:type="paragraph" w:styleId="Heading6">
    <w:name w:val="heading 6"/>
    <w:basedOn w:val="Heading4"/>
    <w:next w:val="Normal"/>
    <w:qFormat/>
    <w:rsid w:val="00B026CB"/>
    <w:pPr>
      <w:outlineLvl w:val="5"/>
    </w:pPr>
  </w:style>
  <w:style w:type="paragraph" w:styleId="Heading7">
    <w:name w:val="heading 7"/>
    <w:basedOn w:val="Heading6"/>
    <w:next w:val="Normal"/>
    <w:qFormat/>
    <w:rsid w:val="00B026CB"/>
    <w:pPr>
      <w:outlineLvl w:val="6"/>
    </w:pPr>
  </w:style>
  <w:style w:type="paragraph" w:styleId="Heading8">
    <w:name w:val="heading 8"/>
    <w:basedOn w:val="Heading6"/>
    <w:next w:val="Normal"/>
    <w:qFormat/>
    <w:rsid w:val="00B026CB"/>
    <w:pPr>
      <w:outlineLvl w:val="7"/>
    </w:pPr>
  </w:style>
  <w:style w:type="paragraph" w:styleId="Heading9">
    <w:name w:val="heading 9"/>
    <w:basedOn w:val="Heading6"/>
    <w:next w:val="Normal"/>
    <w:qFormat/>
    <w:rsid w:val="00B026CB"/>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B026CB"/>
    <w:pPr>
      <w:spacing w:before="360"/>
    </w:pPr>
  </w:style>
  <w:style w:type="paragraph" w:customStyle="1" w:styleId="Call">
    <w:name w:val="Call"/>
    <w:basedOn w:val="Normal"/>
    <w:next w:val="Normal"/>
    <w:rsid w:val="00B026CB"/>
    <w:pPr>
      <w:keepNext/>
      <w:keepLines/>
      <w:spacing w:before="160"/>
      <w:ind w:left="1134"/>
    </w:pPr>
    <w:rPr>
      <w:rFonts w:ascii="STKaiti" w:eastAsia="STKaiti" w:hAnsi="STKaiti"/>
    </w:rPr>
  </w:style>
  <w:style w:type="paragraph" w:customStyle="1" w:styleId="ChapNo">
    <w:name w:val="Chap_No"/>
    <w:basedOn w:val="Normal"/>
    <w:next w:val="Chaptitle"/>
    <w:rsid w:val="00D90575"/>
    <w:rPr>
      <w:rFonts w:ascii="Times New Roman Bold" w:hAnsi="Times New Roman Bold"/>
      <w:b/>
    </w:rPr>
  </w:style>
  <w:style w:type="paragraph" w:customStyle="1" w:styleId="Chaptitle">
    <w:name w:val="Chap_title"/>
    <w:basedOn w:val="Normal"/>
    <w:next w:val="Normal"/>
    <w:rsid w:val="00D90575"/>
  </w:style>
  <w:style w:type="character" w:styleId="EndnoteReference">
    <w:name w:val="endnote reference"/>
    <w:basedOn w:val="DefaultParagraphFont"/>
    <w:semiHidden/>
    <w:rsid w:val="00B026CB"/>
    <w:rPr>
      <w:vertAlign w:val="superscript"/>
    </w:rPr>
  </w:style>
  <w:style w:type="paragraph" w:customStyle="1" w:styleId="enumlev1">
    <w:name w:val="enumlev1"/>
    <w:basedOn w:val="Normal"/>
    <w:rsid w:val="00B026CB"/>
    <w:pPr>
      <w:tabs>
        <w:tab w:val="clear" w:pos="2268"/>
        <w:tab w:val="left" w:pos="2608"/>
        <w:tab w:val="left" w:pos="3345"/>
      </w:tabs>
      <w:spacing w:before="80"/>
      <w:ind w:left="1134" w:hanging="1134"/>
    </w:pPr>
  </w:style>
  <w:style w:type="paragraph" w:customStyle="1" w:styleId="enumlev2">
    <w:name w:val="enumlev2"/>
    <w:basedOn w:val="enumlev1"/>
    <w:rsid w:val="00B026CB"/>
    <w:pPr>
      <w:ind w:left="1871" w:hanging="737"/>
    </w:pPr>
  </w:style>
  <w:style w:type="paragraph" w:customStyle="1" w:styleId="enumlev3">
    <w:name w:val="enumlev3"/>
    <w:basedOn w:val="enumlev2"/>
    <w:rsid w:val="00B026CB"/>
    <w:pPr>
      <w:ind w:left="2268" w:hanging="397"/>
    </w:pPr>
  </w:style>
  <w:style w:type="paragraph" w:customStyle="1" w:styleId="Equation">
    <w:name w:val="Equation"/>
    <w:basedOn w:val="Normal"/>
    <w:rsid w:val="00B026CB"/>
    <w:pPr>
      <w:tabs>
        <w:tab w:val="clear" w:pos="1871"/>
        <w:tab w:val="clear" w:pos="2268"/>
        <w:tab w:val="center" w:pos="4820"/>
        <w:tab w:val="right" w:pos="9639"/>
      </w:tabs>
    </w:pPr>
  </w:style>
  <w:style w:type="paragraph" w:customStyle="1" w:styleId="Equationlegend">
    <w:name w:val="Equation_legend"/>
    <w:basedOn w:val="NormalIndent"/>
    <w:rsid w:val="00B026CB"/>
    <w:pPr>
      <w:tabs>
        <w:tab w:val="clear" w:pos="1134"/>
        <w:tab w:val="clear" w:pos="2268"/>
        <w:tab w:val="right" w:pos="1871"/>
        <w:tab w:val="left" w:pos="2041"/>
      </w:tabs>
      <w:spacing w:before="80"/>
      <w:ind w:left="2041" w:hanging="2041"/>
    </w:pPr>
  </w:style>
  <w:style w:type="paragraph" w:customStyle="1" w:styleId="Figurelegend">
    <w:name w:val="Figure_legend"/>
    <w:basedOn w:val="Normal"/>
    <w:rsid w:val="00B026CB"/>
    <w:pPr>
      <w:keepNext/>
      <w:keepLines/>
      <w:spacing w:before="20" w:after="20"/>
    </w:pPr>
    <w:rPr>
      <w:sz w:val="18"/>
    </w:rPr>
  </w:style>
  <w:style w:type="paragraph" w:customStyle="1" w:styleId="QuestionNo">
    <w:name w:val="Question_No"/>
    <w:basedOn w:val="ResNo"/>
    <w:next w:val="Questiontitle"/>
    <w:rsid w:val="00123B64"/>
    <w:rPr>
      <w:caps/>
    </w:rPr>
  </w:style>
  <w:style w:type="paragraph" w:customStyle="1" w:styleId="RecNo">
    <w:name w:val="Rec_No"/>
    <w:basedOn w:val="Normal"/>
    <w:next w:val="Rectitle"/>
    <w:rsid w:val="006F409E"/>
    <w:pPr>
      <w:keepNext/>
      <w:keepLines/>
      <w:spacing w:before="480"/>
    </w:pPr>
    <w:rPr>
      <w:rFonts w:ascii="Times New Roman Bold" w:hAnsi="Times New Roman Bold" w:cs="Times New Roman Bold"/>
      <w:b/>
      <w:sz w:val="28"/>
    </w:rPr>
  </w:style>
  <w:style w:type="paragraph" w:customStyle="1" w:styleId="Rectitle">
    <w:name w:val="Rec_title"/>
    <w:basedOn w:val="RecNo"/>
    <w:next w:val="Recref"/>
    <w:rsid w:val="006F409E"/>
    <w:pPr>
      <w:spacing w:before="240"/>
      <w:jc w:val="center"/>
    </w:pPr>
    <w:rPr>
      <w:bCs/>
    </w:rPr>
  </w:style>
  <w:style w:type="paragraph" w:customStyle="1" w:styleId="Questiontitle">
    <w:name w:val="Question_title"/>
    <w:basedOn w:val="Rectitle"/>
    <w:next w:val="Questionref"/>
    <w:rsid w:val="00B026CB"/>
  </w:style>
  <w:style w:type="paragraph" w:customStyle="1" w:styleId="Questionref">
    <w:name w:val="Question_ref"/>
    <w:basedOn w:val="Recref"/>
    <w:next w:val="Questiondate"/>
    <w:rsid w:val="00B026CB"/>
  </w:style>
  <w:style w:type="paragraph" w:customStyle="1" w:styleId="Recref">
    <w:name w:val="Rec_ref"/>
    <w:basedOn w:val="Rectitle"/>
    <w:next w:val="Recdate"/>
    <w:rsid w:val="006F409E"/>
    <w:pPr>
      <w:spacing w:before="120"/>
    </w:pPr>
    <w:rPr>
      <w:rFonts w:ascii="Times New Roman" w:hAnsi="Times New Roman" w:cs="Times New Roman"/>
      <w:bCs w:val="0"/>
      <w:i/>
      <w:caps/>
      <w:sz w:val="24"/>
    </w:rPr>
  </w:style>
  <w:style w:type="paragraph" w:customStyle="1" w:styleId="Recdate">
    <w:name w:val="Rec_date"/>
    <w:basedOn w:val="Recref"/>
    <w:next w:val="Normalaftertitle0"/>
    <w:rsid w:val="00707454"/>
    <w:rPr>
      <w:rFonts w:ascii="Times New Roman Bold" w:eastAsia="STKaiti" w:hAnsi="Times New Roman Bold" w:cs="Times New Roman Bold"/>
      <w:bCs/>
      <w:caps w:val="0"/>
    </w:rPr>
  </w:style>
  <w:style w:type="paragraph" w:customStyle="1" w:styleId="Questiondate">
    <w:name w:val="Question_date"/>
    <w:basedOn w:val="Recdate"/>
    <w:next w:val="Normalaftertitle0"/>
    <w:rsid w:val="00B026CB"/>
  </w:style>
  <w:style w:type="paragraph" w:customStyle="1" w:styleId="Tabletext">
    <w:name w:val="Table_text"/>
    <w:basedOn w:val="Normal"/>
    <w:rsid w:val="00B026C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Figurewithouttitle">
    <w:name w:val="Figure_without_title"/>
    <w:basedOn w:val="FigureNo"/>
    <w:next w:val="Normal"/>
    <w:rsid w:val="00B026CB"/>
    <w:pPr>
      <w:keepNext w:val="0"/>
    </w:pPr>
  </w:style>
  <w:style w:type="paragraph" w:styleId="Footer">
    <w:name w:val="footer"/>
    <w:basedOn w:val="Normal"/>
    <w:link w:val="FooterChar"/>
    <w:rsid w:val="00B026CB"/>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rsid w:val="00B026CB"/>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
    <w:basedOn w:val="DefaultParagraphFont"/>
    <w:uiPriority w:val="99"/>
    <w:rsid w:val="00B026CB"/>
    <w:rPr>
      <w:position w:val="6"/>
      <w:sz w:val="18"/>
    </w:rPr>
  </w:style>
  <w:style w:type="paragraph" w:styleId="FootnoteText">
    <w:name w:val="footnote text"/>
    <w:aliases w:val="footnote text,ALTS FOOTNOTE,Footnote Text Char1,Footnote Text Char Char1,Footnote Text Char4 Char Char,Footnote Text Char1 Char1 Char1 Char,Footnote Text Char Char1 Char1 Char Char,Footnote Text Char1 Char1 Char1 Char Char Char1,DNV-FT"/>
    <w:basedOn w:val="Normal"/>
    <w:link w:val="FootnoteTextChar"/>
    <w:uiPriority w:val="99"/>
    <w:rsid w:val="00B026CB"/>
    <w:pPr>
      <w:keepLines/>
      <w:tabs>
        <w:tab w:val="left" w:pos="255"/>
      </w:tabs>
    </w:pPr>
    <w:rPr>
      <w:sz w:val="22"/>
    </w:rPr>
  </w:style>
  <w:style w:type="paragraph" w:customStyle="1" w:styleId="Note">
    <w:name w:val="Note"/>
    <w:basedOn w:val="Normal"/>
    <w:rsid w:val="00B026CB"/>
    <w:pPr>
      <w:tabs>
        <w:tab w:val="left" w:pos="284"/>
      </w:tabs>
      <w:spacing w:before="80"/>
    </w:pPr>
  </w:style>
  <w:style w:type="paragraph" w:styleId="Header">
    <w:name w:val="header"/>
    <w:basedOn w:val="Normal"/>
    <w:rsid w:val="00B026CB"/>
    <w:pPr>
      <w:spacing w:before="0"/>
      <w:jc w:val="center"/>
    </w:pPr>
    <w:rPr>
      <w:sz w:val="18"/>
    </w:rPr>
  </w:style>
  <w:style w:type="paragraph" w:customStyle="1" w:styleId="PartNo">
    <w:name w:val="Part_No"/>
    <w:basedOn w:val="AnnexNo"/>
    <w:next w:val="Partref"/>
    <w:rsid w:val="00B026CB"/>
  </w:style>
  <w:style w:type="paragraph" w:customStyle="1" w:styleId="Partref">
    <w:name w:val="Part_ref"/>
    <w:basedOn w:val="Annexref"/>
    <w:next w:val="Parttitle"/>
    <w:rsid w:val="00B026CB"/>
  </w:style>
  <w:style w:type="paragraph" w:customStyle="1" w:styleId="Parttitle">
    <w:name w:val="Part_title"/>
    <w:basedOn w:val="Annextitle"/>
    <w:next w:val="Normalaftertitle0"/>
    <w:rsid w:val="00B026CB"/>
  </w:style>
  <w:style w:type="paragraph" w:customStyle="1" w:styleId="Reftext">
    <w:name w:val="Ref_text"/>
    <w:basedOn w:val="Normal"/>
    <w:rsid w:val="00B026CB"/>
    <w:pPr>
      <w:ind w:left="1134" w:hanging="1134"/>
    </w:pPr>
  </w:style>
  <w:style w:type="paragraph" w:customStyle="1" w:styleId="Reftitle">
    <w:name w:val="Ref_title"/>
    <w:basedOn w:val="Normal"/>
    <w:next w:val="Reftext"/>
    <w:rsid w:val="00B026CB"/>
    <w:pPr>
      <w:spacing w:before="480"/>
      <w:jc w:val="center"/>
    </w:pPr>
    <w:rPr>
      <w:caps/>
    </w:rPr>
  </w:style>
  <w:style w:type="paragraph" w:customStyle="1" w:styleId="Resdate">
    <w:name w:val="Res_date"/>
    <w:basedOn w:val="Recdate"/>
    <w:next w:val="Normalaftertitle0"/>
    <w:rsid w:val="00B026CB"/>
  </w:style>
  <w:style w:type="paragraph" w:customStyle="1" w:styleId="Restitle">
    <w:name w:val="Res_title"/>
    <w:basedOn w:val="Rectitle"/>
    <w:next w:val="Resref"/>
    <w:rsid w:val="00B026CB"/>
  </w:style>
  <w:style w:type="paragraph" w:customStyle="1" w:styleId="Resref">
    <w:name w:val="Res_ref"/>
    <w:basedOn w:val="Recref"/>
    <w:next w:val="Resdate"/>
    <w:rsid w:val="00D061C5"/>
    <w:rPr>
      <w:rFonts w:eastAsia="STKaiti"/>
      <w:b w:val="0"/>
      <w:i w:val="0"/>
      <w:caps w:val="0"/>
      <w:sz w:val="22"/>
    </w:rPr>
  </w:style>
  <w:style w:type="paragraph" w:customStyle="1" w:styleId="SectionNo">
    <w:name w:val="Section_No"/>
    <w:basedOn w:val="AnnexNo"/>
    <w:next w:val="Sectiontitle"/>
    <w:rsid w:val="00B026CB"/>
  </w:style>
  <w:style w:type="paragraph" w:customStyle="1" w:styleId="Sectiontitle">
    <w:name w:val="Section_title"/>
    <w:basedOn w:val="Annextitle"/>
    <w:next w:val="Normalaftertitle0"/>
    <w:rsid w:val="00B026CB"/>
  </w:style>
  <w:style w:type="paragraph" w:customStyle="1" w:styleId="Source">
    <w:name w:val="Source"/>
    <w:basedOn w:val="Normal"/>
    <w:next w:val="Normal"/>
    <w:rsid w:val="00B026CB"/>
    <w:pPr>
      <w:spacing w:before="840"/>
      <w:jc w:val="center"/>
    </w:pPr>
    <w:rPr>
      <w:b/>
      <w:sz w:val="28"/>
    </w:rPr>
  </w:style>
  <w:style w:type="paragraph" w:customStyle="1" w:styleId="SpecialFooter">
    <w:name w:val="Special Footer"/>
    <w:basedOn w:val="Footer"/>
    <w:rsid w:val="00B026CB"/>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B026CB"/>
    <w:pPr>
      <w:keepNext/>
      <w:spacing w:before="80" w:after="80"/>
      <w:jc w:val="center"/>
    </w:pPr>
    <w:rPr>
      <w:rFonts w:ascii="Times New Roman Bold" w:hAnsi="Times New Roman Bold"/>
      <w:b/>
    </w:rPr>
  </w:style>
  <w:style w:type="paragraph" w:customStyle="1" w:styleId="Tablelegend">
    <w:name w:val="Table_legend"/>
    <w:basedOn w:val="Tabletext"/>
    <w:rsid w:val="00B026CB"/>
    <w:pPr>
      <w:spacing w:before="120"/>
    </w:pPr>
  </w:style>
  <w:style w:type="paragraph" w:customStyle="1" w:styleId="TableNo">
    <w:name w:val="Table_No"/>
    <w:basedOn w:val="Normal"/>
    <w:next w:val="Tabletitle"/>
    <w:rsid w:val="00B026CB"/>
    <w:pPr>
      <w:keepNext/>
      <w:spacing w:before="560" w:after="120"/>
      <w:jc w:val="center"/>
    </w:pPr>
    <w:rPr>
      <w:caps/>
      <w:sz w:val="20"/>
    </w:rPr>
  </w:style>
  <w:style w:type="paragraph" w:customStyle="1" w:styleId="Tabletitle">
    <w:name w:val="Table_title"/>
    <w:basedOn w:val="Normal"/>
    <w:next w:val="Tabletext"/>
    <w:rsid w:val="00B026CB"/>
    <w:pPr>
      <w:keepNext/>
      <w:keepLines/>
      <w:spacing w:before="0" w:after="120"/>
      <w:jc w:val="center"/>
    </w:pPr>
    <w:rPr>
      <w:rFonts w:ascii="Times New Roman Bold" w:hAnsi="Times New Roman Bold"/>
      <w:b/>
      <w:sz w:val="20"/>
    </w:rPr>
  </w:style>
  <w:style w:type="paragraph" w:customStyle="1" w:styleId="Tableref">
    <w:name w:val="Table_ref"/>
    <w:basedOn w:val="Normal"/>
    <w:next w:val="Tabletitle"/>
    <w:rsid w:val="00B026CB"/>
    <w:pPr>
      <w:keepNext/>
      <w:spacing w:before="560"/>
      <w:jc w:val="center"/>
    </w:pPr>
    <w:rPr>
      <w:sz w:val="20"/>
    </w:rPr>
  </w:style>
  <w:style w:type="paragraph" w:customStyle="1" w:styleId="Title1">
    <w:name w:val="Title 1"/>
    <w:basedOn w:val="Source"/>
    <w:next w:val="Title2"/>
    <w:rsid w:val="00B026CB"/>
    <w:pPr>
      <w:tabs>
        <w:tab w:val="left" w:pos="567"/>
        <w:tab w:val="left" w:pos="1701"/>
        <w:tab w:val="left" w:pos="2835"/>
      </w:tabs>
      <w:spacing w:before="240"/>
    </w:pPr>
    <w:rPr>
      <w:b w:val="0"/>
      <w:caps/>
    </w:rPr>
  </w:style>
  <w:style w:type="paragraph" w:customStyle="1" w:styleId="Title2">
    <w:name w:val="Title 2"/>
    <w:basedOn w:val="Source"/>
    <w:next w:val="Title3"/>
    <w:rsid w:val="00B026CB"/>
    <w:pPr>
      <w:overflowPunct/>
      <w:autoSpaceDE/>
      <w:autoSpaceDN/>
      <w:adjustRightInd/>
      <w:spacing w:before="480"/>
      <w:textAlignment w:val="auto"/>
    </w:pPr>
    <w:rPr>
      <w:b w:val="0"/>
      <w:caps/>
    </w:rPr>
  </w:style>
  <w:style w:type="paragraph" w:customStyle="1" w:styleId="Title3">
    <w:name w:val="Title 3"/>
    <w:basedOn w:val="Title2"/>
    <w:next w:val="Title4"/>
    <w:rsid w:val="00B026CB"/>
    <w:pPr>
      <w:spacing w:before="240"/>
    </w:pPr>
    <w:rPr>
      <w:caps w:val="0"/>
    </w:rPr>
  </w:style>
  <w:style w:type="paragraph" w:customStyle="1" w:styleId="Title4">
    <w:name w:val="Title 4"/>
    <w:basedOn w:val="Title3"/>
    <w:next w:val="Heading1"/>
    <w:rsid w:val="00B026CB"/>
    <w:rPr>
      <w:b/>
    </w:rPr>
  </w:style>
  <w:style w:type="paragraph" w:customStyle="1" w:styleId="toc0">
    <w:name w:val="toc 0"/>
    <w:basedOn w:val="Normal"/>
    <w:next w:val="TOC1"/>
    <w:rsid w:val="00B026CB"/>
    <w:pPr>
      <w:tabs>
        <w:tab w:val="clear" w:pos="1134"/>
        <w:tab w:val="clear" w:pos="1871"/>
        <w:tab w:val="clear" w:pos="2268"/>
        <w:tab w:val="right" w:pos="9781"/>
      </w:tabs>
    </w:pPr>
    <w:rPr>
      <w:b/>
    </w:rPr>
  </w:style>
  <w:style w:type="paragraph" w:styleId="TOC1">
    <w:name w:val="toc 1"/>
    <w:basedOn w:val="Normal"/>
    <w:rsid w:val="00B026CB"/>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B026CB"/>
    <w:pPr>
      <w:spacing w:before="120"/>
    </w:pPr>
  </w:style>
  <w:style w:type="paragraph" w:styleId="TOC3">
    <w:name w:val="toc 3"/>
    <w:basedOn w:val="TOC2"/>
    <w:rsid w:val="00B026CB"/>
  </w:style>
  <w:style w:type="paragraph" w:styleId="TOC4">
    <w:name w:val="toc 4"/>
    <w:basedOn w:val="TOC3"/>
    <w:rsid w:val="00B026CB"/>
  </w:style>
  <w:style w:type="paragraph" w:styleId="TOC5">
    <w:name w:val="toc 5"/>
    <w:basedOn w:val="TOC4"/>
    <w:rsid w:val="00B026CB"/>
  </w:style>
  <w:style w:type="paragraph" w:styleId="TOC6">
    <w:name w:val="toc 6"/>
    <w:basedOn w:val="TOC4"/>
    <w:semiHidden/>
    <w:rsid w:val="00B026CB"/>
  </w:style>
  <w:style w:type="paragraph" w:styleId="TOC7">
    <w:name w:val="toc 7"/>
    <w:basedOn w:val="TOC4"/>
    <w:semiHidden/>
    <w:rsid w:val="00B026CB"/>
  </w:style>
  <w:style w:type="paragraph" w:styleId="TOC8">
    <w:name w:val="toc 8"/>
    <w:basedOn w:val="TOC4"/>
    <w:semiHidden/>
    <w:rsid w:val="00B026CB"/>
  </w:style>
  <w:style w:type="character" w:customStyle="1" w:styleId="Recdef">
    <w:name w:val="Rec_def"/>
    <w:basedOn w:val="DefaultParagraphFont"/>
    <w:rsid w:val="00B026CB"/>
    <w:rPr>
      <w:b/>
    </w:rPr>
  </w:style>
  <w:style w:type="character" w:customStyle="1" w:styleId="Resdef">
    <w:name w:val="Res_def"/>
    <w:basedOn w:val="DefaultParagraphFont"/>
    <w:rsid w:val="00B026CB"/>
    <w:rPr>
      <w:rFonts w:ascii="Times New Roman" w:hAnsi="Times New Roman"/>
      <w:b/>
    </w:rPr>
  </w:style>
  <w:style w:type="character" w:customStyle="1" w:styleId="Tablefreq">
    <w:name w:val="Table_freq"/>
    <w:basedOn w:val="DefaultParagraphFont"/>
    <w:rsid w:val="00B026CB"/>
    <w:rPr>
      <w:b/>
      <w:color w:val="auto"/>
      <w:sz w:val="20"/>
    </w:rPr>
  </w:style>
  <w:style w:type="paragraph" w:customStyle="1" w:styleId="Formal">
    <w:name w:val="Formal"/>
    <w:basedOn w:val="Normal"/>
    <w:rsid w:val="00CF0BE1"/>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noProof/>
      <w:sz w:val="20"/>
    </w:rPr>
  </w:style>
  <w:style w:type="paragraph" w:customStyle="1" w:styleId="Section1">
    <w:name w:val="Section_1"/>
    <w:basedOn w:val="Normal"/>
    <w:rsid w:val="00B026CB"/>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B026CB"/>
    <w:rPr>
      <w:b w:val="0"/>
      <w:i/>
    </w:rPr>
  </w:style>
  <w:style w:type="paragraph" w:customStyle="1" w:styleId="Headingi">
    <w:name w:val="Heading_i"/>
    <w:basedOn w:val="Normal"/>
    <w:next w:val="Normal"/>
    <w:rsid w:val="00B026CB"/>
    <w:pPr>
      <w:keepNext/>
      <w:spacing w:before="160"/>
    </w:pPr>
    <w:rPr>
      <w:rFonts w:ascii="STKaiti" w:eastAsia="STKaiti" w:hAnsi="STKaiti"/>
    </w:rPr>
  </w:style>
  <w:style w:type="paragraph" w:customStyle="1" w:styleId="Headingb">
    <w:name w:val="Heading_b"/>
    <w:basedOn w:val="Normal"/>
    <w:next w:val="Normal"/>
    <w:qFormat/>
    <w:rsid w:val="00E9167E"/>
    <w:pPr>
      <w:keepNext/>
      <w:spacing w:before="160"/>
    </w:pPr>
    <w:rPr>
      <w:rFonts w:ascii="Times New Roman Bold" w:hAnsi="Times New Roman Bold" w:cs="Times New Roman Bold"/>
      <w:b/>
    </w:rPr>
  </w:style>
  <w:style w:type="paragraph" w:customStyle="1" w:styleId="Figure">
    <w:name w:val="Figure"/>
    <w:basedOn w:val="Normal"/>
    <w:next w:val="Figuretitle"/>
    <w:rsid w:val="00B026CB"/>
    <w:pPr>
      <w:keepNext/>
      <w:keepLines/>
      <w:jc w:val="center"/>
    </w:pPr>
  </w:style>
  <w:style w:type="character" w:styleId="PageNumber">
    <w:name w:val="page number"/>
    <w:basedOn w:val="DefaultParagraphFont"/>
    <w:rsid w:val="00B026CB"/>
  </w:style>
  <w:style w:type="paragraph" w:customStyle="1" w:styleId="ResNo">
    <w:name w:val="Res_No"/>
    <w:basedOn w:val="RecNo"/>
    <w:next w:val="Restitle"/>
    <w:link w:val="ResNoChar"/>
    <w:rsid w:val="00D061C5"/>
    <w:pPr>
      <w:jc w:val="center"/>
    </w:pPr>
    <w:rPr>
      <w:rFonts w:ascii="Times New Roman" w:hAnsi="Times New Roman" w:cs="Times New Roman"/>
      <w:b w:val="0"/>
      <w:bCs/>
    </w:rPr>
  </w:style>
  <w:style w:type="paragraph" w:customStyle="1" w:styleId="Figuretitle">
    <w:name w:val="Figure_title"/>
    <w:basedOn w:val="Tabletitle"/>
    <w:next w:val="Normal"/>
    <w:rsid w:val="00B026CB"/>
    <w:pPr>
      <w:spacing w:after="480"/>
    </w:pPr>
  </w:style>
  <w:style w:type="paragraph" w:customStyle="1" w:styleId="FigureNo">
    <w:name w:val="Figure_No"/>
    <w:basedOn w:val="Normal"/>
    <w:next w:val="Figuretitle"/>
    <w:rsid w:val="00B026CB"/>
    <w:pPr>
      <w:keepNext/>
      <w:keepLines/>
      <w:spacing w:before="480" w:after="120"/>
      <w:jc w:val="center"/>
    </w:pPr>
    <w:rPr>
      <w:caps/>
      <w:sz w:val="20"/>
    </w:rPr>
  </w:style>
  <w:style w:type="paragraph" w:customStyle="1" w:styleId="Annextitle">
    <w:name w:val="Annex_title"/>
    <w:basedOn w:val="Normal"/>
    <w:next w:val="Normal"/>
    <w:rsid w:val="00B026CB"/>
    <w:pPr>
      <w:keepNext/>
      <w:keepLines/>
      <w:spacing w:before="240" w:after="280"/>
      <w:jc w:val="center"/>
    </w:pPr>
    <w:rPr>
      <w:rFonts w:ascii="Times New Roman Bold" w:hAnsi="Times New Roman Bold"/>
      <w:b/>
      <w:sz w:val="28"/>
    </w:rPr>
  </w:style>
  <w:style w:type="paragraph" w:customStyle="1" w:styleId="AnnexNo">
    <w:name w:val="Annex_No"/>
    <w:basedOn w:val="Normal"/>
    <w:next w:val="Normal"/>
    <w:rsid w:val="00B026CB"/>
    <w:pPr>
      <w:keepNext/>
      <w:keepLines/>
      <w:spacing w:before="480" w:after="80"/>
      <w:jc w:val="center"/>
    </w:pPr>
    <w:rPr>
      <w:caps/>
      <w:sz w:val="28"/>
    </w:rPr>
  </w:style>
  <w:style w:type="paragraph" w:customStyle="1" w:styleId="Appendixtitle">
    <w:name w:val="Appendix_title"/>
    <w:basedOn w:val="Annextitle"/>
    <w:next w:val="Normal"/>
    <w:rsid w:val="00B026CB"/>
  </w:style>
  <w:style w:type="paragraph" w:customStyle="1" w:styleId="AppendixNo">
    <w:name w:val="Appendix_No"/>
    <w:basedOn w:val="AnnexNo"/>
    <w:next w:val="Annexref"/>
    <w:rsid w:val="00B026CB"/>
  </w:style>
  <w:style w:type="paragraph" w:customStyle="1" w:styleId="Reasons">
    <w:name w:val="Reasons"/>
    <w:basedOn w:val="Normal"/>
    <w:qFormat/>
    <w:rsid w:val="00B026CB"/>
    <w:pPr>
      <w:tabs>
        <w:tab w:val="clear" w:pos="1871"/>
        <w:tab w:val="clear" w:pos="2268"/>
        <w:tab w:val="left" w:pos="1588"/>
        <w:tab w:val="left" w:pos="1985"/>
      </w:tabs>
    </w:pPr>
  </w:style>
  <w:style w:type="paragraph" w:customStyle="1" w:styleId="Proposal">
    <w:name w:val="Proposal"/>
    <w:basedOn w:val="Normal"/>
    <w:next w:val="Normal"/>
    <w:rsid w:val="00611DCC"/>
    <w:pPr>
      <w:keepNext/>
      <w:spacing w:before="240"/>
    </w:pPr>
    <w:rPr>
      <w:b/>
      <w:caps/>
    </w:rPr>
  </w:style>
  <w:style w:type="paragraph" w:customStyle="1" w:styleId="Annexref">
    <w:name w:val="Annex_ref"/>
    <w:basedOn w:val="Normal"/>
    <w:next w:val="Annextitle"/>
    <w:rsid w:val="00B026CB"/>
    <w:pPr>
      <w:keepNext/>
      <w:keepLines/>
      <w:spacing w:after="280"/>
      <w:jc w:val="center"/>
    </w:pPr>
  </w:style>
  <w:style w:type="paragraph" w:customStyle="1" w:styleId="Appendixref">
    <w:name w:val="Appendix_ref"/>
    <w:basedOn w:val="Annexref"/>
    <w:next w:val="Annextitle"/>
    <w:rsid w:val="00B026CB"/>
  </w:style>
  <w:style w:type="paragraph" w:customStyle="1" w:styleId="Border">
    <w:name w:val="Border"/>
    <w:basedOn w:val="Tabletext"/>
    <w:rsid w:val="00B026CB"/>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styleId="NormalIndent">
    <w:name w:val="Normal Indent"/>
    <w:basedOn w:val="Normal"/>
    <w:rsid w:val="00B026CB"/>
    <w:pPr>
      <w:ind w:left="1134"/>
    </w:pPr>
  </w:style>
  <w:style w:type="character" w:styleId="LineNumber">
    <w:name w:val="line number"/>
    <w:basedOn w:val="DefaultParagraphFont"/>
    <w:rsid w:val="00B026CB"/>
  </w:style>
  <w:style w:type="paragraph" w:customStyle="1" w:styleId="Normalaftertitle0">
    <w:name w:val="Normal after title"/>
    <w:basedOn w:val="Normal"/>
    <w:next w:val="Normal"/>
    <w:rsid w:val="00B026CB"/>
    <w:pPr>
      <w:spacing w:before="280"/>
    </w:pPr>
  </w:style>
  <w:style w:type="paragraph" w:customStyle="1" w:styleId="Section3">
    <w:name w:val="Section_3"/>
    <w:basedOn w:val="Section1"/>
    <w:rsid w:val="00B026CB"/>
    <w:rPr>
      <w:b w:val="0"/>
    </w:rPr>
  </w:style>
  <w:style w:type="paragraph" w:customStyle="1" w:styleId="NormalCH">
    <w:name w:val="NormalCH"/>
    <w:basedOn w:val="Normal"/>
    <w:next w:val="Normal"/>
    <w:qFormat/>
    <w:rsid w:val="00644391"/>
    <w:pPr>
      <w:tabs>
        <w:tab w:val="clear" w:pos="1871"/>
        <w:tab w:val="left" w:pos="567"/>
        <w:tab w:val="left" w:pos="1701"/>
        <w:tab w:val="left" w:pos="2835"/>
      </w:tabs>
      <w:ind w:firstLineChars="200" w:firstLine="200"/>
    </w:pPr>
    <w:rPr>
      <w:lang w:val="en-US"/>
    </w:rPr>
  </w:style>
  <w:style w:type="paragraph" w:customStyle="1" w:styleId="Agendaitem">
    <w:name w:val="Agenda_item"/>
    <w:basedOn w:val="Title3"/>
    <w:next w:val="Normalaftertitle0"/>
    <w:qFormat/>
    <w:rsid w:val="00C47D87"/>
    <w:rPr>
      <w:lang w:val="en-US" w:eastAsia="zh-CN"/>
    </w:rPr>
  </w:style>
  <w:style w:type="paragraph" w:customStyle="1" w:styleId="Part1">
    <w:name w:val="Part_1"/>
    <w:basedOn w:val="Normal"/>
    <w:next w:val="Normalaftertitle0"/>
    <w:qFormat/>
    <w:rsid w:val="00D90575"/>
  </w:style>
  <w:style w:type="paragraph" w:customStyle="1" w:styleId="Normalend">
    <w:name w:val="Normal_end"/>
    <w:basedOn w:val="Normal"/>
    <w:qFormat/>
    <w:rsid w:val="00C07239"/>
  </w:style>
  <w:style w:type="paragraph" w:customStyle="1" w:styleId="Volumetitle">
    <w:name w:val="Volume_title"/>
    <w:basedOn w:val="Normal"/>
    <w:qFormat/>
    <w:rsid w:val="00D90575"/>
  </w:style>
  <w:style w:type="character" w:customStyle="1" w:styleId="FooterChar">
    <w:name w:val="Footer Char"/>
    <w:basedOn w:val="DefaultParagraphFont"/>
    <w:link w:val="Footer"/>
    <w:rsid w:val="003468CA"/>
    <w:rPr>
      <w:rFonts w:ascii="Times New Roman" w:hAnsi="Times New Roman"/>
      <w:caps/>
      <w:noProof/>
      <w:sz w:val="16"/>
      <w:lang w:val="en-GB" w:eastAsia="en-US"/>
    </w:rPr>
  </w:style>
  <w:style w:type="character" w:styleId="Hyperlink">
    <w:name w:val="Hyperlink"/>
    <w:basedOn w:val="DefaultParagraphFont"/>
    <w:unhideWhenUsed/>
    <w:rsid w:val="009759FE"/>
    <w:rPr>
      <w:color w:val="0000FF" w:themeColor="hyperlink"/>
      <w:u w:val="single"/>
    </w:rPr>
  </w:style>
  <w:style w:type="paragraph" w:customStyle="1" w:styleId="Opinionref">
    <w:name w:val="Opinion_ref"/>
    <w:basedOn w:val="Resref"/>
    <w:next w:val="Normalaftertitle0"/>
    <w:qFormat/>
    <w:rsid w:val="000A3B30"/>
    <w:pPr>
      <w:spacing w:before="160"/>
    </w:pPr>
  </w:style>
  <w:style w:type="paragraph" w:customStyle="1" w:styleId="Opiniontitle">
    <w:name w:val="Opinion_title"/>
    <w:basedOn w:val="Restitle"/>
    <w:next w:val="Opinionref"/>
    <w:qFormat/>
    <w:rsid w:val="000A3B30"/>
    <w:pPr>
      <w:spacing w:before="360"/>
    </w:pPr>
    <w:rPr>
      <w:rFonts w:ascii="Times New Roman" w:hAnsi="Times New Roman"/>
    </w:rPr>
  </w:style>
  <w:style w:type="paragraph" w:customStyle="1" w:styleId="OpinionNo">
    <w:name w:val="Opinion_No"/>
    <w:basedOn w:val="ResNo"/>
    <w:next w:val="Opiniontitle"/>
    <w:qFormat/>
    <w:rsid w:val="000A3B30"/>
  </w:style>
  <w:style w:type="character" w:customStyle="1" w:styleId="href">
    <w:name w:val="href"/>
    <w:basedOn w:val="DefaultParagraphFont"/>
    <w:qFormat/>
    <w:rsid w:val="000A3B30"/>
    <w:rPr>
      <w:lang w:eastAsia="zh-CN"/>
    </w:rPr>
  </w:style>
  <w:style w:type="paragraph" w:customStyle="1" w:styleId="HeadingSummary">
    <w:name w:val="HeadingSummary"/>
    <w:basedOn w:val="Headingb"/>
    <w:qFormat/>
    <w:rsid w:val="00E9167E"/>
    <w:rPr>
      <w:bCs/>
    </w:rPr>
  </w:style>
  <w:style w:type="character" w:customStyle="1" w:styleId="FootnoteTextChar">
    <w:name w:val="Footnote Text Char"/>
    <w:aliases w:val="footnote text Char,ALTS FOOTNOTE Char,Footnote Text Char1 Char,Footnote Text Char Char1 Char,Footnote Text Char4 Char Char Char,Footnote Text Char1 Char1 Char1 Char Char,Footnote Text Char Char1 Char1 Char Char Char,DNV-FT Char"/>
    <w:basedOn w:val="DefaultParagraphFont"/>
    <w:link w:val="FootnoteText"/>
    <w:uiPriority w:val="99"/>
    <w:rsid w:val="00D061C5"/>
    <w:rPr>
      <w:rFonts w:ascii="Times New Roman" w:hAnsi="Times New Roman"/>
      <w:sz w:val="22"/>
      <w:lang w:val="en-GB" w:eastAsia="en-US"/>
    </w:rPr>
  </w:style>
  <w:style w:type="character" w:customStyle="1" w:styleId="ResNoChar">
    <w:name w:val="Res_No Char"/>
    <w:basedOn w:val="DefaultParagraphFont"/>
    <w:link w:val="ResNo"/>
    <w:rsid w:val="00D061C5"/>
    <w:rPr>
      <w:rFonts w:ascii="Times New Roman" w:hAnsi="Times New Roman"/>
      <w:bCs/>
      <w:sz w:val="28"/>
      <w:lang w:val="en-GB" w:eastAsia="en-US"/>
    </w:rPr>
  </w:style>
  <w:style w:type="paragraph" w:styleId="BalloonText">
    <w:name w:val="Balloon Text"/>
    <w:basedOn w:val="Normal"/>
    <w:link w:val="BalloonTextChar"/>
    <w:semiHidden/>
    <w:unhideWhenUsed/>
    <w:rsid w:val="00F469EB"/>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F469EB"/>
    <w:rPr>
      <w:rFonts w:ascii="Segoe UI" w:hAnsi="Segoe UI" w:cs="Segoe UI"/>
      <w:sz w:val="18"/>
      <w:szCs w:val="18"/>
      <w:lang w:val="en-GB" w:eastAsia="en-US"/>
    </w:rPr>
  </w:style>
  <w:style w:type="character" w:styleId="PlaceholderText">
    <w:name w:val="Placeholder Text"/>
    <w:basedOn w:val="DefaultParagraphFont"/>
    <w:uiPriority w:val="99"/>
    <w:semiHidden/>
    <w:rsid w:val="00231452"/>
    <w:rPr>
      <w:color w:val="808080"/>
    </w:rPr>
  </w:style>
  <w:style w:type="paragraph" w:customStyle="1" w:styleId="enumlev10">
    <w:name w:val="enumlev1"/>
    <w:basedOn w:val="Normal"/>
    <w:uiPriority w:val="99"/>
    <w:rsid w:val="00B026CB"/>
    <w:pPr>
      <w:tabs>
        <w:tab w:val="clear" w:pos="2268"/>
        <w:tab w:val="left" w:pos="2608"/>
        <w:tab w:val="left" w:pos="3345"/>
      </w:tabs>
      <w:spacing w:before="80"/>
      <w:ind w:left="1134" w:hanging="1134"/>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729549">
      <w:bodyDiv w:val="1"/>
      <w:marLeft w:val="0"/>
      <w:marRight w:val="0"/>
      <w:marTop w:val="0"/>
      <w:marBottom w:val="0"/>
      <w:divBdr>
        <w:top w:val="none" w:sz="0" w:space="0" w:color="auto"/>
        <w:left w:val="none" w:sz="0" w:space="0" w:color="auto"/>
        <w:bottom w:val="none" w:sz="0" w:space="0" w:color="auto"/>
        <w:right w:val="none" w:sz="0" w:space="0" w:color="auto"/>
      </w:divBdr>
    </w:div>
    <w:div w:id="1546411307">
      <w:bodyDiv w:val="1"/>
      <w:marLeft w:val="0"/>
      <w:marRight w:val="0"/>
      <w:marTop w:val="0"/>
      <w:marBottom w:val="0"/>
      <w:divBdr>
        <w:top w:val="none" w:sz="0" w:space="0" w:color="auto"/>
        <w:left w:val="none" w:sz="0" w:space="0" w:color="auto"/>
        <w:bottom w:val="none" w:sz="0" w:space="0" w:color="auto"/>
        <w:right w:val="none" w:sz="0" w:space="0" w:color="auto"/>
      </w:divBdr>
    </w:div>
    <w:div w:id="1938783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microsoft.com/office/2011/relationships/people" Target="peop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D6F4CC86FB0D4519B33A4152A00EAE9F"/>
        <w:category>
          <w:name w:val="General"/>
          <w:gallery w:val="placeholder"/>
        </w:category>
        <w:types>
          <w:type w:val="bbPlcHdr"/>
        </w:types>
        <w:behaviors>
          <w:behavior w:val="content"/>
        </w:behaviors>
        <w:guid w:val="{FE76F654-08A8-486D-A656-0C8BA0DDCB1C}"/>
      </w:docPartPr>
      <w:docPartBody>
        <w:p w:rsidR="0034351E" w:rsidRDefault="00071B55" w:rsidP="00071B55">
          <w:pPr>
            <w:pStyle w:val="D6F4CC86FB0D4519B33A4152A00EAE9F"/>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STKaiti">
    <w:altName w:val="Arial Unicode MS"/>
    <w:panose1 w:val="02010600040101010101"/>
    <w:charset w:val="86"/>
    <w:family w:val="auto"/>
    <w:pitch w:val="variable"/>
    <w:sig w:usb0="00000287"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Segoe UI">
    <w:panose1 w:val="020B0502040204020203"/>
    <w:charset w:val="00"/>
    <w:family w:val="swiss"/>
    <w:pitch w:val="variable"/>
    <w:sig w:usb0="E10022FF" w:usb1="C000E47F" w:usb2="00000029" w:usb3="00000000" w:csb0="000001D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1B55"/>
    <w:rsid w:val="00071B55"/>
    <w:rsid w:val="001A3CA6"/>
    <w:rsid w:val="0034351E"/>
    <w:rsid w:val="00357890"/>
    <w:rsid w:val="00372A40"/>
    <w:rsid w:val="003E26B8"/>
    <w:rsid w:val="00513778"/>
    <w:rsid w:val="00635868"/>
    <w:rsid w:val="0069764D"/>
    <w:rsid w:val="00715632"/>
    <w:rsid w:val="00750CCB"/>
    <w:rsid w:val="00A84AF3"/>
    <w:rsid w:val="00A92CE8"/>
    <w:rsid w:val="00D92B8A"/>
    <w:rsid w:val="00E2427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71B55"/>
    <w:rPr>
      <w:color w:val="808080"/>
    </w:rPr>
  </w:style>
  <w:style w:type="paragraph" w:customStyle="1" w:styleId="D6F4CC86FB0D4519B33A4152A00EAE9F">
    <w:name w:val="D6F4CC86FB0D4519B33A4152A00EAE9F"/>
    <w:rsid w:val="00071B5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Author xmlns="a3fa35e8-48ec-4589-af25-e847ba587618">Documents Proposals Manager (DPM)</DPM_x0020_Author>
    <DPM_x0020_File_x0020_name xmlns="a3fa35e8-48ec-4589-af25-e847ba587618">T13-WTSA.16-C-0055!!MSW-C</DPM_x0020_File_x0020_name>
    <DPM_x0020_Version xmlns="a3fa35e8-48ec-4589-af25-e847ba587618">DPM_v2016.10.7.1_prod</DPM_x0020_Version>
  </documentManagement>
</p:properties>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a3fa35e8-48ec-4589-af25-e847ba587618" targetNamespace="http://schemas.microsoft.com/office/2006/metadata/properties" ma:root="true" ma:fieldsID="d41af5c836d734370eb92e7ee5f83852" ns2:_="" ns3:_="">
    <xsd:import namespace="996b2e75-67fd-4955-a3b0-5ab9934cb50b"/>
    <xsd:import namespace="a3fa35e8-48ec-4589-af25-e847ba587618"/>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a3fa35e8-48ec-4589-af25-e847ba587618"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a3fa35e8-48ec-4589-af25-e847ba587618"/>
  </ds:schemaRefs>
</ds:datastoreItem>
</file>

<file path=customXml/itemProps2.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a3fa35e8-48ec-4589-af25-e847ba58761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151</TotalTime>
  <Pages>5</Pages>
  <Words>2996</Words>
  <Characters>486</Characters>
  <Application>Microsoft Office Word</Application>
  <DocSecurity>0</DocSecurity>
  <Lines>4</Lines>
  <Paragraphs>6</Paragraphs>
  <ScaleCrop>false</ScaleCrop>
  <HeadingPairs>
    <vt:vector size="2" baseType="variant">
      <vt:variant>
        <vt:lpstr>Title</vt:lpstr>
      </vt:variant>
      <vt:variant>
        <vt:i4>1</vt:i4>
      </vt:variant>
    </vt:vector>
  </HeadingPairs>
  <TitlesOfParts>
    <vt:vector size="1" baseType="lpstr">
      <vt:lpstr>T13-WTSA.16-C-0055!!MSW-C</vt:lpstr>
    </vt:vector>
  </TitlesOfParts>
  <Manager>General Secretariat - Pool</Manager>
  <Company>International Telecommunication Union (ITU)</Company>
  <LinksUpToDate>false</LinksUpToDate>
  <CharactersWithSpaces>3476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T13-WTSA.16-C-0055!!MSW-C</dc:title>
  <dc:subject>World Telecommunication Standardization Assembly</dc:subject>
  <dc:creator>Documents Proposals Manager (DPM)</dc:creator>
  <cp:keywords>DPM_v2016.10.7.1_prod</cp:keywords>
  <dc:description>Template used by DPM and CPI for the WTSA-16</dc:description>
  <cp:lastModifiedBy>Tang, Ting</cp:lastModifiedBy>
  <cp:revision>7</cp:revision>
  <cp:lastPrinted>2016-06-07T13:24:00Z</cp:lastPrinted>
  <dcterms:created xsi:type="dcterms:W3CDTF">2016-10-11T12:52:00Z</dcterms:created>
  <dcterms:modified xsi:type="dcterms:W3CDTF">2016-10-20T14:53:00Z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PC_WRC12.dotm</vt:lpwstr>
  </property>
  <property fmtid="{D5CDD505-2E9C-101B-9397-08002B2CF9AE}" pid="3" name="Docdate">
    <vt:lpwstr/>
  </property>
  <property fmtid="{D5CDD505-2E9C-101B-9397-08002B2CF9AE}" pid="4" name="Docorlang">
    <vt:lpwstr/>
  </property>
  <property fmtid="{D5CDD505-2E9C-101B-9397-08002B2CF9AE}" pid="5" name="Docauthor">
    <vt:lpwstr/>
  </property>
  <property fmtid="{D5CDD505-2E9C-101B-9397-08002B2CF9AE}" pid="6" name="Docbluepink">
    <vt:lpwstr/>
  </property>
  <property fmtid="{D5CDD505-2E9C-101B-9397-08002B2CF9AE}" pid="7" name="Docdest">
    <vt:lpwstr/>
  </property>
</Properties>
</file>