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ayout w:type="fixed"/>
        <w:tblLook w:val="0000" w:firstRow="0" w:lastRow="0" w:firstColumn="0" w:lastColumn="0" w:noHBand="0" w:noVBand="0"/>
      </w:tblPr>
      <w:tblGrid>
        <w:gridCol w:w="1357"/>
        <w:gridCol w:w="5260"/>
        <w:gridCol w:w="1390"/>
        <w:gridCol w:w="1804"/>
      </w:tblGrid>
      <w:tr w:rsidR="00BC7D84" w:rsidRPr="00426748" w:rsidTr="00F00DDC">
        <w:trPr>
          <w:cantSplit/>
        </w:trPr>
        <w:tc>
          <w:tcPr>
            <w:tcW w:w="1357" w:type="dxa"/>
            <w:vAlign w:val="center"/>
          </w:tcPr>
          <w:p w:rsidR="00BC7D84" w:rsidRPr="00426748" w:rsidRDefault="00BC7D84" w:rsidP="004270D2">
            <w:pPr>
              <w:pStyle w:val="TopHeader"/>
              <w:rPr>
                <w:sz w:val="22"/>
                <w:szCs w:val="22"/>
              </w:rPr>
            </w:pPr>
            <w:r w:rsidRPr="00977369">
              <w:rPr>
                <w:noProof/>
                <w:lang w:val="en-US" w:eastAsia="zh-CN"/>
              </w:rPr>
              <w:drawing>
                <wp:inline distT="0" distB="0" distL="0" distR="0">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650" w:type="dxa"/>
            <w:gridSpan w:val="2"/>
            <w:vAlign w:val="center"/>
          </w:tcPr>
          <w:p w:rsidR="00BC7D84" w:rsidRPr="00426748" w:rsidRDefault="00BC7D84" w:rsidP="004270D2">
            <w:pPr>
              <w:pStyle w:val="TopHeader"/>
              <w:rPr>
                <w:sz w:val="22"/>
                <w:szCs w:val="22"/>
              </w:rPr>
            </w:pPr>
            <w:r w:rsidRPr="00426748">
              <w:t>World Telecommunication Standardization Assembly (WTSA-16)</w:t>
            </w:r>
            <w:r w:rsidRPr="00EC7F04">
              <w:br/>
            </w:r>
            <w:r>
              <w:rPr>
                <w:sz w:val="20"/>
                <w:szCs w:val="20"/>
              </w:rPr>
              <w:t>Hammamet, 25 October - 3 November</w:t>
            </w:r>
            <w:r w:rsidRPr="00EC7F04">
              <w:rPr>
                <w:sz w:val="20"/>
                <w:szCs w:val="20"/>
              </w:rPr>
              <w:t xml:space="preserve"> 2016</w:t>
            </w:r>
          </w:p>
        </w:tc>
        <w:tc>
          <w:tcPr>
            <w:tcW w:w="1804" w:type="dxa"/>
            <w:vAlign w:val="center"/>
          </w:tcPr>
          <w:p w:rsidR="00BC7D84" w:rsidRPr="00E0753B" w:rsidRDefault="00BC7D84" w:rsidP="004270D2">
            <w:pPr>
              <w:jc w:val="right"/>
            </w:pPr>
            <w:r w:rsidRPr="00E0753B">
              <w:rPr>
                <w:noProof/>
                <w:lang w:val="en-US" w:eastAsia="zh-CN"/>
              </w:rPr>
              <w:drawing>
                <wp:inline distT="0" distB="0" distL="0" distR="0">
                  <wp:extent cx="882000" cy="792000"/>
                  <wp:effectExtent l="0" t="0" r="0" b="8255"/>
                  <wp:docPr id="1" name="Picture 1"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BC7D84" w:rsidRPr="003251EA" w:rsidTr="00F00DDC">
        <w:trPr>
          <w:cantSplit/>
        </w:trPr>
        <w:tc>
          <w:tcPr>
            <w:tcW w:w="6617" w:type="dxa"/>
            <w:gridSpan w:val="2"/>
            <w:tcBorders>
              <w:bottom w:val="single" w:sz="12" w:space="0" w:color="auto"/>
            </w:tcBorders>
          </w:tcPr>
          <w:p w:rsidR="00BC7D84" w:rsidRPr="003251EA" w:rsidRDefault="00BC7D84" w:rsidP="004270D2">
            <w:pPr>
              <w:pStyle w:val="TopHeader"/>
              <w:spacing w:before="60"/>
              <w:rPr>
                <w:sz w:val="20"/>
                <w:szCs w:val="20"/>
              </w:rPr>
            </w:pPr>
          </w:p>
        </w:tc>
        <w:tc>
          <w:tcPr>
            <w:tcW w:w="3194" w:type="dxa"/>
            <w:gridSpan w:val="2"/>
            <w:tcBorders>
              <w:bottom w:val="single" w:sz="12" w:space="0" w:color="auto"/>
            </w:tcBorders>
          </w:tcPr>
          <w:p w:rsidR="00BC7D84" w:rsidRPr="003251EA" w:rsidRDefault="00BC7D84" w:rsidP="004270D2">
            <w:pPr>
              <w:spacing w:before="0"/>
              <w:rPr>
                <w:sz w:val="20"/>
              </w:rPr>
            </w:pPr>
          </w:p>
        </w:tc>
      </w:tr>
      <w:tr w:rsidR="00BC7D84" w:rsidRPr="003251EA" w:rsidTr="00F00DDC">
        <w:trPr>
          <w:cantSplit/>
        </w:trPr>
        <w:tc>
          <w:tcPr>
            <w:tcW w:w="6617" w:type="dxa"/>
            <w:gridSpan w:val="2"/>
            <w:tcBorders>
              <w:top w:val="single" w:sz="12" w:space="0" w:color="auto"/>
            </w:tcBorders>
          </w:tcPr>
          <w:p w:rsidR="00BC7D84" w:rsidRPr="003251EA" w:rsidRDefault="00BC7D84" w:rsidP="004270D2">
            <w:pPr>
              <w:spacing w:before="0"/>
              <w:rPr>
                <w:sz w:val="20"/>
              </w:rPr>
            </w:pPr>
          </w:p>
        </w:tc>
        <w:tc>
          <w:tcPr>
            <w:tcW w:w="3194" w:type="dxa"/>
            <w:gridSpan w:val="2"/>
          </w:tcPr>
          <w:p w:rsidR="00BC7D84" w:rsidRPr="003251EA" w:rsidRDefault="00BC7D84" w:rsidP="004270D2">
            <w:pPr>
              <w:spacing w:before="0"/>
              <w:rPr>
                <w:rFonts w:ascii="Verdana" w:hAnsi="Verdana"/>
                <w:b/>
                <w:bCs/>
                <w:sz w:val="20"/>
              </w:rPr>
            </w:pPr>
          </w:p>
        </w:tc>
      </w:tr>
      <w:tr w:rsidR="00BC7D84" w:rsidRPr="003251EA" w:rsidTr="00F00DDC">
        <w:trPr>
          <w:cantSplit/>
        </w:trPr>
        <w:tc>
          <w:tcPr>
            <w:tcW w:w="6617" w:type="dxa"/>
            <w:gridSpan w:val="2"/>
          </w:tcPr>
          <w:p w:rsidR="00BC7D84" w:rsidRPr="00420EDB" w:rsidRDefault="00AB416A" w:rsidP="004270D2">
            <w:pPr>
              <w:pStyle w:val="Committee"/>
              <w:spacing w:line="240" w:lineRule="auto"/>
            </w:pPr>
            <w:r>
              <w:t>PLENARY MEETING</w:t>
            </w:r>
          </w:p>
        </w:tc>
        <w:tc>
          <w:tcPr>
            <w:tcW w:w="3194" w:type="dxa"/>
            <w:gridSpan w:val="2"/>
          </w:tcPr>
          <w:p w:rsidR="00BC7D84" w:rsidRPr="003251EA" w:rsidRDefault="00BC7D84" w:rsidP="004270D2">
            <w:pPr>
              <w:pStyle w:val="Docnumber"/>
              <w:ind w:left="-57"/>
            </w:pPr>
            <w:r>
              <w:t>Document 54</w:t>
            </w:r>
            <w:r w:rsidRPr="0056747D">
              <w:t>-</w:t>
            </w:r>
            <w:r w:rsidRPr="003251EA">
              <w:t>E</w:t>
            </w:r>
          </w:p>
        </w:tc>
      </w:tr>
      <w:tr w:rsidR="00BC7D84" w:rsidRPr="003251EA" w:rsidTr="00F00DDC">
        <w:trPr>
          <w:cantSplit/>
        </w:trPr>
        <w:tc>
          <w:tcPr>
            <w:tcW w:w="6617" w:type="dxa"/>
            <w:gridSpan w:val="2"/>
          </w:tcPr>
          <w:p w:rsidR="00BC7D84" w:rsidRPr="003251EA" w:rsidRDefault="00BC7D84" w:rsidP="004270D2">
            <w:pPr>
              <w:spacing w:before="0"/>
              <w:rPr>
                <w:sz w:val="20"/>
              </w:rPr>
            </w:pPr>
          </w:p>
        </w:tc>
        <w:tc>
          <w:tcPr>
            <w:tcW w:w="3194" w:type="dxa"/>
            <w:gridSpan w:val="2"/>
          </w:tcPr>
          <w:p w:rsidR="00BC7D84" w:rsidRPr="003251EA" w:rsidRDefault="00BC7D84" w:rsidP="004270D2">
            <w:pPr>
              <w:pStyle w:val="Docnumber"/>
              <w:ind w:left="-57"/>
            </w:pPr>
            <w:r w:rsidRPr="003251EA">
              <w:t>4 October 2016</w:t>
            </w:r>
          </w:p>
        </w:tc>
      </w:tr>
      <w:tr w:rsidR="00BC7D84" w:rsidRPr="003251EA" w:rsidTr="00F00DDC">
        <w:trPr>
          <w:cantSplit/>
        </w:trPr>
        <w:tc>
          <w:tcPr>
            <w:tcW w:w="6617" w:type="dxa"/>
            <w:gridSpan w:val="2"/>
          </w:tcPr>
          <w:p w:rsidR="00BC7D84" w:rsidRPr="003251EA" w:rsidRDefault="00BC7D84" w:rsidP="004270D2">
            <w:pPr>
              <w:spacing w:before="0"/>
              <w:rPr>
                <w:sz w:val="20"/>
              </w:rPr>
            </w:pPr>
          </w:p>
        </w:tc>
        <w:tc>
          <w:tcPr>
            <w:tcW w:w="3194" w:type="dxa"/>
            <w:gridSpan w:val="2"/>
          </w:tcPr>
          <w:p w:rsidR="00BC7D84" w:rsidRPr="003251EA" w:rsidRDefault="00BC7D84" w:rsidP="004270D2">
            <w:pPr>
              <w:pStyle w:val="Docnumber"/>
              <w:ind w:left="-57"/>
            </w:pPr>
            <w:r w:rsidRPr="003251EA">
              <w:t>Original: Russian</w:t>
            </w:r>
          </w:p>
        </w:tc>
      </w:tr>
      <w:tr w:rsidR="00BC7D84" w:rsidRPr="003251EA" w:rsidTr="00F00DDC">
        <w:trPr>
          <w:cantSplit/>
        </w:trPr>
        <w:tc>
          <w:tcPr>
            <w:tcW w:w="9811" w:type="dxa"/>
            <w:gridSpan w:val="4"/>
          </w:tcPr>
          <w:p w:rsidR="00BC7D84" w:rsidRPr="003251EA" w:rsidRDefault="00BC7D84" w:rsidP="004270D2">
            <w:pPr>
              <w:pStyle w:val="TopHeader"/>
              <w:spacing w:before="0"/>
              <w:rPr>
                <w:sz w:val="20"/>
                <w:szCs w:val="20"/>
              </w:rPr>
            </w:pPr>
          </w:p>
        </w:tc>
      </w:tr>
      <w:tr w:rsidR="00BC7D84" w:rsidRPr="00426748" w:rsidTr="00F00DDC">
        <w:trPr>
          <w:cantSplit/>
        </w:trPr>
        <w:tc>
          <w:tcPr>
            <w:tcW w:w="9811" w:type="dxa"/>
            <w:gridSpan w:val="4"/>
          </w:tcPr>
          <w:p w:rsidR="00BC7D84" w:rsidRPr="00D643B3" w:rsidRDefault="00BC7D84" w:rsidP="004270D2">
            <w:pPr>
              <w:pStyle w:val="Source"/>
              <w:rPr>
                <w:highlight w:val="yellow"/>
              </w:rPr>
            </w:pPr>
            <w:r>
              <w:t>Kazakhstan (Republic of)</w:t>
            </w:r>
          </w:p>
        </w:tc>
      </w:tr>
      <w:tr w:rsidR="00BC7D84" w:rsidRPr="00426748" w:rsidTr="00F00DDC">
        <w:trPr>
          <w:cantSplit/>
        </w:trPr>
        <w:tc>
          <w:tcPr>
            <w:tcW w:w="9811" w:type="dxa"/>
            <w:gridSpan w:val="4"/>
          </w:tcPr>
          <w:p w:rsidR="00BC7D84" w:rsidRPr="00D643B3" w:rsidRDefault="00CA08B7" w:rsidP="004270D2">
            <w:pPr>
              <w:pStyle w:val="Title1"/>
              <w:rPr>
                <w:highlight w:val="yellow"/>
              </w:rPr>
            </w:pPr>
            <w:r w:rsidRPr="00C34596">
              <w:t>Proposals for updating and refining classifiers of types of economic activity and production by type of economic activity in the area of telecommunications/ICT</w:t>
            </w:r>
          </w:p>
        </w:tc>
      </w:tr>
      <w:tr w:rsidR="00BC7D84" w:rsidRPr="00426748" w:rsidTr="00F00DDC">
        <w:trPr>
          <w:cantSplit/>
        </w:trPr>
        <w:tc>
          <w:tcPr>
            <w:tcW w:w="9811" w:type="dxa"/>
            <w:gridSpan w:val="4"/>
          </w:tcPr>
          <w:p w:rsidR="00BC7D84" w:rsidRDefault="00BC7D84" w:rsidP="004270D2">
            <w:pPr>
              <w:pStyle w:val="Title2"/>
            </w:pPr>
          </w:p>
        </w:tc>
      </w:tr>
      <w:tr w:rsidR="00BC7D84" w:rsidRPr="00426748" w:rsidTr="00F00DDC">
        <w:trPr>
          <w:cantSplit/>
        </w:trPr>
        <w:tc>
          <w:tcPr>
            <w:tcW w:w="9811" w:type="dxa"/>
            <w:gridSpan w:val="4"/>
          </w:tcPr>
          <w:p w:rsidR="00BC7D84" w:rsidRPr="00C34596" w:rsidRDefault="00BC7D84" w:rsidP="004270D2">
            <w:pPr>
              <w:pStyle w:val="Agendaitem"/>
              <w:rPr>
                <w:lang w:val="en-US"/>
              </w:rPr>
            </w:pPr>
          </w:p>
        </w:tc>
      </w:tr>
    </w:tbl>
    <w:p w:rsidR="009E1967" w:rsidRDefault="009E1967" w:rsidP="00CA08B7">
      <w:pPr>
        <w:spacing w:before="240"/>
      </w:pPr>
    </w:p>
    <w:tbl>
      <w:tblPr>
        <w:tblpPr w:leftFromText="180" w:rightFromText="180" w:vertAnchor="text" w:tblpY="1"/>
        <w:tblOverlap w:val="never"/>
        <w:tblW w:w="5089" w:type="pct"/>
        <w:tblLayout w:type="fixed"/>
        <w:tblLook w:val="0000" w:firstRow="0" w:lastRow="0" w:firstColumn="0" w:lastColumn="0" w:noHBand="0" w:noVBand="0"/>
      </w:tblPr>
      <w:tblGrid>
        <w:gridCol w:w="1912"/>
        <w:gridCol w:w="7899"/>
      </w:tblGrid>
      <w:tr w:rsidR="002957A7" w:rsidRPr="002957A7" w:rsidTr="00D055D3">
        <w:trPr>
          <w:cantSplit/>
        </w:trPr>
        <w:tc>
          <w:tcPr>
            <w:tcW w:w="1951" w:type="dxa"/>
          </w:tcPr>
          <w:p w:rsidR="009E1967" w:rsidRPr="00426748" w:rsidRDefault="009E1967" w:rsidP="004270D2">
            <w:r w:rsidRPr="008F7104">
              <w:rPr>
                <w:b/>
                <w:bCs/>
              </w:rPr>
              <w:t>Abstract:</w:t>
            </w:r>
          </w:p>
        </w:tc>
        <w:tc>
          <w:tcPr>
            <w:tcW w:w="8079" w:type="dxa"/>
          </w:tcPr>
          <w:p w:rsidR="009E1967" w:rsidRPr="002957A7" w:rsidRDefault="0048094B" w:rsidP="0048094B">
            <w:pPr>
              <w:rPr>
                <w:color w:val="000000" w:themeColor="text1"/>
              </w:rPr>
            </w:pPr>
            <w:sdt>
              <w:sdtPr>
                <w:rPr>
                  <w:iCs/>
                  <w:color w:val="000000" w:themeColor="text1"/>
                </w:rPr>
                <w:alias w:val="Abstract"/>
                <w:tag w:val="Abstract"/>
                <w:id w:val="-939903723"/>
                <w:placeholder>
                  <w:docPart w:val="E6A04320D0824299BD96245E84494D7E"/>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Content>
                <w:r w:rsidRPr="0048094B">
                  <w:rPr>
                    <w:iCs/>
                    <w:color w:val="000000" w:themeColor="text1"/>
                  </w:rPr>
                  <w:t>This contribution considers the need for</w:t>
                </w:r>
                <w:r w:rsidRPr="0048094B">
                  <w:rPr>
                    <w:iCs/>
                    <w:color w:val="000000" w:themeColor="text1"/>
                  </w:rPr>
                  <w:t xml:space="preserve"> </w:t>
                </w:r>
                <w:r w:rsidRPr="0048094B">
                  <w:rPr>
                    <w:iCs/>
                    <w:color w:val="000000" w:themeColor="text1"/>
                  </w:rPr>
                  <w:t>updating classifications of technical-economic information in the area of telecommunications/ICT at the international level.</w:t>
                </w:r>
              </w:sdtContent>
            </w:sdt>
            <w:r w:rsidR="00C34596" w:rsidRPr="00C34596">
              <w:rPr>
                <w:iCs/>
                <w:szCs w:val="24"/>
              </w:rPr>
              <w:t xml:space="preserve"> </w:t>
            </w:r>
          </w:p>
        </w:tc>
      </w:tr>
    </w:tbl>
    <w:p w:rsidR="00CA08B7" w:rsidRPr="00CA08B7" w:rsidRDefault="00F764A3" w:rsidP="002D7382">
      <w:pPr>
        <w:pStyle w:val="Headingb"/>
        <w:spacing w:before="360"/>
      </w:pPr>
      <w:r w:rsidRPr="00CA08B7">
        <w:t>Reasons</w:t>
      </w:r>
    </w:p>
    <w:p w:rsidR="00A460B9" w:rsidRPr="00A460B9" w:rsidRDefault="00A460B9" w:rsidP="00CA08B7">
      <w:pPr>
        <w:spacing w:after="120"/>
        <w:rPr>
          <w:iCs/>
        </w:rPr>
      </w:pPr>
      <w:r w:rsidRPr="00A460B9">
        <w:rPr>
          <w:iCs/>
        </w:rPr>
        <w:t>National classifiers of technical-economic information are used for the purpose of harmonizing technical, economic and social information in a form suitable for automated processing and eliminating linguistic barriers when identifying a given object.</w:t>
      </w:r>
    </w:p>
    <w:p w:rsidR="00A460B9" w:rsidRPr="00A460B9" w:rsidRDefault="00A460B9" w:rsidP="00CA08B7">
      <w:pPr>
        <w:spacing w:after="120"/>
        <w:rPr>
          <w:iCs/>
        </w:rPr>
      </w:pPr>
      <w:r w:rsidRPr="00A460B9">
        <w:rPr>
          <w:iCs/>
        </w:rPr>
        <w:t>National classifiers of technical and economic information must be harmonized with the corresponding international classifiers.</w:t>
      </w:r>
    </w:p>
    <w:p w:rsidR="00A460B9" w:rsidRPr="00A460B9" w:rsidRDefault="00A460B9" w:rsidP="00CA08B7">
      <w:pPr>
        <w:spacing w:after="120"/>
        <w:rPr>
          <w:iCs/>
        </w:rPr>
      </w:pPr>
      <w:r w:rsidRPr="00A460B9">
        <w:rPr>
          <w:iCs/>
        </w:rPr>
        <w:t>Harmonization of any classifications is normally understood to mean a process of ensuring correspondence/concordance in respect of content, structure, terminology and codes. Bearing in mind that classifications that are fully harmonized among themselves can significantly facilitate comparison of statistical data submitted by different countries and different international and regional organizations in accordance with the classifications they have developed, it is obvious that classifications should be harmonized as far as possible.</w:t>
      </w:r>
    </w:p>
    <w:p w:rsidR="00A460B9" w:rsidRPr="00A460B9" w:rsidRDefault="00A460B9" w:rsidP="00CA08B7">
      <w:pPr>
        <w:spacing w:after="120"/>
        <w:rPr>
          <w:iCs/>
        </w:rPr>
      </w:pPr>
      <w:r w:rsidRPr="00A460B9">
        <w:rPr>
          <w:iCs/>
        </w:rPr>
        <w:t>However, in practice, despite the modifications that have been made, national technical and economic information classifiers in the area of telecommunications/ICT in the RCC Member States have been only partially harmonized and lag behind the international classifiers.</w:t>
      </w:r>
    </w:p>
    <w:p w:rsidR="00A460B9" w:rsidRPr="00A460B9" w:rsidRDefault="00A460B9" w:rsidP="00CA08B7">
      <w:pPr>
        <w:spacing w:after="120"/>
        <w:rPr>
          <w:iCs/>
        </w:rPr>
      </w:pPr>
      <w:r w:rsidRPr="00A460B9">
        <w:rPr>
          <w:iCs/>
        </w:rPr>
        <w:t>For example, it is stated in our General Classification of Economic Activities (</w:t>
      </w:r>
      <w:r w:rsidRPr="00A460B9">
        <w:rPr>
          <w:i/>
          <w:lang w:val="ru-RU"/>
        </w:rPr>
        <w:t>ОКЭД</w:t>
      </w:r>
      <w:r w:rsidRPr="00A460B9">
        <w:rPr>
          <w:iCs/>
        </w:rPr>
        <w:t xml:space="preserve">) that the classifier includes the authentic text of the European Community Classification of Economic </w:t>
      </w:r>
      <w:r w:rsidRPr="00A460B9">
        <w:rPr>
          <w:iCs/>
        </w:rPr>
        <w:lastRenderedPageBreak/>
        <w:t>activities (NACE Rev.2 “Statistical classification of economic activities in the European Community” / Regulation No. 1893/2006). The Classification of Products by Economic Activity (</w:t>
      </w:r>
      <w:r w:rsidRPr="00A460B9">
        <w:rPr>
          <w:i/>
          <w:lang w:val="ru-RU"/>
        </w:rPr>
        <w:t>КПВЭД</w:t>
      </w:r>
      <w:r w:rsidRPr="00A460B9">
        <w:rPr>
          <w:iCs/>
        </w:rPr>
        <w:t>) also indicates that it is identical to the European Union Classification of Products by Activity (CPA 2008).</w:t>
      </w:r>
    </w:p>
    <w:p w:rsidR="00A460B9" w:rsidRPr="00A460B9" w:rsidRDefault="00A460B9" w:rsidP="00CA08B7">
      <w:pPr>
        <w:spacing w:after="120"/>
        <w:rPr>
          <w:iCs/>
        </w:rPr>
      </w:pPr>
      <w:r w:rsidRPr="00A460B9">
        <w:rPr>
          <w:iCs/>
        </w:rPr>
        <w:t xml:space="preserve">However, the national Classification of Economic Activities and Classification of Products by Economic Activity contain translation errors in relation to the original. In the original versions of the NACE Rev.2 </w:t>
      </w:r>
      <w:r w:rsidRPr="00A460B9">
        <w:rPr>
          <w:iCs/>
          <w:lang w:val="ru-RU"/>
        </w:rPr>
        <w:t>и</w:t>
      </w:r>
      <w:r w:rsidRPr="00A460B9">
        <w:rPr>
          <w:iCs/>
        </w:rPr>
        <w:t xml:space="preserve"> CPA 2008 in English, we have the following section headings: </w:t>
      </w:r>
      <w:r w:rsidRPr="00A460B9">
        <w:rPr>
          <w:i/>
        </w:rPr>
        <w:t>J. Information and communication</w:t>
      </w:r>
      <w:r w:rsidRPr="00A460B9">
        <w:rPr>
          <w:iCs/>
        </w:rPr>
        <w:t xml:space="preserve">, subsection 61 </w:t>
      </w:r>
      <w:r w:rsidRPr="00A460B9">
        <w:rPr>
          <w:i/>
        </w:rPr>
        <w:t>Telecommunications</w:t>
      </w:r>
      <w:r w:rsidRPr="00A460B9">
        <w:rPr>
          <w:iCs/>
        </w:rPr>
        <w:t>. In the Classification of Economic Activities and Classification of Products, the heading of section J in Russian (“</w:t>
      </w:r>
      <w:r w:rsidRPr="00A460B9">
        <w:rPr>
          <w:i/>
          <w:lang w:val="ru-RU"/>
        </w:rPr>
        <w:t>Информация</w:t>
      </w:r>
      <w:r w:rsidRPr="00A460B9">
        <w:rPr>
          <w:i/>
        </w:rPr>
        <w:t xml:space="preserve"> </w:t>
      </w:r>
      <w:r w:rsidRPr="00A460B9">
        <w:rPr>
          <w:i/>
          <w:lang w:val="ru-RU"/>
        </w:rPr>
        <w:t>и</w:t>
      </w:r>
      <w:r w:rsidRPr="00A460B9">
        <w:rPr>
          <w:i/>
        </w:rPr>
        <w:t xml:space="preserve"> </w:t>
      </w:r>
      <w:r w:rsidRPr="00A460B9">
        <w:rPr>
          <w:i/>
          <w:lang w:val="ru-RU"/>
        </w:rPr>
        <w:t>связь</w:t>
      </w:r>
      <w:r w:rsidRPr="00A460B9">
        <w:rPr>
          <w:iCs/>
        </w:rPr>
        <w:t>”) exactly matches the European text, but subsection 61 is translated incorrectly as “</w:t>
      </w:r>
      <w:r w:rsidRPr="00A460B9">
        <w:rPr>
          <w:iCs/>
          <w:lang w:val="ru-RU"/>
        </w:rPr>
        <w:t>Связь</w:t>
      </w:r>
      <w:r w:rsidRPr="00A460B9">
        <w:rPr>
          <w:iCs/>
        </w:rPr>
        <w:t>” when it should be “</w:t>
      </w:r>
      <w:r w:rsidRPr="00A460B9">
        <w:rPr>
          <w:bCs/>
          <w:iCs/>
          <w:lang w:val="ru-RU"/>
        </w:rPr>
        <w:t>Электросвяз</w:t>
      </w:r>
      <w:r w:rsidRPr="00A460B9">
        <w:rPr>
          <w:iCs/>
          <w:lang w:val="ru-RU"/>
        </w:rPr>
        <w:t>ь</w:t>
      </w:r>
      <w:r w:rsidRPr="00A460B9">
        <w:rPr>
          <w:bCs/>
          <w:i/>
        </w:rPr>
        <w:t>” (“</w:t>
      </w:r>
      <w:r w:rsidRPr="00A460B9">
        <w:rPr>
          <w:bCs/>
          <w:iCs/>
          <w:lang w:val="ru-RU"/>
        </w:rPr>
        <w:t>телекоммуникация</w:t>
      </w:r>
      <w:r w:rsidRPr="00A460B9">
        <w:rPr>
          <w:bCs/>
          <w:i/>
        </w:rPr>
        <w:t>”).</w:t>
      </w:r>
    </w:p>
    <w:p w:rsidR="00A460B9" w:rsidRPr="00A460B9" w:rsidRDefault="00A460B9" w:rsidP="00CA08B7">
      <w:pPr>
        <w:spacing w:after="120"/>
        <w:rPr>
          <w:iCs/>
        </w:rPr>
      </w:pPr>
      <w:r w:rsidRPr="00A460B9">
        <w:rPr>
          <w:iCs/>
        </w:rPr>
        <w:t>The classifications of activities and services adopted in the national Classification of Economic Activities and the Classification of Products do not correspond to the current level of development of technology or cutting-edge experience as regards the development of telecommunications, given the failure to update European classifications for technical-economic information in the sphere of telecommunications/ICT.</w:t>
      </w:r>
    </w:p>
    <w:p w:rsidR="00A460B9" w:rsidRPr="00A460B9" w:rsidRDefault="00A460B9" w:rsidP="00CA08B7">
      <w:pPr>
        <w:spacing w:after="120"/>
        <w:rPr>
          <w:iCs/>
        </w:rPr>
      </w:pPr>
      <w:r w:rsidRPr="00A460B9">
        <w:rPr>
          <w:iCs/>
        </w:rPr>
        <w:t>For example, the Classification of Products by Economic Activity (</w:t>
      </w:r>
      <w:r w:rsidRPr="00A460B9">
        <w:rPr>
          <w:iCs/>
          <w:lang w:val="ru-RU"/>
        </w:rPr>
        <w:t>КПВЭД</w:t>
      </w:r>
      <w:r w:rsidRPr="00A460B9">
        <w:rPr>
          <w:iCs/>
        </w:rPr>
        <w:t>)</w:t>
      </w:r>
      <w:r w:rsidR="00580655">
        <w:rPr>
          <w:iCs/>
        </w:rPr>
        <w:t xml:space="preserve"> </w:t>
      </w:r>
      <w:r w:rsidRPr="00A460B9">
        <w:rPr>
          <w:iCs/>
        </w:rPr>
        <w:t>uses an obsolete division of services into “wire” and “wireless” services, which is unacceptable today as telecommunication service</w:t>
      </w:r>
      <w:r>
        <w:rPr>
          <w:iCs/>
        </w:rPr>
        <w:t>s</w:t>
      </w:r>
      <w:r w:rsidRPr="00A460B9">
        <w:rPr>
          <w:iCs/>
        </w:rPr>
        <w:t xml:space="preserve"> are no longer organized strictly along those lines.</w:t>
      </w:r>
    </w:p>
    <w:p w:rsidR="00A460B9" w:rsidRPr="00A460B9" w:rsidRDefault="00A460B9" w:rsidP="00CA08B7">
      <w:pPr>
        <w:spacing w:after="120"/>
        <w:rPr>
          <w:iCs/>
        </w:rPr>
      </w:pPr>
      <w:r w:rsidRPr="00A460B9">
        <w:rPr>
          <w:iCs/>
        </w:rPr>
        <w:t>Indeed, as early as 2005 the Statistics Division of the United Nations Department of Economic and Social Affairs, in the light of rapid advances in technology and trends in demands for telecommunication/ICT</w:t>
      </w:r>
      <w:r w:rsidR="00580655">
        <w:rPr>
          <w:iCs/>
        </w:rPr>
        <w:t xml:space="preserve"> </w:t>
      </w:r>
      <w:r w:rsidRPr="00A460B9">
        <w:rPr>
          <w:iCs/>
        </w:rPr>
        <w:t>goods and services, changed the applicable terms to “fixed” and “mobile” telecommunication services.</w:t>
      </w:r>
    </w:p>
    <w:p w:rsidR="00A460B9" w:rsidRPr="00A460B9" w:rsidRDefault="00A460B9" w:rsidP="00CA08B7">
      <w:pPr>
        <w:spacing w:after="120"/>
        <w:rPr>
          <w:iCs/>
        </w:rPr>
      </w:pPr>
      <w:r w:rsidRPr="00A460B9">
        <w:rPr>
          <w:iCs/>
        </w:rPr>
        <w:t>In addition, the national Classification of Economic Activities and the Classification of Products by Economic Activity do not include new types of activity and modern “</w:t>
      </w:r>
      <w:proofErr w:type="spellStart"/>
      <w:r w:rsidRPr="00A460B9">
        <w:rPr>
          <w:iCs/>
        </w:rPr>
        <w:t>infocommuncation</w:t>
      </w:r>
      <w:proofErr w:type="spellEnd"/>
      <w:r w:rsidRPr="00A460B9">
        <w:rPr>
          <w:iCs/>
        </w:rPr>
        <w:t xml:space="preserve">” services, and this creates administrative barriers to innovative development of </w:t>
      </w:r>
      <w:proofErr w:type="spellStart"/>
      <w:r w:rsidRPr="00A460B9">
        <w:rPr>
          <w:iCs/>
        </w:rPr>
        <w:t>infocommunications</w:t>
      </w:r>
      <w:proofErr w:type="spellEnd"/>
      <w:r w:rsidRPr="00A460B9">
        <w:rPr>
          <w:iCs/>
        </w:rPr>
        <w:t>.</w:t>
      </w:r>
    </w:p>
    <w:p w:rsidR="00A460B9" w:rsidRPr="00A460B9" w:rsidRDefault="00A460B9" w:rsidP="00CA08B7">
      <w:pPr>
        <w:spacing w:after="120"/>
        <w:rPr>
          <w:iCs/>
        </w:rPr>
      </w:pPr>
      <w:r w:rsidRPr="00A460B9">
        <w:rPr>
          <w:iCs/>
        </w:rPr>
        <w:t>The situation as regards the national Classification of Economic activities and the Classification of Products by Economic Activity is aggravated by the fact that the non-professional translation of classifications from English creates problems with regard to the understanding of basic concepts, subjects and principles of classification of technical-economic information.</w:t>
      </w:r>
    </w:p>
    <w:p w:rsidR="00A460B9" w:rsidRPr="00A460B9" w:rsidRDefault="00A460B9" w:rsidP="00CA08B7">
      <w:pPr>
        <w:spacing w:after="120"/>
        <w:rPr>
          <w:iCs/>
        </w:rPr>
      </w:pPr>
      <w:r w:rsidRPr="00A460B9">
        <w:rPr>
          <w:iCs/>
        </w:rPr>
        <w:t xml:space="preserve">This situation is the result of inadequate coordination in matters of updating classifications of technical-economic information in the area of telecommunications/ICT at the international level, in particular on the part of ITU, the International Organization for Standardization and the Statistics Division of the United Nations Department of Economic and Social Affairs. </w:t>
      </w:r>
    </w:p>
    <w:p w:rsidR="00A460B9" w:rsidRDefault="00A460B9" w:rsidP="00CA08B7">
      <w:pPr>
        <w:spacing w:before="360" w:after="120"/>
        <w:rPr>
          <w:b/>
        </w:rPr>
      </w:pPr>
      <w:r w:rsidRPr="00A460B9">
        <w:rPr>
          <w:b/>
        </w:rPr>
        <w:t>Proposal</w:t>
      </w:r>
    </w:p>
    <w:p w:rsidR="00560906" w:rsidRDefault="00560906" w:rsidP="00560906">
      <w:pPr>
        <w:pStyle w:val="Proposal"/>
      </w:pPr>
      <w:r>
        <w:tab/>
        <w:t>KAZ/54/1</w:t>
      </w:r>
    </w:p>
    <w:p w:rsidR="00A460B9" w:rsidRPr="00A460B9" w:rsidRDefault="00A460B9" w:rsidP="00560906">
      <w:r w:rsidRPr="00A460B9">
        <w:t>It is proposed to request the ITU-T Telecommunication Standardization Bureau together with the ITU-D Telecommunication Development Bureau to:</w:t>
      </w:r>
    </w:p>
    <w:p w:rsidR="00A460B9" w:rsidRPr="00A460B9" w:rsidRDefault="00A460B9" w:rsidP="00560906">
      <w:pPr>
        <w:pStyle w:val="enumlev1"/>
      </w:pPr>
      <w:r w:rsidRPr="00A460B9">
        <w:t>1</w:t>
      </w:r>
      <w:r w:rsidR="00560906">
        <w:t>)</w:t>
      </w:r>
      <w:r w:rsidRPr="00A460B9">
        <w:tab/>
        <w:t>Strengthen coordination with other international organizations in updating international classifications of technical-economic information in the area of telecommunications/ICT using the harmonized concepts in that field adopted in ITU Recommendations.</w:t>
      </w:r>
    </w:p>
    <w:p w:rsidR="00A460B9" w:rsidRPr="00A460B9" w:rsidRDefault="00A460B9" w:rsidP="00560906">
      <w:pPr>
        <w:pStyle w:val="enumlev1"/>
      </w:pPr>
      <w:r w:rsidRPr="00A460B9">
        <w:t>2</w:t>
      </w:r>
      <w:r w:rsidR="00560906">
        <w:t>)</w:t>
      </w:r>
      <w:r w:rsidRPr="00A460B9">
        <w:tab/>
        <w:t>Assist Member States concerned in attracting highly qualified specialists for the purpose of correcting errors and discrepancies in national and departmental classifications of technical-economic information and statistical forms in the area of telecommunications/ICT in RCC Member States, taking account of international experience in this field.</w:t>
      </w:r>
    </w:p>
    <w:p w:rsidR="00A460B9" w:rsidRPr="00A460B9" w:rsidRDefault="00A460B9" w:rsidP="00560906">
      <w:pPr>
        <w:pStyle w:val="enumlev1"/>
      </w:pPr>
      <w:r w:rsidRPr="00A460B9">
        <w:t>3</w:t>
      </w:r>
      <w:r w:rsidR="00560906">
        <w:t>)</w:t>
      </w:r>
      <w:r w:rsidRPr="00A460B9">
        <w:tab/>
        <w:t>When developing international classifications of telecommunication/ICT services, recommend the use of the latest version of the Central Product Classification CPC (Ver. 2.1) of 11</w:t>
      </w:r>
      <w:r w:rsidR="00AE450E">
        <w:t> </w:t>
      </w:r>
      <w:r w:rsidRPr="00A460B9">
        <w:t>August 2015, as approved by the United Nations Department of Economic and Social Affairs Statistics Division.</w:t>
      </w:r>
    </w:p>
    <w:p w:rsidR="00A460B9" w:rsidRPr="00EE18EF" w:rsidRDefault="00034420" w:rsidP="00EE18EF">
      <w:pPr>
        <w:rPr>
          <w:bCs/>
          <w:i/>
          <w:iCs/>
        </w:rPr>
      </w:pPr>
      <w:hyperlink r:id="rId11" w:history="1">
        <w:r w:rsidR="00A460B9" w:rsidRPr="00EE18EF">
          <w:rPr>
            <w:rStyle w:val="Hyperlink"/>
            <w:bCs/>
            <w:i/>
            <w:iCs/>
          </w:rPr>
          <w:t>http://unstats.un.org/unsd/cr/registry/regdntransfer.asp?f=284</w:t>
        </w:r>
      </w:hyperlink>
      <w:r w:rsidR="00A460B9" w:rsidRPr="00EE18EF">
        <w:rPr>
          <w:bCs/>
          <w:i/>
          <w:iCs/>
          <w:u w:val="single"/>
        </w:rPr>
        <w:t>.</w:t>
      </w:r>
      <w:r w:rsidR="00A460B9" w:rsidRPr="00EE18EF">
        <w:rPr>
          <w:b/>
          <w:bCs/>
          <w:i/>
          <w:iCs/>
        </w:rPr>
        <w:t xml:space="preserve"> </w:t>
      </w:r>
    </w:p>
    <w:p w:rsidR="00A460B9" w:rsidRPr="00A460B9" w:rsidRDefault="00A460B9" w:rsidP="00EE18EF">
      <w:r w:rsidRPr="00A460B9">
        <w:t>Correspondence of CPC v.2.1 and ISIC Rev.4 codes is ensured by the CPC v.2.1 to ISIC Rev.4 transition keys provided.</w:t>
      </w:r>
    </w:p>
    <w:p w:rsidR="00310D57" w:rsidRDefault="00310D57" w:rsidP="004270D2">
      <w:pPr>
        <w:pStyle w:val="Reasons"/>
      </w:pPr>
    </w:p>
    <w:p w:rsidR="00A460B9" w:rsidRDefault="00A460B9" w:rsidP="00CA08B7">
      <w:pPr>
        <w:jc w:val="center"/>
      </w:pPr>
      <w:r>
        <w:t>_______________</w:t>
      </w:r>
    </w:p>
    <w:sectPr w:rsidR="00A460B9">
      <w:headerReference w:type="default" r:id="rId12"/>
      <w:footerReference w:type="even" r:id="rId13"/>
      <w:footerReference w:type="default" r:id="rId14"/>
      <w:footerReference w:type="first" r:id="rId15"/>
      <w:type w:val="nextColumn"/>
      <w:pgSz w:w="11907" w:h="16840" w:code="9"/>
      <w:pgMar w:top="1418" w:right="1134" w:bottom="1418"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7499" w:rsidRDefault="00507499">
      <w:r>
        <w:separator/>
      </w:r>
    </w:p>
  </w:endnote>
  <w:endnote w:type="continuationSeparator" w:id="0">
    <w:p w:rsidR="00507499" w:rsidRDefault="005074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D05" w:rsidRDefault="00E45D05">
    <w:pPr>
      <w:framePr w:wrap="around" w:vAnchor="text" w:hAnchor="margin" w:xAlign="right" w:y="1"/>
    </w:pPr>
    <w:r>
      <w:fldChar w:fldCharType="begin"/>
    </w:r>
    <w:r>
      <w:instrText xml:space="preserve">PAGE  </w:instrText>
    </w:r>
    <w:r>
      <w:fldChar w:fldCharType="end"/>
    </w:r>
  </w:p>
  <w:p w:rsidR="00E45D05" w:rsidRPr="00C34596" w:rsidRDefault="00E45D05">
    <w:pPr>
      <w:ind w:right="360"/>
      <w:rPr>
        <w:lang w:val="fr-CH"/>
      </w:rPr>
    </w:pPr>
    <w:r>
      <w:fldChar w:fldCharType="begin"/>
    </w:r>
    <w:r w:rsidRPr="00C34596">
      <w:rPr>
        <w:lang w:val="fr-CH"/>
      </w:rPr>
      <w:instrText xml:space="preserve"> FILENAME \p  \* MERGEFORMAT </w:instrText>
    </w:r>
    <w:r>
      <w:fldChar w:fldCharType="separate"/>
    </w:r>
    <w:r w:rsidR="00560906">
      <w:rPr>
        <w:noProof/>
        <w:lang w:val="fr-CH"/>
      </w:rPr>
      <w:t>P:\ENG\ITU-T\CONF-T\WTSA16\000\054E.docx</w:t>
    </w:r>
    <w:r>
      <w:fldChar w:fldCharType="end"/>
    </w:r>
    <w:r w:rsidRPr="00C34596">
      <w:rPr>
        <w:lang w:val="fr-CH"/>
      </w:rPr>
      <w:tab/>
    </w:r>
    <w:r>
      <w:fldChar w:fldCharType="begin"/>
    </w:r>
    <w:r>
      <w:instrText xml:space="preserve"> SAVEDATE \@ DD.MM.YY </w:instrText>
    </w:r>
    <w:r>
      <w:fldChar w:fldCharType="separate"/>
    </w:r>
    <w:r w:rsidR="0048094B">
      <w:rPr>
        <w:noProof/>
      </w:rPr>
      <w:t>12.10.16</w:t>
    </w:r>
    <w:r>
      <w:fldChar w:fldCharType="end"/>
    </w:r>
    <w:r w:rsidRPr="00C34596">
      <w:rPr>
        <w:lang w:val="fr-CH"/>
      </w:rPr>
      <w:tab/>
    </w:r>
    <w:r>
      <w:fldChar w:fldCharType="begin"/>
    </w:r>
    <w:r>
      <w:instrText xml:space="preserve"> PRINTDATE \@ DD.MM.YY </w:instrText>
    </w:r>
    <w:r>
      <w:fldChar w:fldCharType="separate"/>
    </w:r>
    <w:r w:rsidR="00560906">
      <w:rPr>
        <w:noProof/>
      </w:rPr>
      <w:t>11.10.16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2D5C" w:rsidRPr="00C34596" w:rsidRDefault="00F764A3" w:rsidP="00F764A3">
    <w:pPr>
      <w:pStyle w:val="Footer"/>
      <w:rPr>
        <w:lang w:val="fr-CH"/>
      </w:rPr>
    </w:pPr>
    <w:r>
      <w:fldChar w:fldCharType="begin"/>
    </w:r>
    <w:r w:rsidRPr="00C34596">
      <w:rPr>
        <w:lang w:val="fr-CH"/>
      </w:rPr>
      <w:instrText xml:space="preserve"> FILENAME \p  \* MERGEFORMAT </w:instrText>
    </w:r>
    <w:r>
      <w:fldChar w:fldCharType="separate"/>
    </w:r>
    <w:r w:rsidR="00560906">
      <w:rPr>
        <w:lang w:val="fr-CH"/>
      </w:rPr>
      <w:t>P:\ENG\ITU-T\CONF-T\WTSA16\000\054E.docx</w:t>
    </w:r>
    <w:r>
      <w:fldChar w:fldCharType="end"/>
    </w:r>
    <w:r w:rsidRPr="00C34596">
      <w:rPr>
        <w:lang w:val="fr-CH"/>
      </w:rPr>
      <w:t xml:space="preserve"> (406220)</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CD2" w:rsidRPr="00C34596" w:rsidRDefault="00D54F86" w:rsidP="00F764A3">
    <w:pPr>
      <w:pStyle w:val="Footer"/>
      <w:rPr>
        <w:lang w:val="fr-CH"/>
      </w:rPr>
    </w:pPr>
    <w:r>
      <w:fldChar w:fldCharType="begin"/>
    </w:r>
    <w:r w:rsidRPr="00C34596">
      <w:rPr>
        <w:lang w:val="fr-CH"/>
      </w:rPr>
      <w:instrText xml:space="preserve"> FILENAME \p  \* MERGEFORMAT </w:instrText>
    </w:r>
    <w:r>
      <w:fldChar w:fldCharType="separate"/>
    </w:r>
    <w:r w:rsidR="00560906">
      <w:rPr>
        <w:lang w:val="fr-CH"/>
      </w:rPr>
      <w:t>P:\ENG\ITU-T\CONF-T\WTSA16\000\054E.docx</w:t>
    </w:r>
    <w:r>
      <w:fldChar w:fldCharType="end"/>
    </w:r>
    <w:r w:rsidR="00F764A3" w:rsidRPr="00C34596">
      <w:rPr>
        <w:lang w:val="fr-CH"/>
      </w:rPr>
      <w:t xml:space="preserve"> (406220)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7499" w:rsidRDefault="00507499">
      <w:r>
        <w:rPr>
          <w:b/>
        </w:rPr>
        <w:t>_______________</w:t>
      </w:r>
    </w:p>
  </w:footnote>
  <w:footnote w:type="continuationSeparator" w:id="0">
    <w:p w:rsidR="00507499" w:rsidRDefault="005074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2D5C" w:rsidRDefault="00C72D5C" w:rsidP="00C72D5C">
    <w:pPr>
      <w:pStyle w:val="Header"/>
    </w:pPr>
    <w:r>
      <w:fldChar w:fldCharType="begin"/>
    </w:r>
    <w:r>
      <w:instrText xml:space="preserve"> PAGE  \* MERGEFORMAT </w:instrText>
    </w:r>
    <w:r>
      <w:fldChar w:fldCharType="separate"/>
    </w:r>
    <w:r w:rsidR="00034420">
      <w:rPr>
        <w:noProof/>
      </w:rPr>
      <w:t>3</w:t>
    </w:r>
    <w:r>
      <w:fldChar w:fldCharType="end"/>
    </w:r>
  </w:p>
  <w:p w:rsidR="00A066F1" w:rsidRPr="00C72D5C" w:rsidRDefault="00C72D5C" w:rsidP="008E67E5">
    <w:pPr>
      <w:pStyle w:val="Header"/>
    </w:pPr>
    <w:r>
      <w:t>WTSA16/</w:t>
    </w:r>
    <w:r w:rsidR="008E67E5">
      <w:t>54-E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7715AC3A-DA2B-412A-8949-F8DF0577FA4D}"/>
    <w:docVar w:name="dgnword-eventsink" w:val="315179680"/>
  </w:docVars>
  <w:rsids>
    <w:rsidRoot w:val="00A066F1"/>
    <w:rsid w:val="000041EA"/>
    <w:rsid w:val="00022A29"/>
    <w:rsid w:val="00034420"/>
    <w:rsid w:val="000355FD"/>
    <w:rsid w:val="00051E39"/>
    <w:rsid w:val="00063D0B"/>
    <w:rsid w:val="00077239"/>
    <w:rsid w:val="000807E9"/>
    <w:rsid w:val="00086491"/>
    <w:rsid w:val="00091346"/>
    <w:rsid w:val="0009706C"/>
    <w:rsid w:val="000F73FF"/>
    <w:rsid w:val="00114CF7"/>
    <w:rsid w:val="00123B68"/>
    <w:rsid w:val="00126F2E"/>
    <w:rsid w:val="001301F4"/>
    <w:rsid w:val="00130789"/>
    <w:rsid w:val="00137CF6"/>
    <w:rsid w:val="00146F6F"/>
    <w:rsid w:val="00161472"/>
    <w:rsid w:val="0017074E"/>
    <w:rsid w:val="00182117"/>
    <w:rsid w:val="00187BD9"/>
    <w:rsid w:val="00190B55"/>
    <w:rsid w:val="001C3B5F"/>
    <w:rsid w:val="001D058F"/>
    <w:rsid w:val="001E6F73"/>
    <w:rsid w:val="002009EA"/>
    <w:rsid w:val="00202CA0"/>
    <w:rsid w:val="00216B6D"/>
    <w:rsid w:val="00236EBA"/>
    <w:rsid w:val="00245127"/>
    <w:rsid w:val="00250AF4"/>
    <w:rsid w:val="00260B50"/>
    <w:rsid w:val="00263BE8"/>
    <w:rsid w:val="00271316"/>
    <w:rsid w:val="00290F83"/>
    <w:rsid w:val="002957A7"/>
    <w:rsid w:val="002A1D23"/>
    <w:rsid w:val="002A5392"/>
    <w:rsid w:val="002B100E"/>
    <w:rsid w:val="002D58BE"/>
    <w:rsid w:val="002D7382"/>
    <w:rsid w:val="00310D57"/>
    <w:rsid w:val="00316B80"/>
    <w:rsid w:val="003251EA"/>
    <w:rsid w:val="0034635C"/>
    <w:rsid w:val="00377BD3"/>
    <w:rsid w:val="00384088"/>
    <w:rsid w:val="0039169B"/>
    <w:rsid w:val="00394470"/>
    <w:rsid w:val="003A7F8C"/>
    <w:rsid w:val="003B532E"/>
    <w:rsid w:val="003D0F8B"/>
    <w:rsid w:val="0041348E"/>
    <w:rsid w:val="00420EDB"/>
    <w:rsid w:val="004270D2"/>
    <w:rsid w:val="004373CA"/>
    <w:rsid w:val="004420C9"/>
    <w:rsid w:val="00465799"/>
    <w:rsid w:val="00471EF9"/>
    <w:rsid w:val="0048094B"/>
    <w:rsid w:val="00492075"/>
    <w:rsid w:val="004969AD"/>
    <w:rsid w:val="004A26C4"/>
    <w:rsid w:val="004B13CB"/>
    <w:rsid w:val="004B4AAE"/>
    <w:rsid w:val="004C6FBE"/>
    <w:rsid w:val="004D5D5C"/>
    <w:rsid w:val="004D6DFC"/>
    <w:rsid w:val="0050139F"/>
    <w:rsid w:val="00507499"/>
    <w:rsid w:val="0055140B"/>
    <w:rsid w:val="00553247"/>
    <w:rsid w:val="00560906"/>
    <w:rsid w:val="0056747D"/>
    <w:rsid w:val="00580655"/>
    <w:rsid w:val="00581B01"/>
    <w:rsid w:val="00595780"/>
    <w:rsid w:val="005964AB"/>
    <w:rsid w:val="005C099A"/>
    <w:rsid w:val="005C31A5"/>
    <w:rsid w:val="005E10C9"/>
    <w:rsid w:val="005E61DD"/>
    <w:rsid w:val="006023DF"/>
    <w:rsid w:val="00602F64"/>
    <w:rsid w:val="00623F15"/>
    <w:rsid w:val="00643684"/>
    <w:rsid w:val="00657DE0"/>
    <w:rsid w:val="0067500B"/>
    <w:rsid w:val="006763BF"/>
    <w:rsid w:val="00681402"/>
    <w:rsid w:val="00685313"/>
    <w:rsid w:val="00692833"/>
    <w:rsid w:val="006A6E9B"/>
    <w:rsid w:val="006A72A4"/>
    <w:rsid w:val="006B7C2A"/>
    <w:rsid w:val="006C23DA"/>
    <w:rsid w:val="006D5B96"/>
    <w:rsid w:val="006E3D45"/>
    <w:rsid w:val="006E6EE0"/>
    <w:rsid w:val="00700547"/>
    <w:rsid w:val="00707E39"/>
    <w:rsid w:val="007149F9"/>
    <w:rsid w:val="00733A30"/>
    <w:rsid w:val="00742F1D"/>
    <w:rsid w:val="00745AEE"/>
    <w:rsid w:val="00750F10"/>
    <w:rsid w:val="00761B19"/>
    <w:rsid w:val="007742CA"/>
    <w:rsid w:val="00790D70"/>
    <w:rsid w:val="007D5320"/>
    <w:rsid w:val="007E51BA"/>
    <w:rsid w:val="007E66EA"/>
    <w:rsid w:val="007F3C67"/>
    <w:rsid w:val="007F77F4"/>
    <w:rsid w:val="00800972"/>
    <w:rsid w:val="00804475"/>
    <w:rsid w:val="00811633"/>
    <w:rsid w:val="008508D8"/>
    <w:rsid w:val="00864CD2"/>
    <w:rsid w:val="00872FC8"/>
    <w:rsid w:val="008845D0"/>
    <w:rsid w:val="008B1AEA"/>
    <w:rsid w:val="008B43F2"/>
    <w:rsid w:val="008B6CFF"/>
    <w:rsid w:val="008E67E5"/>
    <w:rsid w:val="008F08A1"/>
    <w:rsid w:val="009163CF"/>
    <w:rsid w:val="0092425C"/>
    <w:rsid w:val="009274B4"/>
    <w:rsid w:val="00930EBD"/>
    <w:rsid w:val="00934EA2"/>
    <w:rsid w:val="00940614"/>
    <w:rsid w:val="00944A5C"/>
    <w:rsid w:val="00952A66"/>
    <w:rsid w:val="0095691C"/>
    <w:rsid w:val="009B59BB"/>
    <w:rsid w:val="009C56E5"/>
    <w:rsid w:val="009E1967"/>
    <w:rsid w:val="009E5FC8"/>
    <w:rsid w:val="009E687A"/>
    <w:rsid w:val="009F1890"/>
    <w:rsid w:val="009F4D71"/>
    <w:rsid w:val="00A066F1"/>
    <w:rsid w:val="00A141AF"/>
    <w:rsid w:val="00A16D29"/>
    <w:rsid w:val="00A30305"/>
    <w:rsid w:val="00A31D2D"/>
    <w:rsid w:val="00A36DF9"/>
    <w:rsid w:val="00A41CB8"/>
    <w:rsid w:val="00A4600A"/>
    <w:rsid w:val="00A460B9"/>
    <w:rsid w:val="00A538A6"/>
    <w:rsid w:val="00A54C25"/>
    <w:rsid w:val="00A710E7"/>
    <w:rsid w:val="00A7372E"/>
    <w:rsid w:val="00A93B85"/>
    <w:rsid w:val="00AA0B18"/>
    <w:rsid w:val="00AA666F"/>
    <w:rsid w:val="00AB416A"/>
    <w:rsid w:val="00AB7C5F"/>
    <w:rsid w:val="00AD3850"/>
    <w:rsid w:val="00AE450E"/>
    <w:rsid w:val="00B529AD"/>
    <w:rsid w:val="00B6324B"/>
    <w:rsid w:val="00B639E9"/>
    <w:rsid w:val="00B817CD"/>
    <w:rsid w:val="00B94AD0"/>
    <w:rsid w:val="00BA5265"/>
    <w:rsid w:val="00BB3A95"/>
    <w:rsid w:val="00BB6222"/>
    <w:rsid w:val="00BC2FB6"/>
    <w:rsid w:val="00BC7D84"/>
    <w:rsid w:val="00C0018F"/>
    <w:rsid w:val="00C0539A"/>
    <w:rsid w:val="00C16A5A"/>
    <w:rsid w:val="00C20466"/>
    <w:rsid w:val="00C214ED"/>
    <w:rsid w:val="00C234E6"/>
    <w:rsid w:val="00C324A8"/>
    <w:rsid w:val="00C32983"/>
    <w:rsid w:val="00C34596"/>
    <w:rsid w:val="00C479FD"/>
    <w:rsid w:val="00C54517"/>
    <w:rsid w:val="00C64CD8"/>
    <w:rsid w:val="00C72D5C"/>
    <w:rsid w:val="00C77E1A"/>
    <w:rsid w:val="00C97C68"/>
    <w:rsid w:val="00CA08B7"/>
    <w:rsid w:val="00CA1A47"/>
    <w:rsid w:val="00CB1A6C"/>
    <w:rsid w:val="00CC247A"/>
    <w:rsid w:val="00CD7CC4"/>
    <w:rsid w:val="00CE388F"/>
    <w:rsid w:val="00CE5E47"/>
    <w:rsid w:val="00CF020F"/>
    <w:rsid w:val="00CF1E9D"/>
    <w:rsid w:val="00CF2B5B"/>
    <w:rsid w:val="00D055D3"/>
    <w:rsid w:val="00D14CE0"/>
    <w:rsid w:val="00D278AC"/>
    <w:rsid w:val="00D41719"/>
    <w:rsid w:val="00D54009"/>
    <w:rsid w:val="00D54F86"/>
    <w:rsid w:val="00D5651D"/>
    <w:rsid w:val="00D57A34"/>
    <w:rsid w:val="00D643B3"/>
    <w:rsid w:val="00D74898"/>
    <w:rsid w:val="00D801ED"/>
    <w:rsid w:val="00D936BC"/>
    <w:rsid w:val="00D96530"/>
    <w:rsid w:val="00DD44AF"/>
    <w:rsid w:val="00DE2AC3"/>
    <w:rsid w:val="00DE5692"/>
    <w:rsid w:val="00DF3E19"/>
    <w:rsid w:val="00E0231F"/>
    <w:rsid w:val="00E03C94"/>
    <w:rsid w:val="00E2134A"/>
    <w:rsid w:val="00E26226"/>
    <w:rsid w:val="00E45D05"/>
    <w:rsid w:val="00E55816"/>
    <w:rsid w:val="00E55AEF"/>
    <w:rsid w:val="00E870AC"/>
    <w:rsid w:val="00E94DBA"/>
    <w:rsid w:val="00E976C1"/>
    <w:rsid w:val="00EA12E5"/>
    <w:rsid w:val="00EB55C6"/>
    <w:rsid w:val="00EC7F04"/>
    <w:rsid w:val="00ED30BC"/>
    <w:rsid w:val="00EE18EF"/>
    <w:rsid w:val="00F00DDC"/>
    <w:rsid w:val="00F02766"/>
    <w:rsid w:val="00F05BD4"/>
    <w:rsid w:val="00F2404A"/>
    <w:rsid w:val="00F60D05"/>
    <w:rsid w:val="00F6155B"/>
    <w:rsid w:val="00F65C19"/>
    <w:rsid w:val="00F7356B"/>
    <w:rsid w:val="00F764A3"/>
    <w:rsid w:val="00F80977"/>
    <w:rsid w:val="00F83F75"/>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4D71"/>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pPr>
      <w:keepNext/>
      <w:keepLines/>
      <w:spacing w:before="280"/>
      <w:ind w:left="1134" w:hanging="1134"/>
      <w:outlineLvl w:val="0"/>
    </w:pPr>
    <w:rPr>
      <w:b/>
      <w:sz w:val="28"/>
    </w:rPr>
  </w:style>
  <w:style w:type="paragraph" w:styleId="Heading2">
    <w:name w:val="heading 2"/>
    <w:basedOn w:val="Heading1"/>
    <w:next w:val="Normal"/>
    <w:pPr>
      <w:spacing w:before="200"/>
      <w:outlineLvl w:val="1"/>
    </w:pPr>
    <w:rPr>
      <w:sz w:val="24"/>
    </w:rPr>
  </w:style>
  <w:style w:type="paragraph" w:styleId="Heading3">
    <w:name w:val="heading 3"/>
    <w:basedOn w:val="Heading1"/>
    <w:next w:val="Normal"/>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1301F4"/>
    <w:pPr>
      <w:keepNext/>
      <w:spacing w:before="240"/>
    </w:pPr>
    <w:rPr>
      <w:rFonts w:hAnsi="Times New Roman Bold"/>
      <w:b/>
    </w:rPr>
  </w:style>
  <w:style w:type="paragraph" w:customStyle="1" w:styleId="Reasons">
    <w:name w:val="Reasons"/>
    <w:basedOn w:val="Normal"/>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0">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nhideWhenUsed/>
    <w:rsid w:val="00A460B9"/>
    <w:rPr>
      <w:color w:val="0000FF" w:themeColor="hyperlink"/>
      <w:u w:val="single"/>
    </w:rPr>
  </w:style>
  <w:style w:type="character" w:styleId="FollowedHyperlink">
    <w:name w:val="FollowedHyperlink"/>
    <w:basedOn w:val="DefaultParagraphFont"/>
    <w:semiHidden/>
    <w:unhideWhenUsed/>
    <w:rsid w:val="00EE18E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unstats.un.org/unsd/cr/registry/regdntransfer.asp?f=284" TargetMode="Externa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6A04320D0824299BD96245E84494D7E"/>
        <w:category>
          <w:name w:val="General"/>
          <w:gallery w:val="placeholder"/>
        </w:category>
        <w:types>
          <w:type w:val="bbPlcHdr"/>
        </w:types>
        <w:behaviors>
          <w:behavior w:val="content"/>
        </w:behaviors>
        <w:guid w:val="{59BA563B-2F49-4169-806B-1CD00D5DDD19}"/>
      </w:docPartPr>
      <w:docPartBody>
        <w:p w:rsidR="00D17A5E" w:rsidRDefault="008A7E6B" w:rsidP="008A7E6B">
          <w:pPr>
            <w:pStyle w:val="E6A04320D0824299BD96245E84494D7E"/>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E6B"/>
    <w:rsid w:val="00081CBE"/>
    <w:rsid w:val="001066CA"/>
    <w:rsid w:val="001C4DE2"/>
    <w:rsid w:val="00235800"/>
    <w:rsid w:val="00236915"/>
    <w:rsid w:val="002B79AF"/>
    <w:rsid w:val="00347F90"/>
    <w:rsid w:val="004028F8"/>
    <w:rsid w:val="00412379"/>
    <w:rsid w:val="00426CEF"/>
    <w:rsid w:val="004A43DD"/>
    <w:rsid w:val="0055704D"/>
    <w:rsid w:val="0056464A"/>
    <w:rsid w:val="006511FC"/>
    <w:rsid w:val="00763E18"/>
    <w:rsid w:val="008A7E6B"/>
    <w:rsid w:val="00BC7DBA"/>
    <w:rsid w:val="00D17A5E"/>
    <w:rsid w:val="00D26B4A"/>
    <w:rsid w:val="00E05AC0"/>
    <w:rsid w:val="00EA6104"/>
    <w:rsid w:val="00F66CD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7E6B"/>
    <w:rPr>
      <w:color w:val="808080"/>
    </w:rPr>
  </w:style>
  <w:style w:type="paragraph" w:customStyle="1" w:styleId="E6A04320D0824299BD96245E84494D7E">
    <w:name w:val="E6A04320D0824299BD96245E84494D7E"/>
    <w:rsid w:val="008A7E6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e6ffcfb4-65be-46bf-b8fb-65a5aaaa7254">Documents Proposals Manager (DPM)</DPM_x0020_Author>
    <DPM_x0020_File_x0020_name xmlns="e6ffcfb4-65be-46bf-b8fb-65a5aaaa7254">T13-WTSA.16-C-0054!!MSW-E</DPM_x0020_File_x0020_name>
    <DPM_x0020_Version xmlns="e6ffcfb4-65be-46bf-b8fb-65a5aaaa7254">DPM_v2016.10.7.1_prod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e6ffcfb4-65be-46bf-b8fb-65a5aaaa7254" targetNamespace="http://schemas.microsoft.com/office/2006/metadata/properties" ma:root="true" ma:fieldsID="d41af5c836d734370eb92e7ee5f83852" ns2:_="" ns3:_="">
    <xsd:import namespace="996b2e75-67fd-4955-a3b0-5ab9934cb50b"/>
    <xsd:import namespace="e6ffcfb4-65be-46bf-b8fb-65a5aaaa7254"/>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e6ffcfb4-65be-46bf-b8fb-65a5aaaa7254"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3D58E2-EC10-4DC5-9074-AF807B63C28A}">
  <ds:schemaRefs>
    <ds:schemaRef ds:uri="http://purl.org/dc/elements/1.1/"/>
    <ds:schemaRef ds:uri="http://schemas.microsoft.com/office/2006/documentManagement/types"/>
    <ds:schemaRef ds:uri="http://schemas.openxmlformats.org/package/2006/metadata/core-properties"/>
    <ds:schemaRef ds:uri="http://www.w3.org/XML/1998/namespace"/>
    <ds:schemaRef ds:uri="http://purl.org/dc/terms/"/>
    <ds:schemaRef ds:uri="http://schemas.microsoft.com/office/infopath/2007/PartnerControls"/>
    <ds:schemaRef ds:uri="e6ffcfb4-65be-46bf-b8fb-65a5aaaa7254"/>
    <ds:schemaRef ds:uri="996b2e75-67fd-4955-a3b0-5ab9934cb50b"/>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e6ffcfb4-65be-46bf-b8fb-65a5aaaa72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810</Words>
  <Characters>5403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T13-WTSA.16-C-0054!!MSW-E</vt:lpstr>
    </vt:vector>
  </TitlesOfParts>
  <Manager>General Secretariat - Pool</Manager>
  <Company>International Telecommunication Union (ITU)</Company>
  <LinksUpToDate>false</LinksUpToDate>
  <CharactersWithSpaces>6201</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T13-WTSA.16-C-0054!!MSW-E</dc:title>
  <dc:subject>World Telecommunication Standardization Assembly</dc:subject>
  <dc:creator>Documents Proposals Manager (DPM)</dc:creator>
  <cp:keywords>DPM_v2016.10.7.1_prod</cp:keywords>
  <dc:description>Template used by DPM and CPI for the WTSA-16</dc:description>
  <cp:lastModifiedBy>Janin</cp:lastModifiedBy>
  <cp:revision>2</cp:revision>
  <cp:lastPrinted>2016-10-11T12:14:00Z</cp:lastPrinted>
  <dcterms:created xsi:type="dcterms:W3CDTF">2016-10-14T14:33:00Z</dcterms:created>
  <dcterms:modified xsi:type="dcterms:W3CDTF">2016-10-14T14:33:00Z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