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center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6B6C85" w:rsidRPr="006B6C85" w:rsidTr="008D2BF5">
        <w:trPr>
          <w:cantSplit/>
          <w:jc w:val="center"/>
        </w:trPr>
        <w:tc>
          <w:tcPr>
            <w:tcW w:w="808" w:type="pct"/>
          </w:tcPr>
          <w:p w:rsidR="006B6C85" w:rsidRPr="006B6C85" w:rsidRDefault="006B6C85" w:rsidP="0032574B">
            <w:pPr>
              <w:spacing w:line="240" w:lineRule="auto"/>
              <w:rPr>
                <w:b/>
                <w:bCs/>
                <w:rtl/>
                <w:lang w:bidi="ar-EG"/>
              </w:rPr>
            </w:pPr>
            <w:r w:rsidRPr="006B6C85">
              <w:rPr>
                <w:noProof/>
                <w:lang w:eastAsia="zh-CN"/>
              </w:rPr>
              <w:drawing>
                <wp:inline distT="0" distB="0" distL="0" distR="0" wp14:anchorId="1A355031" wp14:editId="0A522D3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  <w:vAlign w:val="center"/>
          </w:tcPr>
          <w:p w:rsidR="006B6C85" w:rsidRPr="006B6C85" w:rsidRDefault="006B6C85" w:rsidP="0032574B">
            <w:pPr>
              <w:pStyle w:val="TopHeader"/>
              <w:rPr>
                <w:rtl/>
              </w:rPr>
            </w:pPr>
            <w:r w:rsidRPr="006B6C85">
              <w:rPr>
                <w:rFonts w:hint="cs"/>
                <w:rtl/>
              </w:rPr>
              <w:t xml:space="preserve">الجمعية العالمية لتقييس الاتصالات </w:t>
            </w:r>
            <w:r w:rsidRPr="006B6C85">
              <w:rPr>
                <w:lang w:bidi="ar-SA"/>
              </w:rPr>
              <w:t>(WTSA-16)</w:t>
            </w:r>
          </w:p>
          <w:p w:rsidR="006B6C85" w:rsidRPr="00597885" w:rsidRDefault="006B6C85" w:rsidP="0032574B">
            <w:pPr>
              <w:pStyle w:val="TopHeader2"/>
              <w:rPr>
                <w:rtl/>
              </w:rPr>
            </w:pPr>
            <w:r w:rsidRPr="00597885">
              <w:rPr>
                <w:rFonts w:hint="cs"/>
                <w:rtl/>
              </w:rPr>
              <w:t xml:space="preserve">الحمامات، </w:t>
            </w:r>
            <w:r w:rsidRPr="00597885">
              <w:rPr>
                <w:lang w:bidi="ar-SA"/>
              </w:rPr>
              <w:t>25</w:t>
            </w:r>
            <w:r w:rsidRPr="00597885">
              <w:rPr>
                <w:rFonts w:hint="cs"/>
                <w:rtl/>
              </w:rPr>
              <w:t xml:space="preserve"> أكتوبر - </w:t>
            </w:r>
            <w:r w:rsidRPr="00597885">
              <w:rPr>
                <w:lang w:bidi="ar-SA"/>
              </w:rPr>
              <w:t>3</w:t>
            </w:r>
            <w:r w:rsidRPr="00597885">
              <w:rPr>
                <w:rFonts w:hint="cs"/>
                <w:rtl/>
              </w:rPr>
              <w:t xml:space="preserve"> نوفمبر </w:t>
            </w:r>
            <w:r w:rsidRPr="00597885">
              <w:rPr>
                <w:lang w:bidi="ar-SA"/>
              </w:rPr>
              <w:t>2016</w:t>
            </w:r>
          </w:p>
        </w:tc>
        <w:tc>
          <w:tcPr>
            <w:tcW w:w="1109" w:type="pct"/>
          </w:tcPr>
          <w:p w:rsidR="006B6C85" w:rsidRPr="006B6C85" w:rsidRDefault="006B6C85" w:rsidP="0032574B">
            <w:pPr>
              <w:spacing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6B6C85">
              <w:rPr>
                <w:noProof/>
                <w:lang w:eastAsia="zh-CN"/>
              </w:rPr>
              <w:drawing>
                <wp:inline distT="0" distB="0" distL="0" distR="0" wp14:anchorId="0D9C458F" wp14:editId="3F253E7D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BD7D62" w:rsidRDefault="004A589A" w:rsidP="005A59A1">
            <w:pPr>
              <w:pStyle w:val="Committee"/>
              <w:bidi/>
              <w:spacing w:line="360" w:lineRule="exact"/>
              <w:rPr>
                <w:rtl/>
              </w:rPr>
            </w:pPr>
            <w:bookmarkStart w:id="1" w:name="dmeeting"/>
            <w:bookmarkEnd w:id="1"/>
            <w:r w:rsidRPr="00BD7D62">
              <w:rPr>
                <w:rFonts w:hint="cs"/>
                <w:rtl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6B6C85" w:rsidRPr="00BD7D62" w:rsidRDefault="00E52CCF" w:rsidP="005A59A1">
            <w:pPr>
              <w:pStyle w:val="Docnumber"/>
              <w:spacing w:line="360" w:lineRule="exact"/>
              <w:rPr>
                <w:rtl/>
              </w:rPr>
            </w:pPr>
            <w:r w:rsidRPr="00BD7D62">
              <w:rPr>
                <w:rtl/>
              </w:rPr>
              <w:t xml:space="preserve">الإضافة </w:t>
            </w:r>
            <w:r w:rsidRPr="00BD7D62">
              <w:t>1</w:t>
            </w:r>
            <w:r w:rsidRPr="00BD7D62">
              <w:br/>
            </w:r>
            <w:r w:rsidRPr="00BD7D62">
              <w:rPr>
                <w:rtl/>
              </w:rPr>
              <w:t xml:space="preserve">للوثيقة </w:t>
            </w:r>
            <w:r w:rsidRPr="00BD7D62">
              <w:t>52-A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BD7D62" w:rsidRDefault="006B6C85" w:rsidP="005A59A1">
            <w:pPr>
              <w:pStyle w:val="Docnumber"/>
              <w:spacing w:line="36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BD7D62" w:rsidRDefault="00BD7D62" w:rsidP="005A59A1">
            <w:pPr>
              <w:pStyle w:val="Docnumber"/>
              <w:spacing w:line="360" w:lineRule="exact"/>
              <w:rPr>
                <w:rtl/>
              </w:rPr>
            </w:pPr>
            <w:bookmarkStart w:id="2" w:name="ddate"/>
            <w:r>
              <w:rPr>
                <w:lang w:bidi="ar-SA"/>
              </w:rPr>
              <w:t>10</w:t>
            </w:r>
            <w:r w:rsidR="006B6C85" w:rsidRPr="00BD7D62">
              <w:rPr>
                <w:rFonts w:hint="cs"/>
                <w:rtl/>
              </w:rPr>
              <w:t xml:space="preserve"> </w:t>
            </w:r>
            <w:r>
              <w:rPr>
                <w:rFonts w:asciiTheme="minorHAnsi" w:eastAsia="Malgun Gothic" w:hAnsiTheme="minorHAnsi" w:hint="cs"/>
                <w:rtl/>
                <w:lang w:eastAsia="ko-KR"/>
              </w:rPr>
              <w:t>أكتوبر</w:t>
            </w:r>
            <w:r w:rsidR="006B6C85" w:rsidRPr="00BD7D62">
              <w:rPr>
                <w:rFonts w:hint="cs"/>
                <w:rtl/>
              </w:rPr>
              <w:t xml:space="preserve"> </w:t>
            </w:r>
            <w:bookmarkEnd w:id="2"/>
            <w:r w:rsidR="006B6C85" w:rsidRPr="00BD7D62">
              <w:rPr>
                <w:lang w:bidi="ar-SA"/>
              </w:rPr>
              <w:t>2016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BD7D62" w:rsidRDefault="006B6C85" w:rsidP="005A59A1">
            <w:pPr>
              <w:pStyle w:val="Docnumber"/>
              <w:spacing w:line="36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BD7D62" w:rsidRDefault="006B6C85" w:rsidP="005A59A1">
            <w:pPr>
              <w:pStyle w:val="Docnumber"/>
              <w:spacing w:line="360" w:lineRule="exact"/>
              <w:rPr>
                <w:lang w:bidi="ar-SA"/>
              </w:rPr>
            </w:pPr>
            <w:bookmarkStart w:id="3" w:name="dorlang"/>
            <w:r w:rsidRPr="00BD7D62">
              <w:rPr>
                <w:rtl/>
              </w:rPr>
              <w:t xml:space="preserve">الأصل: </w:t>
            </w:r>
            <w:bookmarkEnd w:id="3"/>
            <w:r w:rsidRPr="00BD7D62">
              <w:rPr>
                <w:rFonts w:hint="cs"/>
                <w:rtl/>
              </w:rPr>
              <w:t>بالإنكليزية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6B6C85" w:rsidP="008D2BF5">
            <w:pPr>
              <w:spacing w:before="0" w:line="340" w:lineRule="exact"/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5A528C" w:rsidP="00E62817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بنغلاديش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AC5B12" w:rsidRDefault="00090624" w:rsidP="001D3BA8">
            <w:pPr>
              <w:pStyle w:val="Title1"/>
              <w:rPr>
                <w:highlight w:val="yellow"/>
                <w:rtl/>
              </w:rPr>
            </w:pPr>
            <w:r>
              <w:rPr>
                <w:rFonts w:hint="cs"/>
                <w:rtl/>
              </w:rPr>
              <w:t xml:space="preserve">تأييد </w:t>
            </w:r>
            <w:r w:rsidR="00AC5B12" w:rsidRPr="0086448C">
              <w:rPr>
                <w:rFonts w:hint="cs"/>
                <w:rtl/>
              </w:rPr>
              <w:t xml:space="preserve">بنغلاديش </w:t>
            </w:r>
            <w:r>
              <w:rPr>
                <w:rFonts w:hint="cs"/>
                <w:rtl/>
              </w:rPr>
              <w:t>ل</w:t>
            </w:r>
            <w:r w:rsidR="00AC5B12" w:rsidRPr="0086448C">
              <w:rPr>
                <w:rFonts w:hint="cs"/>
                <w:rtl/>
              </w:rPr>
              <w:t xml:space="preserve">لموافقة على التوصيات </w:t>
            </w:r>
            <w:r w:rsidR="00AC5B12" w:rsidRPr="0086448C">
              <w:t>ITU</w:t>
            </w:r>
            <w:r w:rsidR="00AC5B12" w:rsidRPr="0086448C">
              <w:noBreakHyphen/>
              <w:t>T D.52</w:t>
            </w:r>
            <w:r w:rsidR="00AC5B12" w:rsidRPr="0086448C">
              <w:rPr>
                <w:rFonts w:hint="cs"/>
                <w:rtl/>
              </w:rPr>
              <w:t xml:space="preserve"> و</w:t>
            </w:r>
            <w:r w:rsidRPr="0086448C">
              <w:t>ITU</w:t>
            </w:r>
            <w:r w:rsidRPr="0086448C">
              <w:noBreakHyphen/>
              <w:t>T D.5</w:t>
            </w:r>
            <w:r w:rsidR="007C53AA">
              <w:t>3</w:t>
            </w:r>
            <w:r w:rsidRPr="0086448C">
              <w:rPr>
                <w:rFonts w:hint="cs"/>
                <w:rtl/>
              </w:rPr>
              <w:t xml:space="preserve"> </w:t>
            </w:r>
            <w:r w:rsidR="00AC5B12" w:rsidRPr="0086448C">
              <w:rPr>
                <w:rFonts w:hint="cs"/>
                <w:rtl/>
              </w:rPr>
              <w:t>و</w:t>
            </w:r>
            <w:r w:rsidR="007C53AA" w:rsidRPr="0086448C">
              <w:t>ITU</w:t>
            </w:r>
            <w:r w:rsidR="007C53AA" w:rsidRPr="0086448C">
              <w:noBreakHyphen/>
              <w:t>T D.</w:t>
            </w:r>
            <w:r w:rsidR="007C53AA">
              <w:t>97</w:t>
            </w:r>
            <w:r w:rsidR="007C53AA" w:rsidRPr="0086448C">
              <w:rPr>
                <w:rFonts w:hint="cs"/>
                <w:rtl/>
              </w:rPr>
              <w:t xml:space="preserve"> </w:t>
            </w:r>
            <w:r w:rsidR="00AC5B12" w:rsidRPr="0086448C">
              <w:rPr>
                <w:rFonts w:hint="cs"/>
                <w:rtl/>
              </w:rPr>
              <w:t>و</w:t>
            </w:r>
            <w:r w:rsidR="007C53AA" w:rsidRPr="0086448C">
              <w:t>ITU</w:t>
            </w:r>
            <w:r w:rsidR="007C53AA" w:rsidRPr="0086448C">
              <w:noBreakHyphen/>
              <w:t>T D.</w:t>
            </w:r>
            <w:r w:rsidR="007C53AA">
              <w:t>261</w:t>
            </w:r>
            <w:r w:rsidR="007C53AA" w:rsidRPr="0086448C">
              <w:rPr>
                <w:rFonts w:hint="cs"/>
                <w:rtl/>
              </w:rPr>
              <w:t xml:space="preserve"> </w:t>
            </w:r>
            <w:r w:rsidR="00AC5B12" w:rsidRPr="0086448C">
              <w:rPr>
                <w:rFonts w:hint="cs"/>
                <w:rtl/>
              </w:rPr>
              <w:t>و</w:t>
            </w:r>
            <w:r w:rsidR="007C53AA" w:rsidRPr="0086448C">
              <w:t>ITU</w:t>
            </w:r>
            <w:r w:rsidR="007C53AA" w:rsidRPr="0086448C">
              <w:noBreakHyphen/>
              <w:t>T D.</w:t>
            </w:r>
            <w:r w:rsidR="007C53AA">
              <w:t>271</w:t>
            </w:r>
            <w:r w:rsidR="001D3BA8">
              <w:rPr>
                <w:rFonts w:hint="cs"/>
                <w:rtl/>
              </w:rPr>
              <w:t xml:space="preserve"> </w:t>
            </w:r>
            <w:r w:rsidR="00AC5B12" w:rsidRPr="0086448C">
              <w:rPr>
                <w:rFonts w:hint="cs"/>
                <w:rtl/>
              </w:rPr>
              <w:t>في</w:t>
            </w:r>
            <w:r w:rsidR="00BD7D62">
              <w:rPr>
                <w:rFonts w:hint="eastAsia"/>
                <w:rtl/>
              </w:rPr>
              <w:t> </w:t>
            </w:r>
            <w:r w:rsidR="00AC5B12" w:rsidRPr="0086448C">
              <w:rPr>
                <w:rFonts w:hint="cs"/>
                <w:rtl/>
              </w:rPr>
              <w:t>الجمعية العالمية لتقييس الاتصالات لعام </w:t>
            </w:r>
            <w:r w:rsidR="00AC5B12" w:rsidRPr="0086448C">
              <w:t>2016</w:t>
            </w:r>
          </w:p>
        </w:tc>
      </w:tr>
    </w:tbl>
    <w:p w:rsidR="004F39B8" w:rsidRDefault="004F39B8" w:rsidP="006B6C85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8364"/>
      </w:tblGrid>
      <w:tr w:rsidR="004F39B8" w:rsidTr="004F39B8">
        <w:tc>
          <w:tcPr>
            <w:tcW w:w="1265" w:type="dxa"/>
          </w:tcPr>
          <w:p w:rsidR="004F39B8" w:rsidRPr="004F39B8" w:rsidRDefault="004F39B8" w:rsidP="004F39B8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4F39B8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64" w:type="dxa"/>
          </w:tcPr>
          <w:p w:rsidR="004F39B8" w:rsidRPr="00F16995" w:rsidRDefault="007C2C35" w:rsidP="00104DA7">
            <w:pPr>
              <w:rPr>
                <w:rtl/>
                <w:lang w:bidi="ar-EG"/>
              </w:rPr>
            </w:pPr>
            <w:r w:rsidRPr="00F16995">
              <w:rPr>
                <w:rFonts w:hint="cs"/>
                <w:rtl/>
              </w:rPr>
              <w:t>تؤيد</w:t>
            </w:r>
            <w:r w:rsidR="00AC5B12" w:rsidRPr="00F16995">
              <w:rPr>
                <w:rFonts w:hint="cs"/>
                <w:rtl/>
              </w:rPr>
              <w:t xml:space="preserve"> بنغلاديش في</w:t>
            </w:r>
            <w:r w:rsidR="00BD7D62" w:rsidRPr="00F16995">
              <w:rPr>
                <w:rFonts w:hint="eastAsia"/>
                <w:rtl/>
              </w:rPr>
              <w:t> </w:t>
            </w:r>
            <w:r w:rsidR="00AC5B12" w:rsidRPr="00F16995">
              <w:rPr>
                <w:rFonts w:hint="cs"/>
                <w:rtl/>
              </w:rPr>
              <w:t xml:space="preserve">هذه المساهمة الموافقة </w:t>
            </w:r>
            <w:r w:rsidR="00A44C30" w:rsidRPr="00F16995">
              <w:rPr>
                <w:rFonts w:hint="cs"/>
                <w:rtl/>
              </w:rPr>
              <w:t>في</w:t>
            </w:r>
            <w:r w:rsidR="00BD7D62" w:rsidRPr="00F16995">
              <w:rPr>
                <w:rFonts w:hint="eastAsia"/>
                <w:rtl/>
              </w:rPr>
              <w:t> </w:t>
            </w:r>
            <w:r w:rsidR="00A44C30" w:rsidRPr="00F16995">
              <w:rPr>
                <w:rFonts w:hint="cs"/>
                <w:rtl/>
              </w:rPr>
              <w:t>الجمعية العالمية لتقييس الاتصالات لعام</w:t>
            </w:r>
            <w:r w:rsidR="00BD7D62" w:rsidRPr="00F16995">
              <w:rPr>
                <w:rFonts w:hint="eastAsia"/>
                <w:rtl/>
              </w:rPr>
              <w:t> </w:t>
            </w:r>
            <w:r w:rsidR="00A44C30" w:rsidRPr="00F16995">
              <w:t>2016</w:t>
            </w:r>
            <w:r w:rsidR="00A44C30" w:rsidRPr="00F16995">
              <w:rPr>
                <w:rFonts w:hint="cs"/>
                <w:rtl/>
              </w:rPr>
              <w:t xml:space="preserve"> </w:t>
            </w:r>
            <w:r w:rsidR="00AC5B12" w:rsidRPr="00F16995">
              <w:rPr>
                <w:rFonts w:hint="cs"/>
                <w:rtl/>
              </w:rPr>
              <w:t xml:space="preserve">على </w:t>
            </w:r>
            <w:r w:rsidR="00BD7D62" w:rsidRPr="00F16995">
              <w:rPr>
                <w:rFonts w:hint="cs"/>
                <w:rtl/>
              </w:rPr>
              <w:t>مشاريع التوصيات الخمس</w:t>
            </w:r>
            <w:r w:rsidRPr="00F16995">
              <w:rPr>
                <w:rFonts w:hint="cs"/>
                <w:rtl/>
              </w:rPr>
              <w:t xml:space="preserve"> المقدمة من لجنة الدراسات</w:t>
            </w:r>
            <w:r w:rsidR="00BD7D62" w:rsidRPr="00F16995">
              <w:rPr>
                <w:rFonts w:hint="eastAsia"/>
                <w:rtl/>
              </w:rPr>
              <w:t> </w:t>
            </w:r>
            <w:r w:rsidRPr="00F16995">
              <w:rPr>
                <w:rFonts w:cs="Times New Roman"/>
                <w:color w:val="000000"/>
                <w:sz w:val="24"/>
                <w:szCs w:val="20"/>
              </w:rPr>
              <w:t>3</w:t>
            </w:r>
            <w:r w:rsidR="00BD7D62" w:rsidRPr="00F16995">
              <w:rPr>
                <w:rFonts w:hint="cs"/>
                <w:rtl/>
              </w:rPr>
              <w:t xml:space="preserve"> </w:t>
            </w:r>
            <w:r w:rsidR="00F615B0" w:rsidRPr="00F16995">
              <w:rPr>
                <w:rFonts w:hint="cs"/>
                <w:rtl/>
              </w:rPr>
              <w:t xml:space="preserve">بشأن </w:t>
            </w:r>
            <w:r w:rsidR="00F615B0" w:rsidRPr="00F16995">
              <w:rPr>
                <w:rtl/>
              </w:rPr>
              <w:t>التوصيات</w:t>
            </w:r>
            <w:r w:rsidR="00BD7D62" w:rsidRPr="00F16995">
              <w:rPr>
                <w:rFonts w:hint="cs"/>
                <w:rtl/>
              </w:rPr>
              <w:t> </w:t>
            </w:r>
            <w:r w:rsidR="00F615B0" w:rsidRPr="00F16995">
              <w:t>ITU</w:t>
            </w:r>
            <w:r w:rsidR="00BD7D62" w:rsidRPr="00F16995">
              <w:noBreakHyphen/>
            </w:r>
            <w:r w:rsidR="00F615B0" w:rsidRPr="00F16995">
              <w:t>T</w:t>
            </w:r>
            <w:r w:rsidR="00BD7D62" w:rsidRPr="00F16995">
              <w:t> </w:t>
            </w:r>
            <w:r w:rsidR="00F615B0" w:rsidRPr="00F16995">
              <w:t>D.52</w:t>
            </w:r>
            <w:r w:rsidR="00F615B0" w:rsidRPr="00F16995">
              <w:rPr>
                <w:rtl/>
              </w:rPr>
              <w:t xml:space="preserve"> و</w:t>
            </w:r>
            <w:r w:rsidR="00F615B0" w:rsidRPr="00F16995">
              <w:t>ITU</w:t>
            </w:r>
            <w:r w:rsidR="00BD7D62" w:rsidRPr="00F16995">
              <w:noBreakHyphen/>
            </w:r>
            <w:r w:rsidR="00F615B0" w:rsidRPr="00F16995">
              <w:t>T</w:t>
            </w:r>
            <w:r w:rsidR="00BD7D62" w:rsidRPr="00F16995">
              <w:t> </w:t>
            </w:r>
            <w:r w:rsidR="00F615B0" w:rsidRPr="00F16995">
              <w:t>D.53</w:t>
            </w:r>
            <w:r w:rsidR="00F615B0" w:rsidRPr="00F16995">
              <w:rPr>
                <w:rtl/>
              </w:rPr>
              <w:t xml:space="preserve"> و</w:t>
            </w:r>
            <w:r w:rsidR="00F615B0" w:rsidRPr="00F16995">
              <w:t>ITU</w:t>
            </w:r>
            <w:r w:rsidR="00BD7D62" w:rsidRPr="00F16995">
              <w:noBreakHyphen/>
            </w:r>
            <w:r w:rsidR="00F615B0" w:rsidRPr="00F16995">
              <w:t>T</w:t>
            </w:r>
            <w:r w:rsidR="00BD7D62" w:rsidRPr="00F16995">
              <w:t> </w:t>
            </w:r>
            <w:r w:rsidR="00F615B0" w:rsidRPr="00F16995">
              <w:t>D.97</w:t>
            </w:r>
            <w:r w:rsidR="00F615B0" w:rsidRPr="00F16995">
              <w:rPr>
                <w:rtl/>
              </w:rPr>
              <w:t xml:space="preserve"> و</w:t>
            </w:r>
            <w:r w:rsidR="00F615B0" w:rsidRPr="00F16995">
              <w:t>ITU</w:t>
            </w:r>
            <w:r w:rsidR="00BD7D62" w:rsidRPr="00F16995">
              <w:noBreakHyphen/>
            </w:r>
            <w:r w:rsidR="00F615B0" w:rsidRPr="00F16995">
              <w:t>T</w:t>
            </w:r>
            <w:r w:rsidR="00BD7D62" w:rsidRPr="00F16995">
              <w:t> </w:t>
            </w:r>
            <w:r w:rsidR="00F615B0" w:rsidRPr="00F16995">
              <w:t>D.261</w:t>
            </w:r>
            <w:r w:rsidR="00BD7D62" w:rsidRPr="00F16995">
              <w:rPr>
                <w:rtl/>
              </w:rPr>
              <w:t xml:space="preserve"> </w:t>
            </w:r>
            <w:r w:rsidR="00F615B0" w:rsidRPr="00F16995">
              <w:rPr>
                <w:rtl/>
              </w:rPr>
              <w:t>و</w:t>
            </w:r>
            <w:r w:rsidR="00F615B0" w:rsidRPr="00F16995">
              <w:t>ITU</w:t>
            </w:r>
            <w:r w:rsidR="00BD7D62" w:rsidRPr="00F16995">
              <w:noBreakHyphen/>
            </w:r>
            <w:r w:rsidR="00F615B0" w:rsidRPr="00F16995">
              <w:t>T</w:t>
            </w:r>
            <w:r w:rsidR="00BD7D62" w:rsidRPr="00F16995">
              <w:t> </w:t>
            </w:r>
            <w:r w:rsidR="00F615B0" w:rsidRPr="00F16995">
              <w:t>D.271</w:t>
            </w:r>
            <w:r w:rsidR="00CC028D" w:rsidRPr="00F16995">
              <w:rPr>
                <w:rFonts w:hint="cs"/>
                <w:rtl/>
                <w:lang w:bidi="ar-EG"/>
              </w:rPr>
              <w:t>.</w:t>
            </w:r>
          </w:p>
        </w:tc>
      </w:tr>
    </w:tbl>
    <w:p w:rsidR="00DA15B8" w:rsidRPr="00A56921" w:rsidRDefault="008E5123" w:rsidP="00A56921">
      <w:pPr>
        <w:pStyle w:val="Headingb"/>
        <w:rPr>
          <w:szCs w:val="24"/>
          <w:rtl/>
        </w:rPr>
      </w:pPr>
      <w:r>
        <w:rPr>
          <w:rFonts w:hint="cs"/>
          <w:rtl/>
        </w:rPr>
        <w:t>خلفية</w:t>
      </w:r>
    </w:p>
    <w:p w:rsidR="00E75A8B" w:rsidRDefault="00CC028D" w:rsidP="003F1ECD">
      <w:pPr>
        <w:rPr>
          <w:rtl/>
        </w:rPr>
      </w:pPr>
      <w:r>
        <w:rPr>
          <w:rFonts w:hint="cs"/>
          <w:rtl/>
        </w:rPr>
        <w:t>نظرت لجنة الدراسات</w:t>
      </w:r>
      <w:r w:rsidR="00BD7D62">
        <w:rPr>
          <w:rFonts w:hint="eastAsia"/>
          <w:rtl/>
        </w:rPr>
        <w:t> </w:t>
      </w:r>
      <w:r w:rsidRPr="00894D30">
        <w:rPr>
          <w:rFonts w:cs="Times New Roman"/>
          <w:color w:val="000000"/>
          <w:sz w:val="24"/>
          <w:szCs w:val="20"/>
        </w:rPr>
        <w:t>3</w:t>
      </w:r>
      <w:r w:rsidRPr="00BD7D62">
        <w:rPr>
          <w:rFonts w:hint="cs"/>
          <w:rtl/>
        </w:rPr>
        <w:t xml:space="preserve"> </w:t>
      </w:r>
      <w:r w:rsidR="005520E2">
        <w:rPr>
          <w:rFonts w:hint="cs"/>
          <w:rtl/>
        </w:rPr>
        <w:t>خلال فترة الدراسة</w:t>
      </w:r>
      <w:r w:rsidR="00BD7D62">
        <w:rPr>
          <w:rFonts w:hint="eastAsia"/>
          <w:rtl/>
        </w:rPr>
        <w:t> </w:t>
      </w:r>
      <w:r w:rsidR="005520E2" w:rsidRPr="00BD7D62">
        <w:t>2016</w:t>
      </w:r>
      <w:r w:rsidR="003F1ECD">
        <w:noBreakHyphen/>
        <w:t>2013</w:t>
      </w:r>
      <w:r w:rsidR="00BD7D62">
        <w:rPr>
          <w:rFonts w:hint="cs"/>
          <w:rtl/>
        </w:rPr>
        <w:t xml:space="preserve"> </w:t>
      </w:r>
      <w:r w:rsidR="005520E2">
        <w:rPr>
          <w:rFonts w:hint="cs"/>
          <w:rtl/>
        </w:rPr>
        <w:t>في</w:t>
      </w:r>
      <w:r w:rsidR="00BD7D62">
        <w:rPr>
          <w:rFonts w:hint="eastAsia"/>
          <w:rtl/>
        </w:rPr>
        <w:t> </w:t>
      </w:r>
      <w:r w:rsidR="005520E2">
        <w:rPr>
          <w:rFonts w:hint="cs"/>
          <w:rtl/>
        </w:rPr>
        <w:t xml:space="preserve">مواضيع </w:t>
      </w:r>
      <w:r w:rsidR="00A44C30">
        <w:rPr>
          <w:rFonts w:hint="cs"/>
          <w:rtl/>
        </w:rPr>
        <w:t>منها</w:t>
      </w:r>
      <w:r w:rsidR="00E75A8B" w:rsidRPr="00E75A8B">
        <w:rPr>
          <w:rtl/>
        </w:rPr>
        <w:t xml:space="preserve"> </w:t>
      </w:r>
      <w:r w:rsidR="005520E2">
        <w:rPr>
          <w:rFonts w:hint="cs"/>
          <w:rtl/>
        </w:rPr>
        <w:t xml:space="preserve">الترسيم والمحاسبة </w:t>
      </w:r>
      <w:r w:rsidR="003A15D3">
        <w:rPr>
          <w:rFonts w:hint="cs"/>
          <w:rtl/>
        </w:rPr>
        <w:t>ل</w:t>
      </w:r>
      <w:r w:rsidR="00E75A8B" w:rsidRPr="00E75A8B">
        <w:rPr>
          <w:rFonts w:hint="cs"/>
          <w:rtl/>
        </w:rPr>
        <w:t>شبكات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الجيل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التالي، والتوصيلية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الدولية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للإنترنت، والتجوال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الدولي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المتنقل، والأثر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الاقتصادي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للخدمات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المتاحة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بحرية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على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الإنترنت</w:t>
      </w:r>
      <w:r w:rsidR="00BD7D62">
        <w:rPr>
          <w:rFonts w:hint="eastAsia"/>
          <w:rtl/>
        </w:rPr>
        <w:t> </w:t>
      </w:r>
      <w:r w:rsidR="00BD7D62">
        <w:t>(</w:t>
      </w:r>
      <w:r w:rsidR="00E75A8B" w:rsidRPr="00E75A8B">
        <w:t>OTT</w:t>
      </w:r>
      <w:r w:rsidR="00BD7D62">
        <w:t>)</w:t>
      </w:r>
      <w:r w:rsidR="00E75A8B" w:rsidRPr="00E75A8B">
        <w:rPr>
          <w:rFonts w:hint="cs"/>
          <w:rtl/>
        </w:rPr>
        <w:t>، وتحديد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الأسواق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ذات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الصلة والقدرة السوقية الكبيرة</w:t>
      </w:r>
      <w:r w:rsidR="00BD7D62">
        <w:rPr>
          <w:rFonts w:hint="eastAsia"/>
          <w:rtl/>
        </w:rPr>
        <w:t> </w:t>
      </w:r>
      <w:r w:rsidR="00BD7D62" w:rsidRPr="00A56921">
        <w:t>(</w:t>
      </w:r>
      <w:r w:rsidR="00E75A8B" w:rsidRPr="00A56921">
        <w:t>SMP</w:t>
      </w:r>
      <w:r w:rsidR="00BD7D62" w:rsidRPr="00A56921">
        <w:t>)</w:t>
      </w:r>
      <w:r w:rsidR="00E75A8B" w:rsidRPr="00E75A8B">
        <w:rPr>
          <w:rFonts w:hint="cs"/>
          <w:rtl/>
        </w:rPr>
        <w:t>، واستخدام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الاتفاقات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التجارية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في</w:t>
      </w:r>
      <w:r w:rsidR="00BD7D62">
        <w:rPr>
          <w:rFonts w:hint="cs"/>
          <w:rtl/>
        </w:rPr>
        <w:t> </w:t>
      </w:r>
      <w:r w:rsidR="00E75A8B" w:rsidRPr="00E75A8B">
        <w:rPr>
          <w:rFonts w:hint="cs"/>
          <w:rtl/>
        </w:rPr>
        <w:t>ترتيبات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خدمات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الاتصالات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الدولية، والجوانب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الدولية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للخدمة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الشاملة، والجوانب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الاقتصادية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وجوانب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المنافسة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في</w:t>
      </w:r>
      <w:r w:rsidR="00041E49">
        <w:rPr>
          <w:rFonts w:hint="cs"/>
          <w:rtl/>
        </w:rPr>
        <w:t> </w:t>
      </w:r>
      <w:r w:rsidR="00E75A8B" w:rsidRPr="00E75A8B">
        <w:rPr>
          <w:rFonts w:hint="cs"/>
          <w:rtl/>
        </w:rPr>
        <w:t>الخدمات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المالية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المتنقلة، وحل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المنازعات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فيما</w:t>
      </w:r>
      <w:r w:rsidR="00BD7D62">
        <w:rPr>
          <w:rFonts w:hint="cs"/>
          <w:rtl/>
        </w:rPr>
        <w:t> </w:t>
      </w:r>
      <w:r w:rsidR="00E75A8B" w:rsidRPr="00E75A8B">
        <w:rPr>
          <w:rFonts w:hint="cs"/>
          <w:rtl/>
        </w:rPr>
        <w:t>يتعلق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بالترسيم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والفوترة، وإجراءات</w:t>
      </w:r>
      <w:r w:rsidR="00E75A8B" w:rsidRPr="00E75A8B">
        <w:rPr>
          <w:rtl/>
        </w:rPr>
        <w:t xml:space="preserve"> </w:t>
      </w:r>
      <w:r w:rsidR="00E75A8B" w:rsidRPr="00E75A8B">
        <w:rPr>
          <w:rFonts w:hint="cs"/>
          <w:rtl/>
        </w:rPr>
        <w:t>النداء</w:t>
      </w:r>
      <w:r w:rsidR="00BD7D62">
        <w:rPr>
          <w:rFonts w:hint="cs"/>
          <w:rtl/>
        </w:rPr>
        <w:t xml:space="preserve"> </w:t>
      </w:r>
      <w:r w:rsidR="00E75A8B" w:rsidRPr="00E75A8B">
        <w:rPr>
          <w:rFonts w:hint="cs"/>
          <w:rtl/>
        </w:rPr>
        <w:t>البديلة، وغير ذلك.</w:t>
      </w:r>
    </w:p>
    <w:p w:rsidR="00A37E34" w:rsidRPr="00A56921" w:rsidRDefault="00A378CB" w:rsidP="00A56921">
      <w:pPr>
        <w:rPr>
          <w:rtl/>
        </w:rPr>
      </w:pPr>
      <w:r>
        <w:rPr>
          <w:rFonts w:hint="cs"/>
          <w:rtl/>
        </w:rPr>
        <w:t>وفي</w:t>
      </w:r>
      <w:r w:rsidR="00A56921">
        <w:rPr>
          <w:rFonts w:hint="eastAsia"/>
          <w:rtl/>
        </w:rPr>
        <w:t> </w:t>
      </w:r>
      <w:r>
        <w:rPr>
          <w:rFonts w:hint="cs"/>
          <w:rtl/>
        </w:rPr>
        <w:t xml:space="preserve">فترة الدراسة من </w:t>
      </w:r>
      <w:r w:rsidRPr="00BD7D62">
        <w:t>2013</w:t>
      </w:r>
      <w:r w:rsidR="00BD7D62">
        <w:rPr>
          <w:rFonts w:hint="cs"/>
          <w:rtl/>
        </w:rPr>
        <w:t xml:space="preserve"> </w:t>
      </w:r>
      <w:r w:rsidRPr="00BD7D62">
        <w:rPr>
          <w:rFonts w:hint="cs"/>
          <w:rtl/>
        </w:rPr>
        <w:t>إلى</w:t>
      </w:r>
      <w:r w:rsidR="00BD7D62">
        <w:rPr>
          <w:rFonts w:hint="cs"/>
          <w:rtl/>
        </w:rPr>
        <w:t xml:space="preserve"> </w:t>
      </w:r>
      <w:r w:rsidRPr="00BD7D62">
        <w:t>2016</w:t>
      </w:r>
      <w:r w:rsidRPr="00A378CB">
        <w:rPr>
          <w:rFonts w:hint="cs"/>
          <w:rtl/>
        </w:rPr>
        <w:t>،</w:t>
      </w:r>
      <w:r w:rsidR="00A56921">
        <w:rPr>
          <w:rFonts w:hint="cs"/>
          <w:rtl/>
        </w:rPr>
        <w:t xml:space="preserve"> </w:t>
      </w:r>
      <w:r w:rsidR="00574F77">
        <w:rPr>
          <w:rFonts w:hint="cs"/>
          <w:rtl/>
        </w:rPr>
        <w:t>تلق</w:t>
      </w:r>
      <w:r w:rsidR="00A56921">
        <w:rPr>
          <w:rFonts w:hint="cs"/>
          <w:rtl/>
        </w:rPr>
        <w:t>ّ</w:t>
      </w:r>
      <w:r w:rsidR="00574F77">
        <w:rPr>
          <w:rFonts w:hint="cs"/>
          <w:rtl/>
        </w:rPr>
        <w:t>ى الاجتماع الرابع للجنة الدراسات</w:t>
      </w:r>
      <w:r w:rsidR="00A56921">
        <w:rPr>
          <w:rFonts w:hint="eastAsia"/>
          <w:rtl/>
        </w:rPr>
        <w:t> </w:t>
      </w:r>
      <w:r w:rsidR="00574F77" w:rsidRPr="00BD7D62">
        <w:t>3</w:t>
      </w:r>
      <w:r w:rsidRPr="00BD7D62">
        <w:rPr>
          <w:rFonts w:hint="cs"/>
          <w:rtl/>
        </w:rPr>
        <w:t xml:space="preserve"> </w:t>
      </w:r>
      <w:r w:rsidRPr="00A378CB">
        <w:rPr>
          <w:rFonts w:hint="cs"/>
          <w:rtl/>
        </w:rPr>
        <w:t>لقطاع تقييس الاتصالات</w:t>
      </w:r>
      <w:r w:rsidR="00B928BC">
        <w:rPr>
          <w:rFonts w:hint="cs"/>
          <w:rtl/>
        </w:rPr>
        <w:t xml:space="preserve"> </w:t>
      </w:r>
      <w:r w:rsidR="00B928BC" w:rsidRPr="00BD7D62">
        <w:t>141</w:t>
      </w:r>
      <w:r w:rsidR="00A56921">
        <w:rPr>
          <w:rFonts w:hint="eastAsia"/>
          <w:rtl/>
        </w:rPr>
        <w:t> </w:t>
      </w:r>
      <w:r w:rsidR="00B928BC" w:rsidRPr="00B928BC">
        <w:rPr>
          <w:rFonts w:hint="cs"/>
          <w:rtl/>
        </w:rPr>
        <w:t>مساهمةً من</w:t>
      </w:r>
      <w:r w:rsidR="00B928BC">
        <w:rPr>
          <w:rFonts w:hint="cs"/>
          <w:rtl/>
        </w:rPr>
        <w:t xml:space="preserve"> أكثر من</w:t>
      </w:r>
      <w:r w:rsidR="00B928BC" w:rsidRPr="00A56921">
        <w:rPr>
          <w:rStyle w:val="NormalaftertitleChar"/>
          <w:rFonts w:hint="cs"/>
          <w:rtl/>
        </w:rPr>
        <w:t xml:space="preserve"> </w:t>
      </w:r>
      <w:r w:rsidR="00B928BC" w:rsidRPr="00A56921">
        <w:t>75</w:t>
      </w:r>
      <w:r w:rsidR="00A56921">
        <w:rPr>
          <w:rFonts w:hint="eastAsia"/>
          <w:rtl/>
        </w:rPr>
        <w:t> </w:t>
      </w:r>
      <w:r w:rsidR="00B928BC" w:rsidRPr="00B928BC">
        <w:rPr>
          <w:rFonts w:hint="cs"/>
          <w:rtl/>
        </w:rPr>
        <w:t>عضواً</w:t>
      </w:r>
      <w:r w:rsidR="00B928BC" w:rsidRPr="00A56921">
        <w:rPr>
          <w:rFonts w:hint="cs"/>
          <w:rtl/>
        </w:rPr>
        <w:t xml:space="preserve">. </w:t>
      </w:r>
      <w:r w:rsidR="00B928BC">
        <w:rPr>
          <w:rFonts w:hint="cs"/>
          <w:rtl/>
        </w:rPr>
        <w:t xml:space="preserve">ودارت مناقشات كثيرة بين الأعضاء الحاضرين </w:t>
      </w:r>
      <w:r w:rsidR="007865AD">
        <w:rPr>
          <w:rFonts w:hint="cs"/>
          <w:rtl/>
        </w:rPr>
        <w:t>في</w:t>
      </w:r>
      <w:r w:rsidR="00A56921">
        <w:rPr>
          <w:rFonts w:hint="eastAsia"/>
          <w:rtl/>
        </w:rPr>
        <w:t> </w:t>
      </w:r>
      <w:r w:rsidR="007865AD">
        <w:rPr>
          <w:rFonts w:hint="cs"/>
          <w:rtl/>
        </w:rPr>
        <w:t>الاجتماع بشأن ع</w:t>
      </w:r>
      <w:r w:rsidR="00A56921">
        <w:rPr>
          <w:rFonts w:hint="cs"/>
          <w:rtl/>
        </w:rPr>
        <w:t>دة مواضيع منها مشاريع التوصيات.</w:t>
      </w:r>
    </w:p>
    <w:p w:rsidR="00E75A8B" w:rsidRPr="007865AD" w:rsidRDefault="007865AD" w:rsidP="00A56921">
      <w:pPr>
        <w:pStyle w:val="Headingb"/>
        <w:rPr>
          <w:rtl/>
        </w:rPr>
      </w:pPr>
      <w:r w:rsidRPr="007865AD">
        <w:rPr>
          <w:rFonts w:hint="cs"/>
          <w:rtl/>
        </w:rPr>
        <w:lastRenderedPageBreak/>
        <w:t>الأساس المنطقي</w:t>
      </w:r>
    </w:p>
    <w:p w:rsidR="00E75A8B" w:rsidRDefault="00A37E34" w:rsidP="003F1ECD">
      <w:pPr>
        <w:keepNext/>
        <w:rPr>
          <w:rtl/>
        </w:rPr>
      </w:pPr>
      <w:r w:rsidRPr="007B2B43">
        <w:rPr>
          <w:rFonts w:hint="cs"/>
          <w:rtl/>
        </w:rPr>
        <w:t xml:space="preserve">بعد مناقشات طويلة، </w:t>
      </w:r>
      <w:r w:rsidR="000930DD" w:rsidRPr="007B2B43">
        <w:rPr>
          <w:rFonts w:hint="cs"/>
          <w:rtl/>
        </w:rPr>
        <w:t>أقر</w:t>
      </w:r>
      <w:r w:rsidRPr="007B2B43">
        <w:rPr>
          <w:rFonts w:hint="cs"/>
          <w:rtl/>
        </w:rPr>
        <w:t xml:space="preserve"> اجتماع لجنة </w:t>
      </w:r>
      <w:r w:rsidR="000930DD" w:rsidRPr="007B2B43">
        <w:rPr>
          <w:rFonts w:hint="cs"/>
          <w:rtl/>
        </w:rPr>
        <w:t>الدراسات</w:t>
      </w:r>
      <w:r w:rsidR="00A56921">
        <w:rPr>
          <w:rFonts w:hint="eastAsia"/>
          <w:rtl/>
        </w:rPr>
        <w:t> </w:t>
      </w:r>
      <w:r w:rsidR="000930DD" w:rsidRPr="007B2B43">
        <w:t>3</w:t>
      </w:r>
      <w:r w:rsidR="00A56921">
        <w:rPr>
          <w:rFonts w:hint="cs"/>
          <w:rtl/>
        </w:rPr>
        <w:t xml:space="preserve"> التوصيات الخمس التالية:</w:t>
      </w:r>
    </w:p>
    <w:p w:rsidR="00E75A8B" w:rsidRPr="000930DD" w:rsidRDefault="00E75A8B" w:rsidP="003F1ECD">
      <w:pPr>
        <w:pStyle w:val="enumlev1"/>
        <w:keepNext/>
        <w:rPr>
          <w:rtl/>
          <w:lang w:bidi="ar-EG"/>
        </w:rPr>
      </w:pPr>
      <w:r w:rsidRPr="000930DD">
        <w:rPr>
          <w:rFonts w:hint="cs"/>
          <w:rtl/>
        </w:rPr>
        <w:t>-</w:t>
      </w:r>
      <w:r w:rsidRPr="000930DD">
        <w:rPr>
          <w:rFonts w:hint="cs"/>
          <w:rtl/>
        </w:rPr>
        <w:tab/>
      </w:r>
      <w:r w:rsidR="008E5123" w:rsidRPr="000930DD">
        <w:rPr>
          <w:rFonts w:hint="cs"/>
          <w:rtl/>
        </w:rPr>
        <w:t>مشروع التوصية الجديد</w:t>
      </w:r>
      <w:r w:rsidR="009F4EA6" w:rsidRPr="000930DD">
        <w:rPr>
          <w:rFonts w:hint="cs"/>
          <w:rtl/>
        </w:rPr>
        <w:t>ة</w:t>
      </w:r>
      <w:r w:rsidR="008E5123" w:rsidRPr="000930DD">
        <w:rPr>
          <w:rFonts w:hint="cs"/>
          <w:rtl/>
        </w:rPr>
        <w:t xml:space="preserve"> </w:t>
      </w:r>
      <w:r w:rsidR="008E5123" w:rsidRPr="000930DD">
        <w:rPr>
          <w:rFonts w:cs="Times New Roman"/>
          <w:szCs w:val="22"/>
        </w:rPr>
        <w:t>ITU</w:t>
      </w:r>
      <w:r w:rsidR="008F0F24" w:rsidRPr="000930DD">
        <w:rPr>
          <w:rFonts w:cs="Times New Roman"/>
          <w:szCs w:val="22"/>
        </w:rPr>
        <w:noBreakHyphen/>
      </w:r>
      <w:r w:rsidR="008E5123" w:rsidRPr="000930DD">
        <w:rPr>
          <w:rFonts w:cs="Times New Roman"/>
          <w:szCs w:val="22"/>
        </w:rPr>
        <w:t>T</w:t>
      </w:r>
      <w:r w:rsidR="008F0F24" w:rsidRPr="000930DD">
        <w:rPr>
          <w:rFonts w:cs="Times New Roman"/>
          <w:szCs w:val="22"/>
        </w:rPr>
        <w:t> </w:t>
      </w:r>
      <w:r w:rsidR="008E5123" w:rsidRPr="000930DD">
        <w:rPr>
          <w:rFonts w:cs="Times New Roman"/>
          <w:szCs w:val="22"/>
        </w:rPr>
        <w:t>D.</w:t>
      </w:r>
      <w:r w:rsidR="009F4EA6" w:rsidRPr="000930DD">
        <w:t>52</w:t>
      </w:r>
      <w:r w:rsidR="00A92D11" w:rsidRPr="000930DD">
        <w:rPr>
          <w:rFonts w:hint="cs"/>
          <w:rtl/>
          <w:lang w:bidi="ar-EG"/>
        </w:rPr>
        <w:t>،</w:t>
      </w:r>
      <w:r w:rsidR="008E5123" w:rsidRPr="000930DD">
        <w:rPr>
          <w:rFonts w:hint="cs"/>
          <w:rtl/>
        </w:rPr>
        <w:t xml:space="preserve"> </w:t>
      </w:r>
      <w:r w:rsidR="00041E49" w:rsidRPr="000930DD">
        <w:rPr>
          <w:rFonts w:hint="cs"/>
          <w:rtl/>
          <w:lang w:bidi="ar-EG"/>
        </w:rPr>
        <w:t>"</w:t>
      </w:r>
      <w:r w:rsidR="008E5123" w:rsidRPr="000930DD">
        <w:rPr>
          <w:rtl/>
        </w:rPr>
        <w:t xml:space="preserve">إقامة نقاط تبادل </w:t>
      </w:r>
      <w:r w:rsidR="008E5123" w:rsidRPr="000930DD">
        <w:rPr>
          <w:rFonts w:hint="cs"/>
          <w:rtl/>
        </w:rPr>
        <w:t>إقليمية للإنترنت</w:t>
      </w:r>
      <w:r w:rsidR="008E5123" w:rsidRPr="000930DD">
        <w:rPr>
          <w:rFonts w:hint="eastAsia"/>
          <w:rtl/>
        </w:rPr>
        <w:t> </w:t>
      </w:r>
      <w:r w:rsidR="008E5123" w:rsidRPr="000930DD">
        <w:rPr>
          <w:lang w:bidi="ar-EG"/>
        </w:rPr>
        <w:t>(IXP)</w:t>
      </w:r>
      <w:r w:rsidR="008E5123" w:rsidRPr="000930DD">
        <w:rPr>
          <w:rFonts w:hint="cs"/>
          <w:rtl/>
        </w:rPr>
        <w:t xml:space="preserve"> </w:t>
      </w:r>
      <w:r w:rsidR="008E5123" w:rsidRPr="000930DD">
        <w:rPr>
          <w:rtl/>
        </w:rPr>
        <w:t>وتوصيلها لخفض تكاليف التوصيلية الدولية للإنترنت</w:t>
      </w:r>
      <w:r w:rsidR="00041E49" w:rsidRPr="000930DD">
        <w:rPr>
          <w:rFonts w:hint="cs"/>
          <w:rtl/>
        </w:rPr>
        <w:t>"</w:t>
      </w:r>
      <w:r w:rsidR="00270170">
        <w:rPr>
          <w:rFonts w:hint="cs"/>
          <w:rtl/>
          <w:lang w:bidi="ar-EG"/>
        </w:rPr>
        <w:t>؛</w:t>
      </w:r>
    </w:p>
    <w:p w:rsidR="00E75A8B" w:rsidRPr="000930DD" w:rsidRDefault="00E75A8B" w:rsidP="003D3DCC">
      <w:pPr>
        <w:pStyle w:val="enumlev1"/>
        <w:rPr>
          <w:rtl/>
          <w:lang w:bidi="ar-EG"/>
        </w:rPr>
      </w:pPr>
      <w:r w:rsidRPr="000930DD">
        <w:rPr>
          <w:rFonts w:hint="cs"/>
          <w:rtl/>
        </w:rPr>
        <w:t>-</w:t>
      </w:r>
      <w:r w:rsidRPr="000930DD">
        <w:rPr>
          <w:rFonts w:hint="cs"/>
          <w:rtl/>
        </w:rPr>
        <w:tab/>
      </w:r>
      <w:r w:rsidR="008E5123" w:rsidRPr="000930DD">
        <w:rPr>
          <w:rFonts w:hint="cs"/>
          <w:rtl/>
        </w:rPr>
        <w:t>مشروع التوصية الجديد</w:t>
      </w:r>
      <w:r w:rsidR="009F4EA6" w:rsidRPr="000930DD">
        <w:rPr>
          <w:rFonts w:hint="cs"/>
          <w:rtl/>
        </w:rPr>
        <w:t>ة</w:t>
      </w:r>
      <w:r w:rsidR="008E5123" w:rsidRPr="000930DD">
        <w:rPr>
          <w:rFonts w:hint="cs"/>
          <w:rtl/>
        </w:rPr>
        <w:t xml:space="preserve"> </w:t>
      </w:r>
      <w:r w:rsidR="008E5123" w:rsidRPr="000930DD">
        <w:rPr>
          <w:rFonts w:cs="Times New Roman"/>
          <w:szCs w:val="22"/>
        </w:rPr>
        <w:t>ITU</w:t>
      </w:r>
      <w:r w:rsidR="003D3DCC">
        <w:rPr>
          <w:rFonts w:cs="Times New Roman"/>
          <w:szCs w:val="22"/>
        </w:rPr>
        <w:noBreakHyphen/>
      </w:r>
      <w:r w:rsidR="008E5123" w:rsidRPr="000930DD">
        <w:rPr>
          <w:rFonts w:cs="Times New Roman"/>
          <w:szCs w:val="22"/>
        </w:rPr>
        <w:t>T</w:t>
      </w:r>
      <w:r w:rsidR="003D3DCC">
        <w:rPr>
          <w:rFonts w:cs="Times New Roman"/>
          <w:szCs w:val="22"/>
        </w:rPr>
        <w:t> </w:t>
      </w:r>
      <w:r w:rsidR="008E5123" w:rsidRPr="000930DD">
        <w:rPr>
          <w:rFonts w:cs="Times New Roman"/>
          <w:szCs w:val="22"/>
        </w:rPr>
        <w:t>D.53</w:t>
      </w:r>
      <w:r w:rsidR="00A92D11" w:rsidRPr="000930DD">
        <w:rPr>
          <w:rFonts w:hint="cs"/>
          <w:rtl/>
        </w:rPr>
        <w:t>،</w:t>
      </w:r>
      <w:r w:rsidR="008E5123" w:rsidRPr="000930DD">
        <w:rPr>
          <w:rFonts w:hint="cs"/>
          <w:rtl/>
        </w:rPr>
        <w:t xml:space="preserve"> </w:t>
      </w:r>
      <w:r w:rsidR="00041E49" w:rsidRPr="000930DD">
        <w:rPr>
          <w:rFonts w:hint="cs"/>
          <w:rtl/>
        </w:rPr>
        <w:t>"الجوانب الدولية للخدمة</w:t>
      </w:r>
      <w:r w:rsidR="008E5123" w:rsidRPr="000930DD">
        <w:rPr>
          <w:rFonts w:hint="cs"/>
          <w:rtl/>
        </w:rPr>
        <w:t xml:space="preserve"> الشاملة</w:t>
      </w:r>
      <w:r w:rsidR="00041E49" w:rsidRPr="000930DD">
        <w:rPr>
          <w:rFonts w:hint="cs"/>
          <w:rtl/>
        </w:rPr>
        <w:t>"</w:t>
      </w:r>
      <w:r w:rsidR="00270170">
        <w:rPr>
          <w:rFonts w:hint="cs"/>
          <w:rtl/>
        </w:rPr>
        <w:t>؛</w:t>
      </w:r>
    </w:p>
    <w:p w:rsidR="008E5123" w:rsidRPr="000930DD" w:rsidRDefault="00E75A8B" w:rsidP="00A92D11">
      <w:pPr>
        <w:pStyle w:val="enumlev1"/>
        <w:rPr>
          <w:rtl/>
        </w:rPr>
      </w:pPr>
      <w:r w:rsidRPr="000930DD">
        <w:rPr>
          <w:rFonts w:hint="cs"/>
          <w:rtl/>
        </w:rPr>
        <w:t>-</w:t>
      </w:r>
      <w:r w:rsidRPr="000930DD">
        <w:rPr>
          <w:rFonts w:hint="cs"/>
          <w:rtl/>
        </w:rPr>
        <w:tab/>
      </w:r>
      <w:r w:rsidR="00041E49" w:rsidRPr="000930DD">
        <w:rPr>
          <w:rFonts w:hint="cs"/>
          <w:rtl/>
          <w:lang w:bidi="ar-EG"/>
        </w:rPr>
        <w:t xml:space="preserve">مشروع </w:t>
      </w:r>
      <w:r w:rsidR="008E5123" w:rsidRPr="000930DD">
        <w:rPr>
          <w:rFonts w:hint="cs"/>
          <w:rtl/>
        </w:rPr>
        <w:t>ال</w:t>
      </w:r>
      <w:r w:rsidR="008E5123" w:rsidRPr="000930DD">
        <w:rPr>
          <w:rtl/>
        </w:rPr>
        <w:t>توصية</w:t>
      </w:r>
      <w:r w:rsidR="00041E49" w:rsidRPr="000930DD">
        <w:rPr>
          <w:rFonts w:hint="cs"/>
          <w:rtl/>
        </w:rPr>
        <w:t xml:space="preserve"> المراجعة</w:t>
      </w:r>
      <w:r w:rsidR="008E5123" w:rsidRPr="000930DD">
        <w:rPr>
          <w:rtl/>
        </w:rPr>
        <w:t xml:space="preserve"> </w:t>
      </w:r>
      <w:r w:rsidR="008E5123" w:rsidRPr="000930DD">
        <w:t>ITU</w:t>
      </w:r>
      <w:r w:rsidR="008F0F24" w:rsidRPr="000930DD">
        <w:noBreakHyphen/>
      </w:r>
      <w:r w:rsidR="008E5123" w:rsidRPr="000930DD">
        <w:t>T</w:t>
      </w:r>
      <w:r w:rsidR="008F0F24" w:rsidRPr="000930DD">
        <w:t> </w:t>
      </w:r>
      <w:r w:rsidR="008E5123" w:rsidRPr="000930DD">
        <w:t>D.271</w:t>
      </w:r>
      <w:r w:rsidR="00A92D11" w:rsidRPr="000930DD">
        <w:rPr>
          <w:rFonts w:hint="cs"/>
          <w:rtl/>
        </w:rPr>
        <w:t>،</w:t>
      </w:r>
      <w:r w:rsidR="008E5123" w:rsidRPr="000930DD">
        <w:rPr>
          <w:rtl/>
        </w:rPr>
        <w:t xml:space="preserve"> </w:t>
      </w:r>
      <w:r w:rsidR="00041E49" w:rsidRPr="000930DD">
        <w:rPr>
          <w:rFonts w:hint="cs"/>
          <w:rtl/>
          <w:lang w:bidi="ar-EG"/>
        </w:rPr>
        <w:t>"</w:t>
      </w:r>
      <w:r w:rsidR="008E5123" w:rsidRPr="000930DD">
        <w:rPr>
          <w:rFonts w:hint="cs"/>
          <w:rtl/>
        </w:rPr>
        <w:t>مبادئ الترسيم والمحاسبة لشبكات الجيل التالي</w:t>
      </w:r>
      <w:r w:rsidR="00041E49" w:rsidRPr="000930DD">
        <w:rPr>
          <w:rFonts w:hint="cs"/>
          <w:rtl/>
        </w:rPr>
        <w:t>"</w:t>
      </w:r>
      <w:r w:rsidR="00270170">
        <w:rPr>
          <w:rFonts w:hint="cs"/>
          <w:rtl/>
        </w:rPr>
        <w:t>؛</w:t>
      </w:r>
    </w:p>
    <w:p w:rsidR="008E5123" w:rsidRPr="000930DD" w:rsidRDefault="008E5123" w:rsidP="00A92D11">
      <w:pPr>
        <w:pStyle w:val="enumlev1"/>
      </w:pPr>
      <w:r w:rsidRPr="000930DD">
        <w:rPr>
          <w:rFonts w:hint="cs"/>
          <w:rtl/>
        </w:rPr>
        <w:t>-</w:t>
      </w:r>
      <w:r w:rsidRPr="000930DD">
        <w:rPr>
          <w:rFonts w:hint="cs"/>
          <w:rtl/>
        </w:rPr>
        <w:tab/>
        <w:t>مشروع التوصية الجديد</w:t>
      </w:r>
      <w:r w:rsidR="009F4EA6" w:rsidRPr="000930DD">
        <w:rPr>
          <w:rFonts w:hint="cs"/>
          <w:rtl/>
        </w:rPr>
        <w:t>ة</w:t>
      </w:r>
      <w:r w:rsidRPr="000930DD">
        <w:rPr>
          <w:rFonts w:hint="cs"/>
          <w:rtl/>
        </w:rPr>
        <w:t xml:space="preserve"> </w:t>
      </w:r>
      <w:r w:rsidRPr="000930DD">
        <w:rPr>
          <w:rFonts w:cs="Times New Roman"/>
          <w:szCs w:val="22"/>
        </w:rPr>
        <w:t>ITU</w:t>
      </w:r>
      <w:r w:rsidR="008F0F24" w:rsidRPr="000930DD">
        <w:rPr>
          <w:rFonts w:cs="Times New Roman"/>
          <w:szCs w:val="22"/>
        </w:rPr>
        <w:noBreakHyphen/>
      </w:r>
      <w:r w:rsidRPr="000930DD">
        <w:rPr>
          <w:rFonts w:cs="Times New Roman"/>
          <w:szCs w:val="22"/>
        </w:rPr>
        <w:t>T</w:t>
      </w:r>
      <w:r w:rsidR="008F0F24" w:rsidRPr="000930DD">
        <w:rPr>
          <w:rFonts w:cs="Times New Roman"/>
          <w:szCs w:val="22"/>
        </w:rPr>
        <w:t> </w:t>
      </w:r>
      <w:r w:rsidRPr="000930DD">
        <w:rPr>
          <w:rFonts w:cs="Times New Roman"/>
          <w:szCs w:val="22"/>
        </w:rPr>
        <w:t>D.97</w:t>
      </w:r>
      <w:r w:rsidR="00A92D11" w:rsidRPr="000930DD">
        <w:rPr>
          <w:rFonts w:hint="cs"/>
          <w:rtl/>
        </w:rPr>
        <w:t>،</w:t>
      </w:r>
      <w:r w:rsidRPr="000930DD">
        <w:rPr>
          <w:rFonts w:hint="cs"/>
          <w:rtl/>
        </w:rPr>
        <w:t xml:space="preserve"> </w:t>
      </w:r>
      <w:r w:rsidR="00270170">
        <w:rPr>
          <w:rFonts w:hint="cs"/>
          <w:rtl/>
        </w:rPr>
        <w:t>"</w:t>
      </w:r>
      <w:r w:rsidRPr="000930DD">
        <w:rPr>
          <w:rFonts w:hint="cs"/>
          <w:rtl/>
        </w:rPr>
        <w:t>المبادئ المنهجية لتحديد رسوم</w:t>
      </w:r>
      <w:r w:rsidRPr="000930DD">
        <w:rPr>
          <w:rtl/>
        </w:rPr>
        <w:t xml:space="preserve"> التجوال الدولي</w:t>
      </w:r>
      <w:r w:rsidRPr="000930DD">
        <w:rPr>
          <w:rFonts w:hint="cs"/>
          <w:rtl/>
        </w:rPr>
        <w:t> </w:t>
      </w:r>
      <w:r w:rsidRPr="000930DD">
        <w:rPr>
          <w:rtl/>
        </w:rPr>
        <w:t>المتنقل</w:t>
      </w:r>
      <w:r w:rsidR="003D3DCC">
        <w:rPr>
          <w:rFonts w:hint="cs"/>
          <w:rtl/>
        </w:rPr>
        <w:t>"؛</w:t>
      </w:r>
    </w:p>
    <w:p w:rsidR="00786152" w:rsidRDefault="008E5123" w:rsidP="0070100D">
      <w:pPr>
        <w:pStyle w:val="enumlev1"/>
        <w:rPr>
          <w:rtl/>
          <w:lang w:bidi="ar-EG"/>
        </w:rPr>
      </w:pPr>
      <w:r w:rsidRPr="000930DD">
        <w:rPr>
          <w:rFonts w:hint="cs"/>
          <w:rtl/>
        </w:rPr>
        <w:t>-</w:t>
      </w:r>
      <w:r w:rsidRPr="000930DD">
        <w:rPr>
          <w:rFonts w:hint="cs"/>
          <w:rtl/>
        </w:rPr>
        <w:tab/>
        <w:t>مشروع التوصية الجديد</w:t>
      </w:r>
      <w:r w:rsidR="009F4EA6" w:rsidRPr="000930DD">
        <w:rPr>
          <w:rFonts w:hint="cs"/>
          <w:rtl/>
        </w:rPr>
        <w:t>ة</w:t>
      </w:r>
      <w:r w:rsidRPr="000930DD">
        <w:rPr>
          <w:rFonts w:hint="cs"/>
          <w:rtl/>
        </w:rPr>
        <w:t xml:space="preserve"> </w:t>
      </w:r>
      <w:r w:rsidRPr="000930DD">
        <w:rPr>
          <w:rFonts w:cs="Times New Roman"/>
          <w:szCs w:val="22"/>
        </w:rPr>
        <w:t>ITU</w:t>
      </w:r>
      <w:r w:rsidR="008F0F24" w:rsidRPr="000930DD">
        <w:rPr>
          <w:rFonts w:cs="Times New Roman"/>
          <w:szCs w:val="22"/>
        </w:rPr>
        <w:noBreakHyphen/>
      </w:r>
      <w:r w:rsidRPr="000930DD">
        <w:rPr>
          <w:rFonts w:cs="Times New Roman"/>
          <w:szCs w:val="22"/>
        </w:rPr>
        <w:t>T</w:t>
      </w:r>
      <w:r w:rsidR="008F0F24" w:rsidRPr="000930DD">
        <w:rPr>
          <w:rFonts w:cs="Times New Roman"/>
          <w:szCs w:val="22"/>
        </w:rPr>
        <w:t> </w:t>
      </w:r>
      <w:r w:rsidRPr="000930DD">
        <w:rPr>
          <w:rFonts w:cs="Times New Roman"/>
          <w:szCs w:val="22"/>
        </w:rPr>
        <w:t>D.261</w:t>
      </w:r>
      <w:r w:rsidR="00A92D11" w:rsidRPr="000930DD">
        <w:rPr>
          <w:rFonts w:hint="cs"/>
          <w:rtl/>
        </w:rPr>
        <w:t>،</w:t>
      </w:r>
      <w:r w:rsidRPr="000930DD">
        <w:rPr>
          <w:rFonts w:hint="cs"/>
          <w:rtl/>
        </w:rPr>
        <w:t xml:space="preserve"> </w:t>
      </w:r>
      <w:r w:rsidR="00041E49" w:rsidRPr="000930DD">
        <w:rPr>
          <w:rFonts w:hint="cs"/>
          <w:rtl/>
        </w:rPr>
        <w:t>"</w:t>
      </w:r>
      <w:r w:rsidRPr="000930DD">
        <w:rPr>
          <w:rtl/>
        </w:rPr>
        <w:t>المبادئ المتعلقة بوضع تعريف للسوق وتحديد المشغلين ذوي القوة السوقية الكبيرة</w:t>
      </w:r>
      <w:r w:rsidR="0070100D">
        <w:rPr>
          <w:rFonts w:hint="cs"/>
          <w:rtl/>
        </w:rPr>
        <w:t> </w:t>
      </w:r>
      <w:r w:rsidR="00786152" w:rsidRPr="000930DD">
        <w:t>(</w:t>
      </w:r>
      <w:r w:rsidRPr="000930DD">
        <w:t>SMP</w:t>
      </w:r>
      <w:r w:rsidR="00786152" w:rsidRPr="000930DD">
        <w:t>)</w:t>
      </w:r>
      <w:r w:rsidR="00041E49" w:rsidRPr="000930DD">
        <w:rPr>
          <w:rFonts w:hint="cs"/>
          <w:rtl/>
          <w:lang w:bidi="ar-EG"/>
        </w:rPr>
        <w:t>"</w:t>
      </w:r>
      <w:r w:rsidR="00786152" w:rsidRPr="000930DD">
        <w:rPr>
          <w:rFonts w:hint="cs"/>
          <w:rtl/>
          <w:lang w:bidi="ar-EG"/>
        </w:rPr>
        <w:t>.</w:t>
      </w:r>
    </w:p>
    <w:p w:rsidR="00786152" w:rsidRDefault="00867CD8" w:rsidP="003D3D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وسعياً إلى </w:t>
      </w:r>
      <w:r w:rsidR="006813F5">
        <w:rPr>
          <w:rFonts w:hint="cs"/>
          <w:rtl/>
          <w:lang w:bidi="ar-EG"/>
        </w:rPr>
        <w:t xml:space="preserve">تطوير </w:t>
      </w:r>
      <w:r w:rsidR="009B44AB">
        <w:rPr>
          <w:rFonts w:hint="cs"/>
          <w:rtl/>
          <w:lang w:bidi="ar-EG"/>
        </w:rPr>
        <w:t>شبكة الإنترنت عر</w:t>
      </w:r>
      <w:r w:rsidR="00562C18">
        <w:rPr>
          <w:rFonts w:hint="cs"/>
          <w:rtl/>
          <w:lang w:bidi="ar-EG"/>
        </w:rPr>
        <w:t>ي</w:t>
      </w:r>
      <w:r w:rsidR="009B44AB">
        <w:rPr>
          <w:rFonts w:hint="cs"/>
          <w:rtl/>
          <w:lang w:bidi="ar-EG"/>
        </w:rPr>
        <w:t xml:space="preserve">ضة النطاق </w:t>
      </w:r>
      <w:r w:rsidR="009D605F">
        <w:rPr>
          <w:rFonts w:hint="cs"/>
          <w:rtl/>
          <w:lang w:bidi="ar-EG"/>
        </w:rPr>
        <w:t>و</w:t>
      </w:r>
      <w:r w:rsidR="003C3100">
        <w:rPr>
          <w:rFonts w:hint="cs"/>
          <w:rtl/>
          <w:lang w:bidi="ar-EG"/>
        </w:rPr>
        <w:t xml:space="preserve">توسيع </w:t>
      </w:r>
      <w:r w:rsidR="009D605F">
        <w:rPr>
          <w:rFonts w:hint="cs"/>
          <w:rtl/>
          <w:lang w:bidi="ar-EG"/>
        </w:rPr>
        <w:t xml:space="preserve">النفاذ إليها </w:t>
      </w:r>
      <w:r w:rsidR="003C3100">
        <w:rPr>
          <w:rFonts w:hint="cs"/>
          <w:rtl/>
          <w:lang w:bidi="ar-EG"/>
        </w:rPr>
        <w:t>و</w:t>
      </w:r>
      <w:r w:rsidR="00523B23">
        <w:rPr>
          <w:rFonts w:hint="cs"/>
          <w:rtl/>
          <w:lang w:bidi="ar-EG"/>
        </w:rPr>
        <w:t xml:space="preserve">خفض تكاليف </w:t>
      </w:r>
      <w:r w:rsidR="003C3100">
        <w:rPr>
          <w:rFonts w:hint="cs"/>
          <w:rtl/>
          <w:lang w:bidi="ar-EG"/>
        </w:rPr>
        <w:t xml:space="preserve">نداءات التجوال، تعمل بنغلاديش حالياً على </w:t>
      </w:r>
      <w:r w:rsidR="007B2B43">
        <w:rPr>
          <w:rFonts w:hint="cs"/>
          <w:rtl/>
          <w:lang w:bidi="ar-EG"/>
        </w:rPr>
        <w:t>صياغة</w:t>
      </w:r>
      <w:r w:rsidR="003C3100">
        <w:rPr>
          <w:rFonts w:hint="cs"/>
          <w:rtl/>
          <w:lang w:bidi="ar-EG"/>
        </w:rPr>
        <w:t xml:space="preserve"> </w:t>
      </w:r>
      <w:r w:rsidR="007B2B43">
        <w:rPr>
          <w:rFonts w:hint="cs"/>
          <w:rtl/>
          <w:lang w:bidi="ar-EG"/>
        </w:rPr>
        <w:t>ال</w:t>
      </w:r>
      <w:r w:rsidR="00915012">
        <w:rPr>
          <w:rFonts w:hint="cs"/>
          <w:rtl/>
          <w:lang w:bidi="ar-EG"/>
        </w:rPr>
        <w:t xml:space="preserve">سياسات </w:t>
      </w:r>
      <w:r w:rsidR="007B2B43">
        <w:rPr>
          <w:rFonts w:hint="cs"/>
          <w:rtl/>
          <w:lang w:bidi="ar-EG"/>
        </w:rPr>
        <w:t>ال</w:t>
      </w:r>
      <w:r w:rsidR="00915012">
        <w:rPr>
          <w:rFonts w:hint="cs"/>
          <w:rtl/>
          <w:lang w:bidi="ar-EG"/>
        </w:rPr>
        <w:t xml:space="preserve">عامة. </w:t>
      </w:r>
      <w:r w:rsidR="002239D6">
        <w:rPr>
          <w:rFonts w:hint="cs"/>
          <w:rtl/>
          <w:lang w:bidi="ar-EG"/>
        </w:rPr>
        <w:t xml:space="preserve">وستؤدي هذه الإصلاحات إلى تحسين </w:t>
      </w:r>
      <w:r w:rsidR="002948F1">
        <w:rPr>
          <w:rFonts w:hint="cs"/>
          <w:rtl/>
          <w:lang w:bidi="ar-EG"/>
        </w:rPr>
        <w:t>مستوى العيش والشمول والتجارة الإقليمية والدولية</w:t>
      </w:r>
      <w:r w:rsidR="00B64556">
        <w:rPr>
          <w:rFonts w:hint="cs"/>
          <w:rtl/>
          <w:lang w:bidi="ar-EG"/>
        </w:rPr>
        <w:t>. وسي</w:t>
      </w:r>
      <w:r w:rsidR="003D3DCC">
        <w:rPr>
          <w:rFonts w:hint="cs"/>
          <w:rtl/>
          <w:lang w:bidi="ar-EG"/>
        </w:rPr>
        <w:t>ُ</w:t>
      </w:r>
      <w:r w:rsidR="00B64556">
        <w:rPr>
          <w:rFonts w:hint="cs"/>
          <w:rtl/>
          <w:lang w:bidi="ar-EG"/>
        </w:rPr>
        <w:t>فضي ذلك في</w:t>
      </w:r>
      <w:r w:rsidR="003D3DCC">
        <w:rPr>
          <w:rFonts w:hint="eastAsia"/>
          <w:rtl/>
          <w:lang w:bidi="ar-EG"/>
        </w:rPr>
        <w:t> </w:t>
      </w:r>
      <w:r w:rsidR="00B64556">
        <w:rPr>
          <w:rFonts w:hint="cs"/>
          <w:rtl/>
          <w:lang w:bidi="ar-EG"/>
        </w:rPr>
        <w:t xml:space="preserve">نهاية المطاف إلى تحسين الإدارة </w:t>
      </w:r>
      <w:r w:rsidR="003D3DCC">
        <w:rPr>
          <w:rFonts w:hint="cs"/>
          <w:rtl/>
          <w:lang w:bidi="ar-EG"/>
        </w:rPr>
        <w:t>والمساءلة.</w:t>
      </w:r>
    </w:p>
    <w:p w:rsidR="00786152" w:rsidRDefault="00E42B37" w:rsidP="003D3DCC">
      <w:pPr>
        <w:rPr>
          <w:rtl/>
          <w:lang w:bidi="ar-EG"/>
        </w:rPr>
      </w:pPr>
      <w:r>
        <w:rPr>
          <w:rFonts w:hint="cs"/>
          <w:rtl/>
          <w:lang w:bidi="ar-EG"/>
        </w:rPr>
        <w:t>والهدف هو إتاحة الب</w:t>
      </w:r>
      <w:r w:rsidR="003D3DCC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نى التحتية التي تكفل نفاذ الجميع إلى خدمات الاتصالات بتكاليف معقولة. </w:t>
      </w:r>
      <w:r w:rsidR="00B91056">
        <w:rPr>
          <w:rFonts w:hint="cs"/>
          <w:rtl/>
          <w:lang w:bidi="ar-EG"/>
        </w:rPr>
        <w:t>ولتيسير تحقيق هذا الهدف، لا</w:t>
      </w:r>
      <w:r w:rsidR="003D3DCC">
        <w:rPr>
          <w:rFonts w:hint="eastAsia"/>
          <w:rtl/>
          <w:lang w:bidi="ar-EG"/>
        </w:rPr>
        <w:t> </w:t>
      </w:r>
      <w:r w:rsidR="00B91056">
        <w:rPr>
          <w:rFonts w:hint="cs"/>
          <w:rtl/>
          <w:lang w:bidi="ar-EG"/>
        </w:rPr>
        <w:t xml:space="preserve">بد من وضع </w:t>
      </w:r>
      <w:r w:rsidR="00423809">
        <w:rPr>
          <w:rFonts w:hint="cs"/>
          <w:rtl/>
          <w:lang w:bidi="ar-EG"/>
        </w:rPr>
        <w:t xml:space="preserve">لائحة تنظيمية دولية وتوصيات </w:t>
      </w:r>
      <w:r w:rsidR="00FB4A74">
        <w:rPr>
          <w:rFonts w:hint="cs"/>
          <w:rtl/>
          <w:lang w:bidi="ar-EG"/>
        </w:rPr>
        <w:t>ملائمة</w:t>
      </w:r>
      <w:r w:rsidR="003D3DCC">
        <w:rPr>
          <w:rFonts w:hint="cs"/>
          <w:rtl/>
          <w:lang w:bidi="ar-EG"/>
        </w:rPr>
        <w:t>.</w:t>
      </w:r>
    </w:p>
    <w:p w:rsidR="00396205" w:rsidRDefault="00AB386D" w:rsidP="00AB386D">
      <w:pPr>
        <w:pStyle w:val="Proposal"/>
        <w:rPr>
          <w:rFonts w:hint="cs"/>
          <w:rtl/>
        </w:rPr>
      </w:pPr>
      <w:r w:rsidRPr="00AB386D">
        <w:rPr>
          <w:lang w:val="en-GB"/>
        </w:rPr>
        <w:tab/>
        <w:t>BGD/52A1/1</w:t>
      </w:r>
    </w:p>
    <w:p w:rsidR="00E75A8B" w:rsidRDefault="00971FD1" w:rsidP="00E75A8B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8B200E" w:rsidRPr="00603187" w:rsidRDefault="00BD6D79" w:rsidP="00EF7E55">
      <w:pPr>
        <w:rPr>
          <w:rtl/>
          <w:lang w:bidi="ar-EG"/>
        </w:rPr>
      </w:pPr>
      <w:r w:rsidRPr="00603187">
        <w:rPr>
          <w:rFonts w:hint="cs"/>
          <w:rtl/>
          <w:lang w:bidi="ar-EG"/>
        </w:rPr>
        <w:t>نظراً</w:t>
      </w:r>
      <w:r w:rsidRPr="00603187">
        <w:rPr>
          <w:rFonts w:hint="cs"/>
          <w:rtl/>
        </w:rPr>
        <w:t xml:space="preserve"> </w:t>
      </w:r>
      <w:r w:rsidR="00EF7E55">
        <w:rPr>
          <w:rFonts w:hint="cs"/>
          <w:rtl/>
        </w:rPr>
        <w:t>إلى أهمية</w:t>
      </w:r>
      <w:bookmarkStart w:id="4" w:name="_GoBack"/>
      <w:bookmarkEnd w:id="4"/>
      <w:r w:rsidRPr="00603187">
        <w:rPr>
          <w:rFonts w:hint="cs"/>
          <w:rtl/>
        </w:rPr>
        <w:t xml:space="preserve"> </w:t>
      </w:r>
      <w:r w:rsidR="00603187" w:rsidRPr="00603187">
        <w:rPr>
          <w:rFonts w:hint="cs"/>
          <w:rtl/>
        </w:rPr>
        <w:t>هذه القضايا، تقترح بنغلاديش الموافقة على هذه التوصيات الخمس في الجمعية العالمية لتقييس الاتصالات لعام</w:t>
      </w:r>
      <w:r w:rsidR="003D3DCC">
        <w:rPr>
          <w:rFonts w:hint="eastAsia"/>
          <w:rtl/>
        </w:rPr>
        <w:t> </w:t>
      </w:r>
      <w:r w:rsidR="00603187" w:rsidRPr="00603187">
        <w:t>2016</w:t>
      </w:r>
      <w:r w:rsidR="003D3DCC">
        <w:rPr>
          <w:rFonts w:hint="eastAsia"/>
          <w:rtl/>
        </w:rPr>
        <w:t> </w:t>
      </w:r>
      <w:r w:rsidR="003D3DCC" w:rsidRPr="003D3DCC">
        <w:t>(</w:t>
      </w:r>
      <w:r w:rsidR="00603187" w:rsidRPr="003D3DCC">
        <w:t>WTSA</w:t>
      </w:r>
      <w:r w:rsidR="003D3DCC">
        <w:noBreakHyphen/>
      </w:r>
      <w:r w:rsidR="00603187" w:rsidRPr="003D3DCC">
        <w:t>16</w:t>
      </w:r>
      <w:r w:rsidR="003D3DCC" w:rsidRPr="003D3DCC">
        <w:t>)</w:t>
      </w:r>
      <w:r w:rsidR="003D3DCC">
        <w:rPr>
          <w:rFonts w:hint="cs"/>
          <w:rtl/>
        </w:rPr>
        <w:t>.</w:t>
      </w:r>
    </w:p>
    <w:p w:rsidR="00786152" w:rsidRDefault="00786152" w:rsidP="00786152">
      <w:pPr>
        <w:pStyle w:val="Reasons"/>
        <w:rPr>
          <w:rtl/>
          <w:lang w:bidi="ar-EG"/>
        </w:rPr>
      </w:pPr>
    </w:p>
    <w:p w:rsidR="00E75A8B" w:rsidRPr="006B6C85" w:rsidRDefault="00786152" w:rsidP="00396205">
      <w:pPr>
        <w:jc w:val="center"/>
        <w:rPr>
          <w:rtl/>
        </w:rPr>
      </w:pPr>
      <w:r>
        <w:rPr>
          <w:rFonts w:hint="cs"/>
          <w:rtl/>
        </w:rPr>
        <w:t>___________</w:t>
      </w:r>
    </w:p>
    <w:sectPr w:rsidR="00E75A8B" w:rsidRPr="006B6C85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39" w:rsidRDefault="00417839" w:rsidP="00E07379">
      <w:pPr>
        <w:spacing w:before="0" w:line="240" w:lineRule="auto"/>
      </w:pPr>
      <w:r>
        <w:separator/>
      </w:r>
    </w:p>
  </w:endnote>
  <w:endnote w:type="continuationSeparator" w:id="0">
    <w:p w:rsidR="00417839" w:rsidRDefault="0041783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5E" w:rsidRPr="005A528C" w:rsidRDefault="0099495E" w:rsidP="009F2D82">
    <w:pPr>
      <w:pStyle w:val="Footer"/>
      <w:rPr>
        <w:szCs w:val="12"/>
        <w:lang w:val="fr-CH"/>
      </w:rPr>
    </w:pPr>
    <w:r w:rsidRPr="0099495E">
      <w:rPr>
        <w:szCs w:val="12"/>
      </w:rPr>
      <w:fldChar w:fldCharType="begin"/>
    </w:r>
    <w:r w:rsidRPr="005A528C">
      <w:rPr>
        <w:szCs w:val="12"/>
        <w:lang w:val="fr-CH"/>
      </w:rPr>
      <w:instrText xml:space="preserve"> FILENAME \p \* MERGEFORMAT </w:instrText>
    </w:r>
    <w:r w:rsidRPr="0099495E">
      <w:rPr>
        <w:szCs w:val="12"/>
      </w:rPr>
      <w:fldChar w:fldCharType="separate"/>
    </w:r>
    <w:r w:rsidR="00433C87">
      <w:rPr>
        <w:noProof/>
        <w:szCs w:val="12"/>
        <w:lang w:val="fr-CH"/>
      </w:rPr>
      <w:t>P:\ARA\ITU-T\CONF-T\WTSA16\000\052ADD01A.docx</w:t>
    </w:r>
    <w:r w:rsidRPr="0099495E">
      <w:rPr>
        <w:szCs w:val="12"/>
      </w:rPr>
      <w:fldChar w:fldCharType="end"/>
    </w:r>
    <w:r w:rsidR="009F2D82">
      <w:rPr>
        <w:szCs w:val="12"/>
        <w:lang w:val="fr-CH"/>
      </w:rPr>
      <w:t>   </w:t>
    </w:r>
    <w:r w:rsidRPr="005A528C">
      <w:rPr>
        <w:szCs w:val="12"/>
        <w:lang w:val="fr-CH"/>
      </w:rPr>
      <w:t>(</w:t>
    </w:r>
    <w:r w:rsidR="003E762B" w:rsidRPr="005A528C">
      <w:rPr>
        <w:szCs w:val="12"/>
        <w:lang w:val="fr-CH"/>
      </w:rPr>
      <w:t>406313</w:t>
    </w:r>
    <w:r w:rsidRPr="005A528C">
      <w:rPr>
        <w:szCs w:val="12"/>
        <w:lang w:val="fr-CH"/>
      </w:rPr>
      <w:t>)</w:t>
    </w:r>
    <w:r w:rsidR="001922D7" w:rsidRPr="005A528C">
      <w:rPr>
        <w:szCs w:val="12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62" w:rsidRPr="005A528C" w:rsidRDefault="00BD7D62" w:rsidP="009F2D82">
    <w:pPr>
      <w:pStyle w:val="Footer"/>
      <w:rPr>
        <w:szCs w:val="12"/>
        <w:lang w:val="fr-CH"/>
      </w:rPr>
    </w:pPr>
    <w:r w:rsidRPr="0099495E">
      <w:rPr>
        <w:szCs w:val="12"/>
      </w:rPr>
      <w:fldChar w:fldCharType="begin"/>
    </w:r>
    <w:r w:rsidRPr="005A528C">
      <w:rPr>
        <w:szCs w:val="12"/>
        <w:lang w:val="fr-CH"/>
      </w:rPr>
      <w:instrText xml:space="preserve"> FILENAME \p \* MERGEFORMAT </w:instrText>
    </w:r>
    <w:r w:rsidRPr="0099495E">
      <w:rPr>
        <w:szCs w:val="12"/>
      </w:rPr>
      <w:fldChar w:fldCharType="separate"/>
    </w:r>
    <w:r w:rsidR="009F2D82">
      <w:rPr>
        <w:noProof/>
        <w:szCs w:val="12"/>
        <w:lang w:val="fr-CH"/>
      </w:rPr>
      <w:t>P:\ARA\ITU-T\CONF-T\WTSA16\000\052ADD01A.docx</w:t>
    </w:r>
    <w:r w:rsidRPr="0099495E">
      <w:rPr>
        <w:szCs w:val="12"/>
      </w:rPr>
      <w:fldChar w:fldCharType="end"/>
    </w:r>
    <w:r w:rsidR="009F2D82">
      <w:rPr>
        <w:szCs w:val="12"/>
        <w:lang w:val="fr-CH"/>
      </w:rPr>
      <w:t>   </w:t>
    </w:r>
    <w:r w:rsidRPr="005A528C">
      <w:rPr>
        <w:szCs w:val="12"/>
        <w:lang w:val="fr-CH"/>
      </w:rPr>
      <w:t>(406313)</w:t>
    </w:r>
  </w:p>
  <w:p w:rsidR="00E07379" w:rsidRPr="00BD7D62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39" w:rsidRDefault="00417839" w:rsidP="00E07379">
      <w:pPr>
        <w:spacing w:before="0" w:line="240" w:lineRule="auto"/>
      </w:pPr>
      <w:r>
        <w:separator/>
      </w:r>
    </w:p>
  </w:footnote>
  <w:footnote w:type="continuationSeparator" w:id="0">
    <w:p w:rsidR="00417839" w:rsidRDefault="0041783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3E762B">
    <w:pPr>
      <w:bidi w:val="0"/>
      <w:spacing w:after="240" w:line="240" w:lineRule="auto"/>
      <w:jc w:val="center"/>
      <w:rPr>
        <w:rStyle w:val="PageNumber"/>
        <w:sz w:val="16"/>
        <w:szCs w:val="16"/>
        <w:rtl/>
        <w:lang w:bidi="ar-EG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EF7E55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="00DA15B8">
      <w:rPr>
        <w:rStyle w:val="PageNumber"/>
        <w:sz w:val="18"/>
        <w:szCs w:val="18"/>
        <w:rtl/>
      </w:rPr>
      <w:br/>
    </w:r>
    <w:r w:rsidR="00DA15B8" w:rsidRPr="00DA15B8">
      <w:rPr>
        <w:rFonts w:cs="Times New Roman"/>
        <w:sz w:val="18"/>
        <w:szCs w:val="18"/>
      </w:rPr>
      <w:t>WTSA-16/</w:t>
    </w:r>
    <w:r w:rsidR="003E762B">
      <w:rPr>
        <w:rFonts w:cs="Times New Roman"/>
        <w:sz w:val="18"/>
        <w:szCs w:val="18"/>
      </w:rPr>
      <w:t>52(Add.1)</w:t>
    </w:r>
    <w:r w:rsidR="00DA15B8" w:rsidRPr="00DA15B8">
      <w:rPr>
        <w:rFonts w:cs="Times New Roman"/>
        <w:sz w:val="18"/>
        <w:szCs w:val="18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39"/>
    <w:rsid w:val="000124CC"/>
    <w:rsid w:val="00041E49"/>
    <w:rsid w:val="00046444"/>
    <w:rsid w:val="0006023B"/>
    <w:rsid w:val="000856D5"/>
    <w:rsid w:val="0008638B"/>
    <w:rsid w:val="00090574"/>
    <w:rsid w:val="00090624"/>
    <w:rsid w:val="00092FC2"/>
    <w:rsid w:val="000930DD"/>
    <w:rsid w:val="00093AFC"/>
    <w:rsid w:val="000A1677"/>
    <w:rsid w:val="000B2717"/>
    <w:rsid w:val="000B407F"/>
    <w:rsid w:val="000F0B1C"/>
    <w:rsid w:val="000F1D42"/>
    <w:rsid w:val="000F4D07"/>
    <w:rsid w:val="00102A03"/>
    <w:rsid w:val="001040A3"/>
    <w:rsid w:val="00104DA7"/>
    <w:rsid w:val="001501C7"/>
    <w:rsid w:val="0015525F"/>
    <w:rsid w:val="00157F05"/>
    <w:rsid w:val="00173915"/>
    <w:rsid w:val="001922D7"/>
    <w:rsid w:val="001D3BA8"/>
    <w:rsid w:val="001D671F"/>
    <w:rsid w:val="002155A0"/>
    <w:rsid w:val="0022345D"/>
    <w:rsid w:val="002239D6"/>
    <w:rsid w:val="00225854"/>
    <w:rsid w:val="0023283D"/>
    <w:rsid w:val="00252E0C"/>
    <w:rsid w:val="00270170"/>
    <w:rsid w:val="00276881"/>
    <w:rsid w:val="002948F1"/>
    <w:rsid w:val="002978F4"/>
    <w:rsid w:val="002A3346"/>
    <w:rsid w:val="002B028D"/>
    <w:rsid w:val="002B435E"/>
    <w:rsid w:val="002C3FC3"/>
    <w:rsid w:val="002C4DAE"/>
    <w:rsid w:val="002D06A2"/>
    <w:rsid w:val="002E6541"/>
    <w:rsid w:val="002F5560"/>
    <w:rsid w:val="002F5A1A"/>
    <w:rsid w:val="0030486B"/>
    <w:rsid w:val="003231B9"/>
    <w:rsid w:val="0032574B"/>
    <w:rsid w:val="003275AC"/>
    <w:rsid w:val="00333D29"/>
    <w:rsid w:val="0034066D"/>
    <w:rsid w:val="003409F4"/>
    <w:rsid w:val="00341E03"/>
    <w:rsid w:val="00357185"/>
    <w:rsid w:val="003607AA"/>
    <w:rsid w:val="00360EB9"/>
    <w:rsid w:val="00371946"/>
    <w:rsid w:val="00374DAF"/>
    <w:rsid w:val="00377E1A"/>
    <w:rsid w:val="00396205"/>
    <w:rsid w:val="003A1508"/>
    <w:rsid w:val="003A15D3"/>
    <w:rsid w:val="003C1FFB"/>
    <w:rsid w:val="003C3100"/>
    <w:rsid w:val="003C38F9"/>
    <w:rsid w:val="003C475F"/>
    <w:rsid w:val="003D3DCC"/>
    <w:rsid w:val="003E4132"/>
    <w:rsid w:val="003E5659"/>
    <w:rsid w:val="003E762B"/>
    <w:rsid w:val="003F1ECD"/>
    <w:rsid w:val="003F678F"/>
    <w:rsid w:val="00417839"/>
    <w:rsid w:val="00423809"/>
    <w:rsid w:val="0042686F"/>
    <w:rsid w:val="00433C87"/>
    <w:rsid w:val="004367CE"/>
    <w:rsid w:val="00443869"/>
    <w:rsid w:val="004712C6"/>
    <w:rsid w:val="004847F5"/>
    <w:rsid w:val="00497703"/>
    <w:rsid w:val="004A589A"/>
    <w:rsid w:val="004B41A6"/>
    <w:rsid w:val="004F0F06"/>
    <w:rsid w:val="004F39B8"/>
    <w:rsid w:val="00501E0E"/>
    <w:rsid w:val="005102A0"/>
    <w:rsid w:val="005204D7"/>
    <w:rsid w:val="00523B23"/>
    <w:rsid w:val="005520E2"/>
    <w:rsid w:val="00552BC5"/>
    <w:rsid w:val="0055516A"/>
    <w:rsid w:val="00562C18"/>
    <w:rsid w:val="0056374C"/>
    <w:rsid w:val="0056614F"/>
    <w:rsid w:val="00574F77"/>
    <w:rsid w:val="0057656F"/>
    <w:rsid w:val="00576731"/>
    <w:rsid w:val="0059285F"/>
    <w:rsid w:val="00597885"/>
    <w:rsid w:val="005A24B1"/>
    <w:rsid w:val="005A528C"/>
    <w:rsid w:val="005A59A1"/>
    <w:rsid w:val="005A7A5E"/>
    <w:rsid w:val="005B17A6"/>
    <w:rsid w:val="005B7B8A"/>
    <w:rsid w:val="005C3358"/>
    <w:rsid w:val="005C60DC"/>
    <w:rsid w:val="005D6476"/>
    <w:rsid w:val="005D6C0D"/>
    <w:rsid w:val="005E5283"/>
    <w:rsid w:val="005E58F5"/>
    <w:rsid w:val="00603187"/>
    <w:rsid w:val="00606660"/>
    <w:rsid w:val="006157A3"/>
    <w:rsid w:val="00620E60"/>
    <w:rsid w:val="0063315A"/>
    <w:rsid w:val="0065591D"/>
    <w:rsid w:val="00662C5A"/>
    <w:rsid w:val="00670AF5"/>
    <w:rsid w:val="006813F5"/>
    <w:rsid w:val="006913C8"/>
    <w:rsid w:val="006A68A2"/>
    <w:rsid w:val="006B6C85"/>
    <w:rsid w:val="006C1556"/>
    <w:rsid w:val="006C5751"/>
    <w:rsid w:val="006F267F"/>
    <w:rsid w:val="006F63F7"/>
    <w:rsid w:val="006F6F03"/>
    <w:rsid w:val="0070100D"/>
    <w:rsid w:val="00706D7A"/>
    <w:rsid w:val="00726AEC"/>
    <w:rsid w:val="00731EE5"/>
    <w:rsid w:val="0073765A"/>
    <w:rsid w:val="007530CA"/>
    <w:rsid w:val="00760F8D"/>
    <w:rsid w:val="00786152"/>
    <w:rsid w:val="007865AD"/>
    <w:rsid w:val="00793BC1"/>
    <w:rsid w:val="0079553D"/>
    <w:rsid w:val="007B01CC"/>
    <w:rsid w:val="007B2B43"/>
    <w:rsid w:val="007C2C35"/>
    <w:rsid w:val="007C53AA"/>
    <w:rsid w:val="007F646C"/>
    <w:rsid w:val="00801FCD"/>
    <w:rsid w:val="00803D7E"/>
    <w:rsid w:val="00803F08"/>
    <w:rsid w:val="00813A9D"/>
    <w:rsid w:val="0081483A"/>
    <w:rsid w:val="008235CD"/>
    <w:rsid w:val="00823A07"/>
    <w:rsid w:val="00835FEC"/>
    <w:rsid w:val="008513CB"/>
    <w:rsid w:val="0086448C"/>
    <w:rsid w:val="00867CD8"/>
    <w:rsid w:val="00874D9C"/>
    <w:rsid w:val="008A1810"/>
    <w:rsid w:val="008B200E"/>
    <w:rsid w:val="008D2BF5"/>
    <w:rsid w:val="008D6B7D"/>
    <w:rsid w:val="008E5123"/>
    <w:rsid w:val="008F0F24"/>
    <w:rsid w:val="009039FD"/>
    <w:rsid w:val="00915012"/>
    <w:rsid w:val="00917694"/>
    <w:rsid w:val="009263CD"/>
    <w:rsid w:val="00930E6D"/>
    <w:rsid w:val="00963F18"/>
    <w:rsid w:val="00971FD1"/>
    <w:rsid w:val="00972CA2"/>
    <w:rsid w:val="00982A75"/>
    <w:rsid w:val="00982B28"/>
    <w:rsid w:val="00984EA5"/>
    <w:rsid w:val="00992593"/>
    <w:rsid w:val="0099495E"/>
    <w:rsid w:val="009B44AB"/>
    <w:rsid w:val="009C17E1"/>
    <w:rsid w:val="009C35ED"/>
    <w:rsid w:val="009D3F51"/>
    <w:rsid w:val="009D605F"/>
    <w:rsid w:val="009F1C12"/>
    <w:rsid w:val="009F2D82"/>
    <w:rsid w:val="009F2F38"/>
    <w:rsid w:val="009F4EA6"/>
    <w:rsid w:val="00A05E9D"/>
    <w:rsid w:val="00A071CD"/>
    <w:rsid w:val="00A25A43"/>
    <w:rsid w:val="00A3295B"/>
    <w:rsid w:val="00A378CB"/>
    <w:rsid w:val="00A37E34"/>
    <w:rsid w:val="00A42AE5"/>
    <w:rsid w:val="00A44C30"/>
    <w:rsid w:val="00A52B61"/>
    <w:rsid w:val="00A56921"/>
    <w:rsid w:val="00A64820"/>
    <w:rsid w:val="00A71DD6"/>
    <w:rsid w:val="00A723C7"/>
    <w:rsid w:val="00A77563"/>
    <w:rsid w:val="00A80E11"/>
    <w:rsid w:val="00A84BEF"/>
    <w:rsid w:val="00A92D11"/>
    <w:rsid w:val="00A97F94"/>
    <w:rsid w:val="00AB1309"/>
    <w:rsid w:val="00AB386D"/>
    <w:rsid w:val="00AC2C52"/>
    <w:rsid w:val="00AC5B12"/>
    <w:rsid w:val="00AD1503"/>
    <w:rsid w:val="00AD5C6D"/>
    <w:rsid w:val="00AE7244"/>
    <w:rsid w:val="00AF3FEE"/>
    <w:rsid w:val="00B02F46"/>
    <w:rsid w:val="00B058EA"/>
    <w:rsid w:val="00B17797"/>
    <w:rsid w:val="00B2000C"/>
    <w:rsid w:val="00B20ADE"/>
    <w:rsid w:val="00B21886"/>
    <w:rsid w:val="00B64556"/>
    <w:rsid w:val="00B66B9A"/>
    <w:rsid w:val="00B7310D"/>
    <w:rsid w:val="00B82089"/>
    <w:rsid w:val="00B91056"/>
    <w:rsid w:val="00B928BC"/>
    <w:rsid w:val="00B970AE"/>
    <w:rsid w:val="00BA1427"/>
    <w:rsid w:val="00BB2742"/>
    <w:rsid w:val="00BD6D79"/>
    <w:rsid w:val="00BD7D62"/>
    <w:rsid w:val="00BE3C8F"/>
    <w:rsid w:val="00BE49D0"/>
    <w:rsid w:val="00BF2C38"/>
    <w:rsid w:val="00C23331"/>
    <w:rsid w:val="00C26527"/>
    <w:rsid w:val="00C265DA"/>
    <w:rsid w:val="00C442F2"/>
    <w:rsid w:val="00C54EB6"/>
    <w:rsid w:val="00C674FE"/>
    <w:rsid w:val="00C7297D"/>
    <w:rsid w:val="00C75633"/>
    <w:rsid w:val="00C8242E"/>
    <w:rsid w:val="00C82615"/>
    <w:rsid w:val="00C867DB"/>
    <w:rsid w:val="00C8705F"/>
    <w:rsid w:val="00C900E5"/>
    <w:rsid w:val="00CA2A38"/>
    <w:rsid w:val="00CA50FF"/>
    <w:rsid w:val="00CB436B"/>
    <w:rsid w:val="00CC028D"/>
    <w:rsid w:val="00CC3CD2"/>
    <w:rsid w:val="00CC43BE"/>
    <w:rsid w:val="00CD098D"/>
    <w:rsid w:val="00CD123C"/>
    <w:rsid w:val="00CD2085"/>
    <w:rsid w:val="00CE2EE1"/>
    <w:rsid w:val="00CF3FFD"/>
    <w:rsid w:val="00CF4E88"/>
    <w:rsid w:val="00D0494C"/>
    <w:rsid w:val="00D14BEB"/>
    <w:rsid w:val="00D21C89"/>
    <w:rsid w:val="00D244C1"/>
    <w:rsid w:val="00D45542"/>
    <w:rsid w:val="00D47467"/>
    <w:rsid w:val="00D62462"/>
    <w:rsid w:val="00D77D0F"/>
    <w:rsid w:val="00DA15B8"/>
    <w:rsid w:val="00DA1CF0"/>
    <w:rsid w:val="00DB2271"/>
    <w:rsid w:val="00DB5659"/>
    <w:rsid w:val="00DC24B4"/>
    <w:rsid w:val="00DD7A05"/>
    <w:rsid w:val="00DF16DC"/>
    <w:rsid w:val="00DF5361"/>
    <w:rsid w:val="00DF7410"/>
    <w:rsid w:val="00E00547"/>
    <w:rsid w:val="00E009A1"/>
    <w:rsid w:val="00E00D15"/>
    <w:rsid w:val="00E071BE"/>
    <w:rsid w:val="00E07379"/>
    <w:rsid w:val="00E14494"/>
    <w:rsid w:val="00E17033"/>
    <w:rsid w:val="00E32189"/>
    <w:rsid w:val="00E42B37"/>
    <w:rsid w:val="00E45211"/>
    <w:rsid w:val="00E4696E"/>
    <w:rsid w:val="00E52CCF"/>
    <w:rsid w:val="00E53CD7"/>
    <w:rsid w:val="00E62817"/>
    <w:rsid w:val="00E7380C"/>
    <w:rsid w:val="00E744B8"/>
    <w:rsid w:val="00E74BE7"/>
    <w:rsid w:val="00E75A8B"/>
    <w:rsid w:val="00E86CC9"/>
    <w:rsid w:val="00E96624"/>
    <w:rsid w:val="00EE52AE"/>
    <w:rsid w:val="00EF7E55"/>
    <w:rsid w:val="00F126F1"/>
    <w:rsid w:val="00F16995"/>
    <w:rsid w:val="00F2106A"/>
    <w:rsid w:val="00F36D8B"/>
    <w:rsid w:val="00F401D0"/>
    <w:rsid w:val="00F41685"/>
    <w:rsid w:val="00F45F2B"/>
    <w:rsid w:val="00F55133"/>
    <w:rsid w:val="00F57AE4"/>
    <w:rsid w:val="00F615B0"/>
    <w:rsid w:val="00F67150"/>
    <w:rsid w:val="00F84366"/>
    <w:rsid w:val="00F85089"/>
    <w:rsid w:val="00F85564"/>
    <w:rsid w:val="00F86CFA"/>
    <w:rsid w:val="00FB4A74"/>
    <w:rsid w:val="00FB53B8"/>
    <w:rsid w:val="00FD58BD"/>
    <w:rsid w:val="00FE3EF8"/>
    <w:rsid w:val="00FF369A"/>
    <w:rsid w:val="00FF7000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04A7127-6929-41B8-8AD8-10F7CD9B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2742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BB2742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1501C7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1501C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C3FC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A334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41E03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BB2742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BB2742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2C3FC3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2A3346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BE3C8F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ascii="Times New Roman italic" w:hAnsi="Times New Roman italic"/>
      <w:b w:val="0"/>
      <w:bCs w:val="0"/>
      <w:i/>
      <w:iCs/>
      <w:kern w:val="0"/>
      <w:sz w:val="24"/>
      <w:szCs w:val="3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82A75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5A7A5E"/>
    <w:pPr>
      <w:tabs>
        <w:tab w:val="left" w:pos="5812"/>
        <w:tab w:val="right" w:pos="9639"/>
      </w:tabs>
      <w:bidi w:val="0"/>
      <w:spacing w:before="16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A7A5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CF4E88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102A0"/>
    <w:pPr>
      <w:keepNext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102A0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E00547"/>
    <w:pPr>
      <w:tabs>
        <w:tab w:val="left" w:pos="372"/>
      </w:tabs>
      <w:spacing w:before="60" w:line="185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E00547"/>
    <w:rPr>
      <w:rFonts w:ascii="Times New Roman" w:hAnsi="Times New Roman" w:cs="Times New Roman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E00547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982A75"/>
    <w:pPr>
      <w:spacing w:before="360"/>
    </w:pPr>
  </w:style>
  <w:style w:type="paragraph" w:customStyle="1" w:styleId="Note">
    <w:name w:val="Note"/>
    <w:basedOn w:val="Normal"/>
    <w:qFormat/>
    <w:rsid w:val="00982A75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A071C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38F9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A05E9D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6A68A2"/>
  </w:style>
  <w:style w:type="paragraph" w:customStyle="1" w:styleId="Source">
    <w:name w:val="Source"/>
    <w:basedOn w:val="Normal"/>
    <w:next w:val="Normal"/>
    <w:rsid w:val="00E62817"/>
    <w:pPr>
      <w:keepNext/>
      <w:keepLines/>
      <w:spacing w:before="840" w:after="12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E744B8"/>
    <w:pPr>
      <w:keepNext/>
      <w:bidi/>
      <w:spacing w:before="120" w:after="360" w:line="192" w:lineRule="auto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E744B8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744B8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C26527"/>
    <w:pPr>
      <w:keepNext/>
      <w:tabs>
        <w:tab w:val="left" w:pos="567"/>
        <w:tab w:val="left" w:pos="1701"/>
        <w:tab w:val="left" w:pos="2268"/>
        <w:tab w:val="left" w:pos="2835"/>
      </w:tabs>
      <w:spacing w:before="480" w:after="120"/>
      <w:jc w:val="center"/>
    </w:pPr>
    <w:rPr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093AFC"/>
    <w:pPr>
      <w:spacing w:before="360"/>
    </w:pPr>
    <w:rPr>
      <w:sz w:val="26"/>
      <w:szCs w:val="36"/>
    </w:rPr>
  </w:style>
  <w:style w:type="paragraph" w:customStyle="1" w:styleId="Title3">
    <w:name w:val="Title 3"/>
    <w:basedOn w:val="Title2"/>
    <w:next w:val="Normal"/>
    <w:rsid w:val="006913C8"/>
    <w:pPr>
      <w:spacing w:before="240"/>
    </w:p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E744B8"/>
    <w:pPr>
      <w:spacing w:before="360" w:after="120"/>
    </w:pPr>
  </w:style>
  <w:style w:type="paragraph" w:customStyle="1" w:styleId="Appendixtitle">
    <w:name w:val="Appendix_title"/>
    <w:basedOn w:val="Annextitle"/>
    <w:next w:val="Normal"/>
    <w:rsid w:val="00E744B8"/>
  </w:style>
  <w:style w:type="paragraph" w:customStyle="1" w:styleId="Headingb">
    <w:name w:val="Heading_b"/>
    <w:basedOn w:val="Heading2"/>
    <w:rsid w:val="002A3346"/>
    <w:pPr>
      <w:spacing w:before="16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B53B8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FB53B8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B058EA"/>
    <w:pPr>
      <w:keepNext/>
      <w:tabs>
        <w:tab w:val="left" w:pos="2948"/>
        <w:tab w:val="left" w:pos="4082"/>
      </w:tabs>
      <w:spacing w:after="16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C54EB6"/>
    <w:pPr>
      <w:keepNext/>
      <w:spacing w:before="30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54EB6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C54EB6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C54EB6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E53CD7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E53CD7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CF4E88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731EE5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731EE5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4A589A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400" w:lineRule="exact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AD5C6D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982A75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82A75"/>
    <w:pPr>
      <w:keepNext/>
      <w:spacing w:after="120"/>
      <w:jc w:val="center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AD5C6D"/>
    <w:pPr>
      <w:keepNext/>
      <w:keepLines/>
      <w:spacing w:before="120" w:after="480" w:line="192" w:lineRule="auto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5102A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5A7A5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00" w:after="120"/>
      <w:jc w:val="center"/>
      <w:textAlignment w:val="baseline"/>
    </w:pPr>
  </w:style>
  <w:style w:type="paragraph" w:customStyle="1" w:styleId="Figuretitle">
    <w:name w:val="Figure_title"/>
    <w:qFormat/>
    <w:rsid w:val="005A7A5E"/>
    <w:pPr>
      <w:keepNext/>
      <w:keepLines/>
      <w:bidi/>
      <w:spacing w:before="120" w:after="30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982A75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81483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FF369A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81483A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38F9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sNo">
    <w:name w:val="Res_No"/>
    <w:basedOn w:val="Normal"/>
    <w:next w:val="Normal"/>
    <w:link w:val="ResNoChar"/>
    <w:rsid w:val="00CD098D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D098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F55133"/>
  </w:style>
  <w:style w:type="character" w:customStyle="1" w:styleId="RestitleChar">
    <w:name w:val="Res_title Char"/>
    <w:basedOn w:val="AnnextitleChar"/>
    <w:link w:val="Restitle"/>
    <w:rsid w:val="00F55133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607AA"/>
    <w:pPr>
      <w:keepNext/>
      <w:spacing w:before="36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607AA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D47467"/>
    <w:pPr>
      <w:tabs>
        <w:tab w:val="clear" w:pos="1134"/>
        <w:tab w:val="center" w:pos="4820"/>
      </w:tabs>
      <w:bidi w:val="0"/>
      <w:spacing w:before="24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963F18"/>
    <w:pPr>
      <w:keepNext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341E03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C54EB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80"/>
      <w:ind w:left="567" w:hanging="567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0"/>
    <w:rsid w:val="00C54EB6"/>
    <w:rPr>
      <w:rFonts w:ascii="Times New Roman" w:eastAsia="Times New Roman" w:hAnsi="Times New Roman" w:cs="Traditional Arabic"/>
      <w:sz w:val="20"/>
      <w:szCs w:val="26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C900E5"/>
    <w:pPr>
      <w:keepNext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CD098D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ppendixref">
    <w:name w:val="Appendix_ref"/>
    <w:basedOn w:val="Annexref"/>
    <w:qFormat/>
    <w:rsid w:val="00CF4E88"/>
  </w:style>
  <w:style w:type="paragraph" w:customStyle="1" w:styleId="TopHeader">
    <w:name w:val="TopHeader"/>
    <w:basedOn w:val="Normal"/>
    <w:rsid w:val="00597885"/>
    <w:pPr>
      <w:spacing w:before="160"/>
      <w:jc w:val="left"/>
    </w:pPr>
    <w:rPr>
      <w:rFonts w:ascii="Verdana Bold" w:hAnsi="Verdana Bold"/>
      <w:b/>
      <w:bCs/>
      <w:sz w:val="24"/>
      <w:szCs w:val="36"/>
      <w:lang w:bidi="ar-EG"/>
    </w:rPr>
  </w:style>
  <w:style w:type="paragraph" w:customStyle="1" w:styleId="TopHeader2">
    <w:name w:val="TopHeader2"/>
    <w:basedOn w:val="Normal"/>
    <w:rsid w:val="00597885"/>
    <w:pPr>
      <w:spacing w:before="80"/>
      <w:jc w:val="left"/>
    </w:pPr>
    <w:rPr>
      <w:rFonts w:ascii="Verdana Bold" w:hAnsi="Verdana Bold"/>
      <w:b/>
      <w:bCs/>
      <w:sz w:val="20"/>
      <w:szCs w:val="32"/>
      <w:lang w:bidi="ar-EG"/>
    </w:rPr>
  </w:style>
  <w:style w:type="paragraph" w:customStyle="1" w:styleId="Docnumber">
    <w:name w:val="Docnumber"/>
    <w:basedOn w:val="Normal"/>
    <w:rsid w:val="008D2BF5"/>
    <w:pPr>
      <w:spacing w:before="0" w:line="400" w:lineRule="exact"/>
      <w:jc w:val="left"/>
    </w:pPr>
    <w:rPr>
      <w:rFonts w:ascii="Verdana Bold" w:hAnsi="Verdana Bold"/>
      <w:b/>
      <w:bCs/>
      <w:sz w:val="19"/>
      <w:lang w:bidi="ar-EG"/>
    </w:rPr>
  </w:style>
  <w:style w:type="table" w:styleId="TableGrid">
    <w:name w:val="Table Grid"/>
    <w:basedOn w:val="TableNormal"/>
    <w:uiPriority w:val="59"/>
    <w:rsid w:val="004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ccb226-76c8-4b95-9c71-7cb3ef55d78f" targetNamespace="http://schemas.microsoft.com/office/2006/metadata/properties" ma:root="true" ma:fieldsID="d41af5c836d734370eb92e7ee5f83852" ns2:_="" ns3:_="">
    <xsd:import namespace="996b2e75-67fd-4955-a3b0-5ab9934cb50b"/>
    <xsd:import namespace="d6ccb226-76c8-4b95-9c71-7cb3ef55d7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cb226-76c8-4b95-9c71-7cb3ef55d7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ccb226-76c8-4b95-9c71-7cb3ef55d78f">Documents Proposals Manager (DPM)</DPM_x0020_Author>
    <DPM_x0020_File_x0020_name xmlns="d6ccb226-76c8-4b95-9c71-7cb3ef55d78f">T13-WTSA.16-C-0000!!MSW-A</DPM_x0020_File_x0020_name>
    <DPM_x0020_Version xmlns="d6ccb226-76c8-4b95-9c71-7cb3ef55d78f">DPM_v2016.9.28.1_prod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ccb226-76c8-4b95-9c71-7cb3ef55d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996b2e75-67fd-4955-a3b0-5ab9934cb50b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6ccb226-76c8-4b95-9c71-7cb3ef55d78f"/>
  </ds:schemaRefs>
</ds:datastoreItem>
</file>

<file path=customXml/itemProps3.xml><?xml version="1.0" encoding="utf-8"?>
<ds:datastoreItem xmlns:ds="http://schemas.openxmlformats.org/officeDocument/2006/customXml" ds:itemID="{2CD3C404-C77B-4009-B4BA-AD014F60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DPM_v2016.9.28.1_prod</cp:keywords>
  <dc:description>Template used by DPM and CPI for the WTSA-16</dc:description>
  <cp:lastModifiedBy>Awad, Samy</cp:lastModifiedBy>
  <cp:revision>13</cp:revision>
  <cp:lastPrinted>2016-10-20T07:57:00Z</cp:lastPrinted>
  <dcterms:created xsi:type="dcterms:W3CDTF">2016-10-20T10:12:00Z</dcterms:created>
  <dcterms:modified xsi:type="dcterms:W3CDTF">2016-10-20T10:53:00Z</dcterms:modified>
  <cp:category>Conference document</cp:category>
</cp:coreProperties>
</file>