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A72D44" w:rsidRPr="00E7557A" w:rsidTr="00F00DDC">
        <w:trPr>
          <w:cantSplit/>
        </w:trPr>
        <w:tc>
          <w:tcPr>
            <w:tcW w:w="1357" w:type="dxa"/>
            <w:vAlign w:val="center"/>
          </w:tcPr>
          <w:p w:rsidR="00BC7D84" w:rsidRPr="00E7557A" w:rsidRDefault="003D2A10" w:rsidP="00D7050C">
            <w:pPr>
              <w:pStyle w:val="TopHeader"/>
            </w:pPr>
            <w:r w:rsidRPr="00E7557A">
              <w:rPr>
                <w:noProof/>
                <w:sz w:val="28"/>
                <w:szCs w:val="28"/>
                <w:lang w:val="en-US" w:eastAsia="zh-CN"/>
              </w:rPr>
              <w:drawing>
                <wp:inline distT="0" distB="0" distL="0" distR="0" wp14:anchorId="5F38B058" wp14:editId="1CD20B6B">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F06EF5" w:rsidRDefault="00A07B4A" w:rsidP="00D7050C">
            <w:pPr>
              <w:pStyle w:val="TopHeader"/>
              <w:rPr>
                <w:lang w:val="fr-CH"/>
              </w:rPr>
            </w:pPr>
            <w:r w:rsidRPr="00E7557A">
              <w:rPr>
                <w:sz w:val="28"/>
                <w:szCs w:val="28"/>
                <w:lang w:val="fr-CH"/>
              </w:rPr>
              <w:t xml:space="preserve">Assemblée mondiale de normalisation </w:t>
            </w:r>
            <w:r w:rsidRPr="00E7557A">
              <w:rPr>
                <w:sz w:val="28"/>
                <w:szCs w:val="28"/>
                <w:lang w:val="fr-CH"/>
              </w:rPr>
              <w:br/>
              <w:t>des télécommunications (AMNT-16)</w:t>
            </w:r>
            <w:r w:rsidRPr="00E7557A">
              <w:rPr>
                <w:lang w:val="fr-CH"/>
              </w:rPr>
              <w:br/>
            </w:r>
            <w:r w:rsidRPr="00E7557A">
              <w:rPr>
                <w:sz w:val="20"/>
                <w:szCs w:val="20"/>
                <w:lang w:val="fr-CH"/>
              </w:rPr>
              <w:t>Hammamet, 25 octobre - 3 novembre 2016</w:t>
            </w:r>
          </w:p>
        </w:tc>
        <w:tc>
          <w:tcPr>
            <w:tcW w:w="1804" w:type="dxa"/>
            <w:vAlign w:val="center"/>
          </w:tcPr>
          <w:p w:rsidR="00BC7D84" w:rsidRPr="00E7557A" w:rsidRDefault="003D2A10" w:rsidP="00D7050C">
            <w:pPr>
              <w:jc w:val="right"/>
              <w:rPr>
                <w:sz w:val="28"/>
                <w:szCs w:val="22"/>
              </w:rPr>
            </w:pPr>
            <w:r w:rsidRPr="00E7557A">
              <w:rPr>
                <w:noProof/>
                <w:sz w:val="28"/>
                <w:szCs w:val="22"/>
                <w:lang w:val="en-US" w:eastAsia="zh-CN"/>
              </w:rPr>
              <w:drawing>
                <wp:inline distT="0" distB="0" distL="0" distR="0" wp14:anchorId="410CCD7B" wp14:editId="2333B7B6">
                  <wp:extent cx="882000" cy="792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A72D44" w:rsidRPr="00E7557A" w:rsidTr="00F00DDC">
        <w:trPr>
          <w:cantSplit/>
        </w:trPr>
        <w:tc>
          <w:tcPr>
            <w:tcW w:w="6617" w:type="dxa"/>
            <w:gridSpan w:val="2"/>
            <w:tcBorders>
              <w:bottom w:val="single" w:sz="12" w:space="0" w:color="auto"/>
            </w:tcBorders>
          </w:tcPr>
          <w:p w:rsidR="00BC7D84" w:rsidRPr="00E7557A" w:rsidRDefault="00784816" w:rsidP="00D7050C">
            <w:pPr>
              <w:pStyle w:val="TopHeader"/>
              <w:spacing w:before="60"/>
              <w:rPr>
                <w:sz w:val="22"/>
                <w:szCs w:val="22"/>
              </w:rPr>
            </w:pPr>
          </w:p>
        </w:tc>
        <w:tc>
          <w:tcPr>
            <w:tcW w:w="3194" w:type="dxa"/>
            <w:gridSpan w:val="2"/>
            <w:tcBorders>
              <w:bottom w:val="single" w:sz="12" w:space="0" w:color="auto"/>
            </w:tcBorders>
          </w:tcPr>
          <w:p w:rsidR="00BC7D84" w:rsidRPr="00E7557A" w:rsidRDefault="00784816" w:rsidP="00D7050C">
            <w:pPr>
              <w:spacing w:before="0"/>
              <w:rPr>
                <w:sz w:val="22"/>
                <w:szCs w:val="22"/>
              </w:rPr>
            </w:pPr>
          </w:p>
        </w:tc>
      </w:tr>
      <w:tr w:rsidR="00A72D44" w:rsidRPr="00E7557A" w:rsidTr="00F00DDC">
        <w:trPr>
          <w:cantSplit/>
        </w:trPr>
        <w:tc>
          <w:tcPr>
            <w:tcW w:w="6617" w:type="dxa"/>
            <w:gridSpan w:val="2"/>
            <w:tcBorders>
              <w:top w:val="single" w:sz="12" w:space="0" w:color="auto"/>
            </w:tcBorders>
          </w:tcPr>
          <w:p w:rsidR="00BC7D84" w:rsidRPr="00E7557A" w:rsidRDefault="00784816" w:rsidP="00D7050C">
            <w:pPr>
              <w:spacing w:before="0"/>
              <w:rPr>
                <w:sz w:val="22"/>
                <w:szCs w:val="22"/>
              </w:rPr>
            </w:pPr>
          </w:p>
        </w:tc>
        <w:tc>
          <w:tcPr>
            <w:tcW w:w="3194" w:type="dxa"/>
            <w:gridSpan w:val="2"/>
          </w:tcPr>
          <w:p w:rsidR="00BC7D84" w:rsidRPr="00E7557A" w:rsidRDefault="00784816" w:rsidP="00D7050C">
            <w:pPr>
              <w:spacing w:before="0"/>
              <w:rPr>
                <w:rFonts w:ascii="Verdana" w:hAnsi="Verdana"/>
                <w:b/>
                <w:bCs/>
                <w:sz w:val="22"/>
                <w:szCs w:val="22"/>
              </w:rPr>
            </w:pPr>
          </w:p>
        </w:tc>
      </w:tr>
      <w:tr w:rsidR="00A72D44" w:rsidRPr="00E7557A" w:rsidTr="00F00DDC">
        <w:trPr>
          <w:cantSplit/>
        </w:trPr>
        <w:tc>
          <w:tcPr>
            <w:tcW w:w="6617" w:type="dxa"/>
            <w:gridSpan w:val="2"/>
          </w:tcPr>
          <w:p w:rsidR="00BC7D84" w:rsidRPr="00E7557A" w:rsidRDefault="00A07B4A" w:rsidP="00D7050C">
            <w:pPr>
              <w:pStyle w:val="Committee"/>
              <w:spacing w:line="240" w:lineRule="auto"/>
              <w:rPr>
                <w:sz w:val="22"/>
                <w:szCs w:val="28"/>
              </w:rPr>
            </w:pPr>
            <w:r w:rsidRPr="00E7557A">
              <w:rPr>
                <w:sz w:val="22"/>
                <w:szCs w:val="28"/>
              </w:rPr>
              <w:t>SÉANCE PLÉNIÈRE</w:t>
            </w:r>
          </w:p>
        </w:tc>
        <w:tc>
          <w:tcPr>
            <w:tcW w:w="3194" w:type="dxa"/>
            <w:gridSpan w:val="2"/>
          </w:tcPr>
          <w:p w:rsidR="00BC7D84" w:rsidRPr="00E7557A" w:rsidRDefault="003D2A10" w:rsidP="00D7050C">
            <w:pPr>
              <w:pStyle w:val="Docnumber"/>
              <w:ind w:left="-57"/>
              <w:rPr>
                <w:sz w:val="22"/>
                <w:szCs w:val="22"/>
              </w:rPr>
            </w:pPr>
            <w:r w:rsidRPr="00E7557A">
              <w:rPr>
                <w:sz w:val="22"/>
                <w:szCs w:val="22"/>
              </w:rPr>
              <w:t>Document 52-</w:t>
            </w:r>
            <w:r w:rsidR="00A07B4A" w:rsidRPr="00E7557A">
              <w:rPr>
                <w:sz w:val="22"/>
                <w:szCs w:val="22"/>
              </w:rPr>
              <w:t>F</w:t>
            </w:r>
          </w:p>
        </w:tc>
      </w:tr>
      <w:tr w:rsidR="00A72D44" w:rsidRPr="00E7557A" w:rsidTr="00F00DDC">
        <w:trPr>
          <w:cantSplit/>
        </w:trPr>
        <w:tc>
          <w:tcPr>
            <w:tcW w:w="6617" w:type="dxa"/>
            <w:gridSpan w:val="2"/>
          </w:tcPr>
          <w:p w:rsidR="00BC7D84" w:rsidRPr="00E7557A" w:rsidRDefault="00784816" w:rsidP="00D7050C">
            <w:pPr>
              <w:spacing w:before="0"/>
              <w:rPr>
                <w:sz w:val="22"/>
                <w:szCs w:val="22"/>
              </w:rPr>
            </w:pPr>
          </w:p>
        </w:tc>
        <w:tc>
          <w:tcPr>
            <w:tcW w:w="3194" w:type="dxa"/>
            <w:gridSpan w:val="2"/>
          </w:tcPr>
          <w:p w:rsidR="00BC7D84" w:rsidRPr="00E7557A" w:rsidRDefault="003D2A10" w:rsidP="00D7050C">
            <w:pPr>
              <w:pStyle w:val="Docnumber"/>
              <w:ind w:left="-57"/>
              <w:rPr>
                <w:sz w:val="22"/>
                <w:szCs w:val="22"/>
              </w:rPr>
            </w:pPr>
            <w:r w:rsidRPr="00E7557A">
              <w:rPr>
                <w:sz w:val="22"/>
                <w:szCs w:val="22"/>
              </w:rPr>
              <w:t xml:space="preserve">6 </w:t>
            </w:r>
            <w:proofErr w:type="spellStart"/>
            <w:r w:rsidR="00A07B4A" w:rsidRPr="00E7557A">
              <w:rPr>
                <w:sz w:val="22"/>
                <w:szCs w:val="22"/>
              </w:rPr>
              <w:t>octobre</w:t>
            </w:r>
            <w:proofErr w:type="spellEnd"/>
            <w:r w:rsidRPr="00E7557A">
              <w:rPr>
                <w:sz w:val="22"/>
                <w:szCs w:val="22"/>
              </w:rPr>
              <w:t xml:space="preserve"> 2016</w:t>
            </w:r>
          </w:p>
        </w:tc>
      </w:tr>
      <w:tr w:rsidR="00A72D44" w:rsidRPr="00E7557A" w:rsidTr="00F00DDC">
        <w:trPr>
          <w:cantSplit/>
        </w:trPr>
        <w:tc>
          <w:tcPr>
            <w:tcW w:w="6617" w:type="dxa"/>
            <w:gridSpan w:val="2"/>
          </w:tcPr>
          <w:p w:rsidR="00BC7D84" w:rsidRPr="00E7557A" w:rsidRDefault="00784816" w:rsidP="00D7050C">
            <w:pPr>
              <w:spacing w:before="0"/>
              <w:rPr>
                <w:sz w:val="22"/>
                <w:szCs w:val="22"/>
              </w:rPr>
            </w:pPr>
          </w:p>
        </w:tc>
        <w:tc>
          <w:tcPr>
            <w:tcW w:w="3194" w:type="dxa"/>
            <w:gridSpan w:val="2"/>
          </w:tcPr>
          <w:p w:rsidR="00BC7D84" w:rsidRPr="00E7557A" w:rsidRDefault="00A07B4A" w:rsidP="00D7050C">
            <w:pPr>
              <w:pStyle w:val="Docnumber"/>
              <w:ind w:left="-57"/>
              <w:rPr>
                <w:sz w:val="22"/>
                <w:szCs w:val="22"/>
              </w:rPr>
            </w:pPr>
            <w:r w:rsidRPr="00E7557A">
              <w:rPr>
                <w:sz w:val="22"/>
                <w:szCs w:val="22"/>
              </w:rPr>
              <w:t xml:space="preserve">Original: </w:t>
            </w:r>
            <w:proofErr w:type="spellStart"/>
            <w:r w:rsidRPr="00E7557A">
              <w:rPr>
                <w:sz w:val="22"/>
                <w:szCs w:val="22"/>
              </w:rPr>
              <w:t>a</w:t>
            </w:r>
            <w:r w:rsidR="003D2A10" w:rsidRPr="00E7557A">
              <w:rPr>
                <w:sz w:val="22"/>
                <w:szCs w:val="22"/>
              </w:rPr>
              <w:t>ngl</w:t>
            </w:r>
            <w:r w:rsidRPr="00E7557A">
              <w:rPr>
                <w:sz w:val="22"/>
                <w:szCs w:val="22"/>
              </w:rPr>
              <w:t>ais</w:t>
            </w:r>
            <w:proofErr w:type="spellEnd"/>
          </w:p>
        </w:tc>
      </w:tr>
      <w:tr w:rsidR="00A72D44" w:rsidRPr="00E7557A" w:rsidTr="00F00DDC">
        <w:trPr>
          <w:cantSplit/>
        </w:trPr>
        <w:tc>
          <w:tcPr>
            <w:tcW w:w="9811" w:type="dxa"/>
            <w:gridSpan w:val="4"/>
          </w:tcPr>
          <w:p w:rsidR="00BC7D84" w:rsidRPr="00E7557A" w:rsidRDefault="00784816" w:rsidP="00D7050C">
            <w:pPr>
              <w:pStyle w:val="TopHeader"/>
              <w:spacing w:before="0"/>
              <w:rPr>
                <w:sz w:val="22"/>
                <w:szCs w:val="22"/>
              </w:rPr>
            </w:pPr>
          </w:p>
        </w:tc>
      </w:tr>
      <w:tr w:rsidR="00A72D44" w:rsidRPr="00E7557A" w:rsidTr="00F00DDC">
        <w:trPr>
          <w:cantSplit/>
        </w:trPr>
        <w:tc>
          <w:tcPr>
            <w:tcW w:w="9811" w:type="dxa"/>
            <w:gridSpan w:val="4"/>
          </w:tcPr>
          <w:p w:rsidR="00BC7D84" w:rsidRPr="00E7557A" w:rsidRDefault="003D2A10" w:rsidP="00D7050C">
            <w:pPr>
              <w:pStyle w:val="Source"/>
            </w:pPr>
            <w:r w:rsidRPr="00D7050C">
              <w:t>Bangladesh</w:t>
            </w:r>
          </w:p>
        </w:tc>
      </w:tr>
      <w:tr w:rsidR="00A72D44" w:rsidRPr="00784816" w:rsidTr="00F00DDC">
        <w:trPr>
          <w:cantSplit/>
        </w:trPr>
        <w:tc>
          <w:tcPr>
            <w:tcW w:w="9811" w:type="dxa"/>
            <w:gridSpan w:val="4"/>
          </w:tcPr>
          <w:p w:rsidR="00BC7D84" w:rsidRPr="00F06EF5" w:rsidRDefault="00985736" w:rsidP="00D7050C">
            <w:pPr>
              <w:pStyle w:val="Title1"/>
              <w:rPr>
                <w:lang w:val="fr-CH"/>
              </w:rPr>
            </w:pPr>
            <w:r w:rsidRPr="00F06EF5">
              <w:rPr>
                <w:lang w:val="fr-CH"/>
              </w:rPr>
              <w:t xml:space="preserve">Aspects politiques et réglementaires de la qualité de service (QoS) et de la qualité </w:t>
            </w:r>
            <w:r w:rsidRPr="009322F6">
              <w:rPr>
                <w:lang w:val="fr-FR"/>
              </w:rPr>
              <w:t>d’expérience</w:t>
            </w:r>
            <w:r w:rsidRPr="00F06EF5">
              <w:rPr>
                <w:lang w:val="fr-CH"/>
              </w:rPr>
              <w:t xml:space="preserve"> (QoE)</w:t>
            </w:r>
          </w:p>
        </w:tc>
      </w:tr>
      <w:tr w:rsidR="00A72D44" w:rsidRPr="00784816" w:rsidTr="00F00DDC">
        <w:trPr>
          <w:cantSplit/>
        </w:trPr>
        <w:tc>
          <w:tcPr>
            <w:tcW w:w="9811" w:type="dxa"/>
            <w:gridSpan w:val="4"/>
          </w:tcPr>
          <w:p w:rsidR="00BC7D84" w:rsidRPr="00F06EF5" w:rsidRDefault="00784816" w:rsidP="00D7050C">
            <w:pPr>
              <w:pStyle w:val="Title2"/>
              <w:rPr>
                <w:sz w:val="24"/>
                <w:szCs w:val="24"/>
                <w:lang w:val="fr-CH"/>
              </w:rPr>
            </w:pPr>
          </w:p>
        </w:tc>
      </w:tr>
      <w:tr w:rsidR="00A72D44" w:rsidRPr="00784816" w:rsidTr="00F00DDC">
        <w:trPr>
          <w:cantSplit/>
        </w:trPr>
        <w:tc>
          <w:tcPr>
            <w:tcW w:w="9811" w:type="dxa"/>
            <w:gridSpan w:val="4"/>
          </w:tcPr>
          <w:p w:rsidR="00BC7D84" w:rsidRPr="00F06EF5" w:rsidRDefault="00784816" w:rsidP="00D7050C">
            <w:pPr>
              <w:pStyle w:val="Agendaitem"/>
              <w:rPr>
                <w:sz w:val="24"/>
                <w:szCs w:val="24"/>
                <w:lang w:val="fr-CH"/>
              </w:rPr>
            </w:pPr>
          </w:p>
        </w:tc>
      </w:tr>
    </w:tbl>
    <w:p w:rsidR="009E1967" w:rsidRPr="00F06EF5" w:rsidRDefault="00784816" w:rsidP="00D7050C">
      <w:pPr>
        <w:rPr>
          <w:szCs w:val="24"/>
          <w:lang w:val="fr-CH"/>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A72D44" w:rsidRPr="00784816" w:rsidTr="00D055D3">
        <w:trPr>
          <w:cantSplit/>
        </w:trPr>
        <w:tc>
          <w:tcPr>
            <w:tcW w:w="1951" w:type="dxa"/>
          </w:tcPr>
          <w:p w:rsidR="009E1967" w:rsidRPr="00F06EF5" w:rsidRDefault="006A0709" w:rsidP="00D7050C">
            <w:pPr>
              <w:pStyle w:val="Headingb"/>
            </w:pPr>
            <w:r w:rsidRPr="00F06EF5">
              <w:t>Résumé:</w:t>
            </w:r>
          </w:p>
        </w:tc>
        <w:sdt>
          <w:sdtPr>
            <w:rPr>
              <w:lang w:val="fr-CH"/>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F06EF5" w:rsidRDefault="00062F8E" w:rsidP="00D7050C">
                <w:pPr>
                  <w:rPr>
                    <w:lang w:val="fr-CH"/>
                  </w:rPr>
                </w:pPr>
                <w:r w:rsidRPr="00F06EF5">
                  <w:rPr>
                    <w:lang w:val="fr-CH"/>
                  </w:rPr>
                  <w:t xml:space="preserve">La présente contribution appuie les 11 Questions proposées par la Commission d’études 3 </w:t>
                </w:r>
                <w:r w:rsidR="00A07B4A" w:rsidRPr="00F06EF5">
                  <w:rPr>
                    <w:lang w:val="fr-CH"/>
                  </w:rPr>
                  <w:t>et contient une proposition de nouvelle</w:t>
                </w:r>
                <w:r w:rsidRPr="00F06EF5">
                  <w:rPr>
                    <w:lang w:val="fr-CH"/>
                  </w:rPr>
                  <w:t xml:space="preserve"> Question </w:t>
                </w:r>
                <w:r w:rsidR="00A07B4A" w:rsidRPr="00F06EF5">
                  <w:rPr>
                    <w:lang w:val="fr-CH"/>
                  </w:rPr>
                  <w:t>de l</w:t>
                </w:r>
                <w:r w:rsidRPr="00F06EF5">
                  <w:rPr>
                    <w:lang w:val="fr-CH"/>
                  </w:rPr>
                  <w:t>a Commission d’études 3</w:t>
                </w:r>
                <w:r w:rsidR="009D67EC" w:rsidRPr="00F06EF5">
                  <w:rPr>
                    <w:lang w:val="fr-CH"/>
                  </w:rPr>
                  <w:t xml:space="preserve"> de l’UIT-T</w:t>
                </w:r>
                <w:r w:rsidRPr="00F06EF5">
                  <w:rPr>
                    <w:lang w:val="fr-CH"/>
                  </w:rPr>
                  <w:t xml:space="preserve"> pour la </w:t>
                </w:r>
                <w:r w:rsidR="009D67EC" w:rsidRPr="00F06EF5">
                  <w:rPr>
                    <w:lang w:val="fr-CH"/>
                  </w:rPr>
                  <w:t>prochaine</w:t>
                </w:r>
                <w:r w:rsidRPr="00F06EF5">
                  <w:rPr>
                    <w:lang w:val="fr-CH"/>
                  </w:rPr>
                  <w:t xml:space="preserve"> période d’étude</w:t>
                </w:r>
                <w:r w:rsidR="009D67EC" w:rsidRPr="00F06EF5">
                  <w:rPr>
                    <w:lang w:val="fr-CH"/>
                  </w:rPr>
                  <w:t>s</w:t>
                </w:r>
                <w:r w:rsidRPr="00F06EF5">
                  <w:rPr>
                    <w:lang w:val="fr-CH"/>
                  </w:rPr>
                  <w:t xml:space="preserve"> 2017-2020.</w:t>
                </w:r>
                <w:r w:rsidR="003D2A10" w:rsidRPr="00F06EF5">
                  <w:rPr>
                    <w:lang w:val="fr-CH"/>
                  </w:rPr>
                  <w:t xml:space="preserve"> </w:t>
                </w:r>
              </w:p>
            </w:tc>
          </w:sdtContent>
        </w:sdt>
      </w:tr>
    </w:tbl>
    <w:p w:rsidR="00ED30BC" w:rsidRPr="00F06EF5" w:rsidRDefault="00784816" w:rsidP="00D7050C">
      <w:pPr>
        <w:tabs>
          <w:tab w:val="clear" w:pos="1134"/>
          <w:tab w:val="clear" w:pos="1871"/>
          <w:tab w:val="clear" w:pos="2268"/>
        </w:tabs>
        <w:overflowPunct/>
        <w:autoSpaceDE/>
        <w:autoSpaceDN/>
        <w:adjustRightInd/>
        <w:spacing w:before="0"/>
        <w:textAlignment w:val="auto"/>
        <w:rPr>
          <w:szCs w:val="24"/>
          <w:lang w:val="fr-CH"/>
        </w:rPr>
      </w:pPr>
    </w:p>
    <w:p w:rsidR="00643B82" w:rsidRPr="00F06EF5" w:rsidRDefault="003D2A10" w:rsidP="00D7050C">
      <w:pPr>
        <w:pStyle w:val="Headingb"/>
      </w:pPr>
      <w:r w:rsidRPr="00D7050C">
        <w:t>Introduction</w:t>
      </w:r>
    </w:p>
    <w:p w:rsidR="00643B82" w:rsidRPr="00F06EF5" w:rsidRDefault="00E7557A" w:rsidP="000C30AD">
      <w:pPr>
        <w:rPr>
          <w:lang w:val="fr-CH"/>
        </w:rPr>
      </w:pPr>
      <w:r w:rsidRPr="00F06EF5">
        <w:rPr>
          <w:lang w:val="fr-CH"/>
        </w:rPr>
        <w:t>La qualité de service a pour objectif</w:t>
      </w:r>
      <w:r w:rsidR="00062F8E" w:rsidRPr="00F06EF5">
        <w:rPr>
          <w:lang w:val="fr-CH"/>
        </w:rPr>
        <w:t xml:space="preserve"> de garantir une largeur de bande suffisante tout en limitant la perte de données.</w:t>
      </w:r>
      <w:r w:rsidR="003D2A10" w:rsidRPr="00F06EF5">
        <w:rPr>
          <w:lang w:val="fr-CH"/>
        </w:rPr>
        <w:t xml:space="preserve"> </w:t>
      </w:r>
      <w:r w:rsidR="000423F5" w:rsidRPr="00F06EF5">
        <w:rPr>
          <w:lang w:val="fr-CH"/>
        </w:rPr>
        <w:t xml:space="preserve">Les réseaux </w:t>
      </w:r>
      <w:r w:rsidRPr="00F06EF5">
        <w:rPr>
          <w:lang w:val="fr-CH"/>
        </w:rPr>
        <w:t>actuels</w:t>
      </w:r>
      <w:r w:rsidR="000423F5" w:rsidRPr="00F06EF5">
        <w:rPr>
          <w:lang w:val="fr-CH"/>
        </w:rPr>
        <w:t xml:space="preserve"> </w:t>
      </w:r>
      <w:r w:rsidR="00C25E54" w:rsidRPr="00F06EF5">
        <w:rPr>
          <w:lang w:val="fr-CH"/>
        </w:rPr>
        <w:t>transportent</w:t>
      </w:r>
      <w:r w:rsidRPr="00F06EF5">
        <w:rPr>
          <w:lang w:val="fr-CH"/>
        </w:rPr>
        <w:t xml:space="preserve"> une multitude </w:t>
      </w:r>
      <w:r w:rsidR="000423F5" w:rsidRPr="00F06EF5">
        <w:rPr>
          <w:lang w:val="fr-CH"/>
        </w:rPr>
        <w:t>d’applications et de données, notamment des signaux vidéo de haute qualité, des signaux vocaux en temps réel et d’autres communications sensibles au temps de transmission.</w:t>
      </w:r>
      <w:r w:rsidR="003D2A10" w:rsidRPr="00F06EF5">
        <w:rPr>
          <w:lang w:val="fr-CH"/>
        </w:rPr>
        <w:t xml:space="preserve"> </w:t>
      </w:r>
      <w:r w:rsidRPr="00F06EF5">
        <w:rPr>
          <w:lang w:val="fr-CH"/>
        </w:rPr>
        <w:t>Il est également important que l</w:t>
      </w:r>
      <w:r w:rsidR="00754931" w:rsidRPr="00F06EF5">
        <w:rPr>
          <w:lang w:val="fr-CH"/>
        </w:rPr>
        <w:t xml:space="preserve">es réseaux </w:t>
      </w:r>
      <w:r w:rsidRPr="00F06EF5">
        <w:rPr>
          <w:lang w:val="fr-CH"/>
        </w:rPr>
        <w:t>fournissent</w:t>
      </w:r>
      <w:r w:rsidR="00754931" w:rsidRPr="00F06EF5">
        <w:rPr>
          <w:lang w:val="fr-CH"/>
        </w:rPr>
        <w:t xml:space="preserve"> un service prévisible et, parfois, garanti.</w:t>
      </w:r>
    </w:p>
    <w:p w:rsidR="00643B82" w:rsidRPr="00F06EF5" w:rsidRDefault="00822D0F" w:rsidP="000C30AD">
      <w:pPr>
        <w:rPr>
          <w:lang w:val="fr-CH"/>
        </w:rPr>
      </w:pPr>
      <w:r w:rsidRPr="00F06EF5">
        <w:rPr>
          <w:lang w:val="fr-CH"/>
        </w:rPr>
        <w:t>Aujourd’hui, les différents forums mondiaux sur les télécommunications accordent une impo</w:t>
      </w:r>
      <w:r w:rsidR="009D67EC" w:rsidRPr="00F06EF5">
        <w:rPr>
          <w:lang w:val="fr-CH"/>
        </w:rPr>
        <w:t>rtance centrale à la meilleure façon d’assurer la qualité de service et la qualité d’expérience</w:t>
      </w:r>
      <w:r w:rsidR="00E7557A" w:rsidRPr="00F06EF5">
        <w:rPr>
          <w:lang w:val="fr-CH"/>
        </w:rPr>
        <w:t xml:space="preserve"> grâce à</w:t>
      </w:r>
      <w:r w:rsidRPr="00F06EF5">
        <w:rPr>
          <w:lang w:val="fr-CH"/>
        </w:rPr>
        <w:t xml:space="preserve"> l’élaboration de lignes directrices et</w:t>
      </w:r>
      <w:r w:rsidR="009D67EC" w:rsidRPr="00F06EF5">
        <w:rPr>
          <w:lang w:val="fr-CH"/>
        </w:rPr>
        <w:t xml:space="preserve"> </w:t>
      </w:r>
      <w:r w:rsidR="00E7557A" w:rsidRPr="00F06EF5">
        <w:rPr>
          <w:lang w:val="fr-CH"/>
        </w:rPr>
        <w:t xml:space="preserve">à </w:t>
      </w:r>
      <w:r w:rsidR="009D67EC" w:rsidRPr="00F06EF5">
        <w:rPr>
          <w:lang w:val="fr-CH"/>
        </w:rPr>
        <w:t>l’adoption</w:t>
      </w:r>
      <w:r w:rsidRPr="00F06EF5">
        <w:rPr>
          <w:lang w:val="fr-CH"/>
        </w:rPr>
        <w:t xml:space="preserve"> d’une réglementation appropriées.</w:t>
      </w:r>
      <w:r w:rsidR="003D2A10" w:rsidRPr="00F06EF5">
        <w:rPr>
          <w:lang w:val="fr-CH"/>
        </w:rPr>
        <w:t xml:space="preserve"> </w:t>
      </w:r>
      <w:r w:rsidR="009D67EC" w:rsidRPr="00F06EF5">
        <w:rPr>
          <w:lang w:val="fr-CH"/>
        </w:rPr>
        <w:t>Pour ce faire</w:t>
      </w:r>
      <w:r w:rsidR="00816436" w:rsidRPr="00F06EF5">
        <w:rPr>
          <w:lang w:val="fr-CH"/>
        </w:rPr>
        <w:t>, les régulateurs doivent contribuer à garantir la qualité de service et la qualité d’expérience en adoptan</w:t>
      </w:r>
      <w:r w:rsidR="009D67EC" w:rsidRPr="00F06EF5">
        <w:rPr>
          <w:lang w:val="fr-CH"/>
        </w:rPr>
        <w:t>t une réglementation et en exerçant une fonction de contrôle</w:t>
      </w:r>
      <w:r w:rsidR="00816436" w:rsidRPr="00F06EF5">
        <w:rPr>
          <w:lang w:val="fr-CH"/>
        </w:rPr>
        <w:t>.</w:t>
      </w:r>
    </w:p>
    <w:p w:rsidR="00643B82" w:rsidRPr="00F06EF5" w:rsidRDefault="009D67EC" w:rsidP="00D7050C">
      <w:pPr>
        <w:rPr>
          <w:szCs w:val="24"/>
          <w:lang w:val="fr-CH"/>
        </w:rPr>
      </w:pPr>
      <w:r w:rsidRPr="00F06EF5">
        <w:rPr>
          <w:szCs w:val="24"/>
          <w:lang w:val="fr-CH"/>
        </w:rPr>
        <w:t xml:space="preserve">Les régulateurs </w:t>
      </w:r>
      <w:r w:rsidR="00C25E54" w:rsidRPr="00F06EF5">
        <w:rPr>
          <w:szCs w:val="24"/>
          <w:lang w:val="fr-CH"/>
        </w:rPr>
        <w:t>peuvent exercer un</w:t>
      </w:r>
      <w:r w:rsidR="004B634B" w:rsidRPr="00F06EF5">
        <w:rPr>
          <w:szCs w:val="24"/>
          <w:lang w:val="fr-CH"/>
        </w:rPr>
        <w:t xml:space="preserve"> contrôle de la qualité de service</w:t>
      </w:r>
      <w:r w:rsidRPr="00F06EF5">
        <w:rPr>
          <w:szCs w:val="24"/>
          <w:lang w:val="fr-CH"/>
        </w:rPr>
        <w:t>, notamment en</w:t>
      </w:r>
      <w:r w:rsidR="004B634B" w:rsidRPr="00F06EF5">
        <w:rPr>
          <w:szCs w:val="24"/>
          <w:lang w:val="fr-CH"/>
        </w:rPr>
        <w:t xml:space="preserve"> :</w:t>
      </w:r>
    </w:p>
    <w:p w:rsidR="00643B82" w:rsidRPr="00276038" w:rsidRDefault="003D2A10" w:rsidP="00D7050C">
      <w:pPr>
        <w:pStyle w:val="enumlev1"/>
        <w:rPr>
          <w:lang w:val="fr-FR"/>
        </w:rPr>
      </w:pPr>
      <w:r w:rsidRPr="00276038">
        <w:rPr>
          <w:lang w:val="fr-FR"/>
        </w:rPr>
        <w:t>–</w:t>
      </w:r>
      <w:r w:rsidRPr="00276038">
        <w:rPr>
          <w:lang w:val="fr-FR"/>
        </w:rPr>
        <w:tab/>
      </w:r>
      <w:r w:rsidR="00BF0889" w:rsidRPr="00276038">
        <w:rPr>
          <w:lang w:val="fr-FR"/>
        </w:rPr>
        <w:t>déterminant</w:t>
      </w:r>
      <w:r w:rsidR="009D67EC" w:rsidRPr="00276038">
        <w:rPr>
          <w:lang w:val="fr-FR"/>
        </w:rPr>
        <w:t xml:space="preserve"> </w:t>
      </w:r>
      <w:r w:rsidR="00102518" w:rsidRPr="00276038">
        <w:rPr>
          <w:lang w:val="fr-FR"/>
        </w:rPr>
        <w:t>des objectifs en matière de</w:t>
      </w:r>
      <w:r w:rsidR="00C25E54" w:rsidRPr="00276038">
        <w:rPr>
          <w:lang w:val="fr-FR"/>
        </w:rPr>
        <w:t xml:space="preserve"> réglementa</w:t>
      </w:r>
      <w:r w:rsidR="009D67EC" w:rsidRPr="00276038">
        <w:rPr>
          <w:lang w:val="fr-FR"/>
        </w:rPr>
        <w:t>t</w:t>
      </w:r>
      <w:r w:rsidR="00C25E54" w:rsidRPr="00276038">
        <w:rPr>
          <w:lang w:val="fr-FR"/>
        </w:rPr>
        <w:t>i</w:t>
      </w:r>
      <w:r w:rsidR="009D67EC" w:rsidRPr="00276038">
        <w:rPr>
          <w:lang w:val="fr-FR"/>
        </w:rPr>
        <w:t>on</w:t>
      </w:r>
      <w:r w:rsidR="00276038" w:rsidRPr="00276038">
        <w:rPr>
          <w:lang w:val="fr-FR"/>
        </w:rPr>
        <w:t>;</w:t>
      </w:r>
    </w:p>
    <w:p w:rsidR="00643B82" w:rsidRPr="00276038" w:rsidRDefault="003D2A10" w:rsidP="00D7050C">
      <w:pPr>
        <w:pStyle w:val="enumlev1"/>
        <w:rPr>
          <w:lang w:val="fr-FR"/>
        </w:rPr>
      </w:pPr>
      <w:r w:rsidRPr="00276038">
        <w:rPr>
          <w:lang w:val="fr-FR"/>
        </w:rPr>
        <w:t>–</w:t>
      </w:r>
      <w:r w:rsidRPr="00276038">
        <w:rPr>
          <w:lang w:val="fr-FR"/>
        </w:rPr>
        <w:tab/>
      </w:r>
      <w:r w:rsidR="00BF0889" w:rsidRPr="00276038">
        <w:rPr>
          <w:lang w:val="fr-FR"/>
        </w:rPr>
        <w:t>établissant</w:t>
      </w:r>
      <w:r w:rsidR="009D67EC" w:rsidRPr="00276038">
        <w:rPr>
          <w:lang w:val="fr-FR"/>
        </w:rPr>
        <w:t xml:space="preserve"> une concurrence effective</w:t>
      </w:r>
      <w:r w:rsidR="00276038" w:rsidRPr="00276038">
        <w:rPr>
          <w:lang w:val="fr-FR"/>
        </w:rPr>
        <w:t>;</w:t>
      </w:r>
    </w:p>
    <w:p w:rsidR="00643B82" w:rsidRPr="00276038" w:rsidRDefault="003D2A10" w:rsidP="00D7050C">
      <w:pPr>
        <w:pStyle w:val="enumlev1"/>
        <w:rPr>
          <w:lang w:val="fr-FR"/>
        </w:rPr>
      </w:pPr>
      <w:r w:rsidRPr="00276038">
        <w:rPr>
          <w:lang w:val="fr-FR"/>
        </w:rPr>
        <w:t>–</w:t>
      </w:r>
      <w:r w:rsidRPr="00276038">
        <w:rPr>
          <w:lang w:val="fr-FR"/>
        </w:rPr>
        <w:tab/>
      </w:r>
      <w:r w:rsidR="009D67EC" w:rsidRPr="00276038">
        <w:rPr>
          <w:lang w:val="fr-FR"/>
        </w:rPr>
        <w:t>examinant</w:t>
      </w:r>
      <w:r w:rsidR="002424B9" w:rsidRPr="00276038">
        <w:rPr>
          <w:lang w:val="fr-FR"/>
        </w:rPr>
        <w:t xml:space="preserve"> </w:t>
      </w:r>
      <w:r w:rsidR="009D67EC" w:rsidRPr="00276038">
        <w:rPr>
          <w:lang w:val="fr-FR"/>
        </w:rPr>
        <w:t>les réclamations des opérateurs</w:t>
      </w:r>
      <w:r w:rsidR="00276038" w:rsidRPr="00276038">
        <w:rPr>
          <w:lang w:val="fr-FR"/>
        </w:rPr>
        <w:t>;</w:t>
      </w:r>
    </w:p>
    <w:p w:rsidR="00643B82" w:rsidRPr="00276038" w:rsidRDefault="003D2A10" w:rsidP="00D7050C">
      <w:pPr>
        <w:pStyle w:val="enumlev1"/>
        <w:rPr>
          <w:lang w:val="fr-FR"/>
        </w:rPr>
      </w:pPr>
      <w:r w:rsidRPr="00276038">
        <w:rPr>
          <w:lang w:val="fr-FR"/>
        </w:rPr>
        <w:t>–</w:t>
      </w:r>
      <w:r w:rsidRPr="00276038">
        <w:rPr>
          <w:lang w:val="fr-FR"/>
        </w:rPr>
        <w:tab/>
      </w:r>
      <w:r w:rsidR="009D67EC" w:rsidRPr="00276038">
        <w:rPr>
          <w:lang w:val="fr-FR"/>
        </w:rPr>
        <w:t>évaluant</w:t>
      </w:r>
      <w:r w:rsidR="001D2AA9" w:rsidRPr="00276038">
        <w:rPr>
          <w:lang w:val="fr-FR"/>
        </w:rPr>
        <w:t xml:space="preserve"> l’état du marché</w:t>
      </w:r>
      <w:r w:rsidR="00276038" w:rsidRPr="00276038">
        <w:rPr>
          <w:lang w:val="fr-FR"/>
        </w:rPr>
        <w:t>;</w:t>
      </w:r>
    </w:p>
    <w:p w:rsidR="00643B82" w:rsidRPr="00276038" w:rsidRDefault="003D2A10" w:rsidP="00D7050C">
      <w:pPr>
        <w:pStyle w:val="enumlev1"/>
        <w:rPr>
          <w:lang w:val="fr-FR"/>
        </w:rPr>
      </w:pPr>
      <w:r w:rsidRPr="00276038">
        <w:rPr>
          <w:lang w:val="fr-FR"/>
        </w:rPr>
        <w:t>–</w:t>
      </w:r>
      <w:r w:rsidRPr="00276038">
        <w:rPr>
          <w:lang w:val="fr-FR"/>
        </w:rPr>
        <w:tab/>
      </w:r>
      <w:r w:rsidR="009D67EC" w:rsidRPr="00276038">
        <w:rPr>
          <w:lang w:val="fr-FR"/>
        </w:rPr>
        <w:t>assurant</w:t>
      </w:r>
      <w:r w:rsidR="00E30B47" w:rsidRPr="00276038">
        <w:rPr>
          <w:lang w:val="fr-FR"/>
        </w:rPr>
        <w:t xml:space="preserve"> l’effica</w:t>
      </w:r>
      <w:r w:rsidR="009D67EC" w:rsidRPr="00276038">
        <w:rPr>
          <w:lang w:val="fr-FR"/>
        </w:rPr>
        <w:t>cité des réseaux interconnectés</w:t>
      </w:r>
      <w:r w:rsidR="00276038" w:rsidRPr="00276038">
        <w:rPr>
          <w:lang w:val="fr-FR"/>
        </w:rPr>
        <w:t>.</w:t>
      </w:r>
    </w:p>
    <w:p w:rsidR="00643B82" w:rsidRPr="00F06EF5" w:rsidRDefault="00705985" w:rsidP="000C30AD">
      <w:pPr>
        <w:rPr>
          <w:lang w:val="fr-CH"/>
        </w:rPr>
      </w:pPr>
      <w:r w:rsidRPr="00F06EF5">
        <w:rPr>
          <w:lang w:val="fr-CH"/>
        </w:rPr>
        <w:t xml:space="preserve">La qualité de service revêt </w:t>
      </w:r>
      <w:r w:rsidR="00207383" w:rsidRPr="00F06EF5">
        <w:rPr>
          <w:lang w:val="fr-CH"/>
        </w:rPr>
        <w:t xml:space="preserve">un caractère </w:t>
      </w:r>
      <w:r w:rsidR="00C25E54" w:rsidRPr="00F06EF5">
        <w:rPr>
          <w:lang w:val="fr-CH"/>
        </w:rPr>
        <w:t>cent</w:t>
      </w:r>
      <w:r w:rsidR="00207383" w:rsidRPr="00F06EF5">
        <w:rPr>
          <w:lang w:val="fr-CH"/>
        </w:rPr>
        <w:t>ral</w:t>
      </w:r>
      <w:r w:rsidR="00C25E54" w:rsidRPr="00F06EF5">
        <w:rPr>
          <w:lang w:val="fr-CH"/>
        </w:rPr>
        <w:t xml:space="preserve"> lorsque l’acheminement du trafic répond à</w:t>
      </w:r>
      <w:r w:rsidRPr="00F06EF5">
        <w:rPr>
          <w:lang w:val="fr-CH"/>
        </w:rPr>
        <w:t xml:space="preserve"> des conditions spécifiques.</w:t>
      </w:r>
      <w:r w:rsidR="003D2A10" w:rsidRPr="00F06EF5">
        <w:rPr>
          <w:lang w:val="fr-CH"/>
        </w:rPr>
        <w:t xml:space="preserve"> </w:t>
      </w:r>
      <w:r w:rsidR="004947CF" w:rsidRPr="00F06EF5">
        <w:rPr>
          <w:lang w:val="fr-CH"/>
        </w:rPr>
        <w:t xml:space="preserve">Les développeurs ont </w:t>
      </w:r>
      <w:r w:rsidR="00207383" w:rsidRPr="00F06EF5">
        <w:rPr>
          <w:lang w:val="fr-CH"/>
        </w:rPr>
        <w:t xml:space="preserve">notamment </w:t>
      </w:r>
      <w:r w:rsidR="004947CF" w:rsidRPr="00F06EF5">
        <w:rPr>
          <w:lang w:val="fr-CH"/>
        </w:rPr>
        <w:t>mis au point une techn</w:t>
      </w:r>
      <w:r w:rsidR="009D67EC" w:rsidRPr="00F06EF5">
        <w:rPr>
          <w:lang w:val="fr-CH"/>
        </w:rPr>
        <w:t>iqu</w:t>
      </w:r>
      <w:r w:rsidR="004947CF" w:rsidRPr="00F06EF5">
        <w:rPr>
          <w:lang w:val="fr-CH"/>
        </w:rPr>
        <w:t xml:space="preserve">e permettant </w:t>
      </w:r>
      <w:r w:rsidR="004947CF" w:rsidRPr="00F06EF5">
        <w:rPr>
          <w:lang w:val="fr-CH"/>
        </w:rPr>
        <w:lastRenderedPageBreak/>
        <w:t xml:space="preserve">d’utiliser les réseaux informatiques </w:t>
      </w:r>
      <w:r w:rsidR="00EF1066" w:rsidRPr="00F06EF5">
        <w:rPr>
          <w:lang w:val="fr-CH"/>
        </w:rPr>
        <w:t>p</w:t>
      </w:r>
      <w:r w:rsidR="00E7557A" w:rsidRPr="00F06EF5">
        <w:rPr>
          <w:lang w:val="fr-CH"/>
        </w:rPr>
        <w:t>our les communications vocales</w:t>
      </w:r>
      <w:r w:rsidR="00EF1066" w:rsidRPr="00F06EF5">
        <w:rPr>
          <w:lang w:val="fr-CH"/>
        </w:rPr>
        <w:t xml:space="preserve"> avec la même efficacité que les</w:t>
      </w:r>
      <w:r w:rsidR="004947CF" w:rsidRPr="00F06EF5">
        <w:rPr>
          <w:lang w:val="fr-CH"/>
        </w:rPr>
        <w:t xml:space="preserve"> réseaux téléphoniq</w:t>
      </w:r>
      <w:r w:rsidR="00EF1066" w:rsidRPr="00F06EF5">
        <w:rPr>
          <w:lang w:val="fr-CH"/>
        </w:rPr>
        <w:t>ues</w:t>
      </w:r>
      <w:r w:rsidR="004947CF" w:rsidRPr="00F06EF5">
        <w:rPr>
          <w:lang w:val="fr-CH"/>
        </w:rPr>
        <w:t xml:space="preserve">, et de prendre en charge de nouvelles applications avec </w:t>
      </w:r>
      <w:r w:rsidR="009D67EC" w:rsidRPr="00F06EF5">
        <w:rPr>
          <w:lang w:val="fr-CH"/>
        </w:rPr>
        <w:t xml:space="preserve">des </w:t>
      </w:r>
      <w:r w:rsidR="00EF1066" w:rsidRPr="00F06EF5">
        <w:rPr>
          <w:lang w:val="fr-CH"/>
        </w:rPr>
        <w:t xml:space="preserve">exigences </w:t>
      </w:r>
      <w:r w:rsidR="00207383" w:rsidRPr="00F06EF5">
        <w:rPr>
          <w:lang w:val="fr-CH"/>
        </w:rPr>
        <w:t xml:space="preserve">encore </w:t>
      </w:r>
      <w:r w:rsidR="00EF1066" w:rsidRPr="00F06EF5">
        <w:rPr>
          <w:lang w:val="fr-CH"/>
        </w:rPr>
        <w:t>plus</w:t>
      </w:r>
      <w:r w:rsidR="004947CF" w:rsidRPr="00F06EF5">
        <w:rPr>
          <w:lang w:val="fr-CH"/>
        </w:rPr>
        <w:t xml:space="preserve"> strictes en matière de service.</w:t>
      </w:r>
      <w:r w:rsidR="003D2A10" w:rsidRPr="00F06EF5">
        <w:rPr>
          <w:lang w:val="fr-CH"/>
        </w:rPr>
        <w:t xml:space="preserve"> </w:t>
      </w:r>
    </w:p>
    <w:p w:rsidR="00643B82" w:rsidRPr="00F06EF5" w:rsidRDefault="009D67EC" w:rsidP="000C30AD">
      <w:pPr>
        <w:rPr>
          <w:lang w:val="fr-CH"/>
        </w:rPr>
      </w:pPr>
      <w:r w:rsidRPr="00F06EF5">
        <w:rPr>
          <w:lang w:val="fr-CH"/>
        </w:rPr>
        <w:t>L</w:t>
      </w:r>
      <w:r w:rsidR="002559B3" w:rsidRPr="00F06EF5">
        <w:rPr>
          <w:lang w:val="fr-CH"/>
        </w:rPr>
        <w:t>a qualité d’expérience est un domaine multidisc</w:t>
      </w:r>
      <w:r w:rsidR="00614803" w:rsidRPr="00F06EF5">
        <w:rPr>
          <w:lang w:val="fr-CH"/>
        </w:rPr>
        <w:t>iplinaire qui évolue rapidement</w:t>
      </w:r>
      <w:r w:rsidR="002559B3" w:rsidRPr="00F06EF5">
        <w:rPr>
          <w:lang w:val="fr-CH"/>
        </w:rPr>
        <w:t xml:space="preserve"> à la frontière de la psychologie sociale, des sciences cognitives, de l’économie et de l’ingénierie</w:t>
      </w:r>
      <w:r w:rsidRPr="00F06EF5">
        <w:rPr>
          <w:lang w:val="fr-CH"/>
        </w:rPr>
        <w:t>,</w:t>
      </w:r>
      <w:r w:rsidR="00614803" w:rsidRPr="00F06EF5">
        <w:rPr>
          <w:lang w:val="fr-CH"/>
        </w:rPr>
        <w:t xml:space="preserve"> et</w:t>
      </w:r>
      <w:r w:rsidR="00207383" w:rsidRPr="00F06EF5">
        <w:rPr>
          <w:lang w:val="fr-CH"/>
        </w:rPr>
        <w:t xml:space="preserve"> qui est</w:t>
      </w:r>
      <w:r w:rsidR="00614803" w:rsidRPr="00F06EF5">
        <w:rPr>
          <w:lang w:val="fr-CH"/>
        </w:rPr>
        <w:t xml:space="preserve"> axé </w:t>
      </w:r>
      <w:r w:rsidR="002559B3" w:rsidRPr="00F06EF5">
        <w:rPr>
          <w:lang w:val="fr-CH"/>
        </w:rPr>
        <w:t>sur l’étude des exigences globales de la population en termes de qualité.</w:t>
      </w:r>
      <w:r w:rsidR="003D2A10" w:rsidRPr="00F06EF5">
        <w:rPr>
          <w:lang w:val="fr-CH"/>
        </w:rPr>
        <w:t xml:space="preserve"> </w:t>
      </w:r>
    </w:p>
    <w:p w:rsidR="00643B82" w:rsidRPr="00F06EF5" w:rsidRDefault="00E7504C" w:rsidP="000C30AD">
      <w:pPr>
        <w:rPr>
          <w:lang w:val="fr-CH"/>
        </w:rPr>
      </w:pPr>
      <w:r w:rsidRPr="00F06EF5">
        <w:rPr>
          <w:lang w:val="fr-CH"/>
        </w:rPr>
        <w:t>La qualité de service et la qualité d’expérience sont deux leviers de l’adoption des télécommunications/TIC et facilitent la formulation des polit</w:t>
      </w:r>
      <w:r w:rsidR="00614803" w:rsidRPr="00F06EF5">
        <w:rPr>
          <w:lang w:val="fr-CH"/>
        </w:rPr>
        <w:t>iques nationales actuelles. Toutefois,</w:t>
      </w:r>
      <w:r w:rsidRPr="00F06EF5">
        <w:rPr>
          <w:lang w:val="fr-CH"/>
        </w:rPr>
        <w:t xml:space="preserve"> les régulateurs doivent </w:t>
      </w:r>
      <w:r w:rsidR="00614803" w:rsidRPr="00F06EF5">
        <w:rPr>
          <w:lang w:val="fr-CH"/>
        </w:rPr>
        <w:t xml:space="preserve">encore </w:t>
      </w:r>
      <w:r w:rsidRPr="00F06EF5">
        <w:rPr>
          <w:lang w:val="fr-CH"/>
        </w:rPr>
        <w:t>parvenir à une appréciation commune des normes et des lignes directrices en matière de qualité de service et de qualité d’expérience.</w:t>
      </w:r>
    </w:p>
    <w:p w:rsidR="00643B82" w:rsidRPr="00F06EF5" w:rsidRDefault="00E216C4" w:rsidP="00D7050C">
      <w:pPr>
        <w:pStyle w:val="Headingb"/>
      </w:pPr>
      <w:r w:rsidRPr="00F06EF5">
        <w:t>Justification</w:t>
      </w:r>
    </w:p>
    <w:p w:rsidR="00643B82" w:rsidRDefault="003D6C41" w:rsidP="00D7050C">
      <w:pPr>
        <w:rPr>
          <w:lang w:val="fr-CH"/>
        </w:rPr>
      </w:pPr>
      <w:r w:rsidRPr="00F06EF5">
        <w:rPr>
          <w:lang w:val="fr-CH"/>
        </w:rPr>
        <w:t xml:space="preserve">Il convient de distinguer d’une part les questions techniques et d’autre part les aspects politiques et réglementaires </w:t>
      </w:r>
      <w:r w:rsidR="00614803" w:rsidRPr="00F06EF5">
        <w:rPr>
          <w:lang w:val="fr-CH"/>
        </w:rPr>
        <w:t>qui relèvent</w:t>
      </w:r>
      <w:r w:rsidRPr="00F06EF5">
        <w:rPr>
          <w:lang w:val="fr-CH"/>
        </w:rPr>
        <w:t xml:space="preserve"> de la qualité de service et de la qualité d’expérience.</w:t>
      </w:r>
      <w:r w:rsidR="003D2A10" w:rsidRPr="00F06EF5">
        <w:rPr>
          <w:lang w:val="fr-CH"/>
        </w:rPr>
        <w:t xml:space="preserve"> </w:t>
      </w:r>
      <w:r w:rsidR="009514F2" w:rsidRPr="00F06EF5">
        <w:rPr>
          <w:lang w:val="fr-CH"/>
        </w:rPr>
        <w:t xml:space="preserve">La </w:t>
      </w:r>
      <w:r w:rsidR="00614803" w:rsidRPr="00F06EF5">
        <w:rPr>
          <w:lang w:val="fr-CH"/>
        </w:rPr>
        <w:t>Commission d’études 12 s’intéresse aux</w:t>
      </w:r>
      <w:r w:rsidR="009514F2" w:rsidRPr="00F06EF5">
        <w:rPr>
          <w:lang w:val="fr-CH"/>
        </w:rPr>
        <w:t xml:space="preserve"> questions techniques dans ce domaine.</w:t>
      </w:r>
      <w:r w:rsidR="003D2A10" w:rsidRPr="00F06EF5">
        <w:rPr>
          <w:lang w:val="fr-CH"/>
        </w:rPr>
        <w:t xml:space="preserve"> </w:t>
      </w:r>
      <w:r w:rsidR="00D36D7A" w:rsidRPr="00F06EF5">
        <w:rPr>
          <w:lang w:val="fr-CH"/>
        </w:rPr>
        <w:t>Les aspects politiques et économiques de la qualité de service et de la qualité d’expérience doivent être traités par la Commission d’études 3, qui s’intéresse aux dimensions économiques, tarifaires et politiques des télécommunications et constitue une instance de dis</w:t>
      </w:r>
      <w:r w:rsidR="00614803" w:rsidRPr="00F06EF5">
        <w:rPr>
          <w:lang w:val="fr-CH"/>
        </w:rPr>
        <w:t>cussion pour les régulateurs en ce qui concerne</w:t>
      </w:r>
      <w:r w:rsidR="00D36D7A" w:rsidRPr="00F06EF5">
        <w:rPr>
          <w:lang w:val="fr-CH"/>
        </w:rPr>
        <w:t xml:space="preserve"> les lignes directrices applicables à la qualité de service et à la qualité d’expérience.</w:t>
      </w:r>
    </w:p>
    <w:p w:rsidR="00784816" w:rsidRDefault="00784816" w:rsidP="00784816">
      <w:pPr>
        <w:pStyle w:val="Proposal"/>
      </w:pPr>
      <w:r>
        <w:tab/>
        <w:t>BGD/52/1</w:t>
      </w:r>
    </w:p>
    <w:p w:rsidR="00643B82" w:rsidRPr="00D7050C" w:rsidRDefault="0030562F" w:rsidP="00D7050C">
      <w:pPr>
        <w:pStyle w:val="Headingb"/>
      </w:pPr>
      <w:r w:rsidRPr="00D7050C">
        <w:t>Proposition</w:t>
      </w:r>
    </w:p>
    <w:p w:rsidR="00ED30BC" w:rsidRPr="00F06EF5" w:rsidRDefault="00AD4C26" w:rsidP="00C80E20">
      <w:pPr>
        <w:rPr>
          <w:lang w:val="fr-CH"/>
        </w:rPr>
      </w:pPr>
      <w:r w:rsidRPr="00F06EF5">
        <w:rPr>
          <w:lang w:val="fr-CH"/>
        </w:rPr>
        <w:t>Le Bangladesh appuie les 11 Questions proposées par la Commission d’études 3 de l’UIT-T pour la prochaine période d’étude (document 4 de l’AMNT-16).</w:t>
      </w:r>
      <w:r w:rsidR="003D2A10" w:rsidRPr="00F06EF5">
        <w:rPr>
          <w:lang w:val="fr-CH"/>
        </w:rPr>
        <w:t xml:space="preserve"> </w:t>
      </w:r>
      <w:r w:rsidR="00377397" w:rsidRPr="00F06EF5">
        <w:rPr>
          <w:lang w:val="fr-CH"/>
        </w:rPr>
        <w:t xml:space="preserve">Le Bangladesh propose également l’ajout d’une nouvelle </w:t>
      </w:r>
      <w:r w:rsidR="0086344F" w:rsidRPr="00F06EF5">
        <w:rPr>
          <w:lang w:val="fr-CH"/>
        </w:rPr>
        <w:t>Q</w:t>
      </w:r>
      <w:r w:rsidR="00377397" w:rsidRPr="00F06EF5">
        <w:rPr>
          <w:lang w:val="fr-CH"/>
        </w:rPr>
        <w:t>uestion 12 (comme indiqué dans l’annexe 1).</w:t>
      </w:r>
      <w:r w:rsidR="00784816">
        <w:rPr>
          <w:lang w:val="fr-CH"/>
        </w:rPr>
        <w:t>\</w:t>
      </w:r>
      <w:r w:rsidR="003D2A10" w:rsidRPr="00F06EF5">
        <w:rPr>
          <w:lang w:val="fr-CH"/>
        </w:rPr>
        <w:br w:type="page"/>
      </w:r>
    </w:p>
    <w:p w:rsidR="00126579" w:rsidRPr="00F730ED" w:rsidRDefault="00D32116" w:rsidP="00F730ED">
      <w:pPr>
        <w:pStyle w:val="AnnexNo"/>
        <w:rPr>
          <w:lang w:val="fr-CH"/>
        </w:rPr>
      </w:pPr>
      <w:r w:rsidRPr="009322F6">
        <w:rPr>
          <w:lang w:val="fr-FR"/>
        </w:rPr>
        <w:lastRenderedPageBreak/>
        <w:t>Annexe 1:</w:t>
      </w:r>
      <w:r w:rsidR="00F730ED">
        <w:rPr>
          <w:lang w:val="fr-FR"/>
        </w:rPr>
        <w:br/>
      </w:r>
      <w:r w:rsidR="003D2A10" w:rsidRPr="009322F6">
        <w:rPr>
          <w:lang w:val="fr-FR"/>
        </w:rPr>
        <w:br/>
      </w:r>
      <w:r w:rsidR="00633954" w:rsidRPr="00F730ED">
        <w:rPr>
          <w:lang w:val="fr-CH"/>
        </w:rPr>
        <w:t>Libellé de la nouvelle Question de la Commission</w:t>
      </w:r>
      <w:r w:rsidR="00F730ED" w:rsidRPr="00F730ED">
        <w:rPr>
          <w:lang w:val="fr-CH"/>
        </w:rPr>
        <w:br/>
      </w:r>
      <w:r w:rsidR="00633954" w:rsidRPr="00F730ED">
        <w:rPr>
          <w:lang w:val="fr-CH"/>
        </w:rPr>
        <w:t>d’études 3 de l’UIT-T</w:t>
      </w:r>
    </w:p>
    <w:p w:rsidR="00126579" w:rsidRPr="00D7050C" w:rsidRDefault="00D64FD1" w:rsidP="00D7050C">
      <w:pPr>
        <w:pStyle w:val="Annextitle"/>
        <w:rPr>
          <w:lang w:val="fr-FR"/>
        </w:rPr>
      </w:pPr>
      <w:r w:rsidRPr="00D7050C">
        <w:rPr>
          <w:lang w:val="fr-FR"/>
        </w:rPr>
        <w:t>Aspects politiques et réglementaires de la qualité de service (</w:t>
      </w:r>
      <w:proofErr w:type="spellStart"/>
      <w:r w:rsidRPr="00D7050C">
        <w:rPr>
          <w:lang w:val="fr-FR"/>
        </w:rPr>
        <w:t>QoS</w:t>
      </w:r>
      <w:proofErr w:type="spellEnd"/>
      <w:r w:rsidRPr="00D7050C">
        <w:rPr>
          <w:lang w:val="fr-FR"/>
        </w:rPr>
        <w:t>) et de la qualité d’expérience (</w:t>
      </w:r>
      <w:proofErr w:type="spellStart"/>
      <w:r w:rsidRPr="00D7050C">
        <w:rPr>
          <w:lang w:val="fr-FR"/>
        </w:rPr>
        <w:t>QoE</w:t>
      </w:r>
      <w:proofErr w:type="spellEnd"/>
      <w:r w:rsidRPr="00D7050C">
        <w:rPr>
          <w:lang w:val="fr-FR"/>
        </w:rPr>
        <w:t>)</w:t>
      </w:r>
    </w:p>
    <w:p w:rsidR="00126579" w:rsidRPr="00F06EF5" w:rsidRDefault="003D2A10" w:rsidP="00D7050C">
      <w:pPr>
        <w:pStyle w:val="Heading1"/>
        <w:rPr>
          <w:lang w:val="fr-CH"/>
        </w:rPr>
      </w:pPr>
      <w:r w:rsidRPr="00F06EF5">
        <w:rPr>
          <w:lang w:val="fr-CH"/>
        </w:rPr>
        <w:t>1</w:t>
      </w:r>
      <w:r w:rsidRPr="00F06EF5">
        <w:rPr>
          <w:lang w:val="fr-CH"/>
        </w:rPr>
        <w:tab/>
      </w:r>
      <w:r w:rsidR="00D440CF" w:rsidRPr="00F06EF5">
        <w:rPr>
          <w:lang w:val="fr-CH"/>
        </w:rPr>
        <w:t>Motifs</w:t>
      </w:r>
    </w:p>
    <w:p w:rsidR="00126579" w:rsidRPr="00F06EF5" w:rsidRDefault="0041778A" w:rsidP="00C80E20">
      <w:pPr>
        <w:rPr>
          <w:lang w:val="fr-CH"/>
        </w:rPr>
      </w:pPr>
      <w:r w:rsidRPr="00F06EF5">
        <w:rPr>
          <w:lang w:val="fr-CH"/>
        </w:rPr>
        <w:t>La croissance sans précédent des technologies et des marchés de</w:t>
      </w:r>
      <w:r w:rsidR="009322F6">
        <w:rPr>
          <w:lang w:val="fr-CH"/>
        </w:rPr>
        <w:t>s</w:t>
      </w:r>
      <w:r w:rsidRPr="00F06EF5">
        <w:rPr>
          <w:lang w:val="fr-CH"/>
        </w:rPr>
        <w:t xml:space="preserve"> télécommunication</w:t>
      </w:r>
      <w:r w:rsidR="009322F6">
        <w:rPr>
          <w:lang w:val="fr-CH"/>
        </w:rPr>
        <w:t>s</w:t>
      </w:r>
      <w:r w:rsidRPr="00F06EF5">
        <w:rPr>
          <w:lang w:val="fr-CH"/>
        </w:rPr>
        <w:t xml:space="preserve"> </w:t>
      </w:r>
      <w:r w:rsidR="00D440CF" w:rsidRPr="00F06EF5">
        <w:rPr>
          <w:lang w:val="fr-CH"/>
        </w:rPr>
        <w:t>a entraîné la diversification</w:t>
      </w:r>
      <w:r w:rsidRPr="00F06EF5">
        <w:rPr>
          <w:lang w:val="fr-CH"/>
        </w:rPr>
        <w:t xml:space="preserve"> des services et des fournisseurs </w:t>
      </w:r>
      <w:r w:rsidR="00596D75" w:rsidRPr="00F06EF5">
        <w:rPr>
          <w:lang w:val="fr-CH"/>
        </w:rPr>
        <w:t xml:space="preserve">mis </w:t>
      </w:r>
      <w:r w:rsidRPr="00F06EF5">
        <w:rPr>
          <w:lang w:val="fr-CH"/>
        </w:rPr>
        <w:t>à la disposition des consommateurs.</w:t>
      </w:r>
      <w:r w:rsidR="003D2A10" w:rsidRPr="00F06EF5">
        <w:rPr>
          <w:lang w:val="fr-CH"/>
        </w:rPr>
        <w:t xml:space="preserve"> </w:t>
      </w:r>
      <w:r w:rsidR="00AF4FCE" w:rsidRPr="00F06EF5">
        <w:rPr>
          <w:lang w:val="fr-CH"/>
        </w:rPr>
        <w:t xml:space="preserve">La concurrence a </w:t>
      </w:r>
      <w:r w:rsidR="00E30B39" w:rsidRPr="00F06EF5">
        <w:rPr>
          <w:lang w:val="fr-CH"/>
        </w:rPr>
        <w:t>fait baisser les</w:t>
      </w:r>
      <w:r w:rsidR="00AF4FCE" w:rsidRPr="00F06EF5">
        <w:rPr>
          <w:lang w:val="fr-CH"/>
        </w:rPr>
        <w:t xml:space="preserve"> prix de</w:t>
      </w:r>
      <w:r w:rsidR="00E30B39" w:rsidRPr="00F06EF5">
        <w:rPr>
          <w:lang w:val="fr-CH"/>
        </w:rPr>
        <w:t>s</w:t>
      </w:r>
      <w:r w:rsidR="00AF4FCE" w:rsidRPr="00F06EF5">
        <w:rPr>
          <w:lang w:val="fr-CH"/>
        </w:rPr>
        <w:t xml:space="preserve"> services perfectionnés et a ouvert ce marché à des millions de nouveaux consommateurs de plus en plus expérimentés et exigeants.</w:t>
      </w:r>
      <w:r w:rsidR="003D2A10" w:rsidRPr="00F06EF5">
        <w:rPr>
          <w:lang w:val="fr-CH"/>
        </w:rPr>
        <w:t xml:space="preserve"> </w:t>
      </w:r>
    </w:p>
    <w:p w:rsidR="00126579" w:rsidRPr="00F06EF5" w:rsidRDefault="001C574F" w:rsidP="00C80E20">
      <w:pPr>
        <w:rPr>
          <w:lang w:val="fr-CH"/>
        </w:rPr>
      </w:pPr>
      <w:r w:rsidRPr="00F06EF5">
        <w:rPr>
          <w:lang w:val="fr-CH"/>
        </w:rPr>
        <w:t xml:space="preserve">L’existence et la nécessité </w:t>
      </w:r>
      <w:r w:rsidR="00DF2BF4" w:rsidRPr="00F06EF5">
        <w:rPr>
          <w:lang w:val="fr-CH"/>
        </w:rPr>
        <w:t xml:space="preserve">de disposer </w:t>
      </w:r>
      <w:r w:rsidRPr="00F06EF5">
        <w:rPr>
          <w:lang w:val="fr-CH"/>
        </w:rPr>
        <w:t>d’une politique économique pérenne dans le domaine des télécommunication</w:t>
      </w:r>
      <w:r w:rsidR="00DF2BF4" w:rsidRPr="00F06EF5">
        <w:rPr>
          <w:lang w:val="fr-CH"/>
        </w:rPr>
        <w:t>s</w:t>
      </w:r>
      <w:r w:rsidRPr="00F06EF5">
        <w:rPr>
          <w:lang w:val="fr-CH"/>
        </w:rPr>
        <w:t xml:space="preserve"> sont </w:t>
      </w:r>
      <w:r w:rsidR="00E06138">
        <w:rPr>
          <w:lang w:val="fr-CH"/>
        </w:rPr>
        <w:t>in</w:t>
      </w:r>
      <w:r w:rsidRPr="00F06EF5">
        <w:rPr>
          <w:lang w:val="fr-CH"/>
        </w:rPr>
        <w:t>discutables lorsqu’il s’agit de la qualité de service et de la qualité d’expérience.</w:t>
      </w:r>
      <w:r w:rsidR="003D2A10" w:rsidRPr="00F06EF5">
        <w:rPr>
          <w:lang w:val="fr-CH"/>
        </w:rPr>
        <w:t xml:space="preserve"> </w:t>
      </w:r>
      <w:r w:rsidR="00314574" w:rsidRPr="00F06EF5">
        <w:rPr>
          <w:lang w:val="fr-CH"/>
        </w:rPr>
        <w:t>D</w:t>
      </w:r>
      <w:r w:rsidR="00EF1066" w:rsidRPr="00F06EF5">
        <w:rPr>
          <w:lang w:val="fr-CH"/>
        </w:rPr>
        <w:t>ans les pays sous-développés</w:t>
      </w:r>
      <w:r w:rsidR="0086344F" w:rsidRPr="00F06EF5">
        <w:rPr>
          <w:lang w:val="fr-CH"/>
        </w:rPr>
        <w:t xml:space="preserve">, la population </w:t>
      </w:r>
      <w:r w:rsidR="00EF1066" w:rsidRPr="00F06EF5">
        <w:rPr>
          <w:lang w:val="fr-CH"/>
        </w:rPr>
        <w:t xml:space="preserve">ne </w:t>
      </w:r>
      <w:r w:rsidR="0086344F" w:rsidRPr="00F06EF5">
        <w:rPr>
          <w:lang w:val="fr-CH"/>
        </w:rPr>
        <w:t xml:space="preserve">peut </w:t>
      </w:r>
      <w:r w:rsidR="00EF1066" w:rsidRPr="00F06EF5">
        <w:rPr>
          <w:lang w:val="fr-CH"/>
        </w:rPr>
        <w:t xml:space="preserve">pas </w:t>
      </w:r>
      <w:r w:rsidR="00677E9E" w:rsidRPr="00F06EF5">
        <w:rPr>
          <w:lang w:val="fr-CH"/>
        </w:rPr>
        <w:t>se permettre</w:t>
      </w:r>
      <w:r w:rsidR="0086344F" w:rsidRPr="00F06EF5">
        <w:rPr>
          <w:lang w:val="fr-CH"/>
        </w:rPr>
        <w:t xml:space="preserve"> de dépenser </w:t>
      </w:r>
      <w:r w:rsidR="00DF2BF4" w:rsidRPr="00F06EF5">
        <w:rPr>
          <w:lang w:val="fr-CH"/>
        </w:rPr>
        <w:t>le moindre centime dans les</w:t>
      </w:r>
      <w:r w:rsidR="0086344F" w:rsidRPr="00F06EF5">
        <w:rPr>
          <w:lang w:val="fr-CH"/>
        </w:rPr>
        <w:t xml:space="preserve"> communication</w:t>
      </w:r>
      <w:r w:rsidR="00DF2BF4" w:rsidRPr="00F06EF5">
        <w:rPr>
          <w:lang w:val="fr-CH"/>
        </w:rPr>
        <w:t>s</w:t>
      </w:r>
      <w:r w:rsidR="00EF1066" w:rsidRPr="00F06EF5">
        <w:rPr>
          <w:lang w:val="fr-CH"/>
        </w:rPr>
        <w:t xml:space="preserve"> avant d’avoir assuré sa subsistance</w:t>
      </w:r>
      <w:r w:rsidR="00314574" w:rsidRPr="00F06EF5">
        <w:rPr>
          <w:lang w:val="fr-CH"/>
        </w:rPr>
        <w:t>.</w:t>
      </w:r>
      <w:r w:rsidR="003D2A10" w:rsidRPr="00F06EF5">
        <w:rPr>
          <w:lang w:val="fr-CH"/>
        </w:rPr>
        <w:t xml:space="preserve"> </w:t>
      </w:r>
      <w:r w:rsidR="00DF2BF4" w:rsidRPr="00F06EF5">
        <w:rPr>
          <w:lang w:val="fr-CH"/>
        </w:rPr>
        <w:t>L’incapacité à assurer</w:t>
      </w:r>
      <w:r w:rsidR="008A7B18" w:rsidRPr="00F06EF5">
        <w:rPr>
          <w:lang w:val="fr-CH"/>
        </w:rPr>
        <w:t xml:space="preserve"> la qualité de service et la qualité d’expérience </w:t>
      </w:r>
      <w:r w:rsidR="00DF2BF4" w:rsidRPr="00F06EF5">
        <w:rPr>
          <w:lang w:val="fr-CH"/>
        </w:rPr>
        <w:t>requises pourrait inspirer</w:t>
      </w:r>
      <w:r w:rsidR="008A7B18" w:rsidRPr="00F06EF5">
        <w:rPr>
          <w:lang w:val="fr-CH"/>
        </w:rPr>
        <w:t xml:space="preserve"> </w:t>
      </w:r>
      <w:r w:rsidR="0086344F" w:rsidRPr="00F06EF5">
        <w:rPr>
          <w:lang w:val="fr-CH"/>
        </w:rPr>
        <w:t xml:space="preserve">un </w:t>
      </w:r>
      <w:r w:rsidR="008A7B18" w:rsidRPr="00F06EF5">
        <w:rPr>
          <w:lang w:val="fr-CH"/>
        </w:rPr>
        <w:t>sentiment d’a</w:t>
      </w:r>
      <w:r w:rsidR="00DF2BF4" w:rsidRPr="00F06EF5">
        <w:rPr>
          <w:lang w:val="fr-CH"/>
        </w:rPr>
        <w:t>version et de méfiance vis-à-</w:t>
      </w:r>
      <w:r w:rsidR="008A7B18" w:rsidRPr="00F06EF5">
        <w:rPr>
          <w:lang w:val="fr-CH"/>
        </w:rPr>
        <w:t>vis des services de télécommunication</w:t>
      </w:r>
      <w:r w:rsidR="0086344F" w:rsidRPr="00F06EF5">
        <w:rPr>
          <w:lang w:val="fr-CH"/>
        </w:rPr>
        <w:t xml:space="preserve">, ce qui </w:t>
      </w:r>
      <w:r w:rsidR="00E06138">
        <w:rPr>
          <w:lang w:val="fr-CH"/>
        </w:rPr>
        <w:t>n’incitera pas la population à</w:t>
      </w:r>
      <w:r w:rsidR="008A7B18" w:rsidRPr="00F06EF5">
        <w:rPr>
          <w:lang w:val="fr-CH"/>
        </w:rPr>
        <w:t xml:space="preserve"> tirer pleinement par</w:t>
      </w:r>
      <w:r w:rsidR="0086344F" w:rsidRPr="00F06EF5">
        <w:rPr>
          <w:lang w:val="fr-CH"/>
        </w:rPr>
        <w:t>ti du système de communication et</w:t>
      </w:r>
      <w:r w:rsidR="002447A3" w:rsidRPr="00F06EF5">
        <w:rPr>
          <w:lang w:val="fr-CH"/>
        </w:rPr>
        <w:t xml:space="preserve"> aura pour conséquence </w:t>
      </w:r>
      <w:r w:rsidR="00207383" w:rsidRPr="00F06EF5">
        <w:rPr>
          <w:lang w:val="fr-CH"/>
        </w:rPr>
        <w:t>d’entraver</w:t>
      </w:r>
      <w:r w:rsidR="008A7B18" w:rsidRPr="00F06EF5">
        <w:rPr>
          <w:lang w:val="fr-CH"/>
        </w:rPr>
        <w:t xml:space="preserve"> la progression vers la révolution numérique.</w:t>
      </w:r>
    </w:p>
    <w:p w:rsidR="00DF2BF4" w:rsidRPr="00F06EF5" w:rsidRDefault="00DF2BF4" w:rsidP="00C80E20">
      <w:pPr>
        <w:rPr>
          <w:lang w:val="fr-CH"/>
        </w:rPr>
      </w:pPr>
      <w:r w:rsidRPr="00F06EF5">
        <w:rPr>
          <w:lang w:val="fr-CH"/>
        </w:rPr>
        <w:t>Aujourd’hui, les différents forums mondiaux sur les télécommunications accordent une importance centrale à la meilleure façon d’assurer la qualité de service et la qualité d’expérience</w:t>
      </w:r>
      <w:r w:rsidR="00207383" w:rsidRPr="00F06EF5">
        <w:rPr>
          <w:lang w:val="fr-CH"/>
        </w:rPr>
        <w:t xml:space="preserve"> grâce à</w:t>
      </w:r>
      <w:r w:rsidRPr="00F06EF5">
        <w:rPr>
          <w:lang w:val="fr-CH"/>
        </w:rPr>
        <w:t xml:space="preserve"> l’élaboration de lignes directrices et </w:t>
      </w:r>
      <w:r w:rsidR="00207383" w:rsidRPr="00F06EF5">
        <w:rPr>
          <w:lang w:val="fr-CH"/>
        </w:rPr>
        <w:t xml:space="preserve">à </w:t>
      </w:r>
      <w:r w:rsidRPr="00F06EF5">
        <w:rPr>
          <w:lang w:val="fr-CH"/>
        </w:rPr>
        <w:t>l’adoption d’une réglementation appropriées. Pour ce faire, les régulateurs doivent contribuer à garantir la qualité de service et la qualité d’expérience en adoptant une réglementation et en exerçant une fonction de contrôle.</w:t>
      </w:r>
    </w:p>
    <w:p w:rsidR="00DF2BF4" w:rsidRPr="00F06EF5" w:rsidRDefault="00DF2BF4" w:rsidP="00C80E20">
      <w:pPr>
        <w:rPr>
          <w:lang w:val="fr-CH"/>
        </w:rPr>
      </w:pPr>
      <w:r w:rsidRPr="00F06EF5">
        <w:rPr>
          <w:lang w:val="fr-CH"/>
        </w:rPr>
        <w:t>Les régulateurs peuvent exercer un contrôle de la qualité de service, notamment en :</w:t>
      </w:r>
    </w:p>
    <w:p w:rsidR="00102518" w:rsidRPr="009322F6" w:rsidRDefault="00DF2BF4" w:rsidP="00D7050C">
      <w:pPr>
        <w:pStyle w:val="enumlev1"/>
        <w:rPr>
          <w:lang w:val="fr-FR"/>
        </w:rPr>
      </w:pPr>
      <w:r w:rsidRPr="009322F6">
        <w:rPr>
          <w:lang w:val="fr-FR"/>
        </w:rPr>
        <w:t>–</w:t>
      </w:r>
      <w:r w:rsidRPr="009322F6">
        <w:rPr>
          <w:lang w:val="fr-FR"/>
        </w:rPr>
        <w:tab/>
      </w:r>
      <w:r w:rsidR="00102518" w:rsidRPr="009322F6">
        <w:rPr>
          <w:lang w:val="fr-FR"/>
        </w:rPr>
        <w:t>déterminant des objectifs en matière de réglementation;</w:t>
      </w:r>
    </w:p>
    <w:p w:rsidR="00DF2BF4" w:rsidRPr="009322F6" w:rsidRDefault="00DF2BF4" w:rsidP="00D7050C">
      <w:pPr>
        <w:pStyle w:val="enumlev1"/>
        <w:rPr>
          <w:lang w:val="fr-FR"/>
        </w:rPr>
      </w:pPr>
      <w:r w:rsidRPr="009322F6">
        <w:rPr>
          <w:lang w:val="fr-FR"/>
        </w:rPr>
        <w:t>–</w:t>
      </w:r>
      <w:r w:rsidRPr="009322F6">
        <w:rPr>
          <w:lang w:val="fr-FR"/>
        </w:rPr>
        <w:tab/>
      </w:r>
      <w:r w:rsidR="00BF0889" w:rsidRPr="009322F6">
        <w:rPr>
          <w:lang w:val="fr-FR"/>
        </w:rPr>
        <w:t>établissant</w:t>
      </w:r>
      <w:r w:rsidRPr="009322F6">
        <w:rPr>
          <w:lang w:val="fr-FR"/>
        </w:rPr>
        <w:t xml:space="preserve"> une concurrence effective</w:t>
      </w:r>
      <w:r w:rsidR="00207383" w:rsidRPr="009322F6">
        <w:rPr>
          <w:lang w:val="fr-FR"/>
        </w:rPr>
        <w:t>;</w:t>
      </w:r>
    </w:p>
    <w:p w:rsidR="00DF2BF4" w:rsidRPr="009322F6" w:rsidRDefault="00DF2BF4" w:rsidP="00D7050C">
      <w:pPr>
        <w:pStyle w:val="enumlev1"/>
        <w:rPr>
          <w:lang w:val="fr-FR"/>
        </w:rPr>
      </w:pPr>
      <w:r w:rsidRPr="009322F6">
        <w:rPr>
          <w:lang w:val="fr-FR"/>
        </w:rPr>
        <w:t>–</w:t>
      </w:r>
      <w:r w:rsidRPr="009322F6">
        <w:rPr>
          <w:lang w:val="fr-FR"/>
        </w:rPr>
        <w:tab/>
        <w:t>examinant les réclamations des opérateurs</w:t>
      </w:r>
      <w:r w:rsidR="00207383" w:rsidRPr="009322F6">
        <w:rPr>
          <w:lang w:val="fr-FR"/>
        </w:rPr>
        <w:t>;</w:t>
      </w:r>
    </w:p>
    <w:p w:rsidR="00DF2BF4" w:rsidRPr="009322F6" w:rsidRDefault="00DF2BF4" w:rsidP="00D7050C">
      <w:pPr>
        <w:pStyle w:val="enumlev1"/>
        <w:rPr>
          <w:lang w:val="fr-FR"/>
        </w:rPr>
      </w:pPr>
      <w:r w:rsidRPr="009322F6">
        <w:rPr>
          <w:lang w:val="fr-FR"/>
        </w:rPr>
        <w:t>–</w:t>
      </w:r>
      <w:r w:rsidRPr="009322F6">
        <w:rPr>
          <w:lang w:val="fr-FR"/>
        </w:rPr>
        <w:tab/>
        <w:t>évaluant l’état du marché</w:t>
      </w:r>
      <w:r w:rsidR="00207383" w:rsidRPr="009322F6">
        <w:rPr>
          <w:lang w:val="fr-FR"/>
        </w:rPr>
        <w:t>;</w:t>
      </w:r>
    </w:p>
    <w:p w:rsidR="00DF2BF4" w:rsidRPr="00F06EF5" w:rsidRDefault="00DF2BF4" w:rsidP="00D7050C">
      <w:pPr>
        <w:pStyle w:val="enumlev1"/>
        <w:rPr>
          <w:lang w:val="fr-CH"/>
        </w:rPr>
      </w:pPr>
      <w:r w:rsidRPr="009322F6">
        <w:rPr>
          <w:lang w:val="fr-FR"/>
        </w:rPr>
        <w:t>–</w:t>
      </w:r>
      <w:r w:rsidRPr="009322F6">
        <w:rPr>
          <w:lang w:val="fr-FR"/>
        </w:rPr>
        <w:tab/>
      </w:r>
      <w:r w:rsidRPr="00F06EF5">
        <w:rPr>
          <w:lang w:val="fr-CH"/>
        </w:rPr>
        <w:t>assurant l’efficacité des réseaux interconnectés</w:t>
      </w:r>
      <w:r w:rsidR="00207383" w:rsidRPr="00F06EF5">
        <w:rPr>
          <w:lang w:val="fr-CH"/>
        </w:rPr>
        <w:t>.</w:t>
      </w:r>
    </w:p>
    <w:p w:rsidR="00CE0F85" w:rsidRPr="00F06EF5" w:rsidRDefault="003D2A10" w:rsidP="00D7050C">
      <w:pPr>
        <w:pStyle w:val="Heading1"/>
        <w:rPr>
          <w:lang w:val="fr-CH"/>
        </w:rPr>
      </w:pPr>
      <w:r w:rsidRPr="00F06EF5">
        <w:rPr>
          <w:lang w:val="fr-CH"/>
        </w:rPr>
        <w:t>2</w:t>
      </w:r>
      <w:r w:rsidRPr="00F06EF5">
        <w:rPr>
          <w:lang w:val="fr-CH"/>
        </w:rPr>
        <w:tab/>
        <w:t>Question</w:t>
      </w:r>
    </w:p>
    <w:p w:rsidR="00CE0F85" w:rsidRPr="00F06EF5" w:rsidRDefault="005C0AD6" w:rsidP="00C80E20">
      <w:pPr>
        <w:rPr>
          <w:lang w:val="fr-CH"/>
        </w:rPr>
      </w:pPr>
      <w:r w:rsidRPr="00F06EF5">
        <w:rPr>
          <w:lang w:val="fr-CH"/>
        </w:rPr>
        <w:t>Aspects politiques et réglementaires de la qualité de service (</w:t>
      </w:r>
      <w:proofErr w:type="spellStart"/>
      <w:r w:rsidRPr="00F06EF5">
        <w:rPr>
          <w:lang w:val="fr-CH"/>
        </w:rPr>
        <w:t>QoS</w:t>
      </w:r>
      <w:proofErr w:type="spellEnd"/>
      <w:r w:rsidRPr="00F06EF5">
        <w:rPr>
          <w:lang w:val="fr-CH"/>
        </w:rPr>
        <w:t>) et de la qualité d’expérience (</w:t>
      </w:r>
      <w:proofErr w:type="spellStart"/>
      <w:r w:rsidRPr="00F06EF5">
        <w:rPr>
          <w:lang w:val="fr-CH"/>
        </w:rPr>
        <w:t>QoE</w:t>
      </w:r>
      <w:proofErr w:type="spellEnd"/>
      <w:r w:rsidRPr="00F06EF5">
        <w:rPr>
          <w:lang w:val="fr-CH"/>
        </w:rPr>
        <w:t>)</w:t>
      </w:r>
      <w:r w:rsidR="00207383" w:rsidRPr="00F06EF5">
        <w:rPr>
          <w:lang w:val="fr-CH"/>
        </w:rPr>
        <w:t>.</w:t>
      </w:r>
    </w:p>
    <w:p w:rsidR="00126579" w:rsidRPr="00F06EF5" w:rsidRDefault="003D2A10" w:rsidP="00D7050C">
      <w:pPr>
        <w:pStyle w:val="Heading1"/>
        <w:rPr>
          <w:lang w:val="fr-CH"/>
        </w:rPr>
      </w:pPr>
      <w:r w:rsidRPr="00F06EF5">
        <w:rPr>
          <w:lang w:val="fr-CH"/>
        </w:rPr>
        <w:t>3</w:t>
      </w:r>
      <w:r w:rsidRPr="00F06EF5">
        <w:rPr>
          <w:lang w:val="fr-CH"/>
        </w:rPr>
        <w:tab/>
      </w:r>
      <w:r w:rsidR="00DB6FF4" w:rsidRPr="00F06EF5">
        <w:rPr>
          <w:lang w:val="fr-CH"/>
        </w:rPr>
        <w:t>Tâches</w:t>
      </w:r>
    </w:p>
    <w:p w:rsidR="00126579" w:rsidRPr="00F06EF5" w:rsidRDefault="00F0598F" w:rsidP="00C80E20">
      <w:pPr>
        <w:rPr>
          <w:lang w:val="fr-CH"/>
        </w:rPr>
      </w:pPr>
      <w:r w:rsidRPr="00F06EF5">
        <w:rPr>
          <w:lang w:val="fr-CH"/>
        </w:rPr>
        <w:t>La Commission d’études 3 devrait étud</w:t>
      </w:r>
      <w:r w:rsidR="00BF0889" w:rsidRPr="00F06EF5">
        <w:rPr>
          <w:lang w:val="fr-CH"/>
        </w:rPr>
        <w:t xml:space="preserve">ier tous les aspects politiques </w:t>
      </w:r>
      <w:r w:rsidRPr="00F06EF5">
        <w:rPr>
          <w:lang w:val="fr-CH"/>
        </w:rPr>
        <w:t>et réglementaires de la qualité de service</w:t>
      </w:r>
      <w:r w:rsidR="00BF0889" w:rsidRPr="00F06EF5">
        <w:rPr>
          <w:lang w:val="fr-CH"/>
        </w:rPr>
        <w:t>, l</w:t>
      </w:r>
      <w:r w:rsidRPr="00F06EF5">
        <w:rPr>
          <w:lang w:val="fr-CH"/>
        </w:rPr>
        <w:t>es questio</w:t>
      </w:r>
      <w:r w:rsidR="00BF0889" w:rsidRPr="00F06EF5">
        <w:rPr>
          <w:lang w:val="fr-CH"/>
        </w:rPr>
        <w:t xml:space="preserve">ns techniques relevant déjà </w:t>
      </w:r>
      <w:r w:rsidRPr="00F06EF5">
        <w:rPr>
          <w:lang w:val="fr-CH"/>
        </w:rPr>
        <w:t>de la compétence de la C</w:t>
      </w:r>
      <w:r w:rsidR="00102518" w:rsidRPr="00F06EF5">
        <w:rPr>
          <w:lang w:val="fr-CH"/>
        </w:rPr>
        <w:t xml:space="preserve">ommission d’études </w:t>
      </w:r>
      <w:r w:rsidRPr="00F06EF5">
        <w:rPr>
          <w:lang w:val="fr-CH"/>
        </w:rPr>
        <w:t>12.</w:t>
      </w:r>
      <w:r w:rsidR="003D2A10" w:rsidRPr="00F06EF5">
        <w:rPr>
          <w:lang w:val="fr-CH"/>
        </w:rPr>
        <w:t xml:space="preserve"> </w:t>
      </w:r>
    </w:p>
    <w:p w:rsidR="00126579" w:rsidRPr="00F06EF5" w:rsidRDefault="00AF1113" w:rsidP="00C80E20">
      <w:pPr>
        <w:rPr>
          <w:lang w:val="fr-CH"/>
        </w:rPr>
      </w:pPr>
      <w:r w:rsidRPr="00F06EF5">
        <w:rPr>
          <w:lang w:val="fr-CH"/>
        </w:rPr>
        <w:t>Lors de l'étude de cette Question, les besoins des pays en développement, et en particulier ceux des pays les moins avancés, devront faire l'objet d'une attention toute particulière.</w:t>
      </w:r>
    </w:p>
    <w:p w:rsidR="00126579" w:rsidRPr="00F06EF5" w:rsidRDefault="00EA187B" w:rsidP="00C80E20">
      <w:pPr>
        <w:rPr>
          <w:lang w:val="fr-CH"/>
        </w:rPr>
      </w:pPr>
      <w:r w:rsidRPr="00F06EF5">
        <w:rPr>
          <w:lang w:val="fr-CH"/>
        </w:rPr>
        <w:t>Dans ce contexte, il conviendrait d'inclure les aspects internationaux et/ou régionaux des questions suivantes:</w:t>
      </w:r>
    </w:p>
    <w:p w:rsidR="00126579" w:rsidRPr="00F06EF5" w:rsidRDefault="003D2A10" w:rsidP="00D7050C">
      <w:pPr>
        <w:pStyle w:val="enumlev1"/>
        <w:rPr>
          <w:lang w:val="fr-CH"/>
        </w:rPr>
      </w:pPr>
      <w:r w:rsidRPr="00F06EF5">
        <w:rPr>
          <w:lang w:val="fr-CH"/>
        </w:rPr>
        <w:lastRenderedPageBreak/>
        <w:t>1)</w:t>
      </w:r>
      <w:r w:rsidRPr="00F06EF5">
        <w:rPr>
          <w:lang w:val="fr-CH"/>
        </w:rPr>
        <w:tab/>
      </w:r>
      <w:r w:rsidR="00BF0889" w:rsidRPr="00F06EF5">
        <w:rPr>
          <w:lang w:val="fr-CH"/>
        </w:rPr>
        <w:t>Lignes directrices</w:t>
      </w:r>
      <w:r w:rsidR="002A33F1" w:rsidRPr="00F06EF5">
        <w:rPr>
          <w:lang w:val="fr-CH"/>
        </w:rPr>
        <w:t xml:space="preserve"> stratégiques en matière de qualité de service et de qualité d’expérience</w:t>
      </w:r>
      <w:r w:rsidR="00276038">
        <w:rPr>
          <w:lang w:val="fr-CH"/>
        </w:rPr>
        <w:t>;</w:t>
      </w:r>
    </w:p>
    <w:p w:rsidR="00126579" w:rsidRPr="00F06EF5" w:rsidRDefault="003D2A10" w:rsidP="00D7050C">
      <w:pPr>
        <w:pStyle w:val="enumlev1"/>
        <w:rPr>
          <w:lang w:val="fr-CH"/>
        </w:rPr>
      </w:pPr>
      <w:r w:rsidRPr="00F06EF5">
        <w:rPr>
          <w:lang w:val="fr-CH"/>
        </w:rPr>
        <w:t>2)</w:t>
      </w:r>
      <w:r w:rsidRPr="00F06EF5">
        <w:rPr>
          <w:lang w:val="fr-CH"/>
        </w:rPr>
        <w:tab/>
      </w:r>
      <w:r w:rsidR="00BF0889" w:rsidRPr="00F06EF5">
        <w:rPr>
          <w:lang w:val="fr-CH"/>
        </w:rPr>
        <w:t xml:space="preserve">Détermination </w:t>
      </w:r>
      <w:r w:rsidR="00102518" w:rsidRPr="00F06EF5">
        <w:rPr>
          <w:lang w:val="fr-CH"/>
        </w:rPr>
        <w:t>d’objectifs</w:t>
      </w:r>
      <w:r w:rsidR="00BF0889" w:rsidRPr="00F06EF5">
        <w:rPr>
          <w:lang w:val="fr-CH"/>
        </w:rPr>
        <w:t xml:space="preserve"> </w:t>
      </w:r>
      <w:r w:rsidR="00102518" w:rsidRPr="00F06EF5">
        <w:rPr>
          <w:lang w:val="fr-CH"/>
        </w:rPr>
        <w:t>en matière de réglementation pour les régulateurs;</w:t>
      </w:r>
    </w:p>
    <w:p w:rsidR="00BF0889" w:rsidRPr="00F06EF5" w:rsidRDefault="003D2A10" w:rsidP="00D7050C">
      <w:pPr>
        <w:pStyle w:val="enumlev1"/>
        <w:rPr>
          <w:lang w:val="fr-CH"/>
        </w:rPr>
      </w:pPr>
      <w:r w:rsidRPr="00F06EF5">
        <w:rPr>
          <w:lang w:val="fr-CH"/>
        </w:rPr>
        <w:t>3)</w:t>
      </w:r>
      <w:r w:rsidRPr="00F06EF5">
        <w:rPr>
          <w:lang w:val="fr-CH"/>
        </w:rPr>
        <w:tab/>
      </w:r>
      <w:r w:rsidR="00BF0889" w:rsidRPr="00F06EF5">
        <w:rPr>
          <w:lang w:val="fr-CH"/>
        </w:rPr>
        <w:t>Suivi et évaluation de la réglementation</w:t>
      </w:r>
      <w:r w:rsidR="00102518" w:rsidRPr="00F06EF5">
        <w:rPr>
          <w:lang w:val="fr-CH"/>
        </w:rPr>
        <w:t>;</w:t>
      </w:r>
    </w:p>
    <w:p w:rsidR="00126579" w:rsidRPr="00F06EF5" w:rsidRDefault="003D2A10" w:rsidP="00D7050C">
      <w:pPr>
        <w:pStyle w:val="enumlev1"/>
        <w:rPr>
          <w:lang w:val="fr-CH"/>
        </w:rPr>
      </w:pPr>
      <w:r w:rsidRPr="00F06EF5">
        <w:rPr>
          <w:lang w:val="fr-CH"/>
        </w:rPr>
        <w:t>4)</w:t>
      </w:r>
      <w:r w:rsidRPr="00F06EF5">
        <w:rPr>
          <w:lang w:val="fr-CH"/>
        </w:rPr>
        <w:tab/>
      </w:r>
      <w:r w:rsidR="00BF0889" w:rsidRPr="00F06EF5">
        <w:rPr>
          <w:lang w:val="fr-CH"/>
        </w:rPr>
        <w:t>Contrôle</w:t>
      </w:r>
      <w:r w:rsidR="00316004" w:rsidRPr="00F06EF5">
        <w:rPr>
          <w:lang w:val="fr-CH"/>
        </w:rPr>
        <w:t xml:space="preserve"> de la conformité</w:t>
      </w:r>
      <w:r w:rsidR="00102518" w:rsidRPr="00F06EF5">
        <w:rPr>
          <w:lang w:val="fr-CH"/>
        </w:rPr>
        <w:t>;</w:t>
      </w:r>
    </w:p>
    <w:p w:rsidR="00126579" w:rsidRPr="00F06EF5" w:rsidRDefault="003D2A10" w:rsidP="00D7050C">
      <w:pPr>
        <w:pStyle w:val="enumlev1"/>
        <w:rPr>
          <w:lang w:val="fr-CH"/>
        </w:rPr>
      </w:pPr>
      <w:r w:rsidRPr="00F06EF5">
        <w:rPr>
          <w:lang w:val="fr-CH"/>
        </w:rPr>
        <w:t>5)</w:t>
      </w:r>
      <w:r w:rsidRPr="00F06EF5">
        <w:rPr>
          <w:lang w:val="fr-CH"/>
        </w:rPr>
        <w:tab/>
      </w:r>
      <w:r w:rsidR="00BF0889" w:rsidRPr="00F06EF5">
        <w:rPr>
          <w:lang w:val="fr-CH"/>
        </w:rPr>
        <w:t>Protection du consommateur</w:t>
      </w:r>
      <w:r w:rsidR="00102518" w:rsidRPr="00F06EF5">
        <w:rPr>
          <w:lang w:val="fr-CH"/>
        </w:rPr>
        <w:t>;</w:t>
      </w:r>
    </w:p>
    <w:p w:rsidR="00126579" w:rsidRPr="00F06EF5" w:rsidRDefault="003D2A10" w:rsidP="00D7050C">
      <w:pPr>
        <w:pStyle w:val="enumlev1"/>
        <w:rPr>
          <w:lang w:val="fr-CH"/>
        </w:rPr>
      </w:pPr>
      <w:r w:rsidRPr="00F06EF5">
        <w:rPr>
          <w:lang w:val="fr-CH"/>
        </w:rPr>
        <w:t>6)</w:t>
      </w:r>
      <w:r w:rsidRPr="00F06EF5">
        <w:rPr>
          <w:lang w:val="fr-CH"/>
        </w:rPr>
        <w:tab/>
      </w:r>
      <w:r w:rsidR="00BB4631" w:rsidRPr="00F06EF5">
        <w:rPr>
          <w:lang w:val="fr-CH"/>
        </w:rPr>
        <w:t>Incidences économiques de la politique en matière de qualité de service et de qualité d’expérience</w:t>
      </w:r>
      <w:r w:rsidR="00102518" w:rsidRPr="00F06EF5">
        <w:rPr>
          <w:lang w:val="fr-CH"/>
        </w:rPr>
        <w:t>.</w:t>
      </w:r>
    </w:p>
    <w:p w:rsidR="00126579" w:rsidRPr="00F06EF5" w:rsidRDefault="00FD155B" w:rsidP="00C80E20">
      <w:pPr>
        <w:rPr>
          <w:lang w:val="fr-CH"/>
        </w:rPr>
      </w:pPr>
      <w:r w:rsidRPr="00F06EF5">
        <w:rPr>
          <w:lang w:val="fr-CH"/>
        </w:rPr>
        <w:t>D'autres questions pourront être étudiées, le cas échéant, en fonction des contributions reçues.</w:t>
      </w:r>
    </w:p>
    <w:p w:rsidR="00126579" w:rsidRPr="00C80E20" w:rsidRDefault="003D2A10" w:rsidP="00D7050C">
      <w:pPr>
        <w:pStyle w:val="Heading1"/>
        <w:rPr>
          <w:lang w:val="fr-FR"/>
        </w:rPr>
      </w:pPr>
      <w:r w:rsidRPr="00C80E20">
        <w:rPr>
          <w:lang w:val="fr-FR"/>
        </w:rPr>
        <w:t>4</w:t>
      </w:r>
      <w:r w:rsidRPr="00C80E20">
        <w:rPr>
          <w:lang w:val="fr-FR"/>
        </w:rPr>
        <w:tab/>
      </w:r>
      <w:r w:rsidR="00E51D1E" w:rsidRPr="00C80E20">
        <w:rPr>
          <w:lang w:val="fr-FR"/>
        </w:rPr>
        <w:t>Relations</w:t>
      </w:r>
    </w:p>
    <w:p w:rsidR="009E1967" w:rsidRPr="00C80E20" w:rsidRDefault="003D2A10" w:rsidP="00C80E20">
      <w:pPr>
        <w:pStyle w:val="enumlev1"/>
        <w:rPr>
          <w:lang w:val="fr-FR"/>
        </w:rPr>
      </w:pPr>
      <w:r w:rsidRPr="00C80E20">
        <w:rPr>
          <w:lang w:val="fr-FR"/>
        </w:rPr>
        <w:t>–</w:t>
      </w:r>
      <w:r w:rsidRPr="00C80E20">
        <w:rPr>
          <w:lang w:val="fr-FR"/>
        </w:rPr>
        <w:tab/>
      </w:r>
      <w:r w:rsidR="00BB6C75" w:rsidRPr="00C80E20">
        <w:rPr>
          <w:lang w:val="fr-FR"/>
        </w:rPr>
        <w:t>CE 12 DE L'UIT-T</w:t>
      </w:r>
      <w:r w:rsidR="00C80E20" w:rsidRPr="00C80E20">
        <w:rPr>
          <w:lang w:val="fr-FR"/>
        </w:rPr>
        <w:t>.</w:t>
      </w:r>
    </w:p>
    <w:p w:rsidR="00C80E20" w:rsidRPr="00C80E20" w:rsidRDefault="00C80E20" w:rsidP="0032202E">
      <w:pPr>
        <w:pStyle w:val="Reasons"/>
        <w:rPr>
          <w:lang w:val="fr-FR"/>
        </w:rPr>
      </w:pPr>
    </w:p>
    <w:p w:rsidR="00C80E20" w:rsidRDefault="00C80E20">
      <w:pPr>
        <w:jc w:val="center"/>
      </w:pPr>
      <w:r>
        <w:t>______________</w:t>
      </w:r>
    </w:p>
    <w:p w:rsidR="00C80E20" w:rsidRPr="00C80E20" w:rsidRDefault="00C80E20" w:rsidP="00C80E20">
      <w:pPr>
        <w:pStyle w:val="Reasons"/>
      </w:pPr>
      <w:bookmarkStart w:id="0" w:name="_GoBack"/>
      <w:bookmarkEnd w:id="0"/>
    </w:p>
    <w:sectPr w:rsidR="00C80E20" w:rsidRPr="00C80E20" w:rsidSect="001565AD">
      <w:headerReference w:type="default" r:id="rId12"/>
      <w:footerReference w:type="even" r:id="rId13"/>
      <w:footerReference w:type="default" r:id="rId14"/>
      <w:footerReference w:type="first" r:id="rId15"/>
      <w:type w:val="nextColumn"/>
      <w:pgSz w:w="11907" w:h="16840" w:code="9"/>
      <w:pgMar w:top="1276"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7DC" w:rsidRDefault="003D2A10">
      <w:pPr>
        <w:spacing w:before="0"/>
      </w:pPr>
      <w:r>
        <w:separator/>
      </w:r>
    </w:p>
  </w:endnote>
  <w:endnote w:type="continuationSeparator" w:id="0">
    <w:p w:rsidR="00E347DC" w:rsidRDefault="003D2A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3D2A10">
    <w:pPr>
      <w:framePr w:wrap="around" w:vAnchor="text" w:hAnchor="margin" w:xAlign="right" w:y="1"/>
    </w:pPr>
    <w:r>
      <w:fldChar w:fldCharType="begin"/>
    </w:r>
    <w:r>
      <w:instrText xml:space="preserve">PAGE  </w:instrText>
    </w:r>
    <w:r>
      <w:fldChar w:fldCharType="end"/>
    </w:r>
  </w:p>
  <w:p w:rsidR="00E45D05" w:rsidRPr="000C30AD" w:rsidRDefault="003D2A10">
    <w:pPr>
      <w:ind w:right="360"/>
      <w:rPr>
        <w:lang w:val="fr-FR"/>
      </w:rPr>
    </w:pPr>
    <w:r>
      <w:fldChar w:fldCharType="begin"/>
    </w:r>
    <w:r w:rsidRPr="000C30AD">
      <w:rPr>
        <w:lang w:val="fr-FR"/>
      </w:rPr>
      <w:instrText xml:space="preserve"> FILENAME \p  \* MERGEFORMAT </w:instrText>
    </w:r>
    <w:r>
      <w:fldChar w:fldCharType="separate"/>
    </w:r>
    <w:r w:rsidR="000C30AD">
      <w:rPr>
        <w:noProof/>
        <w:lang w:val="fr-FR"/>
      </w:rPr>
      <w:t>P:\FRA\ITU-T\CONF-T\WTSA16\000\052F.docx</w:t>
    </w:r>
    <w:r>
      <w:fldChar w:fldCharType="end"/>
    </w:r>
    <w:r w:rsidRPr="000C30AD">
      <w:rPr>
        <w:lang w:val="fr-FR"/>
      </w:rPr>
      <w:tab/>
    </w:r>
    <w:r>
      <w:fldChar w:fldCharType="begin"/>
    </w:r>
    <w:r>
      <w:instrText xml:space="preserve"> SAVEDATE \@ DD.MM.YY </w:instrText>
    </w:r>
    <w:r>
      <w:fldChar w:fldCharType="separate"/>
    </w:r>
    <w:r w:rsidR="00784816">
      <w:rPr>
        <w:noProof/>
      </w:rPr>
      <w:t>11.10.16</w:t>
    </w:r>
    <w:r>
      <w:fldChar w:fldCharType="end"/>
    </w:r>
    <w:r w:rsidRPr="000C30AD">
      <w:rPr>
        <w:lang w:val="fr-FR"/>
      </w:rPr>
      <w:tab/>
    </w:r>
    <w:r>
      <w:fldChar w:fldCharType="begin"/>
    </w:r>
    <w:r>
      <w:instrText xml:space="preserve"> PRINTDATE \@ DD.MM.YY </w:instrText>
    </w:r>
    <w:r>
      <w:fldChar w:fldCharType="separate"/>
    </w:r>
    <w:r w:rsidR="000C30AD">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43B82" w:rsidRDefault="00BE38B2" w:rsidP="00BE38B2">
    <w:pPr>
      <w:pStyle w:val="Footer"/>
      <w:rPr>
        <w:lang w:val="fr-CH"/>
      </w:rPr>
    </w:pPr>
    <w:r w:rsidRPr="00BE38B2">
      <w:rPr>
        <w:lang w:val="fr-CH"/>
      </w:rPr>
      <w:fldChar w:fldCharType="begin"/>
    </w:r>
    <w:r w:rsidRPr="00BE38B2">
      <w:rPr>
        <w:lang w:val="fr-CH"/>
      </w:rPr>
      <w:instrText xml:space="preserve"> FILENAME \p  \* MERGEFORMAT </w:instrText>
    </w:r>
    <w:r w:rsidRPr="00BE38B2">
      <w:rPr>
        <w:lang w:val="fr-CH"/>
      </w:rPr>
      <w:fldChar w:fldCharType="separate"/>
    </w:r>
    <w:r>
      <w:rPr>
        <w:lang w:val="fr-CH"/>
      </w:rPr>
      <w:t>P:\FRA\ITU-T\CONF-T\WTSA16\000\052F.docx</w:t>
    </w:r>
    <w:r w:rsidRPr="00BE38B2">
      <w:rPr>
        <w:lang w:val="fr-CH"/>
      </w:rPr>
      <w:fldChar w:fldCharType="end"/>
    </w:r>
    <w:r w:rsidRPr="00BE38B2">
      <w:rPr>
        <w:lang w:val="fr-CH"/>
      </w:rPr>
      <w:t xml:space="preserve"> </w:t>
    </w:r>
    <w:r w:rsidR="00276038">
      <w:rPr>
        <w:lang w:val="fr-CH"/>
      </w:rPr>
      <w:t>(406002)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0AD" w:rsidRPr="00643B82" w:rsidRDefault="00BE38B2" w:rsidP="00BE38B2">
    <w:pPr>
      <w:pStyle w:val="Footer"/>
      <w:rPr>
        <w:lang w:val="fr-CH"/>
      </w:rPr>
    </w:pPr>
    <w:r w:rsidRPr="00BE38B2">
      <w:rPr>
        <w:lang w:val="fr-CH"/>
      </w:rPr>
      <w:fldChar w:fldCharType="begin"/>
    </w:r>
    <w:r w:rsidRPr="00BE38B2">
      <w:rPr>
        <w:lang w:val="fr-CH"/>
      </w:rPr>
      <w:instrText xml:space="preserve"> FILENAME \p  \* MERGEFORMAT </w:instrText>
    </w:r>
    <w:r w:rsidRPr="00BE38B2">
      <w:rPr>
        <w:lang w:val="fr-CH"/>
      </w:rPr>
      <w:fldChar w:fldCharType="separate"/>
    </w:r>
    <w:r>
      <w:rPr>
        <w:lang w:val="fr-CH"/>
      </w:rPr>
      <w:t>P:\FRA\ITU-T\CONF-T\WTSA16\000\052F.docx</w:t>
    </w:r>
    <w:r w:rsidRPr="00BE38B2">
      <w:rPr>
        <w:lang w:val="fr-CH"/>
      </w:rPr>
      <w:fldChar w:fldCharType="end"/>
    </w:r>
    <w:r w:rsidRPr="00BE38B2">
      <w:rPr>
        <w:lang w:val="fr-CH"/>
      </w:rPr>
      <w:t xml:space="preserve"> </w:t>
    </w:r>
    <w:r w:rsidR="000C30AD">
      <w:rPr>
        <w:lang w:val="fr-CH"/>
      </w:rPr>
      <w:t>(406002)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7DC" w:rsidRDefault="003D2A10">
      <w:pPr>
        <w:spacing w:before="0"/>
      </w:pPr>
      <w:r>
        <w:separator/>
      </w:r>
    </w:p>
  </w:footnote>
  <w:footnote w:type="continuationSeparator" w:id="0">
    <w:p w:rsidR="00E347DC" w:rsidRDefault="003D2A1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3D2A10" w:rsidP="00C72D5C">
    <w:pPr>
      <w:pStyle w:val="Header"/>
    </w:pPr>
    <w:r>
      <w:fldChar w:fldCharType="begin"/>
    </w:r>
    <w:r>
      <w:instrText xml:space="preserve"> PAGE  \* MERGEFORMAT </w:instrText>
    </w:r>
    <w:r>
      <w:fldChar w:fldCharType="separate"/>
    </w:r>
    <w:r w:rsidR="00784816">
      <w:rPr>
        <w:noProof/>
      </w:rPr>
      <w:t>4</w:t>
    </w:r>
    <w:r>
      <w:fldChar w:fldCharType="end"/>
    </w:r>
  </w:p>
  <w:p w:rsidR="00A066F1" w:rsidRPr="00EE1170" w:rsidRDefault="003D2A10" w:rsidP="00126579">
    <w:pPr>
      <w:pStyle w:val="Header"/>
      <w:rPr>
        <w:lang w:val="en-US"/>
      </w:rPr>
    </w:pPr>
    <w:r w:rsidRPr="00EE1170">
      <w:t>WTSA16/52-E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44"/>
    <w:rsid w:val="000423F5"/>
    <w:rsid w:val="00062F8E"/>
    <w:rsid w:val="000C1F2F"/>
    <w:rsid w:val="000C30AD"/>
    <w:rsid w:val="00102518"/>
    <w:rsid w:val="00136B3D"/>
    <w:rsid w:val="00151EA5"/>
    <w:rsid w:val="001C574F"/>
    <w:rsid w:val="001D2AA9"/>
    <w:rsid w:val="00207383"/>
    <w:rsid w:val="002424B9"/>
    <w:rsid w:val="002447A3"/>
    <w:rsid w:val="002559B3"/>
    <w:rsid w:val="00276038"/>
    <w:rsid w:val="002A33F1"/>
    <w:rsid w:val="0030562F"/>
    <w:rsid w:val="00314574"/>
    <w:rsid w:val="00316004"/>
    <w:rsid w:val="00377397"/>
    <w:rsid w:val="003D2A10"/>
    <w:rsid w:val="003D6C41"/>
    <w:rsid w:val="0041778A"/>
    <w:rsid w:val="004947CF"/>
    <w:rsid w:val="004A61FF"/>
    <w:rsid w:val="004B634B"/>
    <w:rsid w:val="004D3C1E"/>
    <w:rsid w:val="0055502C"/>
    <w:rsid w:val="00577699"/>
    <w:rsid w:val="00596D75"/>
    <w:rsid w:val="005C0AD6"/>
    <w:rsid w:val="00614803"/>
    <w:rsid w:val="00633954"/>
    <w:rsid w:val="00677E9E"/>
    <w:rsid w:val="006A0709"/>
    <w:rsid w:val="006E6C82"/>
    <w:rsid w:val="006F3F69"/>
    <w:rsid w:val="00705985"/>
    <w:rsid w:val="00715A80"/>
    <w:rsid w:val="00754931"/>
    <w:rsid w:val="00784816"/>
    <w:rsid w:val="00816436"/>
    <w:rsid w:val="00822D0F"/>
    <w:rsid w:val="0086344F"/>
    <w:rsid w:val="008A7B18"/>
    <w:rsid w:val="009045C6"/>
    <w:rsid w:val="009322F6"/>
    <w:rsid w:val="009514F2"/>
    <w:rsid w:val="00985736"/>
    <w:rsid w:val="009D67EC"/>
    <w:rsid w:val="00A07B4A"/>
    <w:rsid w:val="00A21438"/>
    <w:rsid w:val="00A72D44"/>
    <w:rsid w:val="00AD20F6"/>
    <w:rsid w:val="00AD4C26"/>
    <w:rsid w:val="00AF1113"/>
    <w:rsid w:val="00AF4FCE"/>
    <w:rsid w:val="00B4075A"/>
    <w:rsid w:val="00BB4631"/>
    <w:rsid w:val="00BB6C75"/>
    <w:rsid w:val="00BD4BF0"/>
    <w:rsid w:val="00BE38B2"/>
    <w:rsid w:val="00BF0889"/>
    <w:rsid w:val="00C25E54"/>
    <w:rsid w:val="00C26C7B"/>
    <w:rsid w:val="00C32DD0"/>
    <w:rsid w:val="00C7419F"/>
    <w:rsid w:val="00C80E20"/>
    <w:rsid w:val="00CC5B24"/>
    <w:rsid w:val="00D32116"/>
    <w:rsid w:val="00D36D7A"/>
    <w:rsid w:val="00D440CF"/>
    <w:rsid w:val="00D64FD1"/>
    <w:rsid w:val="00D7050C"/>
    <w:rsid w:val="00DB6FF4"/>
    <w:rsid w:val="00DF2BF4"/>
    <w:rsid w:val="00E06138"/>
    <w:rsid w:val="00E216C4"/>
    <w:rsid w:val="00E30B39"/>
    <w:rsid w:val="00E30B47"/>
    <w:rsid w:val="00E347DC"/>
    <w:rsid w:val="00E51D1E"/>
    <w:rsid w:val="00E7504C"/>
    <w:rsid w:val="00E7557A"/>
    <w:rsid w:val="00EA068E"/>
    <w:rsid w:val="00EA187B"/>
    <w:rsid w:val="00EF1066"/>
    <w:rsid w:val="00F0598F"/>
    <w:rsid w:val="00F06EF5"/>
    <w:rsid w:val="00F642AB"/>
    <w:rsid w:val="00F730ED"/>
    <w:rsid w:val="00FD15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8A40B1-854C-4342-9E06-AA0FBBA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_0"/>
    <w:basedOn w:val="Normal"/>
    <w:next w:val="Normal"/>
    <w:rsid w:val="0024315B"/>
    <w:pPr>
      <w:spacing w:before="280"/>
    </w:pPr>
  </w:style>
  <w:style w:type="paragraph" w:customStyle="1" w:styleId="HeadingSummary">
    <w:name w:val="HeadingSummary"/>
    <w:basedOn w:val="Headingb"/>
    <w:qFormat/>
    <w:rsid w:val="00707E39"/>
  </w:style>
  <w:style w:type="paragraph" w:customStyle="1" w:styleId="Headingb0">
    <w:name w:val="Heading b"/>
    <w:basedOn w:val="Headingb"/>
    <w:rsid w:val="00D7050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AB0393"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93"/>
    <w:rsid w:val="00AB0393"/>
    <w:rsid w:val="00E969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393"/>
    <w:rPr>
      <w:color w:val="808080"/>
    </w:rPr>
  </w:style>
  <w:style w:type="paragraph" w:customStyle="1" w:styleId="E6A04320D0824299BD96245E84494D7E">
    <w:name w:val="E6A04320D0824299BD96245E84494D7E"/>
    <w:rsid w:val="008A7E6B"/>
  </w:style>
  <w:style w:type="paragraph" w:customStyle="1" w:styleId="A1895AE85C3D4F1BAF1A59A5E3B49D2B">
    <w:name w:val="A1895AE85C3D4F1BAF1A59A5E3B49D2B"/>
    <w:rsid w:val="00AB0393"/>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5758A-C628-4352-9A8B-F5C87AF37104}">
  <ds:schemaRefs>
    <ds:schemaRef ds:uri="http://schemas.microsoft.com/office/infopath/2007/PartnerControls"/>
    <ds:schemaRef ds:uri="http://www.w3.org/XML/1998/namespace"/>
    <ds:schemaRef ds:uri="http://schemas.microsoft.com/sharepoint/v3"/>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984FA-CF94-40EC-9E86-4BE8E1EF7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997</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Murphy, Margaret</cp:lastModifiedBy>
  <cp:revision>9</cp:revision>
  <cp:lastPrinted>2016-10-11T08:05:00Z</cp:lastPrinted>
  <dcterms:created xsi:type="dcterms:W3CDTF">2016-10-11T07:32:00Z</dcterms:created>
  <dcterms:modified xsi:type="dcterms:W3CDTF">2016-10-17T13:54:00Z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0x01010057F68931A6B455448096185B52C4590C</vt:lpwstr>
  </property>
  <property fmtid="{D5CDD505-2E9C-101B-9397-08002B2CF9AE}" pid="3" name="Docauthor">
    <vt:lpwstr/>
  </property>
  <property fmtid="{D5CDD505-2E9C-101B-9397-08002B2CF9AE}" pid="4" name="Docbluepink">
    <vt:lpwstr/>
  </property>
  <property fmtid="{D5CDD505-2E9C-101B-9397-08002B2CF9AE}" pid="5" name="Docdate">
    <vt:lpwstr/>
  </property>
  <property fmtid="{D5CDD505-2E9C-101B-9397-08002B2CF9AE}" pid="6" name="Docdest">
    <vt:lpwstr/>
  </property>
  <property fmtid="{D5CDD505-2E9C-101B-9397-08002B2CF9AE}" pid="7" name="Docnum">
    <vt:lpwstr>WTSA16.dotx</vt:lpwstr>
  </property>
  <property fmtid="{D5CDD505-2E9C-101B-9397-08002B2CF9AE}" pid="8" name="Docorlang">
    <vt:lpwstr/>
  </property>
  <property fmtid="{D5CDD505-2E9C-101B-9397-08002B2CF9AE}" pid="9" name="Header">
    <vt:lpwstr>RR</vt:lpwstr>
  </property>
</Properties>
</file>