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4A589A" w:rsidRDefault="004A589A" w:rsidP="00DF7410">
            <w:pPr>
              <w:pStyle w:val="Committee"/>
              <w:bidi/>
              <w:rPr>
                <w:rtl/>
              </w:rPr>
            </w:pPr>
            <w:bookmarkStart w:id="1" w:name="dmeeting"/>
            <w:bookmarkEnd w:id="1"/>
            <w:r w:rsidRPr="004A589A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45260F">
            <w:pPr>
              <w:pStyle w:val="Docnumber"/>
              <w:rPr>
                <w:rtl/>
              </w:rPr>
            </w:pPr>
            <w:bookmarkStart w:id="2" w:name="dnum"/>
            <w:r w:rsidRPr="006B6C85">
              <w:rPr>
                <w:rtl/>
              </w:rPr>
              <w:t>ا</w:t>
            </w:r>
            <w:r w:rsidRPr="006B6C85">
              <w:rPr>
                <w:rFonts w:hint="cs"/>
                <w:rtl/>
              </w:rPr>
              <w:t>ل</w:t>
            </w:r>
            <w:r w:rsidRPr="006B6C85">
              <w:rPr>
                <w:rtl/>
              </w:rPr>
              <w:t>و</w:t>
            </w:r>
            <w:r w:rsidRPr="006B6C85">
              <w:rPr>
                <w:rFonts w:hint="cs"/>
                <w:rtl/>
              </w:rPr>
              <w:t xml:space="preserve">ثيقة </w:t>
            </w:r>
            <w:bookmarkEnd w:id="2"/>
            <w:r w:rsidR="0045260F">
              <w:rPr>
                <w:lang w:bidi="ar-SA"/>
              </w:rPr>
              <w:t>52</w:t>
            </w:r>
            <w:r w:rsidRPr="006B6C85">
              <w:rPr>
                <w:lang w:bidi="ar-SA"/>
              </w:rPr>
              <w:t>-A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8D2BF5">
            <w:pPr>
              <w:pStyle w:val="Docnumber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45260F" w:rsidP="0045260F">
            <w:pPr>
              <w:pStyle w:val="Docnumber"/>
              <w:rPr>
                <w:rtl/>
              </w:rPr>
            </w:pPr>
            <w:bookmarkStart w:id="3" w:name="ddate"/>
            <w:r>
              <w:rPr>
                <w:lang w:bidi="ar-SA"/>
              </w:rPr>
              <w:t>6</w:t>
            </w:r>
            <w:r w:rsidR="006B6C85" w:rsidRPr="006B6C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6B6C85" w:rsidRPr="006B6C85">
              <w:rPr>
                <w:rFonts w:hint="cs"/>
                <w:rtl/>
              </w:rPr>
              <w:t xml:space="preserve"> </w:t>
            </w:r>
            <w:bookmarkEnd w:id="3"/>
            <w:r w:rsidR="006B6C85" w:rsidRPr="006B6C85">
              <w:rPr>
                <w:lang w:bidi="ar-SA"/>
              </w:rPr>
              <w:t>2016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8D2BF5">
            <w:pPr>
              <w:pStyle w:val="Docnumber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EE5E5E">
            <w:pPr>
              <w:pStyle w:val="Docnumber"/>
              <w:rPr>
                <w:lang w:bidi="ar-SA"/>
              </w:rPr>
            </w:pPr>
            <w:bookmarkStart w:id="4" w:name="dorlang"/>
            <w:r w:rsidRPr="006B6C85">
              <w:rPr>
                <w:rtl/>
              </w:rPr>
              <w:t>الأصل</w:t>
            </w:r>
            <w:r w:rsidR="00EE5E5E">
              <w:rPr>
                <w:rFonts w:hint="cs"/>
                <w:rtl/>
              </w:rPr>
              <w:t>:</w:t>
            </w:r>
            <w:r w:rsidRPr="006B6C85">
              <w:rPr>
                <w:rtl/>
              </w:rPr>
              <w:t xml:space="preserve"> </w:t>
            </w:r>
            <w:bookmarkEnd w:id="4"/>
            <w:r w:rsidRPr="006B6C85">
              <w:rPr>
                <w:rFonts w:hint="cs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45260F" w:rsidP="000C2B77">
            <w:pPr>
              <w:pStyle w:val="Source"/>
              <w:rPr>
                <w:rtl/>
              </w:rPr>
            </w:pPr>
            <w:r w:rsidRPr="0045260F">
              <w:rPr>
                <w:rtl/>
                <w:lang w:bidi="ar-SA"/>
              </w:rPr>
              <w:t>بنغلاديش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0C2B77" w:rsidRDefault="00FE4EDC" w:rsidP="008D731B">
            <w:pPr>
              <w:pStyle w:val="Title1"/>
              <w:rPr>
                <w:rFonts w:hint="cs"/>
                <w:rtl/>
              </w:rPr>
            </w:pPr>
            <w:r w:rsidRPr="00FE4EDC">
              <w:rPr>
                <w:color w:val="000000"/>
                <w:rtl/>
              </w:rPr>
              <w:t xml:space="preserve">الجوانب </w:t>
            </w:r>
            <w:r w:rsidR="008D731B">
              <w:rPr>
                <w:rFonts w:hint="cs"/>
                <w:color w:val="000000"/>
                <w:rtl/>
              </w:rPr>
              <w:t>السياساتية</w:t>
            </w:r>
            <w:r w:rsidR="007A2B9E">
              <w:rPr>
                <w:rFonts w:hint="cs"/>
                <w:color w:val="000000"/>
                <w:rtl/>
              </w:rPr>
              <w:t xml:space="preserve"> </w:t>
            </w:r>
            <w:r w:rsidR="008D731B">
              <w:rPr>
                <w:rFonts w:hint="cs"/>
                <w:color w:val="000000"/>
                <w:rtl/>
              </w:rPr>
              <w:t>و</w:t>
            </w:r>
            <w:r w:rsidRPr="00FE4EDC">
              <w:rPr>
                <w:color w:val="000000"/>
                <w:rtl/>
              </w:rPr>
              <w:t>التنظيمية</w:t>
            </w:r>
            <w:r w:rsidR="00B82B5B">
              <w:rPr>
                <w:color w:val="000000"/>
                <w:rtl/>
              </w:rPr>
              <w:br/>
            </w:r>
            <w:r w:rsidRPr="00FE4EDC">
              <w:rPr>
                <w:rFonts w:hint="cs"/>
                <w:rtl/>
              </w:rPr>
              <w:t>ل</w:t>
            </w:r>
            <w:r w:rsidR="0045260F" w:rsidRPr="00FE4EDC">
              <w:rPr>
                <w:rFonts w:hint="cs"/>
                <w:rtl/>
                <w:lang w:bidi="ar-SA"/>
              </w:rPr>
              <w:t>جودة الخدمة</w:t>
            </w:r>
            <w:r w:rsidR="003C1605" w:rsidRPr="00FE4EDC">
              <w:rPr>
                <w:rFonts w:hint="cs"/>
                <w:rtl/>
              </w:rPr>
              <w:t xml:space="preserve"> </w:t>
            </w:r>
            <w:r w:rsidR="003C1605" w:rsidRPr="00FE4EDC">
              <w:t>(</w:t>
            </w:r>
            <w:proofErr w:type="spellStart"/>
            <w:r w:rsidR="003C1605" w:rsidRPr="00FE4EDC">
              <w:t>QoS</w:t>
            </w:r>
            <w:proofErr w:type="spellEnd"/>
            <w:r w:rsidR="003C1605" w:rsidRPr="00FE4EDC">
              <w:t>)</w:t>
            </w:r>
            <w:r w:rsidRPr="00FE4EDC">
              <w:rPr>
                <w:rFonts w:hint="cs"/>
                <w:rtl/>
                <w:lang w:bidi="ar-SA"/>
              </w:rPr>
              <w:t xml:space="preserve"> و</w:t>
            </w:r>
            <w:r w:rsidR="0045260F" w:rsidRPr="00FE4EDC">
              <w:rPr>
                <w:rFonts w:hint="cs"/>
                <w:rtl/>
                <w:lang w:bidi="ar-SA"/>
              </w:rPr>
              <w:t xml:space="preserve">جودة </w:t>
            </w:r>
            <w:r w:rsidR="000C2B77">
              <w:rPr>
                <w:rFonts w:hint="cs"/>
                <w:rtl/>
                <w:lang w:bidi="ar-SA"/>
              </w:rPr>
              <w:t>التجربة</w:t>
            </w:r>
            <w:r w:rsidR="003C1605" w:rsidRPr="00FE4EDC">
              <w:rPr>
                <w:rFonts w:hint="cs"/>
                <w:rtl/>
                <w:lang w:bidi="ar-SA"/>
              </w:rPr>
              <w:t xml:space="preserve"> </w:t>
            </w:r>
            <w:r w:rsidR="003C1605" w:rsidRPr="00FE4EDC">
              <w:rPr>
                <w:lang w:bidi="ar-SA"/>
              </w:rPr>
              <w:t>(</w:t>
            </w:r>
            <w:proofErr w:type="spellStart"/>
            <w:r w:rsidR="003C1605" w:rsidRPr="00FE4EDC">
              <w:rPr>
                <w:lang w:bidi="ar-SA"/>
              </w:rPr>
              <w:t>QoE</w:t>
            </w:r>
            <w:proofErr w:type="spellEnd"/>
            <w:r w:rsidR="003C1605" w:rsidRPr="00FE4EDC">
              <w:rPr>
                <w:lang w:bidi="ar-SA"/>
              </w:rPr>
              <w:t>)</w:t>
            </w:r>
          </w:p>
        </w:tc>
      </w:tr>
    </w:tbl>
    <w:p w:rsidR="004F39B8" w:rsidRDefault="004F39B8" w:rsidP="006B6C85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8364"/>
      </w:tblGrid>
      <w:tr w:rsidR="004F39B8" w:rsidTr="004F39B8">
        <w:tc>
          <w:tcPr>
            <w:tcW w:w="1265" w:type="dxa"/>
          </w:tcPr>
          <w:p w:rsidR="004F39B8" w:rsidRPr="004F39B8" w:rsidRDefault="004F39B8" w:rsidP="004F39B8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4F39B8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64" w:type="dxa"/>
          </w:tcPr>
          <w:p w:rsidR="004F39B8" w:rsidRDefault="00FE4EDC" w:rsidP="00161762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تؤيد هذه المساهمة ال</w:t>
            </w:r>
            <w:r w:rsidR="00303AE8">
              <w:rPr>
                <w:rFonts w:hint="cs"/>
                <w:rtl/>
              </w:rPr>
              <w:t>إحدى</w:t>
            </w:r>
            <w:r>
              <w:rPr>
                <w:rFonts w:hint="cs"/>
                <w:rtl/>
              </w:rPr>
              <w:t xml:space="preserve"> عشر</w:t>
            </w:r>
            <w:r w:rsidR="00771D2A">
              <w:rPr>
                <w:rFonts w:hint="cs"/>
                <w:rtl/>
              </w:rPr>
              <w:t>ة مسألة</w:t>
            </w:r>
            <w:r>
              <w:rPr>
                <w:rFonts w:hint="cs"/>
                <w:rtl/>
              </w:rPr>
              <w:t xml:space="preserve"> المقترحة من لجنة الدراسات</w:t>
            </w:r>
            <w:r w:rsidR="00B82B5B">
              <w:rPr>
                <w:rFonts w:hint="eastAsia"/>
                <w:rtl/>
              </w:rPr>
              <w:t> </w:t>
            </w:r>
            <w:r>
              <w:t>3</w:t>
            </w:r>
            <w:r>
              <w:rPr>
                <w:rFonts w:hint="cs"/>
                <w:rtl/>
                <w:lang w:bidi="ar-EG"/>
              </w:rPr>
              <w:t xml:space="preserve"> وتقترح </w:t>
            </w:r>
            <w:r w:rsidR="00303AE8">
              <w:rPr>
                <w:rFonts w:hint="cs"/>
                <w:rtl/>
                <w:lang w:bidi="ar-EG"/>
              </w:rPr>
              <w:t>مسألة جديدة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303AE8"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  <w:lang w:bidi="ar-EG"/>
              </w:rPr>
              <w:t>لجنة الدراسات</w:t>
            </w:r>
            <w:r w:rsidR="00B82B5B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3</w:t>
            </w:r>
            <w:r>
              <w:rPr>
                <w:rFonts w:hint="cs"/>
                <w:rtl/>
                <w:lang w:bidi="ar-EG"/>
              </w:rPr>
              <w:t xml:space="preserve"> لقطاع تقييس الاتصالات </w:t>
            </w:r>
            <w:r w:rsidR="00303AE8">
              <w:rPr>
                <w:rFonts w:hint="cs"/>
                <w:rtl/>
                <w:lang w:bidi="ar-EG"/>
              </w:rPr>
              <w:t>من أجل</w:t>
            </w:r>
            <w:r>
              <w:rPr>
                <w:rFonts w:hint="cs"/>
                <w:rtl/>
                <w:lang w:bidi="ar-EG"/>
              </w:rPr>
              <w:t xml:space="preserve"> فترة الدراسة القادمة </w:t>
            </w:r>
            <w:r>
              <w:rPr>
                <w:lang w:bidi="ar-EG"/>
              </w:rPr>
              <w:t>2020</w:t>
            </w:r>
            <w:r w:rsidR="00B82B5B">
              <w:rPr>
                <w:lang w:bidi="ar-EG"/>
              </w:rPr>
              <w:noBreakHyphen/>
            </w:r>
            <w:r w:rsidR="00161762">
              <w:rPr>
                <w:lang w:bidi="ar-EG"/>
              </w:rPr>
              <w:t>2017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</w:tr>
    </w:tbl>
    <w:p w:rsidR="0045260F" w:rsidRDefault="0045260F" w:rsidP="0045260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5260F" w:rsidRDefault="00FE4EDC" w:rsidP="00B82B5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تهدف جودة الخدمة إلى ضمان عرض نطاق كافٍ </w:t>
      </w:r>
      <w:r w:rsidR="00507ECF">
        <w:rPr>
          <w:rFonts w:hint="cs"/>
          <w:rtl/>
          <w:lang w:bidi="ar-EG"/>
        </w:rPr>
        <w:t>مع خسارة محدودة في البيانات. وتقوم الشبك</w:t>
      </w:r>
      <w:r w:rsidR="00303AE8">
        <w:rPr>
          <w:rFonts w:hint="cs"/>
          <w:rtl/>
          <w:lang w:bidi="ar-EG"/>
        </w:rPr>
        <w:t>ات المستخدمة اليوم بنقل مجموعة واسعة</w:t>
      </w:r>
      <w:r w:rsidR="00507ECF">
        <w:rPr>
          <w:rFonts w:hint="cs"/>
          <w:rtl/>
          <w:lang w:bidi="ar-EG"/>
        </w:rPr>
        <w:t xml:space="preserve"> من التطبيقات والبيانات بما</w:t>
      </w:r>
      <w:r w:rsidR="00B82B5B">
        <w:rPr>
          <w:rFonts w:hint="eastAsia"/>
          <w:rtl/>
          <w:lang w:bidi="ar-EG"/>
        </w:rPr>
        <w:t> </w:t>
      </w:r>
      <w:r w:rsidR="00507ECF">
        <w:rPr>
          <w:rFonts w:hint="cs"/>
          <w:rtl/>
          <w:lang w:bidi="ar-EG"/>
        </w:rPr>
        <w:t xml:space="preserve">في ذلك الفيديو عالي الجودة والصوت في الوقت الفعلي وغيرها من </w:t>
      </w:r>
      <w:r w:rsidR="00771D2A">
        <w:rPr>
          <w:rFonts w:hint="cs"/>
          <w:rtl/>
          <w:lang w:bidi="ar-EG"/>
        </w:rPr>
        <w:t xml:space="preserve">تطبيقات </w:t>
      </w:r>
      <w:r w:rsidR="00C37AD1">
        <w:rPr>
          <w:rFonts w:hint="cs"/>
          <w:rtl/>
          <w:lang w:bidi="ar-EG"/>
        </w:rPr>
        <w:t>الاتصالات التي لا</w:t>
      </w:r>
      <w:r w:rsidR="00C37AD1">
        <w:rPr>
          <w:rFonts w:hint="eastAsia"/>
          <w:rtl/>
          <w:lang w:bidi="ar-EG"/>
        </w:rPr>
        <w:t> </w:t>
      </w:r>
      <w:r w:rsidR="00507ECF">
        <w:rPr>
          <w:rFonts w:hint="cs"/>
          <w:rtl/>
          <w:lang w:bidi="ar-EG"/>
        </w:rPr>
        <w:t xml:space="preserve">تحتمل التأخير. كما أن توفير خدمة يمكن التنبؤ بها وأحياناً مضمونة يعتبر أمراً مهماً </w:t>
      </w:r>
      <w:r w:rsidR="00303AE8">
        <w:rPr>
          <w:rFonts w:hint="cs"/>
          <w:rtl/>
          <w:lang w:bidi="ar-EG"/>
        </w:rPr>
        <w:t>بالنسبة ل</w:t>
      </w:r>
      <w:r w:rsidR="00B82B5B">
        <w:rPr>
          <w:rFonts w:hint="cs"/>
          <w:rtl/>
          <w:lang w:bidi="ar-EG"/>
        </w:rPr>
        <w:t>لشبكات.</w:t>
      </w:r>
    </w:p>
    <w:p w:rsidR="00303AE8" w:rsidRDefault="00303AE8" w:rsidP="003452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يومنا هذا، يتمثل أفضل نهج </w:t>
      </w:r>
      <w:r w:rsidRPr="00FE4EDC">
        <w:rPr>
          <w:rFonts w:hint="cs"/>
          <w:rtl/>
        </w:rPr>
        <w:t>لجودة الخدمة</w:t>
      </w:r>
      <w:r w:rsidR="00B82B5B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B82B5B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QoE</w:t>
      </w:r>
      <w:proofErr w:type="spellEnd"/>
      <w:r w:rsidRPr="00FE4EDC">
        <w:t>)</w:t>
      </w:r>
      <w:r>
        <w:rPr>
          <w:rFonts w:hint="cs"/>
          <w:rtl/>
        </w:rPr>
        <w:t xml:space="preserve"> بالنظر إلى الحاجة إلى المبادئ التوجيهية واللوائح </w:t>
      </w:r>
      <w:r w:rsidR="003452C1">
        <w:rPr>
          <w:rFonts w:hint="cs"/>
          <w:rtl/>
        </w:rPr>
        <w:t>المثلى</w:t>
      </w:r>
      <w:r>
        <w:rPr>
          <w:rFonts w:hint="cs"/>
          <w:rtl/>
        </w:rPr>
        <w:t xml:space="preserve"> على أنها أحد المواضيع الرئيسية ل</w:t>
      </w:r>
      <w:r w:rsidR="00771D2A">
        <w:rPr>
          <w:rFonts w:hint="cs"/>
          <w:rtl/>
        </w:rPr>
        <w:t>مختلف ا</w:t>
      </w:r>
      <w:r>
        <w:rPr>
          <w:rFonts w:hint="cs"/>
          <w:rtl/>
        </w:rPr>
        <w:t>ل</w:t>
      </w:r>
      <w:r w:rsidR="00B82B5B">
        <w:rPr>
          <w:rFonts w:hint="cs"/>
          <w:rtl/>
        </w:rPr>
        <w:t>م</w:t>
      </w:r>
      <w:r w:rsidR="00771D2A">
        <w:rPr>
          <w:rFonts w:hint="cs"/>
          <w:rtl/>
        </w:rPr>
        <w:t>حافل</w:t>
      </w:r>
      <w:r>
        <w:rPr>
          <w:rFonts w:hint="cs"/>
          <w:rtl/>
        </w:rPr>
        <w:t xml:space="preserve"> العالمية للاتصالات. لذلك يتعين على الهيئات التنظيمية أن تضطلع بتأمين جودة الخدمات إضافة</w:t>
      </w:r>
      <w:r w:rsidR="007E3E56">
        <w:rPr>
          <w:rFonts w:hint="cs"/>
          <w:rtl/>
        </w:rPr>
        <w:t>ً</w:t>
      </w:r>
      <w:r>
        <w:rPr>
          <w:rFonts w:hint="cs"/>
          <w:rtl/>
        </w:rPr>
        <w:t xml:space="preserve"> إلى جودة التجارب ب</w:t>
      </w:r>
      <w:r w:rsidR="00B82B5B">
        <w:rPr>
          <w:rFonts w:hint="cs"/>
          <w:rtl/>
        </w:rPr>
        <w:t>اعتماد التنظيم من خلال المراقبة.</w:t>
      </w:r>
    </w:p>
    <w:p w:rsidR="00303AE8" w:rsidRDefault="00303AE8" w:rsidP="00303A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هكذا يمكن للهيئات التنظيمية أن تشارك في مراقبة جودة الخدمة </w:t>
      </w:r>
      <w:r>
        <w:rPr>
          <w:lang w:bidi="ar-EG"/>
        </w:rPr>
        <w:t>(</w:t>
      </w:r>
      <w:proofErr w:type="spellStart"/>
      <w:r>
        <w:rPr>
          <w:lang w:bidi="ar-EG"/>
        </w:rPr>
        <w:t>QoS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بهدف:</w:t>
      </w:r>
    </w:p>
    <w:p w:rsidR="00303AE8" w:rsidRPr="00BD0668" w:rsidRDefault="00303AE8" w:rsidP="00303AE8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</w:rPr>
        <w:t xml:space="preserve">تحديد </w:t>
      </w:r>
      <w:r>
        <w:rPr>
          <w:rFonts w:hint="cs"/>
          <w:rtl/>
          <w:lang w:bidi="ar-EG"/>
        </w:rPr>
        <w:t>أهداف الهيئات التنظيمية؛</w:t>
      </w:r>
    </w:p>
    <w:p w:rsidR="00303AE8" w:rsidRDefault="00303AE8" w:rsidP="00303AE8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  <w:lang w:bidi="ar-EG"/>
        </w:rPr>
        <w:t>إقامة منافسة فع</w:t>
      </w:r>
      <w:r w:rsidR="00B82B5B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الة؛</w:t>
      </w:r>
    </w:p>
    <w:p w:rsidR="00303AE8" w:rsidRDefault="00303AE8" w:rsidP="00303AE8">
      <w:pPr>
        <w:pStyle w:val="enumlev1"/>
        <w:rPr>
          <w:rtl/>
          <w:lang w:bidi="ar-EG"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  <w:lang w:bidi="ar-EG"/>
        </w:rPr>
        <w:t>التحقّق من ادعاءات المشغّلين؛</w:t>
      </w:r>
    </w:p>
    <w:p w:rsidR="00303AE8" w:rsidRPr="00E57738" w:rsidRDefault="00303AE8" w:rsidP="00303AE8">
      <w:pPr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>فهم حالة السوق؛</w:t>
      </w:r>
    </w:p>
    <w:p w:rsidR="0045260F" w:rsidRDefault="00303AE8" w:rsidP="00303AE8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  <w:lang w:bidi="ar-EG"/>
        </w:rPr>
        <w:t>تحقيق فعالية الشبكات الموصولة بينياً.</w:t>
      </w:r>
    </w:p>
    <w:p w:rsidR="0045260F" w:rsidRDefault="00781182" w:rsidP="00B82B5B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وتكتسي جودة الخدمة</w:t>
      </w:r>
      <w:r w:rsidR="00B82B5B"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proofErr w:type="spellStart"/>
      <w:r>
        <w:rPr>
          <w:lang w:bidi="ar-EG"/>
        </w:rPr>
        <w:t>QoS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أهمية خاصة في نقل الحركة </w:t>
      </w:r>
      <w:r w:rsidR="00771D2A">
        <w:rPr>
          <w:rFonts w:hint="cs"/>
          <w:rtl/>
          <w:lang w:bidi="ar-EG"/>
        </w:rPr>
        <w:t>ذات ال</w:t>
      </w:r>
      <w:r w:rsidR="00303AE8">
        <w:rPr>
          <w:rFonts w:hint="cs"/>
          <w:rtl/>
          <w:lang w:bidi="ar-EG"/>
        </w:rPr>
        <w:t>متطلبات</w:t>
      </w:r>
      <w:r>
        <w:rPr>
          <w:rFonts w:hint="cs"/>
          <w:rtl/>
          <w:lang w:bidi="ar-EG"/>
        </w:rPr>
        <w:t xml:space="preserve"> </w:t>
      </w:r>
      <w:r w:rsidR="00771D2A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خاصة. وبوجه خاص</w:t>
      </w:r>
      <w:r w:rsidR="0098159C">
        <w:rPr>
          <w:rFonts w:hint="cs"/>
          <w:rtl/>
          <w:lang w:bidi="ar-EG"/>
        </w:rPr>
        <w:t>، فقد أدخل المطو</w:t>
      </w:r>
      <w:r w:rsidR="00280178">
        <w:rPr>
          <w:rFonts w:hint="cs"/>
          <w:rtl/>
          <w:lang w:bidi="ar-EG"/>
        </w:rPr>
        <w:t xml:space="preserve">ّرون تكنولوجيا تسمح بالاستفادة من </w:t>
      </w:r>
      <w:r w:rsidR="0098159C">
        <w:rPr>
          <w:rFonts w:hint="cs"/>
          <w:rtl/>
          <w:lang w:bidi="ar-EG"/>
        </w:rPr>
        <w:t xml:space="preserve">شبكات الحواسيب </w:t>
      </w:r>
      <w:r w:rsidR="00280178">
        <w:rPr>
          <w:rFonts w:hint="cs"/>
          <w:rtl/>
          <w:lang w:bidi="ar-EG"/>
        </w:rPr>
        <w:t xml:space="preserve">بنفس القدر من الاستفادة من </w:t>
      </w:r>
      <w:r w:rsidR="0098159C">
        <w:rPr>
          <w:rFonts w:hint="cs"/>
          <w:rtl/>
          <w:lang w:bidi="ar-EG"/>
        </w:rPr>
        <w:t>شبكات الهاتف في المحادثات الصوتية، وكذلك في</w:t>
      </w:r>
      <w:r w:rsidR="00B82B5B">
        <w:rPr>
          <w:rFonts w:hint="eastAsia"/>
          <w:rtl/>
          <w:lang w:bidi="ar-EG"/>
        </w:rPr>
        <w:t> </w:t>
      </w:r>
      <w:r w:rsidR="0098159C">
        <w:rPr>
          <w:rFonts w:hint="cs"/>
          <w:rtl/>
          <w:lang w:bidi="ar-EG"/>
        </w:rPr>
        <w:t>دعم تطبيقات جديدة ذات متطلبات أكثر صرامة بكثير.</w:t>
      </w:r>
    </w:p>
    <w:p w:rsidR="0045260F" w:rsidRDefault="0098159C" w:rsidP="00280178">
      <w:pPr>
        <w:rPr>
          <w:rtl/>
          <w:lang w:bidi="ar-EG"/>
        </w:rPr>
      </w:pPr>
      <w:r>
        <w:rPr>
          <w:rFonts w:hint="cs"/>
          <w:rtl/>
          <w:lang w:bidi="ar-EG"/>
        </w:rPr>
        <w:t>من ناحية أخرى، تعد</w:t>
      </w:r>
      <w:r w:rsidR="00280178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 جودة التجربة </w:t>
      </w:r>
      <w:r>
        <w:rPr>
          <w:lang w:bidi="ar-EG"/>
        </w:rPr>
        <w:t>(</w:t>
      </w:r>
      <w:proofErr w:type="spellStart"/>
      <w:r>
        <w:rPr>
          <w:lang w:bidi="ar-EG"/>
        </w:rPr>
        <w:t>QoE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مجالاً ناشئاً متعدد التخص</w:t>
      </w:r>
      <w:r w:rsidR="00280178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صات </w:t>
      </w:r>
      <w:r w:rsidR="00280178">
        <w:rPr>
          <w:rFonts w:hint="cs"/>
          <w:rtl/>
          <w:lang w:bidi="ar-EG"/>
        </w:rPr>
        <w:t>يستند إلى</w:t>
      </w:r>
      <w:r>
        <w:rPr>
          <w:rFonts w:hint="cs"/>
          <w:rtl/>
          <w:lang w:bidi="ar-EG"/>
        </w:rPr>
        <w:t xml:space="preserve"> علم النفس الاجتماعي</w:t>
      </w:r>
      <w:r w:rsidR="0028017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والعلوم الاستعرافية</w:t>
      </w:r>
      <w:r w:rsidR="0028017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وعلم الاقتصاد</w:t>
      </w:r>
      <w:r w:rsidR="0028017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والعلوم الهندسية، وي</w:t>
      </w:r>
      <w:r w:rsidR="00280178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ركز على فهم </w:t>
      </w:r>
      <w:r w:rsidR="002A743C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متطلبات </w:t>
      </w:r>
      <w:r w:rsidR="002A743C">
        <w:rPr>
          <w:rFonts w:hint="cs"/>
          <w:rtl/>
          <w:lang w:bidi="ar-EG"/>
        </w:rPr>
        <w:t>الإجمالية للصفات البشرية.</w:t>
      </w:r>
    </w:p>
    <w:p w:rsidR="0045260F" w:rsidRDefault="00280178" w:rsidP="00B82B5B">
      <w:pPr>
        <w:rPr>
          <w:rtl/>
        </w:rPr>
      </w:pPr>
      <w:r>
        <w:rPr>
          <w:rFonts w:hint="cs"/>
          <w:rtl/>
          <w:lang w:bidi="ar-EG"/>
        </w:rPr>
        <w:t>ومع أن</w:t>
      </w:r>
      <w:r w:rsidR="002A743C">
        <w:rPr>
          <w:rFonts w:hint="cs"/>
          <w:rtl/>
          <w:lang w:bidi="ar-EG"/>
        </w:rPr>
        <w:t xml:space="preserve"> </w:t>
      </w:r>
      <w:r w:rsidR="002A743C" w:rsidRPr="00FE4EDC">
        <w:rPr>
          <w:rFonts w:hint="cs"/>
          <w:rtl/>
        </w:rPr>
        <w:t>جودة الخدمة</w:t>
      </w:r>
      <w:r w:rsidR="00B82B5B">
        <w:rPr>
          <w:rFonts w:hint="eastAsia"/>
          <w:rtl/>
        </w:rPr>
        <w:t> </w:t>
      </w:r>
      <w:r w:rsidR="002A743C" w:rsidRPr="00FE4EDC">
        <w:t>(</w:t>
      </w:r>
      <w:proofErr w:type="spellStart"/>
      <w:r w:rsidR="002A743C" w:rsidRPr="00FE4EDC">
        <w:t>QoS</w:t>
      </w:r>
      <w:proofErr w:type="spellEnd"/>
      <w:r w:rsidR="002A743C" w:rsidRPr="00FE4EDC">
        <w:t>)</w:t>
      </w:r>
      <w:r w:rsidR="002A743C"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B82B5B">
        <w:rPr>
          <w:rFonts w:hint="eastAsia"/>
          <w:rtl/>
        </w:rPr>
        <w:t> </w:t>
      </w:r>
      <w:r w:rsidR="002A743C" w:rsidRPr="00FE4EDC">
        <w:t>(</w:t>
      </w:r>
      <w:proofErr w:type="spellStart"/>
      <w:r w:rsidR="002A743C" w:rsidRPr="00FE4EDC">
        <w:t>QoE</w:t>
      </w:r>
      <w:proofErr w:type="spellEnd"/>
      <w:r w:rsidR="002A743C" w:rsidRPr="00FE4EDC">
        <w:t>)</w:t>
      </w:r>
      <w:r w:rsidR="002A743C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771D2A">
        <w:rPr>
          <w:rFonts w:hint="cs"/>
          <w:rtl/>
        </w:rPr>
        <w:t>نصان على</w:t>
      </w:r>
      <w:r>
        <w:rPr>
          <w:rFonts w:hint="cs"/>
          <w:rtl/>
        </w:rPr>
        <w:t xml:space="preserve"> </w:t>
      </w:r>
      <w:r w:rsidR="002A743C">
        <w:rPr>
          <w:color w:val="000000"/>
          <w:rtl/>
        </w:rPr>
        <w:t>اعتماد الاتصالات/تكنولوجيا المعلومات والاتصالات</w:t>
      </w:r>
      <w:r w:rsidR="002A743C">
        <w:rPr>
          <w:rFonts w:hint="cs"/>
          <w:color w:val="000000"/>
          <w:rtl/>
        </w:rPr>
        <w:t xml:space="preserve"> وتساعد</w:t>
      </w:r>
      <w:r>
        <w:rPr>
          <w:rFonts w:hint="cs"/>
          <w:color w:val="000000"/>
          <w:rtl/>
        </w:rPr>
        <w:t>ان</w:t>
      </w:r>
      <w:r w:rsidR="002A743C">
        <w:rPr>
          <w:rFonts w:hint="cs"/>
          <w:color w:val="000000"/>
          <w:rtl/>
        </w:rPr>
        <w:t xml:space="preserve"> في</w:t>
      </w:r>
      <w:r w:rsidR="00B82B5B">
        <w:rPr>
          <w:rFonts w:hint="eastAsia"/>
          <w:color w:val="000000"/>
          <w:rtl/>
        </w:rPr>
        <w:t> </w:t>
      </w:r>
      <w:r w:rsidR="002A743C">
        <w:rPr>
          <w:rFonts w:hint="cs"/>
          <w:color w:val="000000"/>
          <w:rtl/>
        </w:rPr>
        <w:t>الصياغة المستمرة للسياس</w:t>
      </w:r>
      <w:r>
        <w:rPr>
          <w:rFonts w:hint="cs"/>
          <w:color w:val="000000"/>
          <w:rtl/>
        </w:rPr>
        <w:t>ة العامة</w:t>
      </w:r>
      <w:r w:rsidR="002A743C">
        <w:rPr>
          <w:rFonts w:hint="cs"/>
          <w:color w:val="000000"/>
          <w:rtl/>
        </w:rPr>
        <w:t xml:space="preserve"> الوطنية</w:t>
      </w:r>
      <w:r>
        <w:rPr>
          <w:rFonts w:hint="cs"/>
          <w:color w:val="000000"/>
          <w:rtl/>
        </w:rPr>
        <w:t>، إلا أ</w:t>
      </w:r>
      <w:r w:rsidR="002A743C">
        <w:rPr>
          <w:rFonts w:hint="cs"/>
          <w:color w:val="000000"/>
          <w:rtl/>
        </w:rPr>
        <w:t xml:space="preserve">ن المطلوب </w:t>
      </w:r>
      <w:r>
        <w:rPr>
          <w:rFonts w:hint="cs"/>
          <w:color w:val="000000"/>
          <w:rtl/>
        </w:rPr>
        <w:t>هو أن يكون لدى</w:t>
      </w:r>
      <w:r w:rsidR="002A743C">
        <w:rPr>
          <w:rFonts w:hint="cs"/>
          <w:color w:val="000000"/>
          <w:rtl/>
        </w:rPr>
        <w:t xml:space="preserve"> </w:t>
      </w:r>
      <w:r>
        <w:rPr>
          <w:rFonts w:hint="cs"/>
          <w:rtl/>
        </w:rPr>
        <w:t>الهيئات التنظيمية</w:t>
      </w:r>
      <w:r>
        <w:rPr>
          <w:rFonts w:hint="cs"/>
          <w:color w:val="000000"/>
          <w:rtl/>
        </w:rPr>
        <w:t xml:space="preserve"> فهم مشترك </w:t>
      </w:r>
      <w:r w:rsidR="002A743C">
        <w:rPr>
          <w:rFonts w:hint="cs"/>
          <w:color w:val="000000"/>
          <w:rtl/>
        </w:rPr>
        <w:t>للمعايير والمبادئ التوجيهية المتعلقة ب</w:t>
      </w:r>
      <w:r w:rsidR="002A743C" w:rsidRPr="00FE4EDC">
        <w:rPr>
          <w:rFonts w:hint="cs"/>
          <w:rtl/>
        </w:rPr>
        <w:t>جودة الخدمة</w:t>
      </w:r>
      <w:r w:rsidR="00B82B5B">
        <w:rPr>
          <w:rFonts w:hint="eastAsia"/>
          <w:rtl/>
        </w:rPr>
        <w:t> </w:t>
      </w:r>
      <w:r w:rsidR="002A743C" w:rsidRPr="00FE4EDC">
        <w:t>(</w:t>
      </w:r>
      <w:proofErr w:type="spellStart"/>
      <w:r w:rsidR="002A743C" w:rsidRPr="00FE4EDC">
        <w:t>QoS</w:t>
      </w:r>
      <w:proofErr w:type="spellEnd"/>
      <w:r w:rsidR="002A743C" w:rsidRPr="00FE4EDC">
        <w:t>)</w:t>
      </w:r>
      <w:r w:rsidR="002A743C"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B82B5B">
        <w:rPr>
          <w:rFonts w:hint="eastAsia"/>
          <w:rtl/>
        </w:rPr>
        <w:t> </w:t>
      </w:r>
      <w:r w:rsidR="002A743C" w:rsidRPr="00FE4EDC">
        <w:t>(</w:t>
      </w:r>
      <w:proofErr w:type="spellStart"/>
      <w:r w:rsidR="002A743C" w:rsidRPr="00FE4EDC">
        <w:t>QoE</w:t>
      </w:r>
      <w:proofErr w:type="spellEnd"/>
      <w:r w:rsidR="002A743C" w:rsidRPr="00FE4EDC">
        <w:t>)</w:t>
      </w:r>
      <w:r w:rsidR="002A743C">
        <w:rPr>
          <w:rFonts w:hint="cs"/>
          <w:rtl/>
        </w:rPr>
        <w:t>.</w:t>
      </w:r>
    </w:p>
    <w:p w:rsidR="0045260F" w:rsidRDefault="00227EBA" w:rsidP="0045260F">
      <w:pPr>
        <w:pStyle w:val="Headingb"/>
      </w:pPr>
      <w:r>
        <w:rPr>
          <w:rFonts w:hint="cs"/>
          <w:rtl/>
        </w:rPr>
        <w:t>الأساس المنطقي</w:t>
      </w:r>
    </w:p>
    <w:p w:rsidR="00227EBA" w:rsidRDefault="00227EBA" w:rsidP="00194464">
      <w:pPr>
        <w:rPr>
          <w:rtl/>
        </w:rPr>
      </w:pPr>
      <w:r>
        <w:rPr>
          <w:rFonts w:hint="cs"/>
          <w:rtl/>
        </w:rPr>
        <w:t>تتم</w:t>
      </w:r>
      <w:r w:rsidR="00280178">
        <w:rPr>
          <w:rFonts w:hint="cs"/>
          <w:rtl/>
        </w:rPr>
        <w:t>ا</w:t>
      </w:r>
      <w:r>
        <w:rPr>
          <w:rFonts w:hint="cs"/>
          <w:rtl/>
        </w:rPr>
        <w:t>يز القضايا التقنية المتعلقة ب</w:t>
      </w:r>
      <w:r w:rsidRPr="00FE4EDC">
        <w:rPr>
          <w:rFonts w:hint="cs"/>
          <w:rtl/>
        </w:rPr>
        <w:t>جودة الخدمة</w:t>
      </w:r>
      <w:r w:rsidR="00B82B5B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B82B5B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QoE</w:t>
      </w:r>
      <w:proofErr w:type="spellEnd"/>
      <w:r w:rsidRPr="00FE4EDC">
        <w:t>)</w:t>
      </w:r>
      <w:r>
        <w:rPr>
          <w:rFonts w:hint="cs"/>
          <w:rtl/>
        </w:rPr>
        <w:t xml:space="preserve"> </w:t>
      </w:r>
      <w:r w:rsidR="00280178">
        <w:rPr>
          <w:rFonts w:hint="cs"/>
          <w:rtl/>
        </w:rPr>
        <w:t xml:space="preserve">عن الجوانب </w:t>
      </w:r>
      <w:r w:rsidR="00194464">
        <w:rPr>
          <w:rFonts w:hint="cs"/>
          <w:rtl/>
        </w:rPr>
        <w:t>السياساتية</w:t>
      </w:r>
      <w:r w:rsidR="00280178">
        <w:rPr>
          <w:rFonts w:hint="cs"/>
          <w:rtl/>
        </w:rPr>
        <w:t xml:space="preserve"> </w:t>
      </w:r>
      <w:r w:rsidR="00194464">
        <w:rPr>
          <w:rFonts w:hint="cs"/>
          <w:rtl/>
        </w:rPr>
        <w:t>و</w:t>
      </w:r>
      <w:r>
        <w:rPr>
          <w:rFonts w:hint="cs"/>
          <w:rtl/>
        </w:rPr>
        <w:t>التنظيمية. وتعمل لجنة الدراسات</w:t>
      </w:r>
      <w:r w:rsidR="00B82B5B">
        <w:rPr>
          <w:rFonts w:hint="eastAsia"/>
          <w:rtl/>
        </w:rPr>
        <w:t> </w:t>
      </w:r>
      <w:r>
        <w:t>12</w:t>
      </w:r>
      <w:r>
        <w:rPr>
          <w:rFonts w:hint="cs"/>
          <w:rtl/>
          <w:lang w:bidi="ar-EG"/>
        </w:rPr>
        <w:t xml:space="preserve"> على الجوانب التقنية لهذه القضايا. لذلك</w:t>
      </w:r>
      <w:r w:rsidR="00280178">
        <w:rPr>
          <w:rFonts w:hint="cs"/>
          <w:rtl/>
          <w:lang w:bidi="ar-EG"/>
        </w:rPr>
        <w:t xml:space="preserve"> ففيما</w:t>
      </w:r>
      <w:r w:rsidR="00B82B5B">
        <w:rPr>
          <w:rFonts w:hint="eastAsia"/>
          <w:rtl/>
          <w:lang w:bidi="ar-EG"/>
        </w:rPr>
        <w:t> </w:t>
      </w:r>
      <w:r w:rsidR="00280178">
        <w:rPr>
          <w:rFonts w:hint="cs"/>
          <w:rtl/>
          <w:lang w:bidi="ar-EG"/>
        </w:rPr>
        <w:t xml:space="preserve">يتعلق </w:t>
      </w:r>
      <w:r w:rsidR="00280178">
        <w:rPr>
          <w:rFonts w:hint="cs"/>
          <w:rtl/>
        </w:rPr>
        <w:t>ب</w:t>
      </w:r>
      <w:r w:rsidR="00280178">
        <w:rPr>
          <w:rFonts w:hint="cs"/>
          <w:rtl/>
          <w:lang w:bidi="ar-EG"/>
        </w:rPr>
        <w:t xml:space="preserve">الجوانب </w:t>
      </w:r>
      <w:r w:rsidR="00194464">
        <w:rPr>
          <w:rFonts w:hint="cs"/>
          <w:rtl/>
          <w:lang w:bidi="ar-EG"/>
        </w:rPr>
        <w:t>السياساتية</w:t>
      </w:r>
      <w:r w:rsidR="00280178">
        <w:rPr>
          <w:rFonts w:hint="cs"/>
          <w:rtl/>
          <w:lang w:bidi="ar-EG"/>
        </w:rPr>
        <w:t xml:space="preserve"> </w:t>
      </w:r>
      <w:r w:rsidR="00194464">
        <w:rPr>
          <w:rFonts w:hint="cs"/>
          <w:rtl/>
          <w:lang w:bidi="ar-EG"/>
        </w:rPr>
        <w:t>و</w:t>
      </w:r>
      <w:r w:rsidR="00280178">
        <w:rPr>
          <w:rFonts w:hint="cs"/>
          <w:rtl/>
          <w:lang w:bidi="ar-EG"/>
        </w:rPr>
        <w:t>الاقتصادية</w:t>
      </w:r>
      <w:r w:rsidR="00A2575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يتعين </w:t>
      </w:r>
      <w:r w:rsidR="00A25754">
        <w:rPr>
          <w:rFonts w:hint="cs"/>
          <w:rtl/>
          <w:lang w:bidi="ar-EG"/>
        </w:rPr>
        <w:t>معالجة</w:t>
      </w:r>
      <w:r>
        <w:rPr>
          <w:rFonts w:hint="cs"/>
          <w:rtl/>
          <w:lang w:bidi="ar-EG"/>
        </w:rPr>
        <w:t xml:space="preserve"> </w:t>
      </w:r>
      <w:r w:rsidR="00280178">
        <w:rPr>
          <w:rFonts w:hint="cs"/>
          <w:rtl/>
          <w:lang w:bidi="ar-EG"/>
        </w:rPr>
        <w:t>المسائل</w:t>
      </w:r>
      <w:r>
        <w:rPr>
          <w:rFonts w:hint="cs"/>
          <w:rtl/>
          <w:lang w:bidi="ar-EG"/>
        </w:rPr>
        <w:t xml:space="preserve"> </w:t>
      </w:r>
      <w:r w:rsidR="00280178">
        <w:rPr>
          <w:rFonts w:hint="cs"/>
          <w:rtl/>
          <w:lang w:bidi="ar-EG"/>
        </w:rPr>
        <w:t>الخاصة ب</w:t>
      </w:r>
      <w:r w:rsidRPr="00FE4EDC">
        <w:rPr>
          <w:rFonts w:hint="cs"/>
          <w:rtl/>
        </w:rPr>
        <w:t>جودة الخدمة</w:t>
      </w:r>
      <w:r w:rsidR="00B82B5B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B82B5B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QoE</w:t>
      </w:r>
      <w:proofErr w:type="spellEnd"/>
      <w:r w:rsidRPr="00FE4EDC">
        <w:t>)</w:t>
      </w:r>
      <w:r>
        <w:rPr>
          <w:rFonts w:hint="cs"/>
          <w:rtl/>
        </w:rPr>
        <w:t xml:space="preserve"> </w:t>
      </w:r>
      <w:r w:rsidR="00A25754">
        <w:rPr>
          <w:rFonts w:hint="cs"/>
          <w:rtl/>
          <w:lang w:bidi="ar-EG"/>
        </w:rPr>
        <w:t>في لجنة الدراسات</w:t>
      </w:r>
      <w:r w:rsidR="00B82B5B">
        <w:rPr>
          <w:rFonts w:hint="eastAsia"/>
          <w:rtl/>
          <w:lang w:bidi="ar-EG"/>
        </w:rPr>
        <w:t> </w:t>
      </w:r>
      <w:r w:rsidR="00A25754">
        <w:rPr>
          <w:lang w:bidi="ar-EG"/>
        </w:rPr>
        <w:t>3</w:t>
      </w:r>
      <w:r w:rsidR="00A257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بوصفها الجهة الحاضنة للقضايا</w:t>
      </w:r>
      <w:r w:rsidRPr="00227EBA">
        <w:rPr>
          <w:color w:val="000000"/>
          <w:rtl/>
        </w:rPr>
        <w:t xml:space="preserve"> </w:t>
      </w:r>
      <w:r>
        <w:rPr>
          <w:color w:val="000000"/>
          <w:rtl/>
        </w:rPr>
        <w:t xml:space="preserve">الاقتصادية وقضايا </w:t>
      </w:r>
      <w:r>
        <w:rPr>
          <w:rFonts w:hint="cs"/>
          <w:color w:val="000000"/>
          <w:rtl/>
        </w:rPr>
        <w:t>الت</w:t>
      </w:r>
      <w:r w:rsidR="00A25754">
        <w:rPr>
          <w:rFonts w:hint="cs"/>
          <w:color w:val="000000"/>
          <w:rtl/>
        </w:rPr>
        <w:t>ع</w:t>
      </w:r>
      <w:r>
        <w:rPr>
          <w:rFonts w:hint="cs"/>
          <w:color w:val="000000"/>
          <w:rtl/>
        </w:rPr>
        <w:t>ريفات و</w:t>
      </w:r>
      <w:r>
        <w:rPr>
          <w:color w:val="000000"/>
          <w:rtl/>
        </w:rPr>
        <w:t>السياسات المتصلة بالاتصالات</w:t>
      </w:r>
      <w:r>
        <w:rPr>
          <w:rFonts w:hint="cs"/>
          <w:color w:val="000000"/>
          <w:rtl/>
        </w:rPr>
        <w:t xml:space="preserve"> والم</w:t>
      </w:r>
      <w:r w:rsidR="00A25754">
        <w:rPr>
          <w:rFonts w:hint="cs"/>
          <w:color w:val="000000"/>
          <w:rtl/>
        </w:rPr>
        <w:t>حفل</w:t>
      </w:r>
      <w:r>
        <w:rPr>
          <w:rFonts w:hint="cs"/>
          <w:color w:val="000000"/>
          <w:rtl/>
        </w:rPr>
        <w:t xml:space="preserve"> الذي تناقش فيه الهيئات التنظيمية المبادئ التوجيهية المتعلقة </w:t>
      </w:r>
      <w:r>
        <w:rPr>
          <w:rFonts w:hint="cs"/>
          <w:rtl/>
        </w:rPr>
        <w:t>ب</w:t>
      </w:r>
      <w:r w:rsidRPr="00FE4EDC">
        <w:rPr>
          <w:rFonts w:hint="cs"/>
          <w:rtl/>
        </w:rPr>
        <w:t>جودة الخدمة</w:t>
      </w:r>
      <w:r w:rsidR="00A100BE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A100BE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QoE</w:t>
      </w:r>
      <w:proofErr w:type="spellEnd"/>
      <w:r w:rsidR="00A100BE">
        <w:t>)</w:t>
      </w:r>
      <w:r>
        <w:rPr>
          <w:rFonts w:hint="cs"/>
          <w:rtl/>
        </w:rPr>
        <w:t>.</w:t>
      </w:r>
    </w:p>
    <w:p w:rsidR="0045260F" w:rsidRDefault="0045260F" w:rsidP="0045260F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45260F" w:rsidRDefault="00227EBA" w:rsidP="00743793">
      <w:pPr>
        <w:rPr>
          <w:rtl/>
          <w:lang w:bidi="ar-EG"/>
        </w:rPr>
      </w:pPr>
      <w:r>
        <w:rPr>
          <w:rFonts w:hint="cs"/>
          <w:rtl/>
        </w:rPr>
        <w:t xml:space="preserve">تؤيد بنغلاديش </w:t>
      </w:r>
      <w:r w:rsidR="00771D2A">
        <w:rPr>
          <w:rFonts w:hint="cs"/>
          <w:rtl/>
        </w:rPr>
        <w:t xml:space="preserve">المسائل </w:t>
      </w:r>
      <w:r>
        <w:rPr>
          <w:rFonts w:hint="cs"/>
          <w:rtl/>
        </w:rPr>
        <w:t>الإحدى عشر</w:t>
      </w:r>
      <w:r w:rsidR="00771D2A">
        <w:rPr>
          <w:rFonts w:hint="cs"/>
          <w:rtl/>
        </w:rPr>
        <w:t>ة</w:t>
      </w:r>
      <w:r w:rsidR="00A25754">
        <w:rPr>
          <w:rFonts w:hint="cs"/>
          <w:rtl/>
        </w:rPr>
        <w:t xml:space="preserve"> المقدمة من</w:t>
      </w:r>
      <w:r>
        <w:rPr>
          <w:rFonts w:hint="cs"/>
          <w:rtl/>
        </w:rPr>
        <w:t xml:space="preserve"> لجنة الدراسات</w:t>
      </w:r>
      <w:r w:rsidR="00A100BE">
        <w:rPr>
          <w:rFonts w:hint="eastAsia"/>
          <w:rtl/>
        </w:rPr>
        <w:t> </w:t>
      </w:r>
      <w:r>
        <w:t>3</w:t>
      </w:r>
      <w:r>
        <w:rPr>
          <w:rFonts w:hint="cs"/>
          <w:rtl/>
          <w:lang w:bidi="ar-EG"/>
        </w:rPr>
        <w:t xml:space="preserve"> </w:t>
      </w:r>
      <w:r w:rsidR="00743793">
        <w:rPr>
          <w:rFonts w:hint="cs"/>
          <w:rtl/>
          <w:lang w:bidi="ar-EG"/>
        </w:rPr>
        <w:t xml:space="preserve">لقطاع تقييس الاتصالات </w:t>
      </w:r>
      <w:r>
        <w:rPr>
          <w:rFonts w:hint="cs"/>
          <w:rtl/>
          <w:lang w:bidi="ar-EG"/>
        </w:rPr>
        <w:t>لفترة الدراس</w:t>
      </w:r>
      <w:r w:rsidR="00A25754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القادمة وفقاً للوثيقة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للجمعية العالمية لتقييس الاتصالات لعام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. وتقترح بنغلاديش أيضاً إضافة مسألة جديدة هي المسألة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(كما وردت في</w:t>
      </w:r>
      <w:r w:rsidR="00743793">
        <w:rPr>
          <w:rFonts w:hint="eastAsia"/>
          <w:rtl/>
          <w:lang w:bidi="ar-EG"/>
        </w:rPr>
        <w:t> </w:t>
      </w:r>
      <w:bookmarkStart w:id="5" w:name="_GoBack"/>
      <w:bookmarkEnd w:id="5"/>
      <w:r>
        <w:rPr>
          <w:rFonts w:hint="cs"/>
          <w:rtl/>
          <w:lang w:bidi="ar-EG"/>
        </w:rPr>
        <w:t>الملحق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).</w:t>
      </w:r>
    </w:p>
    <w:p w:rsidR="00DA15B8" w:rsidRDefault="00DA15B8" w:rsidP="00FF7000">
      <w:pPr>
        <w:rPr>
          <w:rFonts w:hint="cs"/>
          <w:rtl/>
          <w:lang w:bidi="ar-EG"/>
        </w:rPr>
      </w:pPr>
      <w:r>
        <w:rPr>
          <w:rtl/>
        </w:rPr>
        <w:br w:type="page"/>
      </w:r>
    </w:p>
    <w:p w:rsidR="00DA15B8" w:rsidRPr="00777800" w:rsidRDefault="006A44DD" w:rsidP="00971DD2">
      <w:pPr>
        <w:pStyle w:val="AnnexNo"/>
        <w:rPr>
          <w:rFonts w:hint="cs"/>
          <w:rtl/>
          <w:lang w:val="en-US"/>
        </w:rPr>
      </w:pPr>
      <w:r>
        <w:rPr>
          <w:rFonts w:hint="cs"/>
          <w:rtl/>
        </w:rPr>
        <w:lastRenderedPageBreak/>
        <w:t>الملحق</w:t>
      </w:r>
      <w:r w:rsidR="00777800">
        <w:rPr>
          <w:rFonts w:hint="cs"/>
          <w:rtl/>
        </w:rPr>
        <w:t> </w:t>
      </w:r>
      <w:r w:rsidR="00777800">
        <w:t>1</w:t>
      </w:r>
      <w:r w:rsidR="00777800">
        <w:br/>
      </w:r>
      <w:r w:rsidR="007A2B9E">
        <w:rPr>
          <w:rFonts w:hint="cs"/>
          <w:rtl/>
        </w:rPr>
        <w:t>نص مسألة للجنة الدراسات</w:t>
      </w:r>
      <w:r w:rsidR="00777800">
        <w:rPr>
          <w:rFonts w:hint="cs"/>
          <w:rtl/>
        </w:rPr>
        <w:t xml:space="preserve"> </w:t>
      </w:r>
      <w:r w:rsidR="00971DD2">
        <w:rPr>
          <w:lang w:val="en-US"/>
        </w:rPr>
        <w:t>3</w:t>
      </w:r>
      <w:r w:rsidR="00971DD2">
        <w:rPr>
          <w:rFonts w:hint="cs"/>
          <w:rtl/>
          <w:lang w:val="en-US"/>
        </w:rPr>
        <w:t xml:space="preserve"> لقطاع تقييس الاتصالات</w:t>
      </w:r>
    </w:p>
    <w:p w:rsidR="00DA15B8" w:rsidRDefault="007A2B9E" w:rsidP="008D731B">
      <w:pPr>
        <w:pStyle w:val="Annextitle"/>
        <w:spacing w:after="0"/>
        <w:rPr>
          <w:rtl/>
        </w:rPr>
      </w:pPr>
      <w:r w:rsidRPr="00FE4EDC">
        <w:rPr>
          <w:color w:val="000000"/>
          <w:rtl/>
        </w:rPr>
        <w:t xml:space="preserve">الجوانب </w:t>
      </w:r>
      <w:r w:rsidR="008D731B">
        <w:rPr>
          <w:rFonts w:hint="cs"/>
          <w:color w:val="000000"/>
          <w:rtl/>
        </w:rPr>
        <w:t>السياساتية</w:t>
      </w:r>
      <w:r>
        <w:rPr>
          <w:rFonts w:hint="cs"/>
          <w:color w:val="000000"/>
          <w:rtl/>
        </w:rPr>
        <w:t xml:space="preserve"> </w:t>
      </w:r>
      <w:r w:rsidR="008D731B">
        <w:rPr>
          <w:rFonts w:hint="cs"/>
          <w:color w:val="000000"/>
          <w:rtl/>
        </w:rPr>
        <w:t>و</w:t>
      </w:r>
      <w:r w:rsidRPr="00FE4EDC">
        <w:rPr>
          <w:color w:val="000000"/>
          <w:rtl/>
        </w:rPr>
        <w:t>التنظيمية</w:t>
      </w:r>
      <w:r w:rsidR="00EE5E5E">
        <w:rPr>
          <w:color w:val="000000"/>
          <w:rtl/>
        </w:rPr>
        <w:br/>
      </w:r>
      <w:r w:rsidRPr="00FE4EDC">
        <w:rPr>
          <w:rFonts w:hint="cs"/>
          <w:rtl/>
        </w:rPr>
        <w:t xml:space="preserve">لجودة الخدمة 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Pr="00FE4EDC">
        <w:rPr>
          <w:rFonts w:hint="cs"/>
          <w:rtl/>
        </w:rPr>
        <w:t xml:space="preserve"> </w:t>
      </w:r>
      <w:r w:rsidRPr="00FE4EDC">
        <w:t>(</w:t>
      </w:r>
      <w:proofErr w:type="spellStart"/>
      <w:r w:rsidRPr="00FE4EDC">
        <w:t>QoE</w:t>
      </w:r>
      <w:proofErr w:type="spellEnd"/>
      <w:r w:rsidRPr="00FE4EDC">
        <w:t>)</w:t>
      </w:r>
    </w:p>
    <w:p w:rsidR="004C3A03" w:rsidRDefault="004C3A03" w:rsidP="00652330">
      <w:pPr>
        <w:pStyle w:val="Heading3"/>
        <w:rPr>
          <w:rtl/>
        </w:rPr>
      </w:pPr>
      <w:r>
        <w:t>1</w:t>
      </w:r>
      <w:r>
        <w:rPr>
          <w:rFonts w:hint="cs"/>
          <w:rtl/>
        </w:rPr>
        <w:tab/>
        <w:t>الدوافع</w:t>
      </w:r>
    </w:p>
    <w:p w:rsidR="00777800" w:rsidRDefault="007A2B9E" w:rsidP="00A100BE">
      <w:pPr>
        <w:rPr>
          <w:rtl/>
          <w:lang w:bidi="ar-EG"/>
        </w:rPr>
      </w:pPr>
      <w:r>
        <w:rPr>
          <w:rFonts w:hint="cs"/>
          <w:rtl/>
          <w:lang w:bidi="ar-EG"/>
        </w:rPr>
        <w:t>ساهم النمو غير المسبوق لتكنولوجيات الاتصالات وأسواقها في</w:t>
      </w:r>
      <w:r w:rsidR="00A100B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زيادة تنو</w:t>
      </w:r>
      <w:r w:rsidR="008B65E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ع الخدمات المتاحة للمستهلكين</w:t>
      </w:r>
      <w:r w:rsidR="00771D2A" w:rsidRPr="00771D2A">
        <w:rPr>
          <w:rFonts w:hint="cs"/>
          <w:rtl/>
          <w:lang w:bidi="ar-EG"/>
        </w:rPr>
        <w:t xml:space="preserve"> </w:t>
      </w:r>
      <w:r w:rsidR="00771D2A">
        <w:rPr>
          <w:rFonts w:hint="cs"/>
          <w:rtl/>
          <w:lang w:bidi="ar-EG"/>
        </w:rPr>
        <w:t>ومقدّمي هذه الخدمات</w:t>
      </w:r>
      <w:r>
        <w:rPr>
          <w:rFonts w:hint="cs"/>
          <w:rtl/>
          <w:lang w:bidi="ar-EG"/>
        </w:rPr>
        <w:t>. وقد أدت المنافسة إلى انخفاض أسعار الخدمات المتقد</w:t>
      </w:r>
      <w:r w:rsidR="008B65EE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مة، وفتحت الأسواق أمام الملايين من المستهلكين الجدد الذين أ</w:t>
      </w:r>
      <w:r w:rsidR="00B32007">
        <w:rPr>
          <w:rFonts w:hint="cs"/>
          <w:rtl/>
          <w:lang w:bidi="ar-EG"/>
        </w:rPr>
        <w:t>صبحوا أكثر تطوراً</w:t>
      </w:r>
      <w:r w:rsidR="00B3200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وتطل</w:t>
      </w:r>
      <w:r w:rsidR="008B65EE">
        <w:rPr>
          <w:rFonts w:hint="cs"/>
          <w:rtl/>
          <w:lang w:bidi="ar-EG"/>
        </w:rPr>
        <w:t>ّ</w:t>
      </w:r>
      <w:r w:rsidR="00A100BE">
        <w:rPr>
          <w:rFonts w:hint="cs"/>
          <w:rtl/>
          <w:lang w:bidi="ar-EG"/>
        </w:rPr>
        <w:t>باً.</w:t>
      </w:r>
    </w:p>
    <w:p w:rsidR="00777800" w:rsidRPr="00A100BE" w:rsidRDefault="007A2B9E" w:rsidP="00A100BE">
      <w:pPr>
        <w:rPr>
          <w:spacing w:val="-4"/>
          <w:rtl/>
          <w:lang w:bidi="ar-EG"/>
        </w:rPr>
      </w:pPr>
      <w:r w:rsidRPr="00A100BE">
        <w:rPr>
          <w:rFonts w:hint="cs"/>
          <w:spacing w:val="-4"/>
          <w:rtl/>
          <w:lang w:bidi="ar-EG"/>
        </w:rPr>
        <w:t>ولا</w:t>
      </w:r>
      <w:r w:rsidR="00A100BE" w:rsidRPr="00A100BE">
        <w:rPr>
          <w:rFonts w:hint="eastAsia"/>
          <w:spacing w:val="-4"/>
          <w:rtl/>
          <w:lang w:bidi="ar-EG"/>
        </w:rPr>
        <w:t> </w:t>
      </w:r>
      <w:r w:rsidRPr="00A100BE">
        <w:rPr>
          <w:rFonts w:hint="cs"/>
          <w:spacing w:val="-4"/>
          <w:rtl/>
          <w:lang w:bidi="ar-EG"/>
        </w:rPr>
        <w:t>شك في</w:t>
      </w:r>
      <w:r w:rsidR="00A100BE" w:rsidRPr="00A100BE">
        <w:rPr>
          <w:rFonts w:hint="eastAsia"/>
          <w:spacing w:val="-4"/>
          <w:rtl/>
          <w:lang w:bidi="ar-EG"/>
        </w:rPr>
        <w:t> </w:t>
      </w:r>
      <w:r w:rsidRPr="00A100BE">
        <w:rPr>
          <w:rFonts w:hint="cs"/>
          <w:spacing w:val="-4"/>
          <w:rtl/>
          <w:lang w:bidi="ar-EG"/>
        </w:rPr>
        <w:t xml:space="preserve">أن </w:t>
      </w:r>
      <w:r w:rsidR="008B65EE" w:rsidRPr="00A100BE">
        <w:rPr>
          <w:rFonts w:hint="cs"/>
          <w:spacing w:val="-4"/>
          <w:rtl/>
          <w:lang w:bidi="ar-EG"/>
        </w:rPr>
        <w:t xml:space="preserve">وجود </w:t>
      </w:r>
      <w:r w:rsidR="001F79D0" w:rsidRPr="00A100BE">
        <w:rPr>
          <w:rFonts w:hint="cs"/>
          <w:spacing w:val="-4"/>
          <w:rtl/>
          <w:lang w:bidi="ar-EG"/>
        </w:rPr>
        <w:t xml:space="preserve">سياسة اقتصادية سليمة للاتصالات </w:t>
      </w:r>
      <w:r w:rsidR="008B65EE" w:rsidRPr="00A100BE">
        <w:rPr>
          <w:rFonts w:hint="cs"/>
          <w:spacing w:val="-4"/>
          <w:rtl/>
          <w:lang w:bidi="ar-EG"/>
        </w:rPr>
        <w:t>والحاجة إلي</w:t>
      </w:r>
      <w:r w:rsidR="00771D2A" w:rsidRPr="00A100BE">
        <w:rPr>
          <w:rFonts w:hint="cs"/>
          <w:spacing w:val="-4"/>
          <w:rtl/>
          <w:lang w:bidi="ar-EG"/>
        </w:rPr>
        <w:t xml:space="preserve"> هذه السياسة</w:t>
      </w:r>
      <w:r w:rsidR="008B65EE" w:rsidRPr="00A100BE">
        <w:rPr>
          <w:rFonts w:hint="cs"/>
          <w:spacing w:val="-4"/>
          <w:rtl/>
          <w:lang w:bidi="ar-EG"/>
        </w:rPr>
        <w:t xml:space="preserve"> أمران لا</w:t>
      </w:r>
      <w:r w:rsidR="00A100BE" w:rsidRPr="00A100BE">
        <w:rPr>
          <w:rFonts w:hint="eastAsia"/>
          <w:spacing w:val="-4"/>
          <w:rtl/>
          <w:lang w:bidi="ar-EG"/>
        </w:rPr>
        <w:t> </w:t>
      </w:r>
      <w:r w:rsidR="008B65EE" w:rsidRPr="00A100BE">
        <w:rPr>
          <w:rFonts w:hint="cs"/>
          <w:spacing w:val="-4"/>
          <w:rtl/>
          <w:lang w:bidi="ar-EG"/>
        </w:rPr>
        <w:t xml:space="preserve">جدال فيهما </w:t>
      </w:r>
      <w:r w:rsidR="001F79D0" w:rsidRPr="00A100BE">
        <w:rPr>
          <w:rFonts w:hint="cs"/>
          <w:spacing w:val="-4"/>
          <w:rtl/>
          <w:lang w:bidi="ar-EG"/>
        </w:rPr>
        <w:t>في مجال</w:t>
      </w:r>
      <w:r w:rsidR="001F79D0" w:rsidRPr="00A100BE">
        <w:rPr>
          <w:rFonts w:hint="cs"/>
          <w:spacing w:val="-4"/>
          <w:rtl/>
        </w:rPr>
        <w:t xml:space="preserve"> جودة الخدمة</w:t>
      </w:r>
      <w:r w:rsidR="00A100BE" w:rsidRPr="00A100BE">
        <w:rPr>
          <w:rFonts w:hint="eastAsia"/>
          <w:spacing w:val="-4"/>
          <w:rtl/>
        </w:rPr>
        <w:t> </w:t>
      </w:r>
      <w:r w:rsidR="001F79D0" w:rsidRPr="00A100BE">
        <w:rPr>
          <w:spacing w:val="-4"/>
        </w:rPr>
        <w:t>(</w:t>
      </w:r>
      <w:proofErr w:type="spellStart"/>
      <w:r w:rsidR="001F79D0" w:rsidRPr="00A100BE">
        <w:rPr>
          <w:spacing w:val="-4"/>
        </w:rPr>
        <w:t>QoS</w:t>
      </w:r>
      <w:proofErr w:type="spellEnd"/>
      <w:r w:rsidR="001F79D0" w:rsidRPr="00A100BE">
        <w:rPr>
          <w:spacing w:val="-4"/>
        </w:rPr>
        <w:t>)</w:t>
      </w:r>
      <w:r w:rsidR="001F79D0" w:rsidRPr="00A100BE">
        <w:rPr>
          <w:rFonts w:hint="cs"/>
          <w:spacing w:val="-4"/>
          <w:rtl/>
        </w:rPr>
        <w:t xml:space="preserve"> و</w:t>
      </w:r>
      <w:r w:rsidR="006243B2">
        <w:rPr>
          <w:rFonts w:hint="cs"/>
          <w:spacing w:val="-4"/>
          <w:rtl/>
        </w:rPr>
        <w:t>جودة التجربة</w:t>
      </w:r>
      <w:r w:rsidR="00A100BE" w:rsidRPr="00A100BE">
        <w:rPr>
          <w:rFonts w:hint="eastAsia"/>
          <w:spacing w:val="-4"/>
          <w:rtl/>
        </w:rPr>
        <w:t> </w:t>
      </w:r>
      <w:r w:rsidR="001F79D0" w:rsidRPr="00A100BE">
        <w:rPr>
          <w:spacing w:val="-4"/>
        </w:rPr>
        <w:t>(</w:t>
      </w:r>
      <w:proofErr w:type="spellStart"/>
      <w:r w:rsidR="001F79D0" w:rsidRPr="00A100BE">
        <w:rPr>
          <w:spacing w:val="-4"/>
        </w:rPr>
        <w:t>QoE</w:t>
      </w:r>
      <w:proofErr w:type="spellEnd"/>
      <w:r w:rsidR="001F79D0" w:rsidRPr="00A100BE">
        <w:rPr>
          <w:spacing w:val="-4"/>
        </w:rPr>
        <w:t>)</w:t>
      </w:r>
      <w:r w:rsidR="001F79D0" w:rsidRPr="00A100BE">
        <w:rPr>
          <w:rFonts w:hint="cs"/>
          <w:spacing w:val="-4"/>
          <w:rtl/>
        </w:rPr>
        <w:t>. ففي البلدان الأقل تقدماً في العالم، لا</w:t>
      </w:r>
      <w:r w:rsidR="00A100BE" w:rsidRPr="00A100BE">
        <w:rPr>
          <w:rFonts w:hint="eastAsia"/>
          <w:spacing w:val="-4"/>
          <w:rtl/>
        </w:rPr>
        <w:t> </w:t>
      </w:r>
      <w:r w:rsidR="001F79D0" w:rsidRPr="00A100BE">
        <w:rPr>
          <w:rFonts w:hint="cs"/>
          <w:spacing w:val="-4"/>
          <w:rtl/>
        </w:rPr>
        <w:t>ي</w:t>
      </w:r>
      <w:r w:rsidR="008B65EE" w:rsidRPr="00A100BE">
        <w:rPr>
          <w:rFonts w:hint="cs"/>
          <w:spacing w:val="-4"/>
          <w:rtl/>
        </w:rPr>
        <w:t xml:space="preserve">نفق </w:t>
      </w:r>
      <w:r w:rsidR="001F79D0" w:rsidRPr="00A100BE">
        <w:rPr>
          <w:rFonts w:hint="cs"/>
          <w:spacing w:val="-4"/>
          <w:rtl/>
        </w:rPr>
        <w:t xml:space="preserve">الناس </w:t>
      </w:r>
      <w:r w:rsidR="008B65EE" w:rsidRPr="00A100BE">
        <w:rPr>
          <w:rFonts w:hint="cs"/>
          <w:spacing w:val="-4"/>
          <w:rtl/>
        </w:rPr>
        <w:t xml:space="preserve">أي مبلغ </w:t>
      </w:r>
      <w:r w:rsidR="001F79D0" w:rsidRPr="00A100BE">
        <w:rPr>
          <w:rFonts w:hint="cs"/>
          <w:spacing w:val="-4"/>
          <w:rtl/>
        </w:rPr>
        <w:t>على الاتصالات إلا</w:t>
      </w:r>
      <w:r w:rsidR="00A100BE" w:rsidRPr="00A100BE">
        <w:rPr>
          <w:rFonts w:hint="eastAsia"/>
          <w:spacing w:val="-4"/>
          <w:rtl/>
        </w:rPr>
        <w:t> </w:t>
      </w:r>
      <w:r w:rsidR="001F79D0" w:rsidRPr="00A100BE">
        <w:rPr>
          <w:rFonts w:hint="cs"/>
          <w:spacing w:val="-4"/>
          <w:rtl/>
        </w:rPr>
        <w:t>بعد ضمان س</w:t>
      </w:r>
      <w:r w:rsidR="00A100BE" w:rsidRPr="00A100BE">
        <w:rPr>
          <w:rFonts w:hint="cs"/>
          <w:spacing w:val="-4"/>
          <w:rtl/>
        </w:rPr>
        <w:t>ُ</w:t>
      </w:r>
      <w:r w:rsidR="001F79D0" w:rsidRPr="00A100BE">
        <w:rPr>
          <w:rFonts w:hint="cs"/>
          <w:spacing w:val="-4"/>
          <w:rtl/>
        </w:rPr>
        <w:t>بل عيشهم. فإذا لم ت</w:t>
      </w:r>
      <w:r w:rsidR="008B65EE" w:rsidRPr="00A100BE">
        <w:rPr>
          <w:rFonts w:hint="cs"/>
          <w:spacing w:val="-4"/>
          <w:rtl/>
        </w:rPr>
        <w:t>تأمن</w:t>
      </w:r>
      <w:r w:rsidR="001F79D0" w:rsidRPr="00A100BE">
        <w:rPr>
          <w:rFonts w:hint="cs"/>
          <w:spacing w:val="-4"/>
          <w:rtl/>
        </w:rPr>
        <w:t xml:space="preserve"> جودة الخدمة</w:t>
      </w:r>
      <w:r w:rsidR="00A100BE" w:rsidRPr="00A100BE">
        <w:rPr>
          <w:rFonts w:hint="eastAsia"/>
          <w:spacing w:val="-4"/>
          <w:rtl/>
        </w:rPr>
        <w:t> </w:t>
      </w:r>
      <w:r w:rsidR="001F79D0" w:rsidRPr="00A100BE">
        <w:rPr>
          <w:spacing w:val="-4"/>
        </w:rPr>
        <w:t>(</w:t>
      </w:r>
      <w:proofErr w:type="spellStart"/>
      <w:r w:rsidR="001F79D0" w:rsidRPr="00A100BE">
        <w:rPr>
          <w:spacing w:val="-4"/>
        </w:rPr>
        <w:t>QoS</w:t>
      </w:r>
      <w:proofErr w:type="spellEnd"/>
      <w:r w:rsidR="001F79D0" w:rsidRPr="00A100BE">
        <w:rPr>
          <w:spacing w:val="-4"/>
        </w:rPr>
        <w:t>)</w:t>
      </w:r>
      <w:r w:rsidR="001F79D0" w:rsidRPr="00A100BE">
        <w:rPr>
          <w:rFonts w:hint="cs"/>
          <w:spacing w:val="-4"/>
          <w:rtl/>
        </w:rPr>
        <w:t xml:space="preserve"> و</w:t>
      </w:r>
      <w:r w:rsidR="006243B2">
        <w:rPr>
          <w:rFonts w:hint="cs"/>
          <w:spacing w:val="-4"/>
          <w:rtl/>
        </w:rPr>
        <w:t>جودة التجربة</w:t>
      </w:r>
      <w:r w:rsidR="00A100BE" w:rsidRPr="00A100BE">
        <w:rPr>
          <w:rFonts w:hint="eastAsia"/>
          <w:spacing w:val="-4"/>
          <w:rtl/>
        </w:rPr>
        <w:t> </w:t>
      </w:r>
      <w:r w:rsidR="001F79D0" w:rsidRPr="00A100BE">
        <w:rPr>
          <w:spacing w:val="-4"/>
        </w:rPr>
        <w:t>(</w:t>
      </w:r>
      <w:proofErr w:type="spellStart"/>
      <w:r w:rsidR="001F79D0" w:rsidRPr="00A100BE">
        <w:rPr>
          <w:spacing w:val="-4"/>
        </w:rPr>
        <w:t>QoE</w:t>
      </w:r>
      <w:proofErr w:type="spellEnd"/>
      <w:r w:rsidR="001F79D0" w:rsidRPr="00A100BE">
        <w:rPr>
          <w:spacing w:val="-4"/>
        </w:rPr>
        <w:t>)</w:t>
      </w:r>
      <w:r w:rsidR="008B65EE" w:rsidRPr="00A100BE">
        <w:rPr>
          <w:rFonts w:hint="cs"/>
          <w:spacing w:val="-4"/>
          <w:rtl/>
        </w:rPr>
        <w:t>، فسي</w:t>
      </w:r>
      <w:r w:rsidR="00EB0ED9" w:rsidRPr="00A100BE">
        <w:rPr>
          <w:rFonts w:hint="cs"/>
          <w:spacing w:val="-4"/>
          <w:rtl/>
        </w:rPr>
        <w:t>نج</w:t>
      </w:r>
      <w:r w:rsidR="00A100BE" w:rsidRPr="00A100BE">
        <w:rPr>
          <w:rFonts w:hint="cs"/>
          <w:spacing w:val="-4"/>
          <w:rtl/>
        </w:rPr>
        <w:t>ُ</w:t>
      </w:r>
      <w:r w:rsidR="00EB0ED9" w:rsidRPr="00A100BE">
        <w:rPr>
          <w:rFonts w:hint="cs"/>
          <w:spacing w:val="-4"/>
          <w:rtl/>
        </w:rPr>
        <w:t>م عن</w:t>
      </w:r>
      <w:r w:rsidR="001F79D0" w:rsidRPr="00A100BE">
        <w:rPr>
          <w:rFonts w:hint="cs"/>
          <w:spacing w:val="-4"/>
          <w:rtl/>
        </w:rPr>
        <w:t xml:space="preserve"> </w:t>
      </w:r>
      <w:r w:rsidR="008B65EE" w:rsidRPr="00A100BE">
        <w:rPr>
          <w:rFonts w:hint="cs"/>
          <w:spacing w:val="-4"/>
          <w:rtl/>
        </w:rPr>
        <w:t xml:space="preserve">ذلك </w:t>
      </w:r>
      <w:r w:rsidR="00EB0ED9" w:rsidRPr="00A100BE">
        <w:rPr>
          <w:rFonts w:hint="cs"/>
          <w:spacing w:val="-4"/>
          <w:rtl/>
        </w:rPr>
        <w:t>شعور بالنفور</w:t>
      </w:r>
      <w:r w:rsidR="001F79D0" w:rsidRPr="00A100BE">
        <w:rPr>
          <w:rFonts w:hint="cs"/>
          <w:spacing w:val="-4"/>
          <w:rtl/>
        </w:rPr>
        <w:t xml:space="preserve"> </w:t>
      </w:r>
      <w:r w:rsidR="00EB0ED9" w:rsidRPr="00A100BE">
        <w:rPr>
          <w:rFonts w:hint="cs"/>
          <w:spacing w:val="-4"/>
          <w:rtl/>
        </w:rPr>
        <w:t xml:space="preserve">من خدمات الاتصالات </w:t>
      </w:r>
      <w:r w:rsidR="001F79D0" w:rsidRPr="00A100BE">
        <w:rPr>
          <w:rFonts w:hint="cs"/>
          <w:spacing w:val="-4"/>
          <w:rtl/>
        </w:rPr>
        <w:t>وعد</w:t>
      </w:r>
      <w:r w:rsidR="00EB0ED9" w:rsidRPr="00A100BE">
        <w:rPr>
          <w:rFonts w:hint="cs"/>
          <w:spacing w:val="-4"/>
          <w:rtl/>
        </w:rPr>
        <w:t>م</w:t>
      </w:r>
      <w:r w:rsidR="001F79D0" w:rsidRPr="00A100BE">
        <w:rPr>
          <w:rFonts w:hint="cs"/>
          <w:spacing w:val="-4"/>
          <w:rtl/>
        </w:rPr>
        <w:t xml:space="preserve"> الثقة ب</w:t>
      </w:r>
      <w:r w:rsidR="00EB0ED9" w:rsidRPr="00A100BE">
        <w:rPr>
          <w:rFonts w:hint="cs"/>
          <w:spacing w:val="-4"/>
          <w:rtl/>
        </w:rPr>
        <w:t>ها</w:t>
      </w:r>
      <w:r w:rsidR="001F79D0" w:rsidRPr="00A100BE">
        <w:rPr>
          <w:rFonts w:hint="cs"/>
          <w:spacing w:val="-4"/>
          <w:rtl/>
        </w:rPr>
        <w:t xml:space="preserve"> </w:t>
      </w:r>
      <w:r w:rsidR="00EB0ED9" w:rsidRPr="00A100BE">
        <w:rPr>
          <w:rFonts w:hint="cs"/>
          <w:spacing w:val="-4"/>
          <w:rtl/>
        </w:rPr>
        <w:t>و</w:t>
      </w:r>
      <w:r w:rsidR="00771D2A" w:rsidRPr="00A100BE">
        <w:rPr>
          <w:rFonts w:hint="cs"/>
          <w:spacing w:val="-4"/>
          <w:rtl/>
        </w:rPr>
        <w:t>عدم تشج</w:t>
      </w:r>
      <w:r w:rsidR="00A100BE" w:rsidRPr="00A100BE">
        <w:rPr>
          <w:rFonts w:hint="cs"/>
          <w:spacing w:val="-4"/>
          <w:rtl/>
        </w:rPr>
        <w:t>ّ</w:t>
      </w:r>
      <w:r w:rsidR="00771D2A" w:rsidRPr="00A100BE">
        <w:rPr>
          <w:rFonts w:hint="cs"/>
          <w:spacing w:val="-4"/>
          <w:rtl/>
        </w:rPr>
        <w:t xml:space="preserve">ع </w:t>
      </w:r>
      <w:r w:rsidR="001F79D0" w:rsidRPr="00A100BE">
        <w:rPr>
          <w:rFonts w:hint="cs"/>
          <w:spacing w:val="-4"/>
          <w:rtl/>
        </w:rPr>
        <w:t xml:space="preserve">الناس </w:t>
      </w:r>
      <w:r w:rsidR="00EB0ED9" w:rsidRPr="00A100BE">
        <w:rPr>
          <w:rFonts w:hint="cs"/>
          <w:spacing w:val="-4"/>
          <w:rtl/>
        </w:rPr>
        <w:t>على الاستفادة بشكل</w:t>
      </w:r>
      <w:r w:rsidR="001F79D0" w:rsidRPr="00A100BE">
        <w:rPr>
          <w:rFonts w:hint="cs"/>
          <w:spacing w:val="-4"/>
          <w:rtl/>
        </w:rPr>
        <w:t xml:space="preserve"> أفضل من </w:t>
      </w:r>
      <w:r w:rsidR="00EB0ED9" w:rsidRPr="00A100BE">
        <w:rPr>
          <w:rFonts w:hint="cs"/>
          <w:spacing w:val="-4"/>
          <w:rtl/>
        </w:rPr>
        <w:t>منظو</w:t>
      </w:r>
      <w:r w:rsidR="001F79D0" w:rsidRPr="00A100BE">
        <w:rPr>
          <w:rFonts w:hint="cs"/>
          <w:spacing w:val="-4"/>
          <w:rtl/>
        </w:rPr>
        <w:t>م</w:t>
      </w:r>
      <w:r w:rsidR="00EB0ED9" w:rsidRPr="00A100BE">
        <w:rPr>
          <w:rFonts w:hint="cs"/>
          <w:spacing w:val="-4"/>
          <w:rtl/>
        </w:rPr>
        <w:t>ة</w:t>
      </w:r>
      <w:r w:rsidR="001F79D0" w:rsidRPr="00A100BE">
        <w:rPr>
          <w:rFonts w:hint="cs"/>
          <w:spacing w:val="-4"/>
          <w:rtl/>
        </w:rPr>
        <w:t xml:space="preserve"> الاتصالات</w:t>
      </w:r>
      <w:r w:rsidR="009110F3" w:rsidRPr="00A100BE">
        <w:rPr>
          <w:rFonts w:hint="cs"/>
          <w:spacing w:val="-4"/>
          <w:rtl/>
        </w:rPr>
        <w:t xml:space="preserve">، </w:t>
      </w:r>
      <w:r w:rsidR="00EB0ED9" w:rsidRPr="00A100BE">
        <w:rPr>
          <w:rFonts w:hint="cs"/>
          <w:spacing w:val="-4"/>
          <w:rtl/>
        </w:rPr>
        <w:t>ما</w:t>
      </w:r>
      <w:r w:rsidR="00A100BE" w:rsidRPr="00A100BE">
        <w:rPr>
          <w:rFonts w:hint="eastAsia"/>
          <w:spacing w:val="-4"/>
          <w:rtl/>
        </w:rPr>
        <w:t> </w:t>
      </w:r>
      <w:r w:rsidR="00EB0ED9" w:rsidRPr="00A100BE">
        <w:rPr>
          <w:rFonts w:hint="cs"/>
          <w:spacing w:val="-4"/>
          <w:rtl/>
        </w:rPr>
        <w:t>يعطل</w:t>
      </w:r>
      <w:r w:rsidR="009110F3" w:rsidRPr="00A100BE">
        <w:rPr>
          <w:rFonts w:hint="cs"/>
          <w:spacing w:val="-4"/>
          <w:rtl/>
        </w:rPr>
        <w:t xml:space="preserve"> بدوره المسيرة نحو الثورة الرقمية.</w:t>
      </w:r>
    </w:p>
    <w:p w:rsidR="009110F3" w:rsidRDefault="009110F3" w:rsidP="00A100B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EB0ED9">
        <w:rPr>
          <w:rFonts w:hint="cs"/>
          <w:rtl/>
          <w:lang w:bidi="ar-EG"/>
        </w:rPr>
        <w:t xml:space="preserve">في يومنا هذا، </w:t>
      </w:r>
      <w:r>
        <w:rPr>
          <w:rFonts w:hint="cs"/>
          <w:rtl/>
          <w:lang w:bidi="ar-EG"/>
        </w:rPr>
        <w:t xml:space="preserve">يتمثل أفضل نهج </w:t>
      </w:r>
      <w:r w:rsidRPr="00FE4EDC">
        <w:rPr>
          <w:rFonts w:hint="cs"/>
          <w:rtl/>
        </w:rPr>
        <w:t>لجودة الخدمة</w:t>
      </w:r>
      <w:r w:rsidR="00A100BE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A100BE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QoE</w:t>
      </w:r>
      <w:proofErr w:type="spellEnd"/>
      <w:r w:rsidRPr="00FE4EDC">
        <w:t>)</w:t>
      </w:r>
      <w:r>
        <w:rPr>
          <w:rFonts w:hint="cs"/>
          <w:rtl/>
        </w:rPr>
        <w:t xml:space="preserve"> ب</w:t>
      </w:r>
      <w:r w:rsidR="00EB0ED9">
        <w:rPr>
          <w:rFonts w:hint="cs"/>
          <w:rtl/>
        </w:rPr>
        <w:t>النظر إلى</w:t>
      </w:r>
      <w:r>
        <w:rPr>
          <w:rFonts w:hint="cs"/>
          <w:rtl/>
        </w:rPr>
        <w:t xml:space="preserve"> الحاجة إلى المبادئ التوجيهية واللوائح الم</w:t>
      </w:r>
      <w:r w:rsidR="00303AE8">
        <w:rPr>
          <w:rFonts w:hint="cs"/>
          <w:rtl/>
        </w:rPr>
        <w:t>ثلى</w:t>
      </w:r>
      <w:r>
        <w:rPr>
          <w:rFonts w:hint="cs"/>
          <w:rtl/>
        </w:rPr>
        <w:t xml:space="preserve"> </w:t>
      </w:r>
      <w:r w:rsidR="00EB0ED9">
        <w:rPr>
          <w:rFonts w:hint="cs"/>
          <w:rtl/>
        </w:rPr>
        <w:t xml:space="preserve">على أنها </w:t>
      </w:r>
      <w:r>
        <w:rPr>
          <w:rFonts w:hint="cs"/>
          <w:rtl/>
        </w:rPr>
        <w:t>أحد المواضيع الرئيسية</w:t>
      </w:r>
      <w:r w:rsidR="00303AE8">
        <w:rPr>
          <w:rFonts w:hint="cs"/>
          <w:rtl/>
        </w:rPr>
        <w:t xml:space="preserve"> ل</w:t>
      </w:r>
      <w:r w:rsidR="00771D2A">
        <w:rPr>
          <w:rFonts w:hint="cs"/>
          <w:rtl/>
        </w:rPr>
        <w:t>مختلف المحافل</w:t>
      </w:r>
      <w:r w:rsidR="00EB0ED9">
        <w:rPr>
          <w:rFonts w:hint="cs"/>
          <w:rtl/>
        </w:rPr>
        <w:t xml:space="preserve"> العالمية للاتصالات</w:t>
      </w:r>
      <w:r>
        <w:rPr>
          <w:rFonts w:hint="cs"/>
          <w:rtl/>
        </w:rPr>
        <w:t>. لذلك يتعين على الهيئات التنظيمية أن تضطلع بتأمين جود</w:t>
      </w:r>
      <w:r w:rsidR="00303AE8">
        <w:rPr>
          <w:rFonts w:hint="cs"/>
          <w:rtl/>
        </w:rPr>
        <w:t xml:space="preserve">ة الخدمات إضافة إلى </w:t>
      </w:r>
      <w:r>
        <w:rPr>
          <w:rFonts w:hint="cs"/>
          <w:rtl/>
        </w:rPr>
        <w:t>جودة التجارب باعتماد التنظيم من خلال المراقبة.</w:t>
      </w:r>
    </w:p>
    <w:p w:rsidR="009110F3" w:rsidRDefault="009110F3" w:rsidP="00A100BE">
      <w:pPr>
        <w:rPr>
          <w:rtl/>
          <w:lang w:bidi="ar-EG"/>
        </w:rPr>
      </w:pPr>
      <w:r>
        <w:rPr>
          <w:rFonts w:hint="cs"/>
          <w:rtl/>
          <w:lang w:bidi="ar-EG"/>
        </w:rPr>
        <w:t>هكذا يمكن للهيئات التنظيمية أن تشارك في مراقبة جودة الخدمة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proofErr w:type="spellStart"/>
      <w:r>
        <w:rPr>
          <w:lang w:bidi="ar-EG"/>
        </w:rPr>
        <w:t>QoS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بهدف:</w:t>
      </w:r>
    </w:p>
    <w:p w:rsidR="009110F3" w:rsidRPr="00BD0668" w:rsidRDefault="009110F3" w:rsidP="00EE5E5E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</w:rPr>
        <w:t xml:space="preserve">تحديد </w:t>
      </w:r>
      <w:r>
        <w:rPr>
          <w:rFonts w:hint="cs"/>
          <w:rtl/>
          <w:lang w:bidi="ar-EG"/>
        </w:rPr>
        <w:t>أهداف الهيئات التنظيمي</w:t>
      </w:r>
      <w:r w:rsidR="00303AE8">
        <w:rPr>
          <w:rFonts w:hint="cs"/>
          <w:rtl/>
          <w:lang w:bidi="ar-EG"/>
        </w:rPr>
        <w:t>ة؛</w:t>
      </w:r>
    </w:p>
    <w:p w:rsidR="009110F3" w:rsidRDefault="009110F3" w:rsidP="00EE5E5E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  <w:lang w:bidi="ar-EG"/>
        </w:rPr>
        <w:t>إ</w:t>
      </w:r>
      <w:r w:rsidR="00303AE8">
        <w:rPr>
          <w:rFonts w:hint="cs"/>
          <w:rtl/>
          <w:lang w:bidi="ar-EG"/>
        </w:rPr>
        <w:t>قامة منافسة فع</w:t>
      </w:r>
      <w:r w:rsidR="008B2B5D">
        <w:rPr>
          <w:rFonts w:hint="cs"/>
          <w:rtl/>
          <w:lang w:bidi="ar-EG"/>
        </w:rPr>
        <w:t>ّ</w:t>
      </w:r>
      <w:r w:rsidR="00303AE8">
        <w:rPr>
          <w:rFonts w:hint="cs"/>
          <w:rtl/>
          <w:lang w:bidi="ar-EG"/>
        </w:rPr>
        <w:t>الة؛</w:t>
      </w:r>
    </w:p>
    <w:p w:rsidR="009110F3" w:rsidRDefault="009110F3" w:rsidP="00EE5E5E">
      <w:pPr>
        <w:pStyle w:val="enumlev1"/>
        <w:rPr>
          <w:rtl/>
          <w:lang w:bidi="ar-EG"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  <w:lang w:bidi="ar-EG"/>
        </w:rPr>
        <w:t>التحق</w:t>
      </w:r>
      <w:r w:rsidR="00E57738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>ق من ادعاءات المشغّ</w:t>
      </w:r>
      <w:r w:rsidR="00303AE8">
        <w:rPr>
          <w:rFonts w:hint="cs"/>
          <w:rtl/>
          <w:lang w:bidi="ar-EG"/>
        </w:rPr>
        <w:t>لين؛</w:t>
      </w:r>
    </w:p>
    <w:p w:rsidR="00E57738" w:rsidRPr="00E57738" w:rsidRDefault="00E57738" w:rsidP="00EE5E5E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>فهم حالة السو</w:t>
      </w:r>
      <w:r w:rsidR="00303AE8">
        <w:rPr>
          <w:rFonts w:hint="cs"/>
          <w:rtl/>
          <w:lang w:bidi="ar-EG"/>
        </w:rPr>
        <w:t>ق؛</w:t>
      </w:r>
    </w:p>
    <w:p w:rsidR="00777800" w:rsidRDefault="009110F3" w:rsidP="00EE5E5E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="00E57738">
        <w:rPr>
          <w:rFonts w:hint="cs"/>
          <w:rtl/>
          <w:lang w:bidi="ar-EG"/>
        </w:rPr>
        <w:t>تحقيق</w:t>
      </w:r>
      <w:r>
        <w:rPr>
          <w:rFonts w:hint="cs"/>
          <w:rtl/>
          <w:lang w:bidi="ar-EG"/>
        </w:rPr>
        <w:t xml:space="preserve"> </w:t>
      </w:r>
      <w:r w:rsidR="00E57738">
        <w:rPr>
          <w:rFonts w:hint="cs"/>
          <w:rtl/>
          <w:lang w:bidi="ar-EG"/>
        </w:rPr>
        <w:t>فعالية ال</w:t>
      </w:r>
      <w:r>
        <w:rPr>
          <w:rFonts w:hint="cs"/>
          <w:rtl/>
          <w:lang w:bidi="ar-EG"/>
        </w:rPr>
        <w:t xml:space="preserve">شبكات </w:t>
      </w:r>
      <w:r w:rsidR="00E57738">
        <w:rPr>
          <w:rFonts w:hint="cs"/>
          <w:rtl/>
          <w:lang w:bidi="ar-EG"/>
        </w:rPr>
        <w:t>الموصولة بينياً</w:t>
      </w:r>
      <w:r>
        <w:rPr>
          <w:rFonts w:hint="cs"/>
          <w:rtl/>
          <w:lang w:bidi="ar-EG"/>
        </w:rPr>
        <w:t>.</w:t>
      </w:r>
    </w:p>
    <w:p w:rsidR="004C3A03" w:rsidRPr="000B7BCE" w:rsidRDefault="004C3A03" w:rsidP="00652330">
      <w:pPr>
        <w:pStyle w:val="Heading3"/>
        <w:rPr>
          <w:rtl/>
        </w:rPr>
      </w:pPr>
      <w:r>
        <w:t>2</w:t>
      </w:r>
      <w:r w:rsidRPr="000B7BCE">
        <w:rPr>
          <w:rFonts w:hint="cs"/>
          <w:rtl/>
        </w:rPr>
        <w:tab/>
        <w:t>المسألة</w:t>
      </w:r>
    </w:p>
    <w:p w:rsidR="00DA15B8" w:rsidRPr="00777800" w:rsidRDefault="00E57738" w:rsidP="00194464">
      <w:pPr>
        <w:rPr>
          <w:rtl/>
        </w:rPr>
      </w:pPr>
      <w:r w:rsidRPr="00FE4EDC">
        <w:rPr>
          <w:color w:val="000000"/>
          <w:rtl/>
        </w:rPr>
        <w:t xml:space="preserve">الجوانب </w:t>
      </w:r>
      <w:r w:rsidR="00194464">
        <w:rPr>
          <w:rFonts w:hint="cs"/>
          <w:color w:val="000000"/>
          <w:rtl/>
        </w:rPr>
        <w:t>السياساتية</w:t>
      </w:r>
      <w:r>
        <w:rPr>
          <w:rFonts w:hint="cs"/>
          <w:color w:val="000000"/>
          <w:rtl/>
        </w:rPr>
        <w:t xml:space="preserve"> </w:t>
      </w:r>
      <w:r w:rsidR="00194464">
        <w:rPr>
          <w:rFonts w:hint="cs"/>
          <w:color w:val="000000"/>
          <w:rtl/>
        </w:rPr>
        <w:t>و</w:t>
      </w:r>
      <w:r w:rsidRPr="00FE4EDC">
        <w:rPr>
          <w:color w:val="000000"/>
          <w:rtl/>
        </w:rPr>
        <w:t xml:space="preserve">التنظيمية </w:t>
      </w:r>
      <w:r w:rsidRPr="00FE4EDC">
        <w:rPr>
          <w:rFonts w:hint="cs"/>
          <w:rtl/>
        </w:rPr>
        <w:t>لجودة الخدمة</w:t>
      </w:r>
      <w:r w:rsidR="00A100BE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QoS</w:t>
      </w:r>
      <w:proofErr w:type="spellEnd"/>
      <w:r w:rsidRPr="00FE4EDC">
        <w:t>)</w:t>
      </w:r>
      <w:r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A100BE">
        <w:rPr>
          <w:rFonts w:hint="eastAsia"/>
          <w:rtl/>
        </w:rPr>
        <w:t> </w:t>
      </w:r>
      <w:r w:rsidRPr="00FE4EDC">
        <w:t>(</w:t>
      </w:r>
      <w:proofErr w:type="spellStart"/>
      <w:r w:rsidRPr="00FE4EDC">
        <w:t>QoE</w:t>
      </w:r>
      <w:proofErr w:type="spellEnd"/>
      <w:r w:rsidRPr="00FE4EDC">
        <w:t>)</w:t>
      </w:r>
      <w:r>
        <w:rPr>
          <w:rFonts w:hint="cs"/>
          <w:rtl/>
        </w:rPr>
        <w:t>.</w:t>
      </w:r>
    </w:p>
    <w:p w:rsidR="00777800" w:rsidRDefault="00777800" w:rsidP="00652330">
      <w:pPr>
        <w:pStyle w:val="Heading3"/>
        <w:rPr>
          <w:rtl/>
        </w:rPr>
      </w:pPr>
      <w:r>
        <w:t>3</w:t>
      </w:r>
      <w:r>
        <w:rPr>
          <w:rFonts w:hint="cs"/>
          <w:rtl/>
        </w:rPr>
        <w:tab/>
        <w:t>المهام</w:t>
      </w:r>
    </w:p>
    <w:p w:rsidR="00777800" w:rsidRDefault="00E57738" w:rsidP="00A100BE">
      <w:pPr>
        <w:rPr>
          <w:rtl/>
          <w:lang w:bidi="ar-EG"/>
        </w:rPr>
      </w:pPr>
      <w:r>
        <w:rPr>
          <w:rFonts w:hint="cs"/>
          <w:rtl/>
          <w:lang w:bidi="ar-EG"/>
        </w:rPr>
        <w:t>ينبغي أن تشمل الدراسة في لجنة الدراسات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جميع القضايا المتصلة بالسياسات والقضايا التنظيمية لجودة الخدمات باعتبار أن لجنة الدراسات</w:t>
      </w:r>
      <w:r w:rsidR="00A100BE"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قامت بالفعل بتغطية الجوانب التقنية</w:t>
      </w:r>
      <w:r w:rsidR="00777800">
        <w:rPr>
          <w:rFonts w:hint="cs"/>
          <w:rtl/>
          <w:lang w:bidi="ar-EG"/>
        </w:rPr>
        <w:t>.</w:t>
      </w:r>
    </w:p>
    <w:p w:rsidR="00777800" w:rsidRDefault="00777800" w:rsidP="00777800">
      <w:pPr>
        <w:rPr>
          <w:rtl/>
          <w:lang w:bidi="ar-EG"/>
        </w:rPr>
      </w:pPr>
      <w:r>
        <w:rPr>
          <w:rFonts w:hint="cs"/>
          <w:rtl/>
          <w:lang w:bidi="ar-EG"/>
        </w:rPr>
        <w:t>ينبغي عند دراسة هذه المسألة إيلاء اهتمام خاص وواضح لاحتياجات البلدان النامية، خاصة أقل البلدان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نمواً.</w:t>
      </w:r>
    </w:p>
    <w:p w:rsidR="00777800" w:rsidRDefault="00777800" w:rsidP="00777800">
      <w:pPr>
        <w:rPr>
          <w:rtl/>
          <w:lang w:bidi="ar-EG"/>
        </w:rPr>
      </w:pPr>
      <w:r>
        <w:rPr>
          <w:rFonts w:hint="cs"/>
          <w:rtl/>
          <w:lang w:bidi="ar-EG"/>
        </w:rPr>
        <w:t>وينبغي في هذا الصدد إدراج الموضوعات الدولية و/أو الإقليمية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</w:rPr>
        <w:t>التالية</w:t>
      </w:r>
      <w:r>
        <w:rPr>
          <w:rFonts w:hint="cs"/>
          <w:rtl/>
          <w:lang w:bidi="ar-EG"/>
        </w:rPr>
        <w:t>:</w:t>
      </w:r>
    </w:p>
    <w:p w:rsidR="00777800" w:rsidRDefault="00777800" w:rsidP="00EE5E5E">
      <w:pPr>
        <w:rPr>
          <w:rtl/>
        </w:rPr>
      </w:pPr>
      <w:r>
        <w:rPr>
          <w:lang w:bidi="ar-EG"/>
        </w:rPr>
        <w:t>(1</w:t>
      </w:r>
      <w:r>
        <w:rPr>
          <w:rFonts w:hint="cs"/>
          <w:rtl/>
        </w:rPr>
        <w:tab/>
      </w:r>
      <w:r w:rsidR="00E57738">
        <w:rPr>
          <w:rFonts w:hint="cs"/>
          <w:rtl/>
          <w:lang w:bidi="ar-EG"/>
        </w:rPr>
        <w:t xml:space="preserve">المبادئ التوجيهية المتعلقة بالسياسة من أجل </w:t>
      </w:r>
      <w:r w:rsidR="00E57738" w:rsidRPr="00FE4EDC">
        <w:rPr>
          <w:rFonts w:hint="cs"/>
          <w:rtl/>
        </w:rPr>
        <w:t>جودة الخدمة</w:t>
      </w:r>
      <w:r w:rsidR="00A100BE">
        <w:rPr>
          <w:rFonts w:hint="eastAsia"/>
          <w:rtl/>
        </w:rPr>
        <w:t> </w:t>
      </w:r>
      <w:r w:rsidR="00E57738" w:rsidRPr="00FE4EDC">
        <w:t>(</w:t>
      </w:r>
      <w:proofErr w:type="spellStart"/>
      <w:r w:rsidR="00E57738" w:rsidRPr="00FE4EDC">
        <w:t>QoS</w:t>
      </w:r>
      <w:proofErr w:type="spellEnd"/>
      <w:r w:rsidR="00E57738" w:rsidRPr="00FE4EDC">
        <w:t>)</w:t>
      </w:r>
      <w:r w:rsidR="00E57738"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A100BE">
        <w:rPr>
          <w:rFonts w:hint="eastAsia"/>
          <w:rtl/>
        </w:rPr>
        <w:t> </w:t>
      </w:r>
      <w:r w:rsidR="00E57738" w:rsidRPr="00FE4EDC">
        <w:t>(</w:t>
      </w:r>
      <w:proofErr w:type="spellStart"/>
      <w:r w:rsidR="00E57738" w:rsidRPr="00FE4EDC">
        <w:t>QoE</w:t>
      </w:r>
      <w:proofErr w:type="spellEnd"/>
      <w:r w:rsidR="00E57738" w:rsidRPr="00FE4EDC">
        <w:t>)</w:t>
      </w:r>
      <w:r w:rsidR="00E57738">
        <w:rPr>
          <w:rFonts w:hint="cs"/>
          <w:rtl/>
        </w:rPr>
        <w:t>؛</w:t>
      </w:r>
    </w:p>
    <w:p w:rsidR="00777800" w:rsidRDefault="00777800" w:rsidP="00EE5E5E">
      <w:pPr>
        <w:rPr>
          <w:rtl/>
          <w:lang w:bidi="ar-EG"/>
        </w:rPr>
      </w:pPr>
      <w:r>
        <w:rPr>
          <w:lang w:bidi="ar-EG"/>
        </w:rPr>
        <w:t>(2</w:t>
      </w:r>
      <w:r w:rsidR="00E57738">
        <w:rPr>
          <w:rFonts w:hint="cs"/>
          <w:rtl/>
          <w:lang w:bidi="ar-EG"/>
        </w:rPr>
        <w:tab/>
        <w:t>تحديد الأهداف التنظيمية للهيئات التنظيمية</w:t>
      </w:r>
      <w:r>
        <w:rPr>
          <w:rFonts w:hint="cs"/>
          <w:rtl/>
        </w:rPr>
        <w:t>؛</w:t>
      </w:r>
    </w:p>
    <w:p w:rsidR="00777800" w:rsidRDefault="00777800" w:rsidP="00EE5E5E">
      <w:pPr>
        <w:rPr>
          <w:rtl/>
        </w:rPr>
      </w:pPr>
      <w:r>
        <w:rPr>
          <w:lang w:bidi="ar-EG"/>
        </w:rPr>
        <w:t>(3</w:t>
      </w:r>
      <w:r>
        <w:rPr>
          <w:lang w:bidi="ar-EG"/>
        </w:rPr>
        <w:tab/>
      </w:r>
      <w:r w:rsidR="008B65EE">
        <w:rPr>
          <w:rFonts w:hint="cs"/>
          <w:rtl/>
          <w:lang w:bidi="ar-EG"/>
        </w:rPr>
        <w:t>المراقبة والقياس في مجال التنظيم</w:t>
      </w:r>
      <w:r>
        <w:rPr>
          <w:rFonts w:hint="cs"/>
          <w:rtl/>
        </w:rPr>
        <w:t>؛</w:t>
      </w:r>
    </w:p>
    <w:p w:rsidR="00777800" w:rsidRDefault="00777800" w:rsidP="00EE5E5E">
      <w:pPr>
        <w:rPr>
          <w:rtl/>
        </w:rPr>
      </w:pPr>
      <w:r>
        <w:rPr>
          <w:lang w:bidi="ar-EG"/>
        </w:rPr>
        <w:lastRenderedPageBreak/>
        <w:t>(4</w:t>
      </w:r>
      <w:r>
        <w:rPr>
          <w:rFonts w:hint="cs"/>
          <w:rtl/>
        </w:rPr>
        <w:tab/>
      </w:r>
      <w:r w:rsidR="008B65EE">
        <w:rPr>
          <w:rFonts w:hint="cs"/>
          <w:rtl/>
          <w:lang w:bidi="ar-EG"/>
        </w:rPr>
        <w:t>التدابير الخاصة بالامتثال</w:t>
      </w:r>
      <w:r>
        <w:rPr>
          <w:rFonts w:hint="cs"/>
          <w:rtl/>
        </w:rPr>
        <w:t>؛</w:t>
      </w:r>
    </w:p>
    <w:p w:rsidR="00777800" w:rsidRDefault="00777800" w:rsidP="00EE5E5E">
      <w:pPr>
        <w:rPr>
          <w:rtl/>
          <w:lang w:bidi="ar-EG"/>
        </w:rPr>
      </w:pPr>
      <w:r>
        <w:t>(</w:t>
      </w:r>
      <w:r>
        <w:rPr>
          <w:lang w:bidi="ar-EG"/>
        </w:rPr>
        <w:t>5</w:t>
      </w:r>
      <w:r>
        <w:rPr>
          <w:rFonts w:hint="cs"/>
          <w:rtl/>
          <w:lang w:bidi="ar-EG"/>
        </w:rPr>
        <w:tab/>
      </w:r>
      <w:r w:rsidR="008B65EE">
        <w:rPr>
          <w:rFonts w:hint="cs"/>
          <w:rtl/>
          <w:lang w:bidi="ar-EG"/>
        </w:rPr>
        <w:t>حماية المستهلكين</w:t>
      </w:r>
      <w:r>
        <w:rPr>
          <w:rFonts w:hint="cs"/>
          <w:rtl/>
        </w:rPr>
        <w:t>؛</w:t>
      </w:r>
    </w:p>
    <w:p w:rsidR="00777800" w:rsidRDefault="00777800" w:rsidP="00EE5E5E">
      <w:pPr>
        <w:rPr>
          <w:rtl/>
          <w:lang w:bidi="ar-EG"/>
        </w:rPr>
      </w:pPr>
      <w:r>
        <w:rPr>
          <w:lang w:bidi="ar-EG"/>
        </w:rPr>
        <w:t>(6</w:t>
      </w:r>
      <w:r>
        <w:rPr>
          <w:rFonts w:hint="cs"/>
          <w:rtl/>
          <w:lang w:bidi="ar-EG"/>
        </w:rPr>
        <w:tab/>
      </w:r>
      <w:r w:rsidR="008B65EE">
        <w:rPr>
          <w:rFonts w:hint="cs"/>
          <w:rtl/>
          <w:lang w:bidi="ar-EG"/>
        </w:rPr>
        <w:t xml:space="preserve">الآثار الاقتصادية على السياسة المتعلقة </w:t>
      </w:r>
      <w:r w:rsidR="008B65EE" w:rsidRPr="00FE4EDC">
        <w:rPr>
          <w:rFonts w:hint="cs"/>
          <w:rtl/>
        </w:rPr>
        <w:t>جودة الخدمة</w:t>
      </w:r>
      <w:r w:rsidR="00A100BE">
        <w:rPr>
          <w:rFonts w:hint="eastAsia"/>
          <w:rtl/>
        </w:rPr>
        <w:t> </w:t>
      </w:r>
      <w:r w:rsidR="008B65EE" w:rsidRPr="00FE4EDC">
        <w:t>(</w:t>
      </w:r>
      <w:proofErr w:type="spellStart"/>
      <w:r w:rsidR="008B65EE" w:rsidRPr="00FE4EDC">
        <w:t>QoS</w:t>
      </w:r>
      <w:proofErr w:type="spellEnd"/>
      <w:r w:rsidR="008B65EE" w:rsidRPr="00FE4EDC">
        <w:t>)</w:t>
      </w:r>
      <w:r w:rsidR="008B65EE" w:rsidRPr="00FE4EDC">
        <w:rPr>
          <w:rFonts w:hint="cs"/>
          <w:rtl/>
        </w:rPr>
        <w:t xml:space="preserve"> و</w:t>
      </w:r>
      <w:r w:rsidR="006243B2">
        <w:rPr>
          <w:rFonts w:hint="cs"/>
          <w:rtl/>
        </w:rPr>
        <w:t>جودة التجربة</w:t>
      </w:r>
      <w:r w:rsidR="00A100BE">
        <w:rPr>
          <w:rFonts w:hint="eastAsia"/>
          <w:rtl/>
        </w:rPr>
        <w:t> </w:t>
      </w:r>
      <w:r w:rsidR="008B65EE" w:rsidRPr="00FE4EDC">
        <w:t>(</w:t>
      </w:r>
      <w:proofErr w:type="spellStart"/>
      <w:r w:rsidR="008B65EE" w:rsidRPr="00FE4EDC">
        <w:t>QoE</w:t>
      </w:r>
      <w:proofErr w:type="spellEnd"/>
      <w:r w:rsidR="008B65EE" w:rsidRPr="00FE4EDC">
        <w:t>)</w:t>
      </w:r>
      <w:r w:rsidR="008B65EE">
        <w:rPr>
          <w:rFonts w:hint="cs"/>
          <w:rtl/>
        </w:rPr>
        <w:t>.</w:t>
      </w:r>
    </w:p>
    <w:p w:rsidR="00777800" w:rsidRDefault="00777800" w:rsidP="00777800">
      <w:pPr>
        <w:rPr>
          <w:rtl/>
          <w:lang w:bidi="ar-EG"/>
        </w:rPr>
      </w:pPr>
      <w:r>
        <w:rPr>
          <w:rFonts w:hint="cs"/>
          <w:rtl/>
          <w:lang w:bidi="ar-EG"/>
        </w:rPr>
        <w:t>ويمكن دراسة موضوعات أخرى حسب الاقتضاء، تبعاً للمساهمات</w:t>
      </w:r>
      <w:r>
        <w:rPr>
          <w:rFonts w:hint="eastAsia"/>
          <w:spacing w:val="-2"/>
          <w:rtl/>
        </w:rPr>
        <w:t> </w:t>
      </w:r>
      <w:r>
        <w:rPr>
          <w:rFonts w:hint="cs"/>
          <w:rtl/>
          <w:lang w:bidi="ar-EG"/>
        </w:rPr>
        <w:t>المقدمة.</w:t>
      </w:r>
    </w:p>
    <w:p w:rsidR="00777800" w:rsidRDefault="00777800" w:rsidP="00652330">
      <w:pPr>
        <w:pStyle w:val="Heading3"/>
        <w:rPr>
          <w:rtl/>
        </w:rPr>
      </w:pPr>
      <w:r>
        <w:t>4</w:t>
      </w:r>
      <w:r>
        <w:rPr>
          <w:rFonts w:hint="cs"/>
          <w:rtl/>
        </w:rPr>
        <w:tab/>
        <w:t>الروابط</w:t>
      </w:r>
    </w:p>
    <w:p w:rsidR="00A100BE" w:rsidRDefault="00777800" w:rsidP="004A05D1">
      <w:pPr>
        <w:pStyle w:val="enumlev1"/>
        <w:rPr>
          <w:rtl/>
          <w:lang w:bidi="ar-EG"/>
        </w:rPr>
      </w:pPr>
      <w:r w:rsidRPr="00BD0668">
        <w:sym w:font="Symbol" w:char="F02D"/>
      </w:r>
      <w:r w:rsidRPr="00BD0668">
        <w:tab/>
      </w:r>
      <w:r w:rsidR="004A05D1">
        <w:rPr>
          <w:rFonts w:hint="cs"/>
          <w:rtl/>
          <w:lang w:bidi="ar-EG"/>
        </w:rPr>
        <w:t>لجنة الدراسات </w:t>
      </w:r>
      <w:r w:rsidR="004A05D1">
        <w:rPr>
          <w:lang w:bidi="ar-EG"/>
        </w:rPr>
        <w:t>12</w:t>
      </w:r>
      <w:r w:rsidR="004A05D1">
        <w:rPr>
          <w:rFonts w:hint="cs"/>
          <w:rtl/>
          <w:lang w:bidi="ar-EG"/>
        </w:rPr>
        <w:t xml:space="preserve"> لقطاع تقييس الاتصالات</w:t>
      </w:r>
      <w:r>
        <w:rPr>
          <w:rFonts w:hint="cs"/>
          <w:rtl/>
          <w:lang w:bidi="ar-EG"/>
        </w:rPr>
        <w:t>.</w:t>
      </w:r>
    </w:p>
    <w:p w:rsidR="007B421E" w:rsidRPr="007B421E" w:rsidRDefault="007B421E" w:rsidP="007B421E">
      <w:pPr>
        <w:pStyle w:val="Reasons"/>
        <w:rPr>
          <w:rtl/>
          <w:lang w:bidi="ar-EG"/>
        </w:rPr>
      </w:pPr>
    </w:p>
    <w:p w:rsidR="00DA15B8" w:rsidRPr="006B6C85" w:rsidRDefault="00777800" w:rsidP="00A100BE">
      <w:pPr>
        <w:spacing w:before="600" w:line="120" w:lineRule="auto"/>
        <w:jc w:val="center"/>
        <w:rPr>
          <w:rtl/>
        </w:rPr>
      </w:pPr>
      <w:r>
        <w:rPr>
          <w:rFonts w:hint="cs"/>
          <w:rtl/>
          <w:lang w:bidi="ar-EG"/>
        </w:rPr>
        <w:t>___________</w:t>
      </w:r>
    </w:p>
    <w:sectPr w:rsidR="00DA15B8" w:rsidRPr="006B6C85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0F" w:rsidRDefault="0045260F" w:rsidP="00E07379">
      <w:pPr>
        <w:spacing w:before="0" w:line="240" w:lineRule="auto"/>
      </w:pPr>
      <w:r>
        <w:separator/>
      </w:r>
    </w:p>
  </w:endnote>
  <w:endnote w:type="continuationSeparator" w:id="0">
    <w:p w:rsidR="0045260F" w:rsidRDefault="0045260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5E" w:rsidRPr="00777800" w:rsidRDefault="0099495E" w:rsidP="004C0CA0">
    <w:pPr>
      <w:pStyle w:val="Footer"/>
      <w:spacing w:before="0"/>
      <w:rPr>
        <w:szCs w:val="12"/>
        <w:lang w:val="fr-CH"/>
      </w:rPr>
    </w:pPr>
    <w:r w:rsidRPr="0099495E">
      <w:rPr>
        <w:szCs w:val="12"/>
      </w:rPr>
      <w:fldChar w:fldCharType="begin"/>
    </w:r>
    <w:r w:rsidRPr="00777800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 w:rsidR="00B82B5B">
      <w:rPr>
        <w:noProof/>
        <w:szCs w:val="12"/>
        <w:lang w:val="fr-CH"/>
      </w:rPr>
      <w:t>P:\ARA\ITU-T\CONF-T\WTSA16\000\052A.docx</w:t>
    </w:r>
    <w:r w:rsidRPr="0099495E">
      <w:rPr>
        <w:szCs w:val="12"/>
      </w:rPr>
      <w:fldChar w:fldCharType="end"/>
    </w:r>
    <w:r w:rsidRPr="00777800">
      <w:rPr>
        <w:szCs w:val="12"/>
        <w:lang w:val="fr-CH"/>
      </w:rPr>
      <w:t xml:space="preserve">   (</w:t>
    </w:r>
    <w:r w:rsidR="00777800">
      <w:rPr>
        <w:szCs w:val="12"/>
        <w:lang w:val="fr-CH"/>
      </w:rPr>
      <w:t>406002</w:t>
    </w:r>
    <w:r w:rsidRPr="00777800">
      <w:rPr>
        <w:szCs w:val="12"/>
        <w:lang w:val="fr-CH"/>
      </w:rPr>
      <w:t>)</w:t>
    </w:r>
    <w:r w:rsidR="001922D7" w:rsidRPr="00777800">
      <w:rPr>
        <w:szCs w:val="12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5E" w:rsidRPr="007D205E" w:rsidRDefault="007D205E" w:rsidP="00777800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7D205E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 w:rsidR="00B82B5B">
      <w:rPr>
        <w:noProof/>
        <w:szCs w:val="12"/>
        <w:lang w:val="fr-CH"/>
      </w:rPr>
      <w:t>P:\ARA\ITU-T\CONF-T\WTSA16\000\052A.docx</w:t>
    </w:r>
    <w:r w:rsidRPr="0099495E">
      <w:rPr>
        <w:szCs w:val="12"/>
      </w:rPr>
      <w:fldChar w:fldCharType="end"/>
    </w:r>
    <w:r w:rsidRPr="007D205E">
      <w:rPr>
        <w:szCs w:val="12"/>
        <w:lang w:val="fr-CH"/>
      </w:rPr>
      <w:t xml:space="preserve">   (</w:t>
    </w:r>
    <w:r w:rsidR="00777800">
      <w:rPr>
        <w:szCs w:val="12"/>
        <w:lang w:val="fr-CH"/>
      </w:rPr>
      <w:t>406002</w:t>
    </w:r>
    <w:r w:rsidRPr="007D205E">
      <w:rPr>
        <w:szCs w:val="12"/>
        <w:lang w:val="fr-CH"/>
      </w:rPr>
      <w:t xml:space="preserve">) </w:t>
    </w:r>
  </w:p>
  <w:p w:rsidR="00E07379" w:rsidRPr="007D205E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0F" w:rsidRDefault="0045260F" w:rsidP="00E07379">
      <w:pPr>
        <w:spacing w:before="0" w:line="240" w:lineRule="auto"/>
      </w:pPr>
      <w:r>
        <w:separator/>
      </w:r>
    </w:p>
  </w:footnote>
  <w:footnote w:type="continuationSeparator" w:id="0">
    <w:p w:rsidR="0045260F" w:rsidRDefault="0045260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777800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743793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="00DA15B8">
      <w:rPr>
        <w:rStyle w:val="PageNumber"/>
        <w:sz w:val="18"/>
        <w:szCs w:val="18"/>
        <w:rtl/>
      </w:rPr>
      <w:br/>
    </w:r>
    <w:r w:rsidR="00DA15B8" w:rsidRPr="00DA15B8">
      <w:rPr>
        <w:rFonts w:cs="Times New Roman"/>
        <w:sz w:val="18"/>
        <w:szCs w:val="18"/>
      </w:rPr>
      <w:t>WTSA-16/</w:t>
    </w:r>
    <w:r w:rsidR="00777800">
      <w:rPr>
        <w:rFonts w:cs="Times New Roman"/>
        <w:sz w:val="18"/>
        <w:szCs w:val="18"/>
      </w:rPr>
      <w:t>52</w:t>
    </w:r>
    <w:r w:rsidR="00DA15B8" w:rsidRPr="00DA15B8">
      <w:rPr>
        <w:rFonts w:cs="Times New Roman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0F"/>
    <w:rsid w:val="000124CC"/>
    <w:rsid w:val="00046444"/>
    <w:rsid w:val="0006023B"/>
    <w:rsid w:val="000856D5"/>
    <w:rsid w:val="0008638B"/>
    <w:rsid w:val="00090574"/>
    <w:rsid w:val="00092FC2"/>
    <w:rsid w:val="00093AFC"/>
    <w:rsid w:val="000A1677"/>
    <w:rsid w:val="000B2717"/>
    <w:rsid w:val="000B407F"/>
    <w:rsid w:val="000C2B77"/>
    <w:rsid w:val="000F0B1C"/>
    <w:rsid w:val="000F1D42"/>
    <w:rsid w:val="000F4D07"/>
    <w:rsid w:val="00102A03"/>
    <w:rsid w:val="001040A3"/>
    <w:rsid w:val="001501C7"/>
    <w:rsid w:val="0015525F"/>
    <w:rsid w:val="00157F05"/>
    <w:rsid w:val="00161762"/>
    <w:rsid w:val="00171492"/>
    <w:rsid w:val="00173915"/>
    <w:rsid w:val="001922D7"/>
    <w:rsid w:val="00194464"/>
    <w:rsid w:val="001F79D0"/>
    <w:rsid w:val="0022345D"/>
    <w:rsid w:val="00225854"/>
    <w:rsid w:val="00227EBA"/>
    <w:rsid w:val="002305B5"/>
    <w:rsid w:val="0023283D"/>
    <w:rsid w:val="00252E0C"/>
    <w:rsid w:val="00276881"/>
    <w:rsid w:val="00280178"/>
    <w:rsid w:val="002978F4"/>
    <w:rsid w:val="002A3346"/>
    <w:rsid w:val="002A743C"/>
    <w:rsid w:val="002B028D"/>
    <w:rsid w:val="002B435E"/>
    <w:rsid w:val="002C3FC3"/>
    <w:rsid w:val="002C4DAE"/>
    <w:rsid w:val="002D06A2"/>
    <w:rsid w:val="002E6541"/>
    <w:rsid w:val="002F5560"/>
    <w:rsid w:val="00303AE8"/>
    <w:rsid w:val="0030486B"/>
    <w:rsid w:val="003231B9"/>
    <w:rsid w:val="0032574B"/>
    <w:rsid w:val="003275AC"/>
    <w:rsid w:val="00333D29"/>
    <w:rsid w:val="0034066D"/>
    <w:rsid w:val="003409F4"/>
    <w:rsid w:val="00341E03"/>
    <w:rsid w:val="003452C1"/>
    <w:rsid w:val="00357185"/>
    <w:rsid w:val="003607AA"/>
    <w:rsid w:val="00360EB9"/>
    <w:rsid w:val="00371946"/>
    <w:rsid w:val="00374DAF"/>
    <w:rsid w:val="00377E1A"/>
    <w:rsid w:val="003A1508"/>
    <w:rsid w:val="003C1605"/>
    <w:rsid w:val="003C1FFB"/>
    <w:rsid w:val="003C38F9"/>
    <w:rsid w:val="003C475F"/>
    <w:rsid w:val="003E4132"/>
    <w:rsid w:val="003E5659"/>
    <w:rsid w:val="003F678F"/>
    <w:rsid w:val="0042686F"/>
    <w:rsid w:val="004367CE"/>
    <w:rsid w:val="00443869"/>
    <w:rsid w:val="0045260F"/>
    <w:rsid w:val="004712C6"/>
    <w:rsid w:val="004847F5"/>
    <w:rsid w:val="00497703"/>
    <w:rsid w:val="004A05D1"/>
    <w:rsid w:val="004A589A"/>
    <w:rsid w:val="004B41A6"/>
    <w:rsid w:val="004C0CA0"/>
    <w:rsid w:val="004C3A03"/>
    <w:rsid w:val="004F0F06"/>
    <w:rsid w:val="004F39B8"/>
    <w:rsid w:val="00501E0E"/>
    <w:rsid w:val="00507ECF"/>
    <w:rsid w:val="005102A0"/>
    <w:rsid w:val="005204D7"/>
    <w:rsid w:val="00552BC5"/>
    <w:rsid w:val="0055516A"/>
    <w:rsid w:val="0056374C"/>
    <w:rsid w:val="0056614F"/>
    <w:rsid w:val="0057656F"/>
    <w:rsid w:val="00576731"/>
    <w:rsid w:val="0059285F"/>
    <w:rsid w:val="00597885"/>
    <w:rsid w:val="005A24B1"/>
    <w:rsid w:val="005A7A5E"/>
    <w:rsid w:val="005B17A6"/>
    <w:rsid w:val="005B7B8A"/>
    <w:rsid w:val="005D6476"/>
    <w:rsid w:val="005D6C0D"/>
    <w:rsid w:val="005E5283"/>
    <w:rsid w:val="005E58F5"/>
    <w:rsid w:val="00606660"/>
    <w:rsid w:val="006157A3"/>
    <w:rsid w:val="00620E60"/>
    <w:rsid w:val="006243B2"/>
    <w:rsid w:val="0063315A"/>
    <w:rsid w:val="00652330"/>
    <w:rsid w:val="0065591D"/>
    <w:rsid w:val="00662C5A"/>
    <w:rsid w:val="00670AF5"/>
    <w:rsid w:val="006913C8"/>
    <w:rsid w:val="006A44DD"/>
    <w:rsid w:val="006A68A2"/>
    <w:rsid w:val="006B6C85"/>
    <w:rsid w:val="006C1556"/>
    <w:rsid w:val="006C5751"/>
    <w:rsid w:val="006F267F"/>
    <w:rsid w:val="006F63F7"/>
    <w:rsid w:val="006F6F03"/>
    <w:rsid w:val="00706D7A"/>
    <w:rsid w:val="00726AEC"/>
    <w:rsid w:val="00731EE5"/>
    <w:rsid w:val="007370F2"/>
    <w:rsid w:val="0073765A"/>
    <w:rsid w:val="00743793"/>
    <w:rsid w:val="007530CA"/>
    <w:rsid w:val="00760F8D"/>
    <w:rsid w:val="00767B3A"/>
    <w:rsid w:val="00771D2A"/>
    <w:rsid w:val="00777800"/>
    <w:rsid w:val="00781182"/>
    <w:rsid w:val="00793BC1"/>
    <w:rsid w:val="0079553D"/>
    <w:rsid w:val="007A2B9E"/>
    <w:rsid w:val="007B01CC"/>
    <w:rsid w:val="007B421E"/>
    <w:rsid w:val="007D205E"/>
    <w:rsid w:val="007E3E56"/>
    <w:rsid w:val="007F646C"/>
    <w:rsid w:val="00801FCD"/>
    <w:rsid w:val="00803D7E"/>
    <w:rsid w:val="00803F08"/>
    <w:rsid w:val="0081483A"/>
    <w:rsid w:val="008235CD"/>
    <w:rsid w:val="00823A07"/>
    <w:rsid w:val="00835FEC"/>
    <w:rsid w:val="008513CB"/>
    <w:rsid w:val="00874D9C"/>
    <w:rsid w:val="008A1810"/>
    <w:rsid w:val="008B2B5D"/>
    <w:rsid w:val="008B65EE"/>
    <w:rsid w:val="008D2BF5"/>
    <w:rsid w:val="008D6B7D"/>
    <w:rsid w:val="008D731B"/>
    <w:rsid w:val="009039FD"/>
    <w:rsid w:val="009110F3"/>
    <w:rsid w:val="00917694"/>
    <w:rsid w:val="009263CD"/>
    <w:rsid w:val="00930E6D"/>
    <w:rsid w:val="00963F18"/>
    <w:rsid w:val="00971DD2"/>
    <w:rsid w:val="00972CA2"/>
    <w:rsid w:val="0098159C"/>
    <w:rsid w:val="00982A75"/>
    <w:rsid w:val="00982B28"/>
    <w:rsid w:val="00984EA5"/>
    <w:rsid w:val="00992593"/>
    <w:rsid w:val="0099495E"/>
    <w:rsid w:val="009C17E1"/>
    <w:rsid w:val="009C35ED"/>
    <w:rsid w:val="009D3F51"/>
    <w:rsid w:val="009F1C12"/>
    <w:rsid w:val="009F2F38"/>
    <w:rsid w:val="00A05E9D"/>
    <w:rsid w:val="00A071CD"/>
    <w:rsid w:val="00A100BE"/>
    <w:rsid w:val="00A25754"/>
    <w:rsid w:val="00A25A43"/>
    <w:rsid w:val="00A3295B"/>
    <w:rsid w:val="00A40266"/>
    <w:rsid w:val="00A42AE5"/>
    <w:rsid w:val="00A52B61"/>
    <w:rsid w:val="00A64820"/>
    <w:rsid w:val="00A71DD6"/>
    <w:rsid w:val="00A723C7"/>
    <w:rsid w:val="00A77563"/>
    <w:rsid w:val="00A80E11"/>
    <w:rsid w:val="00A84BEF"/>
    <w:rsid w:val="00A97F94"/>
    <w:rsid w:val="00AB1309"/>
    <w:rsid w:val="00AB7B12"/>
    <w:rsid w:val="00AC2C52"/>
    <w:rsid w:val="00AD1503"/>
    <w:rsid w:val="00AD5C6D"/>
    <w:rsid w:val="00AE7244"/>
    <w:rsid w:val="00AF3FEE"/>
    <w:rsid w:val="00B02F46"/>
    <w:rsid w:val="00B058EA"/>
    <w:rsid w:val="00B17797"/>
    <w:rsid w:val="00B2000C"/>
    <w:rsid w:val="00B20ADE"/>
    <w:rsid w:val="00B21886"/>
    <w:rsid w:val="00B32007"/>
    <w:rsid w:val="00B57D7B"/>
    <w:rsid w:val="00B66B9A"/>
    <w:rsid w:val="00B7310D"/>
    <w:rsid w:val="00B82089"/>
    <w:rsid w:val="00B82B5B"/>
    <w:rsid w:val="00B970AE"/>
    <w:rsid w:val="00BA1427"/>
    <w:rsid w:val="00BB2742"/>
    <w:rsid w:val="00BE3C8F"/>
    <w:rsid w:val="00BE49D0"/>
    <w:rsid w:val="00BF2C38"/>
    <w:rsid w:val="00C1547A"/>
    <w:rsid w:val="00C23331"/>
    <w:rsid w:val="00C26527"/>
    <w:rsid w:val="00C265DA"/>
    <w:rsid w:val="00C37AD1"/>
    <w:rsid w:val="00C442F2"/>
    <w:rsid w:val="00C54EB6"/>
    <w:rsid w:val="00C674FE"/>
    <w:rsid w:val="00C7297D"/>
    <w:rsid w:val="00C75633"/>
    <w:rsid w:val="00C8242E"/>
    <w:rsid w:val="00C82615"/>
    <w:rsid w:val="00C867DB"/>
    <w:rsid w:val="00C8705F"/>
    <w:rsid w:val="00C900E5"/>
    <w:rsid w:val="00CA2A38"/>
    <w:rsid w:val="00CA50FF"/>
    <w:rsid w:val="00CB436B"/>
    <w:rsid w:val="00CC3CD2"/>
    <w:rsid w:val="00CC43BE"/>
    <w:rsid w:val="00CD098D"/>
    <w:rsid w:val="00CD123C"/>
    <w:rsid w:val="00CD2085"/>
    <w:rsid w:val="00CE2EE1"/>
    <w:rsid w:val="00CE4B62"/>
    <w:rsid w:val="00CF3FFD"/>
    <w:rsid w:val="00CF4E88"/>
    <w:rsid w:val="00D0494C"/>
    <w:rsid w:val="00D14BEB"/>
    <w:rsid w:val="00D21C89"/>
    <w:rsid w:val="00D244C1"/>
    <w:rsid w:val="00D45542"/>
    <w:rsid w:val="00D47467"/>
    <w:rsid w:val="00D77D0F"/>
    <w:rsid w:val="00DA15B8"/>
    <w:rsid w:val="00DA1CF0"/>
    <w:rsid w:val="00DB2271"/>
    <w:rsid w:val="00DB5659"/>
    <w:rsid w:val="00DC24B4"/>
    <w:rsid w:val="00DD7A05"/>
    <w:rsid w:val="00DF16DC"/>
    <w:rsid w:val="00DF5361"/>
    <w:rsid w:val="00DF7410"/>
    <w:rsid w:val="00E00547"/>
    <w:rsid w:val="00E009A1"/>
    <w:rsid w:val="00E00D15"/>
    <w:rsid w:val="00E071BE"/>
    <w:rsid w:val="00E07379"/>
    <w:rsid w:val="00E14494"/>
    <w:rsid w:val="00E17033"/>
    <w:rsid w:val="00E32189"/>
    <w:rsid w:val="00E45211"/>
    <w:rsid w:val="00E4696E"/>
    <w:rsid w:val="00E53CD7"/>
    <w:rsid w:val="00E57738"/>
    <w:rsid w:val="00E62817"/>
    <w:rsid w:val="00E7380C"/>
    <w:rsid w:val="00E744B8"/>
    <w:rsid w:val="00E74BE7"/>
    <w:rsid w:val="00E86CC9"/>
    <w:rsid w:val="00E96624"/>
    <w:rsid w:val="00EB0ED9"/>
    <w:rsid w:val="00EE5E5E"/>
    <w:rsid w:val="00F126F1"/>
    <w:rsid w:val="00F2106A"/>
    <w:rsid w:val="00F36D8B"/>
    <w:rsid w:val="00F401D0"/>
    <w:rsid w:val="00F41685"/>
    <w:rsid w:val="00F45F2B"/>
    <w:rsid w:val="00F55133"/>
    <w:rsid w:val="00F57AE4"/>
    <w:rsid w:val="00F67150"/>
    <w:rsid w:val="00F84366"/>
    <w:rsid w:val="00F85089"/>
    <w:rsid w:val="00F85564"/>
    <w:rsid w:val="00F86CFA"/>
    <w:rsid w:val="00FB53B8"/>
    <w:rsid w:val="00FD58BD"/>
    <w:rsid w:val="00FE3EF8"/>
    <w:rsid w:val="00FE4EDC"/>
    <w:rsid w:val="00FF369A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A566BA5-D9A1-4866-8038-0F51F990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uiPriority w:val="59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B82B5B"/>
    <w:pPr>
      <w:tabs>
        <w:tab w:val="left" w:pos="113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996b2e75-67fd-4955-a3b0-5ab9934cb50b"/>
    <ds:schemaRef ds:uri="d6ccb226-76c8-4b95-9c71-7cb3ef55d78f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D08D0-232D-4AA6-BCC8-855BDD62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DPM_v2016.9.28.1_prod</cp:keywords>
  <dc:description>Template used by DPM and CPI for the WTSA-16</dc:description>
  <cp:lastModifiedBy>Awad, Samy</cp:lastModifiedBy>
  <cp:revision>26</cp:revision>
  <cp:lastPrinted>2016-10-13T13:01:00Z</cp:lastPrinted>
  <dcterms:created xsi:type="dcterms:W3CDTF">2016-10-14T09:29:00Z</dcterms:created>
  <dcterms:modified xsi:type="dcterms:W3CDTF">2016-10-14T13:51:00Z</dcterms:modified>
  <cp:category>Conference document</cp:category>
</cp:coreProperties>
</file>