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EE02CB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EE02CB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EE02CB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EE02CB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EE02CB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EE02CB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EE02C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EE02CB">
            <w:pPr>
              <w:pStyle w:val="Committee"/>
              <w:framePr w:hSpace="0" w:wrap="auto" w:hAnchor="text" w:yAlign="inline"/>
              <w:spacing w:line="240" w:lineRule="auto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EE02C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1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51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EE02C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EE02C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3 de octubre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EE02CB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EE02C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EE02C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EE02CB">
            <w:pPr>
              <w:pStyle w:val="Source"/>
            </w:pPr>
            <w:r w:rsidRPr="0002785D">
              <w:rPr>
                <w:lang w:val="en-US"/>
              </w:rPr>
              <w:t>Canadá</w:t>
            </w:r>
          </w:p>
        </w:tc>
      </w:tr>
      <w:tr w:rsidR="00E83D45" w:rsidRPr="00EE02CB" w:rsidTr="004B520A">
        <w:trPr>
          <w:cantSplit/>
        </w:trPr>
        <w:tc>
          <w:tcPr>
            <w:tcW w:w="9811" w:type="dxa"/>
            <w:gridSpan w:val="4"/>
          </w:tcPr>
          <w:p w:rsidR="00E83D45" w:rsidRPr="00EE02CB" w:rsidRDefault="00EE02CB" w:rsidP="00EE02CB">
            <w:pPr>
              <w:pStyle w:val="Title1"/>
            </w:pPr>
            <w:r>
              <w:t>propuesta de supresión de la RESOLUCIÓN</w:t>
            </w:r>
            <w:r w:rsidR="00E83D45" w:rsidRPr="00EE02CB">
              <w:t xml:space="preserve"> 77 </w:t>
            </w:r>
            <w:r w:rsidR="00275B8C">
              <w:t>–</w:t>
            </w:r>
            <w:r w:rsidR="00E83D45" w:rsidRPr="00EE02CB">
              <w:t xml:space="preserve"> </w:t>
            </w:r>
            <w:r w:rsidRPr="00EE02CB">
              <w:t>Normalización de las redes definidas por software en el Sector</w:t>
            </w:r>
            <w:r>
              <w:t xml:space="preserve"> </w:t>
            </w:r>
            <w:r w:rsidRPr="00EE02CB">
              <w:t>de Normalización de las Telecomunicaciones de la UIT</w:t>
            </w:r>
          </w:p>
        </w:tc>
      </w:tr>
      <w:tr w:rsidR="00E83D45" w:rsidRPr="00EE02CB" w:rsidTr="004B520A">
        <w:trPr>
          <w:cantSplit/>
        </w:trPr>
        <w:tc>
          <w:tcPr>
            <w:tcW w:w="9811" w:type="dxa"/>
            <w:gridSpan w:val="4"/>
          </w:tcPr>
          <w:p w:rsidR="00E83D45" w:rsidRPr="00EE02CB" w:rsidRDefault="00E83D45" w:rsidP="00EE02CB">
            <w:pPr>
              <w:pStyle w:val="Title2"/>
            </w:pPr>
          </w:p>
        </w:tc>
      </w:tr>
    </w:tbl>
    <w:p w:rsidR="006B0F54" w:rsidRPr="00EE02CB" w:rsidRDefault="006B0F54" w:rsidP="00031071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FC3528" w:rsidRDefault="00045DBB" w:rsidP="0064597E">
                <w:pPr>
                  <w:rPr>
                    <w:color w:val="000000" w:themeColor="text1"/>
                  </w:rPr>
                </w:pPr>
                <w:r w:rsidRPr="0090452A">
                  <w:t>En consonancia con las directrices</w:t>
                </w:r>
                <w:r>
                  <w:t xml:space="preserve"> propuestas por</w:t>
                </w:r>
                <w:r w:rsidRPr="0090452A">
                  <w:t xml:space="preserve"> el Director de la TSB </w:t>
                </w:r>
                <w:r>
                  <w:t>para reducir el número y la extensión de las Resoluciones de la AMNT</w:t>
                </w:r>
                <w:r w:rsidRPr="0090452A">
                  <w:t xml:space="preserve"> (</w:t>
                </w:r>
                <w:r>
                  <w:t xml:space="preserve">véase el </w:t>
                </w:r>
                <w:r w:rsidRPr="0090452A">
                  <w:t>D</w:t>
                </w:r>
                <w:r>
                  <w:t>T</w:t>
                </w:r>
                <w:r w:rsidRPr="0090452A">
                  <w:t>532</w:t>
                </w:r>
                <w:r>
                  <w:t xml:space="preserve"> del GANT</w:t>
                </w:r>
                <w:r w:rsidRPr="0090452A">
                  <w:t>), en particular</w:t>
                </w:r>
                <w:r>
                  <w:t xml:space="preserve">, con aquellas encaminadas a la supresión de las </w:t>
                </w:r>
                <w:r w:rsidR="005914D5">
                  <w:t xml:space="preserve">Resoluciones </w:t>
                </w:r>
                <w:r>
                  <w:t>en que se</w:t>
                </w:r>
                <w:r w:rsidRPr="0090452A">
                  <w:t xml:space="preserve"> describen trabajo</w:t>
                </w:r>
                <w:r>
                  <w:t>s</w:t>
                </w:r>
                <w:r w:rsidRPr="0090452A">
                  <w:t xml:space="preserve"> </w:t>
                </w:r>
                <w:r>
                  <w:t>concluidos</w:t>
                </w:r>
                <w:r w:rsidRPr="0090452A">
                  <w:t xml:space="preserve">, Canadá </w:t>
                </w:r>
                <w:r>
                  <w:t>señala que</w:t>
                </w:r>
                <w:r w:rsidRPr="0090452A">
                  <w:t xml:space="preserve"> la Resolución 77 no será necesaria en el próximo per</w:t>
                </w:r>
                <w:r w:rsidR="0064597E">
                  <w:t>i</w:t>
                </w:r>
                <w:r w:rsidRPr="0090452A">
                  <w:t>odo de estudio</w:t>
                </w:r>
                <w:r>
                  <w:t>s y propone que se suprima en consecuencia</w:t>
                </w:r>
                <w:r w:rsidRPr="0090452A">
                  <w:t xml:space="preserve">. </w:t>
                </w:r>
                <w:r>
                  <w:t>Las diferentes Comisiones de Estudio del UIT-T proseguirán la labor relativa a las</w:t>
                </w:r>
                <w:r w:rsidRPr="0090452A">
                  <w:t xml:space="preserve"> SDN</w:t>
                </w:r>
                <w:r w:rsidR="008E158A">
                  <w:t xml:space="preserve">, de cuya coordinación seguirán encargándose </w:t>
                </w:r>
                <w:r>
                  <w:t>las JCA y las actividades de enlace</w:t>
                </w:r>
                <w:r w:rsidRPr="0090452A">
                  <w:t>.</w:t>
                </w:r>
              </w:p>
            </w:tc>
          </w:sdtContent>
        </w:sdt>
      </w:tr>
    </w:tbl>
    <w:p w:rsidR="00881020" w:rsidRPr="00275B8C" w:rsidRDefault="00881020" w:rsidP="00275B8C">
      <w:pPr>
        <w:pStyle w:val="Headingb"/>
      </w:pPr>
      <w:r w:rsidRPr="00275B8C">
        <w:t>Discus</w:t>
      </w:r>
      <w:r w:rsidR="00EE02CB" w:rsidRPr="00275B8C">
        <w:t>ión</w:t>
      </w:r>
    </w:p>
    <w:p w:rsidR="00F872F3" w:rsidRPr="00F872F3" w:rsidRDefault="00C87EB0" w:rsidP="005914D5">
      <w:r>
        <w:t xml:space="preserve">La AMNT-12 aprobó la Resolución 77, </w:t>
      </w:r>
      <w:r w:rsidR="00045DBB">
        <w:t>en virtud de la cual las a</w:t>
      </w:r>
      <w:r>
        <w:t>ctividades</w:t>
      </w:r>
      <w:r w:rsidR="00045DBB">
        <w:t xml:space="preserve"> en materia de </w:t>
      </w:r>
      <w:r w:rsidR="00045DBB" w:rsidRPr="00EE02CB">
        <w:t>redes definidas por software</w:t>
      </w:r>
      <w:r>
        <w:t xml:space="preserve"> </w:t>
      </w:r>
      <w:r w:rsidR="00045DBB">
        <w:t>(</w:t>
      </w:r>
      <w:r>
        <w:t>SDN</w:t>
      </w:r>
      <w:r w:rsidR="00045DBB">
        <w:t>) cobraron una mayor relevancia</w:t>
      </w:r>
      <w:r>
        <w:t xml:space="preserve"> en </w:t>
      </w:r>
      <w:r w:rsidR="00F872F3" w:rsidRPr="00F872F3">
        <w:t xml:space="preserve">el UIT-T. </w:t>
      </w:r>
      <w:r>
        <w:t xml:space="preserve">El </w:t>
      </w:r>
      <w:r w:rsidR="00F872F3" w:rsidRPr="00F872F3">
        <w:t xml:space="preserve">GANT </w:t>
      </w:r>
      <w:r>
        <w:t>nombró Comisión de Estudio Rectora sobre</w:t>
      </w:r>
      <w:r w:rsidR="00F872F3" w:rsidRPr="00F872F3">
        <w:t xml:space="preserve"> SDN</w:t>
      </w:r>
      <w:r w:rsidRPr="00C87EB0">
        <w:t xml:space="preserve"> </w:t>
      </w:r>
      <w:r>
        <w:t>a la CE</w:t>
      </w:r>
      <w:r w:rsidR="0064597E">
        <w:t> </w:t>
      </w:r>
      <w:r w:rsidRPr="00F872F3">
        <w:t>13</w:t>
      </w:r>
      <w:r>
        <w:t xml:space="preserve">, la cual dispone de una serie de Cuestiones de </w:t>
      </w:r>
      <w:r w:rsidR="005914D5">
        <w:t xml:space="preserve">estudio </w:t>
      </w:r>
      <w:r>
        <w:t>en la materia. La CE</w:t>
      </w:r>
      <w:r w:rsidR="0064597E">
        <w:t> </w:t>
      </w:r>
      <w:r w:rsidR="00F872F3" w:rsidRPr="00F872F3">
        <w:t>15</w:t>
      </w:r>
      <w:r>
        <w:t xml:space="preserve"> ha logrado</w:t>
      </w:r>
      <w:r w:rsidR="00187DF0">
        <w:t xml:space="preserve"> una serie de</w:t>
      </w:r>
      <w:r>
        <w:t xml:space="preserve"> avances </w:t>
      </w:r>
      <w:r w:rsidR="00187DF0">
        <w:t>con respecto a</w:t>
      </w:r>
      <w:r w:rsidR="00045DBB">
        <w:t>l transporte</w:t>
      </w:r>
      <w:r w:rsidR="00045DBB" w:rsidRPr="00F872F3">
        <w:t xml:space="preserve"> </w:t>
      </w:r>
      <w:r w:rsidR="00045DBB">
        <w:t>en</w:t>
      </w:r>
      <w:r>
        <w:t xml:space="preserve"> las SDN </w:t>
      </w:r>
      <w:r w:rsidR="00F872F3" w:rsidRPr="00F872F3">
        <w:t>en</w:t>
      </w:r>
      <w:r>
        <w:t xml:space="preserve"> el marco de</w:t>
      </w:r>
      <w:r w:rsidR="00F872F3" w:rsidRPr="00F872F3">
        <w:t xml:space="preserve"> dos Recomendaciones. Además, el GANT </w:t>
      </w:r>
      <w:r w:rsidR="00674629">
        <w:t xml:space="preserve">creó una </w:t>
      </w:r>
      <w:r w:rsidR="00674629" w:rsidRPr="00674629">
        <w:t>Actividad Conjunta de Coordinación sobre redes definidas por software (JCA-SDN)</w:t>
      </w:r>
      <w:r w:rsidR="00674629">
        <w:t xml:space="preserve">, que </w:t>
      </w:r>
      <w:r w:rsidR="00045DBB">
        <w:t>mantiene informada</w:t>
      </w:r>
      <w:r w:rsidR="00674629">
        <w:t xml:space="preserve"> a la CE</w:t>
      </w:r>
      <w:r w:rsidR="0064597E">
        <w:t> </w:t>
      </w:r>
      <w:r w:rsidR="00F872F3" w:rsidRPr="00F872F3">
        <w:t>13</w:t>
      </w:r>
      <w:r w:rsidR="00674629">
        <w:t xml:space="preserve"> </w:t>
      </w:r>
      <w:r w:rsidR="00045DBB">
        <w:t>con miras a</w:t>
      </w:r>
      <w:r w:rsidR="00674629">
        <w:t xml:space="preserve"> la coordinación de</w:t>
      </w:r>
      <w:r w:rsidR="00F872F3" w:rsidRPr="00F872F3">
        <w:t xml:space="preserve"> las actividades </w:t>
      </w:r>
      <w:r w:rsidR="00674629">
        <w:t xml:space="preserve">en materia </w:t>
      </w:r>
      <w:r w:rsidR="00F872F3" w:rsidRPr="00F872F3">
        <w:t xml:space="preserve">de SDN </w:t>
      </w:r>
      <w:r w:rsidR="00674629">
        <w:t>que realizan las Comisiones de Estudio del UIT-T y otro</w:t>
      </w:r>
      <w:r w:rsidR="00F872F3" w:rsidRPr="00F872F3">
        <w:t xml:space="preserve">s </w:t>
      </w:r>
      <w:r w:rsidR="00674629">
        <w:t>organismo</w:t>
      </w:r>
      <w:r w:rsidR="00045DBB">
        <w:t>s</w:t>
      </w:r>
      <w:r w:rsidR="00F872F3" w:rsidRPr="00F872F3">
        <w:t xml:space="preserve"> de normalización. </w:t>
      </w:r>
      <w:r w:rsidR="00674629">
        <w:t xml:space="preserve">La </w:t>
      </w:r>
      <w:r w:rsidR="00F872F3" w:rsidRPr="00F872F3">
        <w:t>JCA-SDN ha</w:t>
      </w:r>
      <w:r w:rsidR="00674629">
        <w:t xml:space="preserve"> elaborado una hoja de ruta de normas sobre SDN</w:t>
      </w:r>
      <w:r w:rsidR="00F872F3" w:rsidRPr="00F872F3">
        <w:t xml:space="preserve"> y </w:t>
      </w:r>
      <w:r w:rsidR="008E158A">
        <w:t>se encarga del mant</w:t>
      </w:r>
      <w:r w:rsidR="00F872F3" w:rsidRPr="00F872F3">
        <w:t>en</w:t>
      </w:r>
      <w:r w:rsidR="008E158A">
        <w:t xml:space="preserve">imiento de </w:t>
      </w:r>
      <w:r w:rsidR="00674629">
        <w:t>un sitio web</w:t>
      </w:r>
      <w:r w:rsidR="008E158A">
        <w:t xml:space="preserve"> relacionado con este tipo de redes</w:t>
      </w:r>
      <w:r w:rsidR="00F872F3" w:rsidRPr="00F872F3">
        <w:t xml:space="preserve">. </w:t>
      </w:r>
      <w:r w:rsidR="00862546">
        <w:t>D</w:t>
      </w:r>
      <w:r w:rsidR="00674629">
        <w:t>icho sitio</w:t>
      </w:r>
      <w:r w:rsidR="00862546">
        <w:t xml:space="preserve"> contiene información sobre </w:t>
      </w:r>
      <w:r w:rsidR="00F872F3" w:rsidRPr="00F872F3">
        <w:t>numerosos talleres y reuniones</w:t>
      </w:r>
      <w:r w:rsidR="008E158A">
        <w:t xml:space="preserve"> celebrados con arreglo a</w:t>
      </w:r>
      <w:r w:rsidR="00862546">
        <w:t xml:space="preserve"> las</w:t>
      </w:r>
      <w:r w:rsidR="00F872F3" w:rsidRPr="00F872F3">
        <w:t xml:space="preserve"> instrucciones </w:t>
      </w:r>
      <w:r w:rsidR="00862546">
        <w:t>previstas</w:t>
      </w:r>
      <w:r w:rsidR="00F872F3" w:rsidRPr="00F872F3">
        <w:t xml:space="preserve"> en la Resolución 77. </w:t>
      </w:r>
      <w:r w:rsidR="00862546">
        <w:t>Ha llegado la hora de impulsar las actividades relativas a las</w:t>
      </w:r>
      <w:r w:rsidR="00F872F3" w:rsidRPr="00F872F3">
        <w:t xml:space="preserve"> SDN </w:t>
      </w:r>
      <w:r w:rsidR="00862546">
        <w:t>en la CE</w:t>
      </w:r>
      <w:r w:rsidR="0064597E">
        <w:t> </w:t>
      </w:r>
      <w:r w:rsidR="00F872F3" w:rsidRPr="00F872F3">
        <w:t>13,</w:t>
      </w:r>
      <w:r w:rsidR="00862546">
        <w:t xml:space="preserve"> la CE</w:t>
      </w:r>
      <w:r w:rsidR="0064597E">
        <w:t> </w:t>
      </w:r>
      <w:r w:rsidR="00F872F3" w:rsidRPr="00F872F3">
        <w:t>15 y otra</w:t>
      </w:r>
      <w:r w:rsidR="00862546">
        <w:t xml:space="preserve">s Comisiones de Estudios, y proseguir su coordinación </w:t>
      </w:r>
      <w:r w:rsidR="00F872F3" w:rsidRPr="00F872F3">
        <w:t>a través de la</w:t>
      </w:r>
      <w:r w:rsidR="00862546">
        <w:t>s</w:t>
      </w:r>
      <w:r w:rsidR="00F872F3" w:rsidRPr="00F872F3">
        <w:t xml:space="preserve"> JCA y la</w:t>
      </w:r>
      <w:r w:rsidR="00862546">
        <w:t>s</w:t>
      </w:r>
      <w:r w:rsidR="00F872F3" w:rsidRPr="00F872F3">
        <w:t xml:space="preserve"> actividad</w:t>
      </w:r>
      <w:r w:rsidR="00862546">
        <w:t>es</w:t>
      </w:r>
      <w:r w:rsidR="00F872F3" w:rsidRPr="00F872F3">
        <w:t xml:space="preserve"> de </w:t>
      </w:r>
      <w:r w:rsidR="00187DF0">
        <w:t>enlace</w:t>
      </w:r>
      <w:r w:rsidR="00F872F3" w:rsidRPr="00F872F3">
        <w:t>.</w:t>
      </w:r>
    </w:p>
    <w:p w:rsidR="00881020" w:rsidRPr="00EA0ACA" w:rsidRDefault="00F872F3" w:rsidP="0064597E">
      <w:pPr>
        <w:keepNext/>
        <w:keepLines/>
      </w:pPr>
      <w:r w:rsidRPr="00F872F3">
        <w:lastRenderedPageBreak/>
        <w:t>E</w:t>
      </w:r>
      <w:r w:rsidR="00862546">
        <w:t xml:space="preserve">n uno de los párrafos de la parte dispositiva de la </w:t>
      </w:r>
      <w:r w:rsidRPr="00F872F3">
        <w:t>Resolución 77</w:t>
      </w:r>
      <w:r w:rsidR="00862546">
        <w:t xml:space="preserve"> se encarga</w:t>
      </w:r>
      <w:r w:rsidR="00881020" w:rsidRPr="00862546">
        <w:t xml:space="preserve"> a la Comisión de Estudio 13 del UIT-T</w:t>
      </w:r>
      <w:r w:rsidR="00862546">
        <w:t xml:space="preserve"> </w:t>
      </w:r>
      <w:r w:rsidR="00881020" w:rsidRPr="00881020">
        <w:t>que organice las estructuras precisas en el seno de la Comisión de Estudio para ampliar y acelerar el trabajo sobre la arquitect</w:t>
      </w:r>
      <w:r w:rsidR="00862546">
        <w:t xml:space="preserve">ura y los requisitos de las SDN. </w:t>
      </w:r>
      <w:r w:rsidR="00862546" w:rsidRPr="00862546">
        <w:t>Con la inclusi</w:t>
      </w:r>
      <w:r w:rsidR="00862546">
        <w:t xml:space="preserve">ón de la Cuestión </w:t>
      </w:r>
      <w:r w:rsidR="00881020" w:rsidRPr="00862546">
        <w:t>14/13</w:t>
      </w:r>
      <w:r w:rsidR="00862546">
        <w:t xml:space="preserve"> sobre</w:t>
      </w:r>
      <w:r w:rsidR="00881020" w:rsidRPr="00862546">
        <w:t xml:space="preserve"> </w:t>
      </w:r>
      <w:r w:rsidR="0064597E">
        <w:t>"</w:t>
      </w:r>
      <w:r w:rsidR="00881020" w:rsidRPr="00862546">
        <w:t>Conexión en red definida por software y conexión en red dependiente del servicio de las futuras redes</w:t>
      </w:r>
      <w:r w:rsidR="0064597E">
        <w:t>"</w:t>
      </w:r>
      <w:r w:rsidR="00862546">
        <w:t xml:space="preserve"> en </w:t>
      </w:r>
      <w:r w:rsidR="00862546" w:rsidRPr="00862546">
        <w:t>el programa de trabajo de</w:t>
      </w:r>
      <w:r w:rsidR="00862546">
        <w:t xml:space="preserve"> </w:t>
      </w:r>
      <w:r w:rsidR="00862546" w:rsidRPr="00862546">
        <w:t>l</w:t>
      </w:r>
      <w:r w:rsidR="00862546">
        <w:t xml:space="preserve">a Comisión </w:t>
      </w:r>
      <w:r w:rsidR="00862546" w:rsidRPr="00862546">
        <w:t>de Estudio 13,</w:t>
      </w:r>
      <w:r w:rsidR="008E158A">
        <w:t xml:space="preserve"> se ha dado cumplimiento a todas las medidas</w:t>
      </w:r>
      <w:r w:rsidR="00862546" w:rsidRPr="00862546">
        <w:t xml:space="preserve"> co</w:t>
      </w:r>
      <w:r w:rsidR="00EA0ACA">
        <w:t>ntempladas e</w:t>
      </w:r>
      <w:r w:rsidR="00862546" w:rsidRPr="00862546">
        <w:t xml:space="preserve">n la Resolución. </w:t>
      </w:r>
      <w:r w:rsidR="00EA0ACA">
        <w:t>En consecuencia, de conformidad con</w:t>
      </w:r>
      <w:r w:rsidR="00862546" w:rsidRPr="00862546">
        <w:t xml:space="preserve"> las directrices </w:t>
      </w:r>
      <w:r w:rsidR="008E158A">
        <w:t>encaminadas a la supresión de las resoluciones en que se</w:t>
      </w:r>
      <w:r w:rsidR="008E158A" w:rsidRPr="0090452A">
        <w:t xml:space="preserve"> describen trabajo</w:t>
      </w:r>
      <w:r w:rsidR="008E158A">
        <w:t>s</w:t>
      </w:r>
      <w:r w:rsidR="008E158A" w:rsidRPr="0090452A">
        <w:t xml:space="preserve"> </w:t>
      </w:r>
      <w:r w:rsidR="008E158A">
        <w:t>concluidos</w:t>
      </w:r>
      <w:r w:rsidR="008E158A" w:rsidRPr="0090452A">
        <w:t>,</w:t>
      </w:r>
      <w:r w:rsidR="00EA0ACA">
        <w:t xml:space="preserve"> la r</w:t>
      </w:r>
      <w:r w:rsidR="00862546" w:rsidRPr="00862546">
        <w:t>esolución</w:t>
      </w:r>
      <w:r w:rsidR="00EA0ACA">
        <w:t xml:space="preserve"> en materia de</w:t>
      </w:r>
      <w:r w:rsidR="00862546" w:rsidRPr="00862546">
        <w:t xml:space="preserve"> SDN</w:t>
      </w:r>
      <w:r w:rsidR="00EA0ACA">
        <w:t xml:space="preserve"> no será necesaria </w:t>
      </w:r>
      <w:r w:rsidR="00862546" w:rsidRPr="00862546">
        <w:t>en el próximo per</w:t>
      </w:r>
      <w:r w:rsidR="0064597E">
        <w:t>i</w:t>
      </w:r>
      <w:r w:rsidR="00862546" w:rsidRPr="00862546">
        <w:t>odo de estudio</w:t>
      </w:r>
      <w:r w:rsidR="00EA0ACA">
        <w:t>s</w:t>
      </w:r>
      <w:r w:rsidR="00862546" w:rsidRPr="00862546">
        <w:t>.</w:t>
      </w:r>
    </w:p>
    <w:p w:rsidR="00881020" w:rsidRPr="009531C5" w:rsidRDefault="00881020" w:rsidP="00275B8C">
      <w:pPr>
        <w:pStyle w:val="Headingb"/>
      </w:pPr>
      <w:r w:rsidRPr="009531C5">
        <w:t>Prop</w:t>
      </w:r>
      <w:r w:rsidR="00862546">
        <w:t>uesta</w:t>
      </w:r>
    </w:p>
    <w:p w:rsidR="009531C5" w:rsidRPr="003E479C" w:rsidRDefault="009531C5" w:rsidP="00EA0ACA">
      <w:pPr>
        <w:rPr>
          <w:lang w:val="es-ES" w:eastAsia="es-ES"/>
        </w:rPr>
      </w:pPr>
      <w:r w:rsidRPr="003E479C">
        <w:rPr>
          <w:lang w:val="es-ES" w:eastAsia="es-ES"/>
        </w:rPr>
        <w:t xml:space="preserve">La Resolución </w:t>
      </w:r>
      <w:r>
        <w:rPr>
          <w:lang w:val="es-ES" w:eastAsia="es-ES"/>
        </w:rPr>
        <w:t xml:space="preserve">77 </w:t>
      </w:r>
      <w:r w:rsidRPr="003E479C">
        <w:rPr>
          <w:lang w:val="es-ES" w:eastAsia="es-ES"/>
        </w:rPr>
        <w:t>debe suprimirse.</w:t>
      </w:r>
    </w:p>
    <w:p w:rsidR="00B07178" w:rsidRPr="009531C5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531C5">
        <w:br w:type="page"/>
      </w:r>
    </w:p>
    <w:p w:rsidR="00770C72" w:rsidRDefault="00055901">
      <w:pPr>
        <w:pStyle w:val="Proposal"/>
      </w:pPr>
      <w:r>
        <w:lastRenderedPageBreak/>
        <w:t>SUP</w:t>
      </w:r>
      <w:r>
        <w:tab/>
        <w:t>CAN/51A1/1</w:t>
      </w:r>
    </w:p>
    <w:p w:rsidR="00705B93" w:rsidRPr="00477E44" w:rsidRDefault="00055901" w:rsidP="00477E44">
      <w:pPr>
        <w:pStyle w:val="ResNo"/>
      </w:pPr>
      <w:r w:rsidRPr="00477E44">
        <w:t xml:space="preserve">RESOLUCIÓN </w:t>
      </w:r>
      <w:r w:rsidRPr="00477E44">
        <w:rPr>
          <w:rStyle w:val="href"/>
          <w:rFonts w:eastAsia="MS Mincho"/>
        </w:rPr>
        <w:t>77</w:t>
      </w:r>
      <w:r w:rsidRPr="00477E44">
        <w:t xml:space="preserve"> (Dubái, 2012)</w:t>
      </w:r>
    </w:p>
    <w:p w:rsidR="00705B93" w:rsidRPr="0064597E" w:rsidRDefault="00055901" w:rsidP="0064597E">
      <w:pPr>
        <w:pStyle w:val="Restitle"/>
      </w:pPr>
      <w:r w:rsidRPr="0064597E">
        <w:t xml:space="preserve">Normalización de las redes definidas por software en el Sector </w:t>
      </w:r>
      <w:r w:rsidRPr="0064597E">
        <w:br/>
        <w:t>de Normalización de las Telecomunicaciones de la UIT</w:t>
      </w:r>
    </w:p>
    <w:p w:rsidR="00705B93" w:rsidRPr="0064597E" w:rsidRDefault="00055901" w:rsidP="0064597E">
      <w:pPr>
        <w:pStyle w:val="Resref"/>
      </w:pPr>
      <w:r w:rsidRPr="0064597E">
        <w:t>(Dubái, 2012)</w:t>
      </w:r>
    </w:p>
    <w:p w:rsidR="00881020" w:rsidRPr="00674629" w:rsidRDefault="00055901" w:rsidP="0064597E">
      <w:pPr>
        <w:pStyle w:val="Reasons"/>
      </w:pPr>
      <w:r w:rsidRPr="0064597E">
        <w:rPr>
          <w:b/>
          <w:bCs/>
        </w:rPr>
        <w:t>Motivos</w:t>
      </w:r>
      <w:r w:rsidRPr="0064597E">
        <w:t>:</w:t>
      </w:r>
      <w:r w:rsidRPr="008A59A5">
        <w:tab/>
      </w:r>
      <w:r w:rsidR="00881020" w:rsidRPr="008A59A5">
        <w:tab/>
      </w:r>
      <w:r w:rsidR="008A59A5">
        <w:t>Véanse</w:t>
      </w:r>
      <w:r w:rsidR="008A59A5" w:rsidRPr="008A59A5">
        <w:t xml:space="preserve"> las secciones</w:t>
      </w:r>
      <w:r w:rsidR="008A59A5">
        <w:t xml:space="preserve"> relativas a la</w:t>
      </w:r>
      <w:r w:rsidR="008A59A5" w:rsidRPr="008A59A5">
        <w:t xml:space="preserve"> discusión y </w:t>
      </w:r>
      <w:r w:rsidR="008A59A5">
        <w:t xml:space="preserve">la </w:t>
      </w:r>
      <w:r w:rsidR="008A59A5" w:rsidRPr="008A59A5">
        <w:t>propuesta en el Add</w:t>
      </w:r>
      <w:r w:rsidR="0064597E">
        <w:t>é</w:t>
      </w:r>
      <w:r w:rsidR="008A59A5" w:rsidRPr="008A59A5">
        <w:t>ndum 1 al Documento 51.</w:t>
      </w:r>
    </w:p>
    <w:p w:rsidR="00275B8C" w:rsidRDefault="00275B8C" w:rsidP="0032202E">
      <w:pPr>
        <w:pStyle w:val="Reasons"/>
      </w:pPr>
    </w:p>
    <w:p w:rsidR="00275B8C" w:rsidRDefault="00275B8C">
      <w:pPr>
        <w:jc w:val="center"/>
      </w:pPr>
      <w:r>
        <w:t>______________</w:t>
      </w:r>
    </w:p>
    <w:sectPr w:rsidR="00275B8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7E1" w:rsidRDefault="00CE07E1">
      <w:r>
        <w:separator/>
      </w:r>
    </w:p>
  </w:endnote>
  <w:endnote w:type="continuationSeparator" w:id="0">
    <w:p w:rsidR="00CE07E1" w:rsidRDefault="00CE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5B167A">
      <w:rPr>
        <w:noProof/>
        <w:lang w:val="fr-CH"/>
      </w:rPr>
      <w:t>P:\TRAD\S\ITU-T\CONF-T\WTSA16\000\051ADD01 (405804) LIN 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14D5">
      <w:rPr>
        <w:noProof/>
      </w:rPr>
      <w:t>06.10.16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167A">
      <w:rPr>
        <w:noProof/>
      </w:rPr>
      <w:t>06.10.16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901" w:rsidRPr="00275B8C" w:rsidRDefault="00275B8C" w:rsidP="00275B8C">
    <w:pPr>
      <w:pStyle w:val="Footer"/>
      <w:rPr>
        <w:lang w:val="fr-CH"/>
      </w:rPr>
    </w:pPr>
    <w:r>
      <w:fldChar w:fldCharType="begin"/>
    </w:r>
    <w:r w:rsidRPr="00275B8C">
      <w:rPr>
        <w:lang w:val="fr-CH"/>
      </w:rPr>
      <w:instrText xml:space="preserve"> FILENAME \p  \* MERGEFORMAT </w:instrText>
    </w:r>
    <w:r>
      <w:fldChar w:fldCharType="separate"/>
    </w:r>
    <w:r w:rsidRPr="00275B8C">
      <w:rPr>
        <w:lang w:val="fr-CH"/>
      </w:rPr>
      <w:t>P:\ESP\ITU-T\CONF-T\WTSA16\000\051ADD01S.docx</w:t>
    </w:r>
    <w:r>
      <w:fldChar w:fldCharType="end"/>
    </w:r>
    <w:r w:rsidRPr="00275B8C">
      <w:rPr>
        <w:lang w:val="fr-CH"/>
      </w:rPr>
      <w:t xml:space="preserve"> (405804)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275B8C" w:rsidRDefault="00275B8C" w:rsidP="00275B8C">
    <w:pPr>
      <w:pStyle w:val="Footer"/>
      <w:rPr>
        <w:lang w:val="fr-CH"/>
      </w:rPr>
    </w:pPr>
    <w:r>
      <w:fldChar w:fldCharType="begin"/>
    </w:r>
    <w:r w:rsidRPr="00275B8C">
      <w:rPr>
        <w:lang w:val="fr-CH"/>
      </w:rPr>
      <w:instrText xml:space="preserve"> FILENAME \p  \* MERGEFORMAT </w:instrText>
    </w:r>
    <w:r>
      <w:fldChar w:fldCharType="separate"/>
    </w:r>
    <w:r w:rsidRPr="00275B8C">
      <w:rPr>
        <w:lang w:val="fr-CH"/>
      </w:rPr>
      <w:t>P:\ESP\ITU-T\CONF-T\WTSA16\000\051ADD01S.docx</w:t>
    </w:r>
    <w:r>
      <w:fldChar w:fldCharType="end"/>
    </w:r>
    <w:r w:rsidRPr="00275B8C">
      <w:rPr>
        <w:lang w:val="fr-CH"/>
      </w:rPr>
      <w:t xml:space="preserve"> (405804)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7E1" w:rsidRDefault="00CE07E1">
      <w:r>
        <w:rPr>
          <w:b/>
        </w:rPr>
        <w:t>_______________</w:t>
      </w:r>
    </w:p>
  </w:footnote>
  <w:footnote w:type="continuationSeparator" w:id="0">
    <w:p w:rsidR="00CE07E1" w:rsidRDefault="00CE0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914D5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16/51(Add.1)-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31071"/>
    <w:rsid w:val="00045DBB"/>
    <w:rsid w:val="00055901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87DF0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75B8C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30B70"/>
    <w:rsid w:val="00454553"/>
    <w:rsid w:val="00476FB2"/>
    <w:rsid w:val="004B124A"/>
    <w:rsid w:val="004B520A"/>
    <w:rsid w:val="004C3636"/>
    <w:rsid w:val="004C3A5A"/>
    <w:rsid w:val="00523269"/>
    <w:rsid w:val="00532097"/>
    <w:rsid w:val="005659A7"/>
    <w:rsid w:val="00566BEE"/>
    <w:rsid w:val="0058350F"/>
    <w:rsid w:val="005914D5"/>
    <w:rsid w:val="005A374D"/>
    <w:rsid w:val="005B167A"/>
    <w:rsid w:val="005E782D"/>
    <w:rsid w:val="005F2605"/>
    <w:rsid w:val="00622CF7"/>
    <w:rsid w:val="0064597E"/>
    <w:rsid w:val="00662039"/>
    <w:rsid w:val="00662BA0"/>
    <w:rsid w:val="00674629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0C72"/>
    <w:rsid w:val="00786250"/>
    <w:rsid w:val="00790506"/>
    <w:rsid w:val="007952C7"/>
    <w:rsid w:val="007C2317"/>
    <w:rsid w:val="007C39FA"/>
    <w:rsid w:val="007D330A"/>
    <w:rsid w:val="007E667F"/>
    <w:rsid w:val="007F5B2F"/>
    <w:rsid w:val="00862546"/>
    <w:rsid w:val="00866AE6"/>
    <w:rsid w:val="00866BBD"/>
    <w:rsid w:val="00873B75"/>
    <w:rsid w:val="008750A8"/>
    <w:rsid w:val="00881020"/>
    <w:rsid w:val="008A59A5"/>
    <w:rsid w:val="008C5904"/>
    <w:rsid w:val="008E158A"/>
    <w:rsid w:val="008E35DA"/>
    <w:rsid w:val="008E4453"/>
    <w:rsid w:val="0090121B"/>
    <w:rsid w:val="0090452A"/>
    <w:rsid w:val="009144C9"/>
    <w:rsid w:val="00916196"/>
    <w:rsid w:val="0094091F"/>
    <w:rsid w:val="009531C5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12B5"/>
    <w:rsid w:val="00BD5FE4"/>
    <w:rsid w:val="00BE2E80"/>
    <w:rsid w:val="00BE5EDD"/>
    <w:rsid w:val="00BE6A1F"/>
    <w:rsid w:val="00C020DA"/>
    <w:rsid w:val="00C126C4"/>
    <w:rsid w:val="00C614DC"/>
    <w:rsid w:val="00C63EB5"/>
    <w:rsid w:val="00C858D0"/>
    <w:rsid w:val="00C87EB0"/>
    <w:rsid w:val="00CA1F40"/>
    <w:rsid w:val="00CB35C9"/>
    <w:rsid w:val="00CC01E0"/>
    <w:rsid w:val="00CD5FEE"/>
    <w:rsid w:val="00CD663E"/>
    <w:rsid w:val="00CE07E1"/>
    <w:rsid w:val="00CE60D2"/>
    <w:rsid w:val="00D0288A"/>
    <w:rsid w:val="00D54314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A0ACA"/>
    <w:rsid w:val="00EE02CB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872F3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iPriority w:val="99"/>
    <w:unhideWhenUsed/>
    <w:rsid w:val="008810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81020"/>
    <w:rPr>
      <w:color w:val="800080" w:themeColor="followedHyperlink"/>
      <w:u w:val="single"/>
    </w:rPr>
  </w:style>
  <w:style w:type="character" w:customStyle="1" w:styleId="CallChar">
    <w:name w:val="Call Char"/>
    <w:link w:val="Call"/>
    <w:rsid w:val="00881020"/>
    <w:rPr>
      <w:rFonts w:ascii="Times New Roman" w:hAnsi="Times New Roman"/>
      <w:i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EA0A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0AC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372D32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83e530-adea-4023-ac68-ce615cc56d87">Documents Proposals Manager (DPM)</DPM_x0020_Author>
    <DPM_x0020_File_x0020_name xmlns="9383e530-adea-4023-ac68-ce615cc56d87">T13-WTSA.16-C-0051!A1!MSW-S</DPM_x0020_File_x0020_name>
    <DPM_x0020_Version xmlns="9383e530-adea-4023-ac68-ce615cc56d87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83e530-adea-4023-ac68-ce615cc56d87" targetNamespace="http://schemas.microsoft.com/office/2006/metadata/properties" ma:root="true" ma:fieldsID="d41af5c836d734370eb92e7ee5f83852" ns2:_="" ns3:_="">
    <xsd:import namespace="996b2e75-67fd-4955-a3b0-5ab9934cb50b"/>
    <xsd:import namespace="9383e530-adea-4023-ac68-ce615cc56d8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3e530-adea-4023-ac68-ce615cc56d8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terms/"/>
    <ds:schemaRef ds:uri="9383e530-adea-4023-ac68-ce615cc56d87"/>
    <ds:schemaRef ds:uri="http://purl.org/dc/dcmitype/"/>
    <ds:schemaRef ds:uri="http://schemas.microsoft.com/office/2006/documentManagement/types"/>
    <ds:schemaRef ds:uri="996b2e75-67fd-4955-a3b0-5ab9934cb50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83e530-adea-4023-ac68-ce615cc56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630D5-C6E1-471B-A78C-4C4B7451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548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T13-WTSA.16-C-0051!A1!MSW-S</vt:lpstr>
    </vt:vector>
  </TitlesOfParts>
  <Manager>Secretaría General - Pool</Manager>
  <Company>International Telecommunication Union (ITU)</Company>
  <LinksUpToDate>false</LinksUpToDate>
  <CharactersWithSpaces>3303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T13-WTSA.16-C-0051!A1!MSW-S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FHernández</cp:lastModifiedBy>
  <cp:revision>4</cp:revision>
  <cp:lastPrinted>2016-10-06T09:36:00Z</cp:lastPrinted>
  <dcterms:created xsi:type="dcterms:W3CDTF">2016-10-06T12:25:00Z</dcterms:created>
  <dcterms:modified xsi:type="dcterms:W3CDTF">2016-10-07T07:18:00Z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