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97710E" w:rsidTr="004B520A">
        <w:trPr>
          <w:cantSplit/>
        </w:trPr>
        <w:tc>
          <w:tcPr>
            <w:tcW w:w="1379" w:type="dxa"/>
            <w:vAlign w:val="center"/>
          </w:tcPr>
          <w:p w:rsidR="000E5EE9" w:rsidRPr="0097710E" w:rsidRDefault="000E5EE9" w:rsidP="00274772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7710E">
              <w:rPr>
                <w:noProof/>
                <w:lang w:val="en-US" w:eastAsia="zh-CN"/>
              </w:rPr>
              <w:drawing>
                <wp:inline distT="0" distB="0" distL="0" distR="0" wp14:anchorId="3B4C3223" wp14:editId="752C2FAB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97710E" w:rsidRDefault="000E5EE9" w:rsidP="00274772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7710E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7710E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7710E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7710E" w:rsidRDefault="0028017B" w:rsidP="00274772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77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977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77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77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77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7710E" w:rsidRDefault="000E5EE9" w:rsidP="00274772">
            <w:pPr>
              <w:spacing w:before="0"/>
              <w:jc w:val="right"/>
            </w:pPr>
            <w:r w:rsidRPr="0097710E">
              <w:rPr>
                <w:noProof/>
                <w:lang w:val="en-US" w:eastAsia="zh-CN"/>
              </w:rPr>
              <w:drawing>
                <wp:inline distT="0" distB="0" distL="0" distR="0" wp14:anchorId="3B2DB3D9" wp14:editId="63596811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7710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97710E" w:rsidRDefault="00F0220A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7710E" w:rsidRDefault="00F0220A" w:rsidP="00274772">
            <w:pPr>
              <w:spacing w:before="0"/>
            </w:pPr>
          </w:p>
        </w:tc>
      </w:tr>
      <w:tr w:rsidR="005A374D" w:rsidRPr="0097710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97710E" w:rsidRDefault="005A374D" w:rsidP="00274772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7710E" w:rsidRDefault="005A374D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7710E" w:rsidTr="004B520A">
        <w:trPr>
          <w:cantSplit/>
        </w:trPr>
        <w:tc>
          <w:tcPr>
            <w:tcW w:w="6613" w:type="dxa"/>
            <w:gridSpan w:val="2"/>
          </w:tcPr>
          <w:p w:rsidR="00E83D45" w:rsidRPr="0097710E" w:rsidRDefault="000607DD" w:rsidP="00274772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7710E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97710E" w:rsidRDefault="0097710E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710E">
              <w:rPr>
                <w:rFonts w:ascii="Verdana" w:hAnsi="Verdana" w:cs="Times New Roman Bold"/>
                <w:b/>
                <w:bCs/>
                <w:sz w:val="20"/>
              </w:rPr>
              <w:t>Addé</w:t>
            </w:r>
            <w:r w:rsidR="00A93AA1" w:rsidRPr="0097710E">
              <w:rPr>
                <w:rFonts w:ascii="Verdana" w:hAnsi="Verdana" w:cs="Times New Roman Bold"/>
                <w:b/>
                <w:bCs/>
                <w:sz w:val="20"/>
              </w:rPr>
              <w:t>ndum 7 al</w:t>
            </w:r>
            <w:r w:rsidR="00A93AA1" w:rsidRPr="0097710E">
              <w:rPr>
                <w:rFonts w:ascii="Verdana" w:hAnsi="Verdana"/>
                <w:b/>
                <w:sz w:val="20"/>
              </w:rPr>
              <w:t xml:space="preserve"> </w:t>
            </w:r>
            <w:r w:rsidR="000607DD" w:rsidRPr="0097710E">
              <w:rPr>
                <w:rFonts w:ascii="Verdana" w:hAnsi="Verdana"/>
                <w:b/>
                <w:sz w:val="20"/>
              </w:rPr>
              <w:t xml:space="preserve">Documento </w:t>
            </w:r>
            <w:r w:rsidR="001442C5" w:rsidRPr="0097710E">
              <w:rPr>
                <w:rFonts w:ascii="Verdana" w:hAnsi="Verdana"/>
                <w:b/>
                <w:sz w:val="20"/>
              </w:rPr>
              <w:t>48</w:t>
            </w:r>
            <w:r w:rsidR="000607DD" w:rsidRPr="0097710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83D45" w:rsidRPr="0097710E" w:rsidTr="004B520A">
        <w:trPr>
          <w:cantSplit/>
        </w:trPr>
        <w:tc>
          <w:tcPr>
            <w:tcW w:w="6613" w:type="dxa"/>
            <w:gridSpan w:val="2"/>
          </w:tcPr>
          <w:p w:rsidR="00E83D45" w:rsidRPr="0097710E" w:rsidRDefault="00E83D45" w:rsidP="002747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7710E" w:rsidRDefault="001442C5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0" w:name="lt_pId008"/>
            <w:r w:rsidRPr="0097710E">
              <w:rPr>
                <w:rFonts w:ascii="Verdana" w:hAnsi="Verdana" w:cs="Times New Roman Bold"/>
                <w:b/>
                <w:bCs/>
                <w:sz w:val="20"/>
              </w:rPr>
              <w:t xml:space="preserve">30 </w:t>
            </w:r>
            <w:r w:rsidR="00904802" w:rsidRPr="0097710E">
              <w:rPr>
                <w:rFonts w:ascii="Verdana" w:hAnsi="Verdana" w:cs="Times New Roman Bold"/>
                <w:b/>
                <w:bCs/>
                <w:sz w:val="20"/>
              </w:rPr>
              <w:t>de septiembre de</w:t>
            </w:r>
            <w:r w:rsidRPr="0097710E">
              <w:rPr>
                <w:rFonts w:ascii="Verdana" w:hAnsi="Verdana" w:cs="Times New Roman Bold"/>
                <w:b/>
                <w:bCs/>
                <w:sz w:val="20"/>
              </w:rPr>
              <w:t xml:space="preserve"> 2016</w:t>
            </w:r>
            <w:bookmarkEnd w:id="0"/>
          </w:p>
        </w:tc>
      </w:tr>
      <w:tr w:rsidR="00E83D45" w:rsidRPr="0097710E" w:rsidTr="004B520A">
        <w:trPr>
          <w:cantSplit/>
        </w:trPr>
        <w:tc>
          <w:tcPr>
            <w:tcW w:w="6613" w:type="dxa"/>
            <w:gridSpan w:val="2"/>
          </w:tcPr>
          <w:p w:rsidR="00E83D45" w:rsidRPr="0097710E" w:rsidRDefault="00E83D45" w:rsidP="00274772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7710E" w:rsidRDefault="000607DD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710E">
              <w:rPr>
                <w:rFonts w:ascii="Verdana" w:hAnsi="Verdana"/>
                <w:b/>
                <w:sz w:val="20"/>
              </w:rPr>
              <w:t xml:space="preserve">Original: </w:t>
            </w:r>
            <w:r w:rsidR="001442C5" w:rsidRPr="0097710E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681766" w:rsidRPr="0097710E" w:rsidTr="004B520A">
        <w:trPr>
          <w:cantSplit/>
        </w:trPr>
        <w:tc>
          <w:tcPr>
            <w:tcW w:w="9811" w:type="dxa"/>
            <w:gridSpan w:val="4"/>
          </w:tcPr>
          <w:p w:rsidR="00681766" w:rsidRPr="0097710E" w:rsidRDefault="00681766" w:rsidP="002747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7710E" w:rsidTr="004B520A">
        <w:trPr>
          <w:cantSplit/>
        </w:trPr>
        <w:tc>
          <w:tcPr>
            <w:tcW w:w="9811" w:type="dxa"/>
            <w:gridSpan w:val="4"/>
          </w:tcPr>
          <w:p w:rsidR="00E83D45" w:rsidRPr="0097710E" w:rsidRDefault="00D1537C" w:rsidP="00274772">
            <w:pPr>
              <w:pStyle w:val="Source"/>
            </w:pPr>
            <w:bookmarkStart w:id="1" w:name="lt_pId010"/>
            <w:r w:rsidRPr="0097710E">
              <w:t xml:space="preserve">Estados Unidos de </w:t>
            </w:r>
            <w:r w:rsidR="001442C5" w:rsidRPr="0097710E">
              <w:t>Am</w:t>
            </w:r>
            <w:r w:rsidRPr="0097710E">
              <w:t>é</w:t>
            </w:r>
            <w:r w:rsidR="001442C5" w:rsidRPr="0097710E">
              <w:t>rica</w:t>
            </w:r>
            <w:bookmarkEnd w:id="1"/>
          </w:p>
        </w:tc>
      </w:tr>
      <w:tr w:rsidR="00E83D45" w:rsidRPr="0097710E" w:rsidTr="004B520A">
        <w:trPr>
          <w:cantSplit/>
        </w:trPr>
        <w:tc>
          <w:tcPr>
            <w:tcW w:w="9811" w:type="dxa"/>
            <w:gridSpan w:val="4"/>
          </w:tcPr>
          <w:p w:rsidR="00E83D45" w:rsidRPr="0097710E" w:rsidRDefault="00904802" w:rsidP="00274772">
            <w:pPr>
              <w:pStyle w:val="Title1"/>
            </w:pPr>
            <w:r w:rsidRPr="0097710E">
              <w:t>O</w:t>
            </w:r>
            <w:r w:rsidR="00C13B75" w:rsidRPr="0097710E">
              <w:t xml:space="preserve">PINIón </w:t>
            </w:r>
            <w:r w:rsidRPr="0097710E">
              <w:t>S</w:t>
            </w:r>
            <w:r w:rsidR="00050453">
              <w:t>OBRE EL DOCUMENTO 37 DE LA amnt</w:t>
            </w:r>
            <w:r w:rsidR="00050453">
              <w:noBreakHyphen/>
            </w:r>
            <w:r w:rsidRPr="0097710E">
              <w:t xml:space="preserve">16 </w:t>
            </w:r>
            <w:r w:rsidR="00274772" w:rsidRPr="0097710E">
              <w:t>–</w:t>
            </w:r>
            <w:r w:rsidRPr="0097710E">
              <w:t xml:space="preserve"> </w:t>
            </w:r>
            <w:r w:rsidR="001442C5" w:rsidRPr="0097710E">
              <w:t xml:space="preserve">Recomendación UIT-T D.52 </w:t>
            </w:r>
            <w:r w:rsidRPr="0097710E">
              <w:t>(</w:t>
            </w:r>
            <w:r w:rsidR="001442C5" w:rsidRPr="0097710E">
              <w:t xml:space="preserve">Creación y conexión </w:t>
            </w:r>
            <w:r w:rsidR="006243E9" w:rsidRPr="0097710E">
              <w:br/>
            </w:r>
            <w:r w:rsidR="001442C5" w:rsidRPr="0097710E">
              <w:t xml:space="preserve">de </w:t>
            </w:r>
            <w:r w:rsidRPr="0097710E">
              <w:t xml:space="preserve">puntos de intercambio de tráfico </w:t>
            </w:r>
            <w:r w:rsidR="006243E9" w:rsidRPr="0097710E">
              <w:br/>
            </w:r>
            <w:r w:rsidRPr="0097710E">
              <w:t xml:space="preserve">de internet </w:t>
            </w:r>
            <w:r w:rsidR="001442C5" w:rsidRPr="0097710E">
              <w:t>regionales</w:t>
            </w:r>
            <w:r w:rsidRPr="0097710E">
              <w:t>)</w:t>
            </w:r>
          </w:p>
        </w:tc>
      </w:tr>
    </w:tbl>
    <w:p w:rsidR="009E7842" w:rsidRPr="0097710E" w:rsidRDefault="009E7842" w:rsidP="00274772">
      <w:pPr>
        <w:rPr>
          <w:highlight w:val="yellow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9E7842" w:rsidRPr="0097710E" w:rsidTr="006407FE">
        <w:trPr>
          <w:cantSplit/>
        </w:trPr>
        <w:tc>
          <w:tcPr>
            <w:tcW w:w="1912" w:type="dxa"/>
          </w:tcPr>
          <w:p w:rsidR="009E7842" w:rsidRPr="0097710E" w:rsidRDefault="009E7842" w:rsidP="00274772">
            <w:r w:rsidRPr="0097710E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1528B98F5B9747C685A8136F8A13DEB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9E7842" w:rsidRPr="0097710E" w:rsidRDefault="00904802" w:rsidP="00B24264">
                <w:r w:rsidRPr="0097710E">
                  <w:t>Estados Unidos no apoya la aprobación del proyecto de n</w:t>
                </w:r>
                <w:r w:rsidR="00796DA8" w:rsidRPr="0097710E">
                  <w:t>ueva Recomendación UIT-T D.52 (</w:t>
                </w:r>
                <w:r w:rsidRPr="0097710E">
                  <w:t>Creación y conexión de puntos de intercambio de tráfico Internet (IXP) regionales para reducir el cost</w:t>
                </w:r>
                <w:r w:rsidR="00796DA8" w:rsidRPr="0097710E">
                  <w:t>e</w:t>
                </w:r>
                <w:r w:rsidRPr="0097710E">
                  <w:t xml:space="preserve"> de la conectividad internacion</w:t>
                </w:r>
                <w:r w:rsidR="00C13B75" w:rsidRPr="0097710E">
                  <w:t xml:space="preserve">al a Internet) incluido en el </w:t>
                </w:r>
                <w:r w:rsidR="006007DF" w:rsidRPr="0097710E">
                  <w:t xml:space="preserve">Documento </w:t>
                </w:r>
                <w:r w:rsidRPr="0097710E">
                  <w:t>37 de la AMNT</w:t>
                </w:r>
                <w:r w:rsidR="00B24264">
                  <w:noBreakHyphen/>
                </w:r>
                <w:r w:rsidRPr="0097710E">
                  <w:t>16</w:t>
                </w:r>
                <w:r w:rsidR="0082626A" w:rsidRPr="0097710E">
                  <w:t>.</w:t>
                </w:r>
              </w:p>
            </w:tc>
          </w:sdtContent>
        </w:sdt>
      </w:tr>
    </w:tbl>
    <w:p w:rsidR="00E83D45" w:rsidRPr="0097710E" w:rsidRDefault="00E83D45" w:rsidP="00274772">
      <w:pPr>
        <w:spacing w:before="40"/>
      </w:pPr>
    </w:p>
    <w:p w:rsidR="006407FE" w:rsidRPr="0097710E" w:rsidRDefault="006407FE" w:rsidP="00274772">
      <w:pPr>
        <w:pStyle w:val="Headingb"/>
      </w:pPr>
      <w:bookmarkStart w:id="2" w:name="lt_pId014"/>
      <w:r w:rsidRPr="0097710E">
        <w:t>Introduc</w:t>
      </w:r>
      <w:r w:rsidR="00904802" w:rsidRPr="0097710E">
        <w:t>ción</w:t>
      </w:r>
      <w:bookmarkEnd w:id="2"/>
    </w:p>
    <w:p w:rsidR="006407FE" w:rsidRPr="0097710E" w:rsidRDefault="00904802" w:rsidP="00274772">
      <w:r w:rsidRPr="0097710E">
        <w:t xml:space="preserve">El </w:t>
      </w:r>
      <w:r w:rsidR="00C457C7" w:rsidRPr="0097710E">
        <w:t xml:space="preserve">Documento </w:t>
      </w:r>
      <w:r w:rsidRPr="0097710E">
        <w:t>37 de la AMNT-16 contiene el p</w:t>
      </w:r>
      <w:r w:rsidR="006407FE" w:rsidRPr="0097710E">
        <w:t>roy</w:t>
      </w:r>
      <w:r w:rsidR="00CE6389">
        <w:t>ecto de nueva Recomendación UIT</w:t>
      </w:r>
      <w:r w:rsidR="00CE6389">
        <w:noBreakHyphen/>
        <w:t>T </w:t>
      </w:r>
      <w:r w:rsidR="006407FE" w:rsidRPr="0097710E">
        <w:t>D.52 – Creación y conexión de IXP regionales para reducir el coste de la conecti</w:t>
      </w:r>
      <w:r w:rsidRPr="0097710E">
        <w:t>vidad internacional a Internet</w:t>
      </w:r>
      <w:r w:rsidR="00C13B75" w:rsidRPr="0097710E">
        <w:t xml:space="preserve">, </w:t>
      </w:r>
      <w:r w:rsidRPr="0097710E">
        <w:t>de la Comisión de Estudio 3.</w:t>
      </w:r>
      <w:r w:rsidR="006407FE" w:rsidRPr="0097710E">
        <w:t xml:space="preserve"> </w:t>
      </w:r>
      <w:bookmarkStart w:id="3" w:name="lt_pId016"/>
      <w:r w:rsidR="00B16A6B" w:rsidRPr="0097710E">
        <w:t>Tal como los E</w:t>
      </w:r>
      <w:r w:rsidRPr="0097710E">
        <w:t xml:space="preserve">stados </w:t>
      </w:r>
      <w:r w:rsidR="00B16A6B" w:rsidRPr="0097710E">
        <w:t>U</w:t>
      </w:r>
      <w:r w:rsidRPr="0097710E">
        <w:t>nidos explicaron en su res</w:t>
      </w:r>
      <w:r w:rsidR="00B16A6B" w:rsidRPr="0097710E">
        <w:t xml:space="preserve">puesta a la Carta Circular 209 </w:t>
      </w:r>
      <w:r w:rsidR="00C13B75" w:rsidRPr="0097710E">
        <w:t>de la TSB in</w:t>
      </w:r>
      <w:r w:rsidRPr="0097710E">
        <w:t>c</w:t>
      </w:r>
      <w:r w:rsidR="00C13B75" w:rsidRPr="0097710E">
        <w:t>l</w:t>
      </w:r>
      <w:r w:rsidRPr="0097710E">
        <w:t xml:space="preserve">uida en el </w:t>
      </w:r>
      <w:r w:rsidR="00C34F47" w:rsidRPr="0097710E">
        <w:t xml:space="preserve">Documento </w:t>
      </w:r>
      <w:r w:rsidRPr="0097710E">
        <w:t>49 a la AMNT-16</w:t>
      </w:r>
      <w:r w:rsidR="006407FE" w:rsidRPr="0097710E">
        <w:t xml:space="preserve">, </w:t>
      </w:r>
      <w:r w:rsidR="00B16A6B" w:rsidRPr="0097710E">
        <w:t xml:space="preserve">esta propuesta de nueva </w:t>
      </w:r>
      <w:r w:rsidR="00726626" w:rsidRPr="0097710E">
        <w:t xml:space="preserve">Recomendación </w:t>
      </w:r>
      <w:r w:rsidR="00C13B75" w:rsidRPr="0097710E">
        <w:t xml:space="preserve">ha sido </w:t>
      </w:r>
      <w:r w:rsidR="00B16A6B" w:rsidRPr="0097710E">
        <w:t xml:space="preserve">determinada por la Comisión de Estudio 3 tras una serie de irregularidades de procedimiento </w:t>
      </w:r>
      <w:r w:rsidR="00C13B75" w:rsidRPr="0097710E">
        <w:t xml:space="preserve">y </w:t>
      </w:r>
      <w:r w:rsidR="00796DA8" w:rsidRPr="0097710E">
        <w:t>de errores</w:t>
      </w:r>
      <w:r w:rsidR="00C13B75" w:rsidRPr="0097710E">
        <w:t xml:space="preserve"> </w:t>
      </w:r>
      <w:r w:rsidR="00796DA8" w:rsidRPr="0097710E">
        <w:t>durante</w:t>
      </w:r>
      <w:r w:rsidR="00C13B75" w:rsidRPr="0097710E">
        <w:t xml:space="preserve"> el</w:t>
      </w:r>
      <w:r w:rsidR="00B16A6B" w:rsidRPr="0097710E">
        <w:t xml:space="preserve"> proceso.</w:t>
      </w:r>
      <w:bookmarkEnd w:id="3"/>
      <w:r w:rsidR="00274772" w:rsidRPr="0097710E">
        <w:t xml:space="preserve"> </w:t>
      </w:r>
      <w:bookmarkStart w:id="4" w:name="lt_pId017"/>
      <w:r w:rsidR="00B16A6B" w:rsidRPr="0097710E">
        <w:t>En consecuencia, en opinión de los Estados Unidos el document</w:t>
      </w:r>
      <w:r w:rsidR="00C13B75" w:rsidRPr="0097710E">
        <w:t>o</w:t>
      </w:r>
      <w:r w:rsidR="00B16A6B" w:rsidRPr="0097710E">
        <w:t xml:space="preserve"> carece de </w:t>
      </w:r>
      <w:r w:rsidR="00726626" w:rsidRPr="0097710E">
        <w:t>estabilidad y</w:t>
      </w:r>
      <w:r w:rsidR="00B16A6B" w:rsidRPr="0097710E">
        <w:t xml:space="preserve"> madurez.</w:t>
      </w:r>
      <w:bookmarkEnd w:id="4"/>
      <w:r w:rsidR="00274772" w:rsidRPr="0097710E">
        <w:t xml:space="preserve"> </w:t>
      </w:r>
      <w:bookmarkStart w:id="5" w:name="lt_pId018"/>
      <w:r w:rsidR="00B16A6B" w:rsidRPr="0097710E">
        <w:t xml:space="preserve">Aún más importante, el </w:t>
      </w:r>
      <w:r w:rsidR="00C13B75" w:rsidRPr="0097710E">
        <w:t>p</w:t>
      </w:r>
      <w:r w:rsidR="00B16A6B" w:rsidRPr="0097710E">
        <w:t xml:space="preserve">royecto de Recomendación recogida en el </w:t>
      </w:r>
      <w:r w:rsidR="00343569" w:rsidRPr="0097710E">
        <w:t xml:space="preserve">Documento </w:t>
      </w:r>
      <w:r w:rsidR="00B16A6B" w:rsidRPr="0097710E">
        <w:t xml:space="preserve">37 </w:t>
      </w:r>
      <w:r w:rsidR="00C13B75" w:rsidRPr="0097710E">
        <w:t>tiene</w:t>
      </w:r>
      <w:r w:rsidR="00B16A6B" w:rsidRPr="0097710E">
        <w:t xml:space="preserve"> defectos sustanciales.</w:t>
      </w:r>
      <w:bookmarkEnd w:id="5"/>
    </w:p>
    <w:p w:rsidR="006407FE" w:rsidRPr="0097710E" w:rsidRDefault="00B16A6B" w:rsidP="00274772">
      <w:pPr>
        <w:pStyle w:val="Headingb"/>
      </w:pPr>
      <w:r w:rsidRPr="0097710E">
        <w:t>Análisis</w:t>
      </w:r>
    </w:p>
    <w:p w:rsidR="00A2763D" w:rsidRPr="0097710E" w:rsidRDefault="00B16A6B" w:rsidP="007637C4">
      <w:bookmarkStart w:id="6" w:name="lt_pId020"/>
      <w:r w:rsidRPr="0097710E">
        <w:t xml:space="preserve">La página y media </w:t>
      </w:r>
      <w:r w:rsidR="00C13B75" w:rsidRPr="0097710E">
        <w:t>d</w:t>
      </w:r>
      <w:r w:rsidRPr="0097710E">
        <w:t xml:space="preserve">el </w:t>
      </w:r>
      <w:r w:rsidR="00C13B75" w:rsidRPr="0097710E">
        <w:t>p</w:t>
      </w:r>
      <w:r w:rsidRPr="0097710E">
        <w:t xml:space="preserve">royecto de Recomendación es, a lo sumo, un documento de índole nacional, y no </w:t>
      </w:r>
      <w:r w:rsidR="00726626" w:rsidRPr="0097710E">
        <w:t>una</w:t>
      </w:r>
      <w:r w:rsidRPr="0097710E">
        <w:t xml:space="preserve"> norma técnica internacional de telecomunicaciones</w:t>
      </w:r>
      <w:r w:rsidR="00C13B75" w:rsidRPr="0097710E">
        <w:t>, t</w:t>
      </w:r>
      <w:r w:rsidRPr="0097710E">
        <w:t xml:space="preserve">al como prescribe el Plan Estratégico del UIT-T. Ello queda de manifiesto en el apartado 5.2 del proyecto que sólo aborda actividades nacionales y regionales. La naturaleza estrictamente nacional de la Recomendación queda patente en la </w:t>
      </w:r>
      <w:r w:rsidR="00726626" w:rsidRPr="0097710E">
        <w:t>definición</w:t>
      </w:r>
      <w:r w:rsidR="00274772" w:rsidRPr="0097710E">
        <w:t xml:space="preserve"> </w:t>
      </w:r>
      <w:r w:rsidR="00C13B75" w:rsidRPr="0097710E">
        <w:t>incl</w:t>
      </w:r>
      <w:r w:rsidRPr="0097710E">
        <w:t xml:space="preserve">uida en el apartado 3 </w:t>
      </w:r>
      <w:r w:rsidR="00274772" w:rsidRPr="0097710E">
        <w:t>en el que señala que un IXP "</w:t>
      </w:r>
      <w:r w:rsidR="00A2763D" w:rsidRPr="0097710E">
        <w:t>permite que el tráfico local se encamine en el plano local</w:t>
      </w:r>
      <w:r w:rsidR="00274772" w:rsidRPr="0097710E">
        <w:t>"</w:t>
      </w:r>
      <w:r w:rsidR="00A2763D" w:rsidRPr="0097710E">
        <w:t xml:space="preserve">. Por tanto, este proyecto de Recomendación entra en conflicto con </w:t>
      </w:r>
      <w:r w:rsidR="00796DA8" w:rsidRPr="0097710E">
        <w:t>lo dispuesto en el</w:t>
      </w:r>
      <w:r w:rsidR="00A2763D" w:rsidRPr="0097710E">
        <w:t xml:space="preserve"> Plan </w:t>
      </w:r>
      <w:r w:rsidR="00796DA8" w:rsidRPr="0097710E">
        <w:t>E</w:t>
      </w:r>
      <w:r w:rsidR="00DC41E9">
        <w:t>stratégico del UIT</w:t>
      </w:r>
      <w:r w:rsidR="00DC41E9">
        <w:noBreakHyphen/>
      </w:r>
      <w:r w:rsidR="00A2763D" w:rsidRPr="0097710E">
        <w:t xml:space="preserve">T, cuyo objetivo </w:t>
      </w:r>
      <w:r w:rsidR="00450BC0">
        <w:t>T</w:t>
      </w:r>
      <w:r w:rsidR="00DC41E9">
        <w:t>1 establece que el UIT</w:t>
      </w:r>
      <w:r w:rsidR="00DC41E9">
        <w:noBreakHyphen/>
      </w:r>
      <w:r w:rsidR="00A2763D" w:rsidRPr="0097710E">
        <w:t xml:space="preserve">T debe </w:t>
      </w:r>
      <w:bookmarkStart w:id="7" w:name="lt_pId023"/>
      <w:bookmarkEnd w:id="6"/>
      <w:r w:rsidR="003E55AD" w:rsidRPr="0097710E">
        <w:t>"desarrollar normas internacionales no discri</w:t>
      </w:r>
      <w:r w:rsidR="00DC41E9">
        <w:t>minatorias (Recomendaciones UIT</w:t>
      </w:r>
      <w:r w:rsidR="00DC41E9">
        <w:noBreakHyphen/>
      </w:r>
      <w:r w:rsidR="003E55AD" w:rsidRPr="0097710E">
        <w:t>T) de manera oportuna, y fomentar la interoperatividad y una mejor calida</w:t>
      </w:r>
      <w:r w:rsidR="00A866BC" w:rsidRPr="0097710E">
        <w:t xml:space="preserve">d de funcionamiento de equipos, </w:t>
      </w:r>
      <w:r w:rsidR="003E55AD" w:rsidRPr="0097710E">
        <w:t>redes, servicios y aplicaciones</w:t>
      </w:r>
      <w:r w:rsidR="00A866BC" w:rsidRPr="0097710E">
        <w:rPr>
          <w:bCs/>
        </w:rPr>
        <w:t>"</w:t>
      </w:r>
      <w:r w:rsidR="006407FE" w:rsidRPr="0097710E">
        <w:rPr>
          <w:bCs/>
        </w:rPr>
        <w:t>.</w:t>
      </w:r>
      <w:bookmarkStart w:id="8" w:name="lt_pId024"/>
      <w:bookmarkEnd w:id="7"/>
      <w:r w:rsidR="003E55AD" w:rsidRPr="0097710E">
        <w:rPr>
          <w:bCs/>
        </w:rPr>
        <w:t xml:space="preserve"> </w:t>
      </w:r>
      <w:r w:rsidR="00A2763D" w:rsidRPr="0097710E">
        <w:rPr>
          <w:bCs/>
        </w:rPr>
        <w:t>Igualmente</w:t>
      </w:r>
      <w:r w:rsidR="00AD629D">
        <w:rPr>
          <w:bCs/>
        </w:rPr>
        <w:t>,</w:t>
      </w:r>
      <w:r w:rsidR="00A2763D" w:rsidRPr="0097710E">
        <w:rPr>
          <w:bCs/>
        </w:rPr>
        <w:t xml:space="preserve"> en el número </w:t>
      </w:r>
      <w:r w:rsidR="006407FE" w:rsidRPr="0097710E">
        <w:t xml:space="preserve">193 </w:t>
      </w:r>
      <w:r w:rsidR="00A2763D" w:rsidRPr="0097710E">
        <w:t xml:space="preserve">del Convenio se establece que las </w:t>
      </w:r>
      <w:r w:rsidR="00A2763D" w:rsidRPr="0097710E">
        <w:lastRenderedPageBreak/>
        <w:t>Comisiones de Estudio del UIT</w:t>
      </w:r>
      <w:r w:rsidR="007637C4">
        <w:noBreakHyphen/>
      </w:r>
      <w:r w:rsidR="00A2763D" w:rsidRPr="0097710E">
        <w:t>T analizarán</w:t>
      </w:r>
      <w:r w:rsidR="003E55AD" w:rsidRPr="0097710E">
        <w:t xml:space="preserve"> "cuestiones técnicas, de explotación y de tarificación"</w:t>
      </w:r>
      <w:r w:rsidR="00703A75" w:rsidRPr="0097710E">
        <w:t xml:space="preserve"> </w:t>
      </w:r>
      <w:r w:rsidR="00A2763D" w:rsidRPr="0097710E">
        <w:t>para</w:t>
      </w:r>
      <w:r w:rsidR="00703A75" w:rsidRPr="0097710E">
        <w:t xml:space="preserve"> "formular recomendaciones sobre las mismas con miras a la normalización de las telecomunicaciones en el plano mundial</w:t>
      </w:r>
      <w:r w:rsidR="00A866BC" w:rsidRPr="0097710E">
        <w:t>"</w:t>
      </w:r>
      <w:r w:rsidR="00A2763D" w:rsidRPr="0097710E">
        <w:t>.</w:t>
      </w:r>
      <w:r w:rsidR="00703A75" w:rsidRPr="0097710E">
        <w:t xml:space="preserve"> </w:t>
      </w:r>
      <w:bookmarkStart w:id="9" w:name="lt_pId025"/>
      <w:bookmarkEnd w:id="8"/>
      <w:r w:rsidR="00A2763D" w:rsidRPr="0097710E">
        <w:t>Esta propuesta de Recomendación</w:t>
      </w:r>
      <w:r w:rsidR="00274772" w:rsidRPr="0097710E">
        <w:t xml:space="preserve"> </w:t>
      </w:r>
      <w:r w:rsidR="00A2763D" w:rsidRPr="0097710E">
        <w:t xml:space="preserve">de carácter </w:t>
      </w:r>
      <w:r w:rsidR="006407FE" w:rsidRPr="0097710E">
        <w:t>na</w:t>
      </w:r>
      <w:r w:rsidR="00A2763D" w:rsidRPr="0097710E">
        <w:t>c</w:t>
      </w:r>
      <w:r w:rsidR="006407FE" w:rsidRPr="0097710E">
        <w:t xml:space="preserve">ional </w:t>
      </w:r>
      <w:r w:rsidR="00A2763D" w:rsidRPr="0097710E">
        <w:t>aborda cuestiones sujetas al derecho sob</w:t>
      </w:r>
      <w:r w:rsidR="00726626" w:rsidRPr="0097710E">
        <w:t>era</w:t>
      </w:r>
      <w:r w:rsidR="00A2763D" w:rsidRPr="0097710E">
        <w:t xml:space="preserve">no de los Estados Miembros y contraviene tanto el Plan </w:t>
      </w:r>
      <w:r w:rsidR="00726626" w:rsidRPr="0097710E">
        <w:t>Estratégico</w:t>
      </w:r>
      <w:r w:rsidR="00A2763D" w:rsidRPr="0097710E">
        <w:t xml:space="preserve"> del UIT-T como el Convenio de la UIT.</w:t>
      </w:r>
    </w:p>
    <w:p w:rsidR="00C63F97" w:rsidRPr="0097710E" w:rsidRDefault="00A2763D" w:rsidP="00274772">
      <w:bookmarkStart w:id="10" w:name="lt_pId026"/>
      <w:bookmarkEnd w:id="9"/>
      <w:r w:rsidRPr="0097710E">
        <w:t xml:space="preserve">Finalmente, la instalación de </w:t>
      </w:r>
      <w:r w:rsidR="00726626" w:rsidRPr="0097710E">
        <w:t>IXP, o</w:t>
      </w:r>
      <w:r w:rsidRPr="0097710E">
        <w:t xml:space="preserve"> de otros equipos específicos de telecomunicaciones</w:t>
      </w:r>
      <w:r w:rsidR="00C13B75" w:rsidRPr="0097710E">
        <w:t>,</w:t>
      </w:r>
      <w:r w:rsidRPr="0097710E">
        <w:t xml:space="preserve"> queda fuera del mandato de </w:t>
      </w:r>
      <w:r w:rsidR="00973DA1">
        <w:t>una Comisión de Estudio del UIT</w:t>
      </w:r>
      <w:r w:rsidR="00973DA1">
        <w:noBreakHyphen/>
      </w:r>
      <w:r w:rsidRPr="0097710E">
        <w:t xml:space="preserve">T. No es posible que una única Recomendación sea válida para </w:t>
      </w:r>
      <w:r w:rsidR="00796DA8" w:rsidRPr="0097710E">
        <w:t xml:space="preserve">abordar </w:t>
      </w:r>
      <w:r w:rsidR="00C13B75" w:rsidRPr="0097710E">
        <w:t xml:space="preserve">la multiplicidad de </w:t>
      </w:r>
      <w:r w:rsidRPr="0097710E">
        <w:t xml:space="preserve">variantes que se presentan en los mercados locales y nacionales que deben </w:t>
      </w:r>
      <w:r w:rsidR="00796DA8" w:rsidRPr="0097710E">
        <w:t xml:space="preserve">tenerse en cuenta </w:t>
      </w:r>
      <w:r w:rsidRPr="0097710E">
        <w:t xml:space="preserve">en la instalación de dichos equipos. </w:t>
      </w:r>
      <w:r w:rsidR="00C13B75" w:rsidRPr="0097710E">
        <w:t xml:space="preserve">Pretender obligar </w:t>
      </w:r>
      <w:r w:rsidRPr="0097710E">
        <w:t xml:space="preserve">a que dichas instalaciones cumplan </w:t>
      </w:r>
      <w:r w:rsidR="00726626" w:rsidRPr="0097710E">
        <w:t>unas directrices genéricas</w:t>
      </w:r>
      <w:r w:rsidR="00C13B75" w:rsidRPr="0097710E">
        <w:t xml:space="preserve">, </w:t>
      </w:r>
      <w:r w:rsidRPr="0097710E">
        <w:t>aumentaría innecesaria</w:t>
      </w:r>
      <w:r w:rsidR="00C13B75" w:rsidRPr="0097710E">
        <w:t>mente</w:t>
      </w:r>
      <w:r w:rsidRPr="0097710E">
        <w:t xml:space="preserve"> los costos y </w:t>
      </w:r>
      <w:r w:rsidR="00C63F97" w:rsidRPr="0097710E">
        <w:t>frenaría</w:t>
      </w:r>
      <w:r w:rsidRPr="0097710E">
        <w:t xml:space="preserve"> la innovación y la </w:t>
      </w:r>
      <w:r w:rsidR="00C63F97" w:rsidRPr="0097710E">
        <w:t xml:space="preserve">capacidad de </w:t>
      </w:r>
      <w:r w:rsidRPr="0097710E">
        <w:t xml:space="preserve">adaptación. </w:t>
      </w:r>
      <w:r w:rsidR="00C63F97" w:rsidRPr="0097710E">
        <w:t>Ello sería exactamente lo contrario de lo aparentemente pretendido con este proyecto de Recomendación.</w:t>
      </w:r>
    </w:p>
    <w:p w:rsidR="00C63F97" w:rsidRDefault="00C13B75" w:rsidP="003F7354">
      <w:r w:rsidRPr="0097710E">
        <w:t>Tal como los E</w:t>
      </w:r>
      <w:r w:rsidR="00C63F97" w:rsidRPr="0097710E">
        <w:t xml:space="preserve">stados </w:t>
      </w:r>
      <w:r w:rsidRPr="0097710E">
        <w:t>U</w:t>
      </w:r>
      <w:r w:rsidR="00C63F97" w:rsidRPr="0097710E">
        <w:t xml:space="preserve">nidos han explicado previamente en su respuesta a la </w:t>
      </w:r>
      <w:r w:rsidR="006031D1" w:rsidRPr="0097710E">
        <w:t xml:space="preserve">Carta </w:t>
      </w:r>
      <w:r w:rsidR="00C63F97" w:rsidRPr="0097710E">
        <w:t>Circular 209</w:t>
      </w:r>
      <w:r w:rsidR="00274772" w:rsidRPr="0097710E">
        <w:t xml:space="preserve"> </w:t>
      </w:r>
      <w:r w:rsidR="00AD629D">
        <w:t xml:space="preserve">de la TSB </w:t>
      </w:r>
      <w:r w:rsidR="00C63F97" w:rsidRPr="0097710E">
        <w:t xml:space="preserve">incluida en el </w:t>
      </w:r>
      <w:r w:rsidR="00327178" w:rsidRPr="0097710E">
        <w:t xml:space="preserve">Documento </w:t>
      </w:r>
      <w:r w:rsidR="003F7354">
        <w:t>49 a la AMNT</w:t>
      </w:r>
      <w:r w:rsidR="003F7354">
        <w:noBreakHyphen/>
      </w:r>
      <w:r w:rsidR="00C63F97" w:rsidRPr="0097710E">
        <w:t>16, durante la reun</w:t>
      </w:r>
      <w:r w:rsidRPr="0097710E">
        <w:t>i</w:t>
      </w:r>
      <w:r w:rsidR="00C63F97" w:rsidRPr="0097710E">
        <w:t>ón en la que l</w:t>
      </w:r>
      <w:r w:rsidR="003F7354">
        <w:t>a Comisión de Estudio 3 del UIT</w:t>
      </w:r>
      <w:r w:rsidR="003F7354">
        <w:noBreakHyphen/>
      </w:r>
      <w:r w:rsidR="00C63F97" w:rsidRPr="0097710E">
        <w:t xml:space="preserve">T </w:t>
      </w:r>
      <w:r w:rsidRPr="0097710E">
        <w:t>consider</w:t>
      </w:r>
      <w:r w:rsidR="00796DA8" w:rsidRPr="0097710E">
        <w:t>ó</w:t>
      </w:r>
      <w:r w:rsidR="00C63F97" w:rsidRPr="0097710E">
        <w:t xml:space="preserve"> este proyecto de Recomendación</w:t>
      </w:r>
      <w:r w:rsidRPr="0097710E">
        <w:t xml:space="preserve">, no se tuvo adecuadamente en cuenta </w:t>
      </w:r>
      <w:r w:rsidR="00C63F97" w:rsidRPr="0097710E">
        <w:t>el trabajo realizad</w:t>
      </w:r>
      <w:r w:rsidR="003F7354">
        <w:t>o y que viene realizando el UIT</w:t>
      </w:r>
      <w:r w:rsidR="003F7354">
        <w:noBreakHyphen/>
      </w:r>
      <w:r w:rsidR="00C63F97" w:rsidRPr="0097710E">
        <w:t>D</w:t>
      </w:r>
      <w:r w:rsidR="00796DA8" w:rsidRPr="0097710E">
        <w:t>,</w:t>
      </w:r>
      <w:r w:rsidR="00C63F97" w:rsidRPr="0097710E">
        <w:t xml:space="preserve"> y otras </w:t>
      </w:r>
      <w:r w:rsidRPr="0097710E">
        <w:t xml:space="preserve">muchas </w:t>
      </w:r>
      <w:r w:rsidR="00C63F97" w:rsidRPr="0097710E">
        <w:t>organizaciones</w:t>
      </w:r>
      <w:r w:rsidR="00796DA8" w:rsidRPr="0097710E">
        <w:t>,</w:t>
      </w:r>
      <w:r w:rsidR="00C63F97" w:rsidRPr="0097710E">
        <w:t xml:space="preserve"> para impulsar el desarrollo de los IXP. En ningún momento se estableció coordinaci</w:t>
      </w:r>
      <w:r w:rsidRPr="0097710E">
        <w:t>ón alguna de la propuesta de R</w:t>
      </w:r>
      <w:r w:rsidR="00C63F97" w:rsidRPr="0097710E">
        <w:t>ecomendación con otras organizaciones pertin</w:t>
      </w:r>
      <w:r w:rsidR="003F7354">
        <w:t>entes, en particular con el UIT</w:t>
      </w:r>
      <w:r w:rsidR="003F7354">
        <w:noBreakHyphen/>
      </w:r>
      <w:r w:rsidR="00C63F97" w:rsidRPr="0097710E">
        <w:t xml:space="preserve">D. </w:t>
      </w:r>
      <w:r w:rsidRPr="0097710E">
        <w:t>S</w:t>
      </w:r>
      <w:r w:rsidR="00C63F97" w:rsidRPr="0097710E">
        <w:t xml:space="preserve">e trata, cuando menos, de una actividad duplicada con </w:t>
      </w:r>
      <w:r w:rsidRPr="0097710E">
        <w:t>respecto a lo</w:t>
      </w:r>
      <w:r w:rsidR="00C63F97" w:rsidRPr="0097710E">
        <w:t xml:space="preserve"> realizado </w:t>
      </w:r>
      <w:r w:rsidRPr="0097710E">
        <w:t>por</w:t>
      </w:r>
      <w:r w:rsidR="00C63F97" w:rsidRPr="0097710E">
        <w:t xml:space="preserve"> el UIT</w:t>
      </w:r>
      <w:r w:rsidR="003F7354">
        <w:noBreakHyphen/>
      </w:r>
      <w:r w:rsidR="00C63F97" w:rsidRPr="0097710E">
        <w:t xml:space="preserve">D y </w:t>
      </w:r>
      <w:r w:rsidRPr="0097710E">
        <w:t xml:space="preserve">por </w:t>
      </w:r>
      <w:r w:rsidR="00C63F97" w:rsidRPr="0097710E">
        <w:t xml:space="preserve">otras organizaciones ajenas a la UIT, </w:t>
      </w:r>
      <w:r w:rsidR="00796DA8" w:rsidRPr="0097710E">
        <w:t xml:space="preserve">algo contrario a </w:t>
      </w:r>
      <w:r w:rsidRPr="0097710E">
        <w:t>lo establecido en numerosas Resolucio</w:t>
      </w:r>
      <w:r w:rsidR="00C63F97" w:rsidRPr="0097710E">
        <w:t>n</w:t>
      </w:r>
      <w:r w:rsidRPr="0097710E">
        <w:t>e</w:t>
      </w:r>
      <w:r w:rsidR="00C63F97" w:rsidRPr="0097710E">
        <w:t>s de la UIT, e</w:t>
      </w:r>
      <w:r w:rsidRPr="0097710E">
        <w:t>n e</w:t>
      </w:r>
      <w:r w:rsidR="00C63F97" w:rsidRPr="0097710E">
        <w:t xml:space="preserve">l </w:t>
      </w:r>
      <w:r w:rsidRPr="0097710E">
        <w:t>P</w:t>
      </w:r>
      <w:r w:rsidR="00C63F97" w:rsidRPr="0097710E">
        <w:t xml:space="preserve">lan </w:t>
      </w:r>
      <w:r w:rsidRPr="0097710E">
        <w:t>E</w:t>
      </w:r>
      <w:r w:rsidR="00C63F97" w:rsidRPr="0097710E">
        <w:t>str</w:t>
      </w:r>
      <w:r w:rsidRPr="0097710E">
        <w:t>a</w:t>
      </w:r>
      <w:r w:rsidR="00C63F97" w:rsidRPr="0097710E">
        <w:t xml:space="preserve">tégico de la UIT y </w:t>
      </w:r>
      <w:r w:rsidRPr="0097710E">
        <w:t xml:space="preserve">en </w:t>
      </w:r>
      <w:r w:rsidR="00C63F97" w:rsidRPr="0097710E">
        <w:t xml:space="preserve">los </w:t>
      </w:r>
      <w:r w:rsidR="00726626" w:rsidRPr="0097710E">
        <w:t>Instrumentos</w:t>
      </w:r>
      <w:r w:rsidR="00C63F97" w:rsidRPr="0097710E">
        <w:t xml:space="preserve"> Básicos de la Unión</w:t>
      </w:r>
      <w:r w:rsidR="00796DA8" w:rsidRPr="0097710E">
        <w:t>,</w:t>
      </w:r>
      <w:r w:rsidR="00C63F97" w:rsidRPr="0097710E">
        <w:t xml:space="preserve"> que requieren </w:t>
      </w:r>
      <w:r w:rsidRPr="0097710E">
        <w:t>evitar la duplicación, como por ejemplo el número 215 del Conve</w:t>
      </w:r>
      <w:r w:rsidR="00A866BC" w:rsidRPr="0097710E">
        <w:t>nio y la Resolución 191 (</w:t>
      </w:r>
      <w:proofErr w:type="spellStart"/>
      <w:r w:rsidR="00A866BC" w:rsidRPr="0097710E">
        <w:t>Busán</w:t>
      </w:r>
      <w:proofErr w:type="spellEnd"/>
      <w:r w:rsidR="00A866BC" w:rsidRPr="0097710E">
        <w:t>, </w:t>
      </w:r>
      <w:r w:rsidRPr="0097710E">
        <w:t>2014).</w:t>
      </w:r>
    </w:p>
    <w:p w:rsidR="00274C61" w:rsidRDefault="00274C61" w:rsidP="00274C61">
      <w:pPr>
        <w:pStyle w:val="Proposal"/>
      </w:pPr>
      <w:r>
        <w:tab/>
        <w:t>USA/48A7/1</w:t>
      </w:r>
    </w:p>
    <w:p w:rsidR="006407FE" w:rsidRPr="0097710E" w:rsidRDefault="006407FE" w:rsidP="00274772">
      <w:pPr>
        <w:pStyle w:val="Headingb"/>
      </w:pPr>
      <w:bookmarkStart w:id="11" w:name="lt_pId033"/>
      <w:bookmarkEnd w:id="10"/>
      <w:r w:rsidRPr="0097710E">
        <w:t>Prop</w:t>
      </w:r>
      <w:r w:rsidR="00C13B75" w:rsidRPr="0097710E">
        <w:t>uesta</w:t>
      </w:r>
      <w:bookmarkEnd w:id="11"/>
    </w:p>
    <w:p w:rsidR="006407FE" w:rsidRPr="0097710E" w:rsidRDefault="00C13B75" w:rsidP="00A866BC">
      <w:bookmarkStart w:id="12" w:name="lt_pId034"/>
      <w:r w:rsidRPr="0097710E">
        <w:t>Por todos los motivos expuestos, no debería aprobarse el proy</w:t>
      </w:r>
      <w:r w:rsidR="00A866BC" w:rsidRPr="0097710E">
        <w:t>ecto de nueva Recomendación UIT</w:t>
      </w:r>
      <w:r w:rsidR="00A866BC" w:rsidRPr="0097710E">
        <w:noBreakHyphen/>
      </w:r>
      <w:r w:rsidRPr="0097710E">
        <w:t>T</w:t>
      </w:r>
      <w:r w:rsidR="00A866BC" w:rsidRPr="0097710E">
        <w:t> </w:t>
      </w:r>
      <w:r w:rsidR="006407FE" w:rsidRPr="0097710E">
        <w:t xml:space="preserve">D.52 </w:t>
      </w:r>
      <w:r w:rsidRPr="0097710E">
        <w:t xml:space="preserve">incluida en el </w:t>
      </w:r>
      <w:r w:rsidR="00FE45C6" w:rsidRPr="0097710E">
        <w:t xml:space="preserve">Documento </w:t>
      </w:r>
      <w:r w:rsidR="006407FE" w:rsidRPr="0097710E">
        <w:t>37.</w:t>
      </w:r>
      <w:bookmarkEnd w:id="12"/>
    </w:p>
    <w:p w:rsidR="001978F7" w:rsidRPr="0097710E" w:rsidRDefault="001978F7" w:rsidP="0032202E">
      <w:pPr>
        <w:pStyle w:val="Reasons"/>
      </w:pPr>
      <w:bookmarkStart w:id="13" w:name="_GoBack"/>
      <w:bookmarkEnd w:id="13"/>
    </w:p>
    <w:p w:rsidR="001978F7" w:rsidRPr="0097710E" w:rsidRDefault="001978F7">
      <w:pPr>
        <w:jc w:val="center"/>
      </w:pPr>
      <w:r w:rsidRPr="0097710E">
        <w:t>______________</w:t>
      </w:r>
    </w:p>
    <w:sectPr w:rsidR="001978F7" w:rsidRPr="0097710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C5" w:rsidRDefault="001442C5">
      <w:r>
        <w:separator/>
      </w:r>
    </w:p>
  </w:endnote>
  <w:endnote w:type="continuationSeparator" w:id="0">
    <w:p w:rsidR="001442C5" w:rsidRDefault="0014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50453" w:rsidRDefault="0077084A">
    <w:pPr>
      <w:ind w:right="360"/>
      <w:rPr>
        <w:lang w:val="fr-CH"/>
      </w:rPr>
    </w:pPr>
    <w:r>
      <w:fldChar w:fldCharType="begin"/>
    </w:r>
    <w:r w:rsidRPr="00050453">
      <w:rPr>
        <w:lang w:val="fr-CH"/>
      </w:rPr>
      <w:instrText xml:space="preserve"> FILENAME \p  \* MERGEFORMAT </w:instrText>
    </w:r>
    <w:r>
      <w:fldChar w:fldCharType="separate"/>
    </w:r>
    <w:r w:rsidR="00050453">
      <w:rPr>
        <w:noProof/>
        <w:lang w:val="fr-CH"/>
      </w:rPr>
      <w:t>P:\ESP\ITU-T\CONF-T\WTSA16\000\048ADD07S.docx</w:t>
    </w:r>
    <w:r>
      <w:fldChar w:fldCharType="end"/>
    </w:r>
    <w:r w:rsidRPr="0005045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4C61">
      <w:rPr>
        <w:noProof/>
      </w:rPr>
      <w:t>11.10.16</w:t>
    </w:r>
    <w:r>
      <w:fldChar w:fldCharType="end"/>
    </w:r>
    <w:r w:rsidRPr="0005045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0453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A1" w:rsidRPr="00A93AA1" w:rsidRDefault="00A93AA1" w:rsidP="00A93AA1">
    <w:pPr>
      <w:pStyle w:val="Footer"/>
      <w:rPr>
        <w:lang w:val="fr-CH"/>
      </w:rPr>
    </w:pPr>
    <w:r>
      <w:fldChar w:fldCharType="begin"/>
    </w:r>
    <w:r w:rsidRPr="00A93AA1">
      <w:rPr>
        <w:lang w:val="fr-CH"/>
      </w:rPr>
      <w:instrText xml:space="preserve"> FILENAME \p  \* MERGEFORMAT </w:instrText>
    </w:r>
    <w:r>
      <w:fldChar w:fldCharType="separate"/>
    </w:r>
    <w:r w:rsidR="00050453">
      <w:rPr>
        <w:lang w:val="fr-CH"/>
      </w:rPr>
      <w:t>P:\ESP\ITU-T\CONF-T\WTSA16\000\048ADD07S.docx</w:t>
    </w:r>
    <w:r>
      <w:fldChar w:fldCharType="end"/>
    </w:r>
    <w:r w:rsidRPr="00A93AA1">
      <w:rPr>
        <w:lang w:val="fr-CH"/>
      </w:rPr>
      <w:t xml:space="preserve"> (405812)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A93AA1" w:rsidRDefault="00A93AA1" w:rsidP="00A93AA1">
    <w:pPr>
      <w:pStyle w:val="Footer"/>
      <w:rPr>
        <w:lang w:val="fr-CH"/>
      </w:rPr>
    </w:pPr>
    <w:r>
      <w:fldChar w:fldCharType="begin"/>
    </w:r>
    <w:r w:rsidRPr="00A93AA1">
      <w:rPr>
        <w:lang w:val="fr-CH"/>
      </w:rPr>
      <w:instrText xml:space="preserve"> FILENAME \p  \* MERGEFORMAT </w:instrText>
    </w:r>
    <w:r>
      <w:fldChar w:fldCharType="separate"/>
    </w:r>
    <w:r w:rsidR="00050453">
      <w:rPr>
        <w:lang w:val="fr-CH"/>
      </w:rPr>
      <w:t>P:\ESP\ITU-T\CONF-T\WTSA16\000\048ADD07S.docx</w:t>
    </w:r>
    <w:r>
      <w:fldChar w:fldCharType="end"/>
    </w:r>
    <w:r w:rsidRPr="00A93AA1">
      <w:rPr>
        <w:lang w:val="fr-CH"/>
      </w:rPr>
      <w:t xml:space="preserve"> (405812)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C5" w:rsidRDefault="001442C5">
      <w:r>
        <w:rPr>
          <w:b/>
        </w:rPr>
        <w:t>_______________</w:t>
      </w:r>
    </w:p>
  </w:footnote>
  <w:footnote w:type="continuationSeparator" w:id="0">
    <w:p w:rsidR="001442C5" w:rsidRDefault="0014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74C61">
      <w:rPr>
        <w:noProof/>
      </w:rPr>
      <w:t>2</w:t>
    </w:r>
    <w:r>
      <w:fldChar w:fldCharType="end"/>
    </w:r>
  </w:p>
  <w:p w:rsidR="00E83D45" w:rsidRPr="00C72D5C" w:rsidRDefault="00E5655E" w:rsidP="00D106D6">
    <w:pPr>
      <w:pStyle w:val="Header"/>
    </w:pPr>
    <w:r>
      <w:t>AMNT16/</w:t>
    </w:r>
    <w:r w:rsidR="00D106D6">
      <w:t>48(Add.7)-</w:t>
    </w:r>
    <w:r w:rsidR="00D106D6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0453"/>
    <w:rsid w:val="00057296"/>
    <w:rsid w:val="000607DD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442C5"/>
    <w:rsid w:val="00146B95"/>
    <w:rsid w:val="0015142D"/>
    <w:rsid w:val="0015288C"/>
    <w:rsid w:val="001616DC"/>
    <w:rsid w:val="00163962"/>
    <w:rsid w:val="001803AB"/>
    <w:rsid w:val="00191A97"/>
    <w:rsid w:val="001978F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194D"/>
    <w:rsid w:val="00255F12"/>
    <w:rsid w:val="00262C09"/>
    <w:rsid w:val="00270817"/>
    <w:rsid w:val="00274772"/>
    <w:rsid w:val="00274C61"/>
    <w:rsid w:val="0028017B"/>
    <w:rsid w:val="002A791F"/>
    <w:rsid w:val="002C1B26"/>
    <w:rsid w:val="002E701F"/>
    <w:rsid w:val="003237B0"/>
    <w:rsid w:val="003248A9"/>
    <w:rsid w:val="00324FFA"/>
    <w:rsid w:val="0032680B"/>
    <w:rsid w:val="00327178"/>
    <w:rsid w:val="00343569"/>
    <w:rsid w:val="00363A65"/>
    <w:rsid w:val="00377EC9"/>
    <w:rsid w:val="00391066"/>
    <w:rsid w:val="003B1E8C"/>
    <w:rsid w:val="003C2508"/>
    <w:rsid w:val="003D0AA3"/>
    <w:rsid w:val="003D5D85"/>
    <w:rsid w:val="003E55AD"/>
    <w:rsid w:val="003F7354"/>
    <w:rsid w:val="004049DB"/>
    <w:rsid w:val="004104AC"/>
    <w:rsid w:val="00450BC0"/>
    <w:rsid w:val="00454553"/>
    <w:rsid w:val="00476FB2"/>
    <w:rsid w:val="00496BBD"/>
    <w:rsid w:val="004A3C24"/>
    <w:rsid w:val="004B124A"/>
    <w:rsid w:val="004B520A"/>
    <w:rsid w:val="004C3636"/>
    <w:rsid w:val="004C3A5A"/>
    <w:rsid w:val="00523269"/>
    <w:rsid w:val="00532097"/>
    <w:rsid w:val="00533A2A"/>
    <w:rsid w:val="005533CA"/>
    <w:rsid w:val="00566BEE"/>
    <w:rsid w:val="0058350F"/>
    <w:rsid w:val="005A374D"/>
    <w:rsid w:val="005B603A"/>
    <w:rsid w:val="005E782D"/>
    <w:rsid w:val="005F2605"/>
    <w:rsid w:val="006007DF"/>
    <w:rsid w:val="006031D1"/>
    <w:rsid w:val="006243E9"/>
    <w:rsid w:val="006407FE"/>
    <w:rsid w:val="00662039"/>
    <w:rsid w:val="00662BA0"/>
    <w:rsid w:val="00681766"/>
    <w:rsid w:val="00692AAE"/>
    <w:rsid w:val="006B0A36"/>
    <w:rsid w:val="006B0F54"/>
    <w:rsid w:val="006D6E67"/>
    <w:rsid w:val="006E0078"/>
    <w:rsid w:val="006E1A13"/>
    <w:rsid w:val="006E76B9"/>
    <w:rsid w:val="00701C20"/>
    <w:rsid w:val="00702F3D"/>
    <w:rsid w:val="00703A75"/>
    <w:rsid w:val="0070518E"/>
    <w:rsid w:val="00726626"/>
    <w:rsid w:val="00733D83"/>
    <w:rsid w:val="00734034"/>
    <w:rsid w:val="007354E9"/>
    <w:rsid w:val="007637C4"/>
    <w:rsid w:val="00765578"/>
    <w:rsid w:val="0077084A"/>
    <w:rsid w:val="007820B5"/>
    <w:rsid w:val="00786250"/>
    <w:rsid w:val="00790506"/>
    <w:rsid w:val="007952C7"/>
    <w:rsid w:val="00796DA8"/>
    <w:rsid w:val="007C2317"/>
    <w:rsid w:val="007C39FA"/>
    <w:rsid w:val="007D330A"/>
    <w:rsid w:val="007E667F"/>
    <w:rsid w:val="0082626A"/>
    <w:rsid w:val="008550A0"/>
    <w:rsid w:val="00866AE6"/>
    <w:rsid w:val="00873B75"/>
    <w:rsid w:val="008750A8"/>
    <w:rsid w:val="008E35DA"/>
    <w:rsid w:val="008E4453"/>
    <w:rsid w:val="008F4C9F"/>
    <w:rsid w:val="0090121B"/>
    <w:rsid w:val="00904802"/>
    <w:rsid w:val="009144C9"/>
    <w:rsid w:val="00916196"/>
    <w:rsid w:val="0094091F"/>
    <w:rsid w:val="00973754"/>
    <w:rsid w:val="00973DA1"/>
    <w:rsid w:val="0097710E"/>
    <w:rsid w:val="00990278"/>
    <w:rsid w:val="009A137D"/>
    <w:rsid w:val="009C0BED"/>
    <w:rsid w:val="009E11EC"/>
    <w:rsid w:val="009E7842"/>
    <w:rsid w:val="009F6A67"/>
    <w:rsid w:val="00A02A35"/>
    <w:rsid w:val="00A118DB"/>
    <w:rsid w:val="00A24AC0"/>
    <w:rsid w:val="00A2763D"/>
    <w:rsid w:val="00A4450C"/>
    <w:rsid w:val="00A866BC"/>
    <w:rsid w:val="00A93AA1"/>
    <w:rsid w:val="00AA5E6C"/>
    <w:rsid w:val="00AB4E90"/>
    <w:rsid w:val="00AD629D"/>
    <w:rsid w:val="00AE2AAA"/>
    <w:rsid w:val="00AE5677"/>
    <w:rsid w:val="00AE658F"/>
    <w:rsid w:val="00AF2F78"/>
    <w:rsid w:val="00B05455"/>
    <w:rsid w:val="00B07178"/>
    <w:rsid w:val="00B16A6B"/>
    <w:rsid w:val="00B1727C"/>
    <w:rsid w:val="00B173B3"/>
    <w:rsid w:val="00B24264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467"/>
    <w:rsid w:val="00BE6A1F"/>
    <w:rsid w:val="00BF4A69"/>
    <w:rsid w:val="00C126C4"/>
    <w:rsid w:val="00C12849"/>
    <w:rsid w:val="00C13B75"/>
    <w:rsid w:val="00C34F47"/>
    <w:rsid w:val="00C457C7"/>
    <w:rsid w:val="00C52602"/>
    <w:rsid w:val="00C614DC"/>
    <w:rsid w:val="00C63EB5"/>
    <w:rsid w:val="00C63F97"/>
    <w:rsid w:val="00C858D0"/>
    <w:rsid w:val="00CA1F40"/>
    <w:rsid w:val="00CB35C9"/>
    <w:rsid w:val="00CC01E0"/>
    <w:rsid w:val="00CD5FEE"/>
    <w:rsid w:val="00CD663E"/>
    <w:rsid w:val="00CE60D2"/>
    <w:rsid w:val="00CE6389"/>
    <w:rsid w:val="00D0288A"/>
    <w:rsid w:val="00D106C6"/>
    <w:rsid w:val="00D106D6"/>
    <w:rsid w:val="00D1327C"/>
    <w:rsid w:val="00D1537C"/>
    <w:rsid w:val="00D56781"/>
    <w:rsid w:val="00D72A5D"/>
    <w:rsid w:val="00DC41E9"/>
    <w:rsid w:val="00DC629B"/>
    <w:rsid w:val="00DF0C2C"/>
    <w:rsid w:val="00E05BFF"/>
    <w:rsid w:val="00E1796B"/>
    <w:rsid w:val="00E21778"/>
    <w:rsid w:val="00E262F1"/>
    <w:rsid w:val="00E32BEE"/>
    <w:rsid w:val="00E47B44"/>
    <w:rsid w:val="00E51592"/>
    <w:rsid w:val="00E5655E"/>
    <w:rsid w:val="00E71D14"/>
    <w:rsid w:val="00E83D45"/>
    <w:rsid w:val="00EE1779"/>
    <w:rsid w:val="00EF0D6D"/>
    <w:rsid w:val="00F0220A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C5543"/>
    <w:rsid w:val="00FD5C8C"/>
    <w:rsid w:val="00FE0F4C"/>
    <w:rsid w:val="00FE161E"/>
    <w:rsid w:val="00FE4574"/>
    <w:rsid w:val="00FE45C6"/>
    <w:rsid w:val="00FF0475"/>
    <w:rsid w:val="00FF408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3D45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table" w:styleId="TableGrid">
    <w:name w:val="Table Grid"/>
    <w:basedOn w:val="TableNormal"/>
    <w:rsid w:val="009E784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"/>
    <w:basedOn w:val="DefaultParagraphFont"/>
    <w:uiPriority w:val="99"/>
    <w:unhideWhenUsed/>
    <w:rsid w:val="006407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63F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64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646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28B98F5B9747C685A8136F8A13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9A2B-6687-4000-BFDD-43A18AFCCD9D}"/>
      </w:docPartPr>
      <w:docPartBody>
        <w:p w:rsidR="00D94833" w:rsidRDefault="00FE13E4" w:rsidP="00FE13E4">
          <w:pPr>
            <w:pStyle w:val="1528B98F5B9747C685A8136F8A13DEB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647487"/>
    <w:rsid w:val="00690C7B"/>
    <w:rsid w:val="009124B2"/>
    <w:rsid w:val="00986969"/>
    <w:rsid w:val="009E7F8E"/>
    <w:rsid w:val="00BD59AE"/>
    <w:rsid w:val="00D94833"/>
    <w:rsid w:val="00DA0CD6"/>
    <w:rsid w:val="00E04EE8"/>
    <w:rsid w:val="00E30626"/>
    <w:rsid w:val="00E80C1D"/>
    <w:rsid w:val="00E96DF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3E4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E09DB360C61F492EAB4FD9AFF687476D">
    <w:name w:val="E09DB360C61F492EAB4FD9AFF687476D"/>
    <w:rsid w:val="00FE13E4"/>
    <w:rPr>
      <w:lang w:val="en-GB"/>
    </w:rPr>
  </w:style>
  <w:style w:type="paragraph" w:customStyle="1" w:styleId="1528B98F5B9747C685A8136F8A13DEBE">
    <w:name w:val="1528B98F5B9747C685A8136F8A13DEBE"/>
    <w:rsid w:val="00FE13E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35B1-EF0D-498E-938F-3942CA60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4588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Callejon, Miguel</dc:creator>
  <dc:description>Template used by DPM and CPI for the WTSA-16</dc:description>
  <cp:lastModifiedBy>Murphy, Margaret</cp:lastModifiedBy>
  <cp:revision>56</cp:revision>
  <cp:lastPrinted>2016-10-11T12:32:00Z</cp:lastPrinted>
  <dcterms:created xsi:type="dcterms:W3CDTF">2016-10-11T09:32:00Z</dcterms:created>
  <dcterms:modified xsi:type="dcterms:W3CDTF">2016-10-17T13:23:00Z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