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B44D98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B44D98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B44D9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B44D9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B44D98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B44D98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4B6ED5" w:rsidRDefault="00E07379" w:rsidP="00B44D98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4B6ED5" w:rsidRDefault="00E07379" w:rsidP="00B44D98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B44D98">
        <w:trPr>
          <w:cantSplit/>
          <w:jc w:val="right"/>
        </w:trPr>
        <w:tc>
          <w:tcPr>
            <w:tcW w:w="3428" w:type="pct"/>
            <w:gridSpan w:val="2"/>
          </w:tcPr>
          <w:p w:rsidR="0022345D" w:rsidRPr="004B6ED5" w:rsidRDefault="0022345D" w:rsidP="00B44D9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B6ED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4B6ED5" w:rsidRDefault="0022345D" w:rsidP="00B44D9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4B6ED5">
              <w:rPr>
                <w:rtl/>
              </w:rPr>
              <w:t>الإضافة</w:t>
            </w:r>
            <w:r w:rsidR="004B6ED5">
              <w:rPr>
                <w:rFonts w:hint="eastAsia"/>
                <w:rtl/>
              </w:rPr>
              <w:t> </w:t>
            </w:r>
            <w:r w:rsidRPr="004B6ED5">
              <w:t>7</w:t>
            </w:r>
            <w:r w:rsidRPr="004B6ED5">
              <w:br/>
            </w:r>
            <w:r w:rsidRPr="004B6ED5">
              <w:rPr>
                <w:rtl/>
              </w:rPr>
              <w:t>للوثيقة</w:t>
            </w:r>
            <w:r w:rsidR="004B6ED5">
              <w:rPr>
                <w:rFonts w:hint="eastAsia"/>
                <w:rtl/>
              </w:rPr>
              <w:t> </w:t>
            </w:r>
            <w:r w:rsidRPr="004B6ED5">
              <w:t>48-</w:t>
            </w:r>
            <w:r w:rsidR="004B6ED5">
              <w:t>A</w:t>
            </w:r>
          </w:p>
        </w:tc>
      </w:tr>
      <w:tr w:rsidR="0022345D" w:rsidRPr="00E07379" w:rsidTr="00B44D98">
        <w:trPr>
          <w:cantSplit/>
          <w:jc w:val="right"/>
        </w:trPr>
        <w:tc>
          <w:tcPr>
            <w:tcW w:w="3428" w:type="pct"/>
            <w:gridSpan w:val="2"/>
          </w:tcPr>
          <w:p w:rsidR="0022345D" w:rsidRPr="004B6ED5" w:rsidRDefault="0022345D" w:rsidP="00B44D9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4B6ED5" w:rsidRDefault="0022345D" w:rsidP="00B44D9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4B6ED5">
              <w:rPr>
                <w:rFonts w:eastAsia="SimSun"/>
              </w:rPr>
              <w:t>30</w:t>
            </w:r>
            <w:r w:rsidRPr="004B6ED5">
              <w:rPr>
                <w:rFonts w:eastAsia="SimSun"/>
                <w:rtl/>
              </w:rPr>
              <w:t xml:space="preserve"> سبتمبر </w:t>
            </w:r>
            <w:r w:rsidRPr="004B6ED5">
              <w:rPr>
                <w:rFonts w:eastAsia="SimSun"/>
              </w:rPr>
              <w:t>2016</w:t>
            </w:r>
          </w:p>
        </w:tc>
      </w:tr>
      <w:tr w:rsidR="0022345D" w:rsidRPr="00E07379" w:rsidTr="00B44D98">
        <w:trPr>
          <w:cantSplit/>
          <w:jc w:val="right"/>
        </w:trPr>
        <w:tc>
          <w:tcPr>
            <w:tcW w:w="3428" w:type="pct"/>
            <w:gridSpan w:val="2"/>
          </w:tcPr>
          <w:p w:rsidR="0022345D" w:rsidRPr="004B6ED5" w:rsidRDefault="0022345D" w:rsidP="00B44D98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4B6ED5" w:rsidRDefault="0022345D" w:rsidP="00B44D9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4B6ED5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B44D98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B44D98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B44D98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B44D98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4B6ED5" w:rsidRDefault="00E27ED4" w:rsidP="00B44D98">
            <w:pPr>
              <w:pStyle w:val="Title1"/>
              <w:spacing w:before="240"/>
              <w:rPr>
                <w:highlight w:val="yellow"/>
                <w:rtl/>
              </w:rPr>
            </w:pPr>
            <w:r w:rsidRPr="009123E7">
              <w:rPr>
                <w:rFonts w:hint="cs"/>
                <w:w w:val="115"/>
                <w:rtl/>
              </w:rPr>
              <w:t>آراء بشأن الوثيقة </w:t>
            </w:r>
            <w:r w:rsidRPr="009123E7">
              <w:rPr>
                <w:w w:val="115"/>
              </w:rPr>
              <w:t>37</w:t>
            </w:r>
            <w:r w:rsidRPr="009123E7">
              <w:rPr>
                <w:rFonts w:hint="cs"/>
                <w:w w:val="115"/>
                <w:rtl/>
              </w:rPr>
              <w:t xml:space="preserve"> للجمعية العالمية لتقييس الاتصالات لعام </w:t>
            </w:r>
            <w:r w:rsidRPr="009123E7">
              <w:rPr>
                <w:w w:val="115"/>
              </w:rPr>
              <w:t>2016</w:t>
            </w:r>
            <w:r w:rsidRPr="009123E7">
              <w:rPr>
                <w:rFonts w:hint="eastAsia"/>
                <w:w w:val="115"/>
                <w:rtl/>
              </w:rPr>
              <w:t> </w:t>
            </w:r>
            <w:r w:rsidRPr="009123E7">
              <w:rPr>
                <w:rFonts w:hint="cs"/>
                <w:w w:val="115"/>
                <w:rtl/>
              </w:rPr>
              <w:t xml:space="preserve">- </w:t>
            </w:r>
            <w:r w:rsidR="004B6ED5" w:rsidRPr="009123E7">
              <w:rPr>
                <w:rFonts w:hint="cs"/>
                <w:w w:val="115"/>
                <w:rtl/>
                <w:lang w:bidi="ar-SA"/>
              </w:rPr>
              <w:t>التوصية</w:t>
            </w:r>
            <w:r w:rsidRPr="009123E7">
              <w:rPr>
                <w:rFonts w:hint="eastAsia"/>
                <w:w w:val="115"/>
                <w:rtl/>
                <w:lang w:bidi="ar-SA"/>
              </w:rPr>
              <w:t> </w:t>
            </w:r>
            <w:r w:rsidR="004B6ED5" w:rsidRPr="009123E7">
              <w:rPr>
                <w:w w:val="115"/>
              </w:rPr>
              <w:t>ITU-T D.52</w:t>
            </w:r>
            <w:r w:rsidR="004B6ED5" w:rsidRPr="009123E7">
              <w:rPr>
                <w:rFonts w:hint="cs"/>
                <w:w w:val="115"/>
                <w:rtl/>
                <w:lang w:bidi="ar-SA"/>
              </w:rPr>
              <w:t xml:space="preserve"> </w:t>
            </w:r>
            <w:r w:rsidRPr="009123E7">
              <w:rPr>
                <w:rFonts w:hint="cs"/>
                <w:w w:val="115"/>
                <w:rtl/>
                <w:lang w:bidi="ar-SA"/>
              </w:rPr>
              <w:t>(</w:t>
            </w:r>
            <w:r w:rsidR="004B6ED5" w:rsidRPr="009123E7">
              <w:rPr>
                <w:w w:val="115"/>
                <w:rtl/>
                <w:lang w:bidi="ar-SA"/>
              </w:rPr>
              <w:t xml:space="preserve">إقامة نقاط تبادل </w:t>
            </w:r>
            <w:r w:rsidR="004B6ED5" w:rsidRPr="009123E7">
              <w:rPr>
                <w:rFonts w:hint="cs"/>
                <w:w w:val="115"/>
                <w:rtl/>
                <w:lang w:bidi="ar-SA"/>
              </w:rPr>
              <w:t>إقليمية للإنترنت</w:t>
            </w:r>
            <w:r w:rsidR="004B6ED5" w:rsidRPr="009123E7">
              <w:rPr>
                <w:rFonts w:hint="eastAsia"/>
                <w:w w:val="115"/>
                <w:rtl/>
                <w:lang w:bidi="ar-SA"/>
              </w:rPr>
              <w:t> </w:t>
            </w:r>
            <w:r w:rsidR="004B6ED5" w:rsidRPr="009123E7">
              <w:rPr>
                <w:w w:val="115"/>
              </w:rPr>
              <w:t>(IXP)</w:t>
            </w:r>
            <w:r w:rsidR="004B6ED5" w:rsidRPr="009123E7">
              <w:rPr>
                <w:rFonts w:hint="cs"/>
                <w:w w:val="115"/>
                <w:rtl/>
                <w:lang w:bidi="ar-SA"/>
              </w:rPr>
              <w:t xml:space="preserve"> </w:t>
            </w:r>
            <w:r w:rsidR="00B44D98" w:rsidRPr="009123E7">
              <w:rPr>
                <w:w w:val="115"/>
                <w:rtl/>
                <w:lang w:bidi="ar-SA"/>
              </w:rPr>
              <w:t>وتوصيلها</w:t>
            </w:r>
            <w:r w:rsidR="00E838F9">
              <w:rPr>
                <w:w w:val="115"/>
                <w:rtl/>
                <w:lang w:bidi="ar-SA"/>
              </w:rPr>
              <w:br/>
            </w:r>
            <w:r w:rsidR="004B6ED5" w:rsidRPr="009123E7">
              <w:rPr>
                <w:w w:val="115"/>
                <w:rtl/>
                <w:lang w:bidi="ar-SA"/>
              </w:rPr>
              <w:t>لخفض تكاليف التوصيلية الدولية للإنترنت</w:t>
            </w:r>
            <w:r w:rsidR="009123E7">
              <w:rPr>
                <w:rFonts w:hint="cs"/>
                <w:w w:val="115"/>
                <w:rtl/>
                <w:lang w:bidi="ar-SA"/>
              </w:rPr>
              <w:t>)</w:t>
            </w:r>
          </w:p>
        </w:tc>
      </w:tr>
      <w:tr w:rsidR="0022345D" w:rsidRPr="00E07379" w:rsidTr="00B44D98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B21C14">
            <w:pPr>
              <w:pStyle w:val="Title2"/>
              <w:spacing w:before="240"/>
              <w:rPr>
                <w:rtl/>
              </w:rPr>
            </w:pPr>
          </w:p>
        </w:tc>
      </w:tr>
      <w:tr w:rsidR="0022345D" w:rsidRPr="00E07379" w:rsidTr="00B44D98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B21C14">
            <w:pPr>
              <w:pStyle w:val="Agendaitem"/>
              <w:spacing w:line="192" w:lineRule="auto"/>
            </w:pPr>
          </w:p>
        </w:tc>
      </w:tr>
    </w:tbl>
    <w:p w:rsidR="006157A3" w:rsidRDefault="006157A3" w:rsidP="00B21C14">
      <w:pPr>
        <w:spacing w:before="0"/>
        <w:rPr>
          <w:lang w:bidi="ar-EG"/>
        </w:rPr>
      </w:pPr>
    </w:p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42"/>
        <w:gridCol w:w="1040"/>
      </w:tblGrid>
      <w:tr w:rsidR="006157A3" w:rsidRPr="00E70E87" w:rsidTr="00E838F9">
        <w:trPr>
          <w:cantSplit/>
          <w:jc w:val="right"/>
        </w:trPr>
        <w:tc>
          <w:tcPr>
            <w:tcW w:w="8741" w:type="dxa"/>
          </w:tcPr>
          <w:p w:rsidR="006157A3" w:rsidRPr="0088148D" w:rsidRDefault="00A254AE" w:rsidP="00E838F9">
            <w:pPr>
              <w:rPr>
                <w:highlight w:val="yellow"/>
              </w:rPr>
            </w:pPr>
            <w:sdt>
              <w:sdtPr>
                <w:rPr>
                  <w:rtl/>
                  <w:lang w:bidi="ar-EG"/>
                </w:rPr>
                <w:alias w:val="Abstract"/>
                <w:tag w:val="Abstract"/>
                <w:id w:val="-939903723"/>
                <w:placeholder>
                  <w:docPart w:val="456CC73F53E643B5956215EB24B5ECF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9B5FAD" w:rsidRPr="009123E7">
                  <w:rPr>
                    <w:rFonts w:hint="cs"/>
                    <w:rtl/>
                    <w:lang w:bidi="ar-EG"/>
                  </w:rPr>
                  <w:t>لا تدعم الولايات المتحدة الموافقة على مشروع التوصية الجديدة </w:t>
                </w:r>
                <w:r w:rsidR="009B5FAD" w:rsidRPr="009123E7">
                  <w:rPr>
                    <w:lang w:bidi="ar-EG"/>
                  </w:rPr>
                  <w:t>ITU</w:t>
                </w:r>
                <w:r w:rsidR="009B5FAD" w:rsidRPr="009123E7">
                  <w:rPr>
                    <w:lang w:bidi="ar-EG"/>
                  </w:rPr>
                  <w:noBreakHyphen/>
                  <w:t>T D.52</w:t>
                </w:r>
                <w:r w:rsidR="009B5FAD" w:rsidRPr="009123E7">
                  <w:rPr>
                    <w:rFonts w:hint="cs"/>
                    <w:rtl/>
                    <w:lang w:bidi="ar-EG"/>
                  </w:rPr>
                  <w:t xml:space="preserve"> (</w:t>
                </w:r>
                <w:r w:rsidR="0088148D" w:rsidRPr="009123E7">
                  <w:rPr>
                    <w:rtl/>
                    <w:lang w:bidi="ar-EG"/>
                  </w:rPr>
                  <w:t>إقامة نقاط تبادل إقليمية للإنترنت</w:t>
                </w:r>
                <w:r w:rsidR="00111CC2" w:rsidRPr="009123E7">
                  <w:rPr>
                    <w:rFonts w:hint="cs"/>
                    <w:rtl/>
                    <w:lang w:bidi="ar-EG"/>
                  </w:rPr>
                  <w:t> </w:t>
                </w:r>
                <w:r w:rsidR="0088148D" w:rsidRPr="009123E7">
                  <w:rPr>
                    <w:lang w:bidi="ar-EG"/>
                  </w:rPr>
                  <w:t>(IXP)</w:t>
                </w:r>
                <w:r w:rsidR="0088148D" w:rsidRPr="009123E7">
                  <w:rPr>
                    <w:rtl/>
                    <w:lang w:bidi="ar-EG"/>
                  </w:rPr>
                  <w:t xml:space="preserve"> وتوصيلها لخفض تكاليف التوصيلية الدولية للإنترنت</w:t>
                </w:r>
                <w:r w:rsidR="009B5FAD" w:rsidRPr="009123E7">
                  <w:rPr>
                    <w:rFonts w:hint="cs"/>
                    <w:rtl/>
                    <w:lang w:bidi="ar-EG"/>
                  </w:rPr>
                  <w:t>)</w:t>
                </w:r>
                <w:r w:rsidR="0088148D" w:rsidRPr="009123E7">
                  <w:rPr>
                    <w:rtl/>
                    <w:lang w:bidi="ar-EG"/>
                  </w:rPr>
                  <w:t xml:space="preserve"> </w:t>
                </w:r>
                <w:r w:rsidR="009B5FAD" w:rsidRPr="009123E7">
                  <w:rPr>
                    <w:rFonts w:hint="cs"/>
                    <w:rtl/>
                    <w:lang w:bidi="ar-EG"/>
                  </w:rPr>
                  <w:t xml:space="preserve">الواردة </w:t>
                </w:r>
                <w:r w:rsidR="0088148D" w:rsidRPr="009123E7">
                  <w:rPr>
                    <w:rFonts w:hint="cs"/>
                    <w:rtl/>
                    <w:lang w:bidi="ar-EG"/>
                  </w:rPr>
                  <w:t>في</w:t>
                </w:r>
                <w:r w:rsidR="00E838F9">
                  <w:rPr>
                    <w:rFonts w:hint="eastAsia"/>
                    <w:rtl/>
                    <w:lang w:bidi="ar-EG"/>
                  </w:rPr>
                  <w:t> </w:t>
                </w:r>
                <w:r w:rsidR="0088148D" w:rsidRPr="009123E7">
                  <w:rPr>
                    <w:rtl/>
                    <w:lang w:bidi="ar-EG"/>
                  </w:rPr>
                  <w:t>الوثيقة</w:t>
                </w:r>
                <w:r w:rsidR="00E838F9">
                  <w:rPr>
                    <w:rFonts w:hint="cs"/>
                    <w:rtl/>
                    <w:lang w:bidi="ar-EG"/>
                  </w:rPr>
                  <w:t> </w:t>
                </w:r>
                <w:r w:rsidR="0088148D" w:rsidRPr="009123E7">
                  <w:rPr>
                    <w:lang w:bidi="ar-EG"/>
                  </w:rPr>
                  <w:t>37</w:t>
                </w:r>
                <w:r w:rsidR="0088148D" w:rsidRPr="009123E7">
                  <w:rPr>
                    <w:rtl/>
                    <w:lang w:bidi="ar-EG"/>
                  </w:rPr>
                  <w:t xml:space="preserve"> للجمعية العالمية لتقييس الاتصالات لعام</w:t>
                </w:r>
                <w:r w:rsidR="00E838F9">
                  <w:rPr>
                    <w:rFonts w:hint="cs"/>
                    <w:rtl/>
                    <w:lang w:bidi="ar-EG"/>
                  </w:rPr>
                  <w:t> </w:t>
                </w:r>
                <w:r w:rsidR="0088148D" w:rsidRPr="009123E7">
                  <w:rPr>
                    <w:lang w:bidi="ar-EG"/>
                  </w:rPr>
                  <w:t>2016</w:t>
                </w:r>
              </w:sdtContent>
            </w:sdt>
            <w:r w:rsidR="009B5FAD" w:rsidRPr="009123E7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40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4B6ED5" w:rsidRDefault="004B6ED5" w:rsidP="00E838F9">
      <w:pPr>
        <w:pStyle w:val="Headingb"/>
        <w:rPr>
          <w:rtl/>
        </w:rPr>
      </w:pPr>
      <w:r w:rsidRPr="009123E7">
        <w:rPr>
          <w:rFonts w:hint="cs"/>
          <w:rtl/>
        </w:rPr>
        <w:t>مقدمة</w:t>
      </w:r>
    </w:p>
    <w:p w:rsidR="004B6ED5" w:rsidRPr="003271CE" w:rsidRDefault="00D75C23" w:rsidP="00E838F9">
      <w:pPr>
        <w:rPr>
          <w:rtl/>
          <w:lang w:bidi="ar-EG"/>
        </w:rPr>
      </w:pPr>
      <w:r w:rsidRPr="009123E7">
        <w:rPr>
          <w:rFonts w:hint="cs"/>
          <w:rtl/>
          <w:lang w:bidi="ar-EG"/>
        </w:rPr>
        <w:t>تتضمن الوثيقة</w:t>
      </w:r>
      <w:r w:rsidR="00E838F9">
        <w:rPr>
          <w:rFonts w:hint="eastAsia"/>
          <w:rtl/>
          <w:lang w:bidi="ar-EG"/>
        </w:rPr>
        <w:t> </w:t>
      </w:r>
      <w:r w:rsidRPr="009123E7">
        <w:rPr>
          <w:lang w:bidi="ar-EG"/>
        </w:rPr>
        <w:t>37</w:t>
      </w:r>
      <w:r w:rsidRPr="009123E7">
        <w:rPr>
          <w:rFonts w:hint="cs"/>
          <w:rtl/>
          <w:lang w:bidi="ar-EG"/>
        </w:rPr>
        <w:t xml:space="preserve"> للجمعية</w:t>
      </w:r>
      <w:r w:rsidRPr="009123E7">
        <w:rPr>
          <w:rFonts w:hint="cs"/>
          <w:rtl/>
        </w:rPr>
        <w:t xml:space="preserve"> العالمية لتقييس الاتصالات لعام</w:t>
      </w:r>
      <w:r w:rsidR="00E838F9">
        <w:rPr>
          <w:rFonts w:hint="eastAsia"/>
          <w:rtl/>
        </w:rPr>
        <w:t> </w:t>
      </w:r>
      <w:r w:rsidRPr="009123E7">
        <w:t>2016</w:t>
      </w:r>
      <w:r w:rsidRPr="009123E7">
        <w:rPr>
          <w:rFonts w:hint="cs"/>
          <w:rtl/>
        </w:rPr>
        <w:t xml:space="preserve"> مشروع التوصية الجديدة</w:t>
      </w:r>
      <w:r w:rsidR="00E838F9">
        <w:rPr>
          <w:rFonts w:hint="eastAsia"/>
          <w:rtl/>
          <w:lang w:bidi="ar-SY"/>
        </w:rPr>
        <w:t> </w:t>
      </w:r>
      <w:r w:rsidRPr="009123E7">
        <w:t>ITU</w:t>
      </w:r>
      <w:r w:rsidRPr="009123E7">
        <w:noBreakHyphen/>
        <w:t>T D.52</w:t>
      </w:r>
      <w:r w:rsidRPr="009123E7">
        <w:rPr>
          <w:rFonts w:hint="cs"/>
          <w:rtl/>
          <w:lang w:bidi="ar-EG"/>
        </w:rPr>
        <w:t xml:space="preserve"> </w:t>
      </w:r>
      <w:r w:rsidRPr="009123E7">
        <w:rPr>
          <w:rFonts w:hint="cs"/>
          <w:w w:val="115"/>
          <w:rtl/>
        </w:rPr>
        <w:t>(</w:t>
      </w:r>
      <w:r w:rsidRPr="009123E7">
        <w:rPr>
          <w:w w:val="115"/>
          <w:rtl/>
        </w:rPr>
        <w:t>إقامة نقاط تبادل</w:t>
      </w:r>
      <w:r w:rsidR="0088148D" w:rsidRPr="009123E7">
        <w:rPr>
          <w:w w:val="115"/>
          <w:rtl/>
        </w:rPr>
        <w:t xml:space="preserve"> إقليمية للإنترنت</w:t>
      </w:r>
      <w:r w:rsidR="00111CC2" w:rsidRPr="009123E7">
        <w:rPr>
          <w:rFonts w:hint="cs"/>
          <w:w w:val="115"/>
          <w:rtl/>
        </w:rPr>
        <w:t> </w:t>
      </w:r>
      <w:r w:rsidR="0088148D" w:rsidRPr="009123E7">
        <w:rPr>
          <w:w w:val="115"/>
        </w:rPr>
        <w:t>(IXP)</w:t>
      </w:r>
      <w:r w:rsidRPr="009123E7">
        <w:rPr>
          <w:w w:val="115"/>
          <w:rtl/>
        </w:rPr>
        <w:t xml:space="preserve"> وتوصيلها لخفض تكاليف التوصيلية الدولية للإنترنت</w:t>
      </w:r>
      <w:r w:rsidRPr="009123E7">
        <w:rPr>
          <w:rFonts w:hint="cs"/>
          <w:w w:val="115"/>
          <w:rtl/>
        </w:rPr>
        <w:t xml:space="preserve">) </w:t>
      </w:r>
      <w:r w:rsidRPr="009123E7">
        <w:rPr>
          <w:rtl/>
        </w:rPr>
        <w:t>ل</w:t>
      </w:r>
      <w:r w:rsidR="0088148D" w:rsidRPr="009123E7">
        <w:rPr>
          <w:rFonts w:hint="cs"/>
          <w:rtl/>
          <w:lang w:bidi="ar-EG"/>
        </w:rPr>
        <w:t>ل</w:t>
      </w:r>
      <w:r w:rsidRPr="009123E7">
        <w:rPr>
          <w:rtl/>
        </w:rPr>
        <w:t>جنة الدراسات</w:t>
      </w:r>
      <w:r w:rsidR="00E838F9">
        <w:rPr>
          <w:rFonts w:hint="cs"/>
          <w:rtl/>
        </w:rPr>
        <w:t> </w:t>
      </w:r>
      <w:r w:rsidRPr="009123E7">
        <w:t>3</w:t>
      </w:r>
      <w:r w:rsidR="00B67CA1">
        <w:rPr>
          <w:rFonts w:hint="cs"/>
          <w:rtl/>
        </w:rPr>
        <w:t>. وكما أوضحت الولايات المتحدة في</w:t>
      </w:r>
      <w:r w:rsidR="00E838F9">
        <w:rPr>
          <w:rFonts w:hint="eastAsia"/>
          <w:rtl/>
        </w:rPr>
        <w:t> </w:t>
      </w:r>
      <w:r w:rsidR="00B67CA1">
        <w:rPr>
          <w:rFonts w:hint="cs"/>
          <w:rtl/>
        </w:rPr>
        <w:t>ردها على الرسالة المعممة رقم</w:t>
      </w:r>
      <w:r w:rsidR="00E838F9">
        <w:rPr>
          <w:rFonts w:hint="eastAsia"/>
          <w:rtl/>
        </w:rPr>
        <w:t> </w:t>
      </w:r>
      <w:r w:rsidR="00B67CA1">
        <w:t>209</w:t>
      </w:r>
      <w:r w:rsidR="00B67CA1">
        <w:rPr>
          <w:rFonts w:hint="cs"/>
          <w:rtl/>
          <w:lang w:bidi="ar-EG"/>
        </w:rPr>
        <w:t xml:space="preserve"> لمكتب تقييس الاتصالات الوارد في</w:t>
      </w:r>
      <w:r w:rsidR="00E838F9">
        <w:rPr>
          <w:rFonts w:hint="eastAsia"/>
          <w:rtl/>
          <w:lang w:bidi="ar-EG"/>
        </w:rPr>
        <w:t> </w:t>
      </w:r>
      <w:r w:rsidR="00B67CA1">
        <w:rPr>
          <w:rFonts w:hint="cs"/>
          <w:rtl/>
          <w:lang w:bidi="ar-EG"/>
        </w:rPr>
        <w:t>الوثيقة</w:t>
      </w:r>
      <w:r w:rsidR="00E838F9">
        <w:rPr>
          <w:rFonts w:hint="eastAsia"/>
          <w:rtl/>
          <w:lang w:bidi="ar-EG"/>
        </w:rPr>
        <w:t> </w:t>
      </w:r>
      <w:r w:rsidR="00B67CA1">
        <w:rPr>
          <w:lang w:bidi="ar-EG"/>
        </w:rPr>
        <w:t>49</w:t>
      </w:r>
      <w:r w:rsidR="00B67CA1">
        <w:rPr>
          <w:rFonts w:hint="cs"/>
          <w:rtl/>
          <w:lang w:bidi="ar-EG"/>
        </w:rPr>
        <w:t xml:space="preserve"> للجمعية العالمية لتقييس الاتصالات لعام</w:t>
      </w:r>
      <w:r w:rsidR="00E838F9">
        <w:rPr>
          <w:rFonts w:hint="eastAsia"/>
          <w:rtl/>
          <w:lang w:bidi="ar-EG"/>
        </w:rPr>
        <w:t> </w:t>
      </w:r>
      <w:r w:rsidR="00B67CA1">
        <w:rPr>
          <w:lang w:bidi="ar-EG"/>
        </w:rPr>
        <w:t>2016</w:t>
      </w:r>
      <w:r w:rsidR="00B67CA1">
        <w:rPr>
          <w:rFonts w:hint="cs"/>
          <w:rtl/>
          <w:lang w:bidi="ar-EG"/>
        </w:rPr>
        <w:t>، حددت لجنة الدراسات</w:t>
      </w:r>
      <w:r w:rsidR="00E838F9">
        <w:rPr>
          <w:rFonts w:hint="eastAsia"/>
          <w:rtl/>
          <w:lang w:bidi="ar-EG"/>
        </w:rPr>
        <w:t> </w:t>
      </w:r>
      <w:r w:rsidR="00B67CA1">
        <w:rPr>
          <w:lang w:bidi="ar-EG"/>
        </w:rPr>
        <w:t>3</w:t>
      </w:r>
      <w:r w:rsidR="00B67CA1">
        <w:rPr>
          <w:rFonts w:hint="cs"/>
          <w:rtl/>
          <w:lang w:bidi="ar-EG"/>
        </w:rPr>
        <w:t xml:space="preserve"> مشروع التوصية الجديدة هذا </w:t>
      </w:r>
      <w:r w:rsidR="00893E39">
        <w:rPr>
          <w:rFonts w:hint="cs"/>
          <w:rtl/>
          <w:lang w:bidi="ar-EG"/>
        </w:rPr>
        <w:t>تبعاً</w:t>
      </w:r>
      <w:r w:rsidR="00B67CA1">
        <w:rPr>
          <w:rFonts w:hint="cs"/>
          <w:rtl/>
          <w:lang w:bidi="ar-EG"/>
        </w:rPr>
        <w:t xml:space="preserve"> </w:t>
      </w:r>
      <w:r w:rsidR="00893E39">
        <w:rPr>
          <w:rFonts w:hint="cs"/>
          <w:rtl/>
          <w:lang w:bidi="ar-EG"/>
        </w:rPr>
        <w:t>ل</w:t>
      </w:r>
      <w:r w:rsidR="00B67CA1">
        <w:rPr>
          <w:rFonts w:hint="cs"/>
          <w:rtl/>
          <w:lang w:bidi="ar-EG"/>
        </w:rPr>
        <w:t>عدد من المخالفات الإجرائية</w:t>
      </w:r>
      <w:r w:rsidR="003271CE">
        <w:rPr>
          <w:rFonts w:hint="cs"/>
          <w:rtl/>
          <w:lang w:bidi="ar-EG"/>
        </w:rPr>
        <w:t xml:space="preserve"> وحالات فشل العملية. ونتيجة لذلك، ترى الولايات المتحدة</w:t>
      </w:r>
      <w:bookmarkStart w:id="0" w:name="_GoBack"/>
      <w:bookmarkEnd w:id="0"/>
      <w:r w:rsidR="003271CE">
        <w:rPr>
          <w:rFonts w:hint="cs"/>
          <w:rtl/>
          <w:lang w:bidi="ar-EG"/>
        </w:rPr>
        <w:t xml:space="preserve"> أن هذه الوثيقة غير مستقرة وغير مدروسة. والأهم من ذلك، فإن مشروع التوصية الوارد في</w:t>
      </w:r>
      <w:r w:rsidR="00E838F9">
        <w:rPr>
          <w:rFonts w:hint="eastAsia"/>
          <w:rtl/>
          <w:lang w:bidi="ar-EG"/>
        </w:rPr>
        <w:t> </w:t>
      </w:r>
      <w:r w:rsidR="003271CE">
        <w:rPr>
          <w:rFonts w:hint="cs"/>
          <w:rtl/>
          <w:lang w:bidi="ar-EG"/>
        </w:rPr>
        <w:t>الوثيقة</w:t>
      </w:r>
      <w:r w:rsidR="00E838F9">
        <w:rPr>
          <w:rFonts w:hint="eastAsia"/>
          <w:rtl/>
          <w:lang w:bidi="ar-EG"/>
        </w:rPr>
        <w:t> </w:t>
      </w:r>
      <w:r w:rsidR="003271CE">
        <w:rPr>
          <w:lang w:bidi="ar-EG"/>
        </w:rPr>
        <w:t>37</w:t>
      </w:r>
      <w:r w:rsidR="003271CE">
        <w:rPr>
          <w:rFonts w:hint="cs"/>
          <w:rtl/>
          <w:lang w:bidi="ar-EG"/>
        </w:rPr>
        <w:t xml:space="preserve"> تشوبه أخطاء جوهرية.</w:t>
      </w:r>
    </w:p>
    <w:p w:rsidR="0088148D" w:rsidRDefault="00394CD8" w:rsidP="00E838F9">
      <w:pPr>
        <w:pStyle w:val="Headingb"/>
        <w:rPr>
          <w:rtl/>
        </w:rPr>
      </w:pPr>
      <w:r w:rsidRPr="003271CE">
        <w:rPr>
          <w:rFonts w:hint="cs"/>
          <w:rtl/>
        </w:rPr>
        <w:t>ال</w:t>
      </w:r>
      <w:r w:rsidR="0088148D" w:rsidRPr="003271CE">
        <w:rPr>
          <w:rFonts w:hint="cs"/>
          <w:rtl/>
        </w:rPr>
        <w:t>مناقشة</w:t>
      </w:r>
    </w:p>
    <w:p w:rsidR="0088148D" w:rsidRDefault="0003258D" w:rsidP="00E56842">
      <w:pPr>
        <w:rPr>
          <w:lang w:bidi="ar-SY"/>
        </w:rPr>
      </w:pPr>
      <w:r w:rsidRPr="00691A03">
        <w:rPr>
          <w:rFonts w:hint="cs"/>
          <w:spacing w:val="6"/>
          <w:rtl/>
          <w:lang w:bidi="ar-SY"/>
        </w:rPr>
        <w:t>يُعد</w:t>
      </w:r>
      <w:r w:rsidRPr="00C74F9C">
        <w:rPr>
          <w:rFonts w:hint="cs"/>
          <w:rtl/>
          <w:lang w:bidi="ar-SY"/>
        </w:rPr>
        <w:t xml:space="preserve"> مشروع التوصية المكون من صفحة ونصف صفحة توصية وطنية </w:t>
      </w:r>
      <w:r w:rsidR="004927F1">
        <w:rPr>
          <w:rFonts w:hint="cs"/>
          <w:rtl/>
          <w:lang w:bidi="ar-SY"/>
        </w:rPr>
        <w:t>وليس</w:t>
      </w:r>
      <w:r w:rsidRPr="00C74F9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مع</w:t>
      </w:r>
      <w:r w:rsidR="00C51310">
        <w:rPr>
          <w:rFonts w:hint="cs"/>
          <w:rtl/>
          <w:lang w:bidi="ar-SY"/>
        </w:rPr>
        <w:t>ي</w:t>
      </w:r>
      <w:r>
        <w:rPr>
          <w:rFonts w:hint="cs"/>
          <w:rtl/>
          <w:lang w:bidi="ar-SY"/>
        </w:rPr>
        <w:t>ار</w:t>
      </w:r>
      <w:r w:rsidR="00B50C2B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دولي</w:t>
      </w:r>
      <w:r w:rsidR="00B50C2B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تقني</w:t>
      </w:r>
      <w:r w:rsidR="00B50C2B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للاتصالات على النحو المطلوب بموجب الخطة الاستراتيجية لقطاع تقييس الاتصالات</w:t>
      </w:r>
      <w:r w:rsidRPr="00C74F9C">
        <w:rPr>
          <w:rFonts w:hint="cs"/>
          <w:rtl/>
          <w:lang w:bidi="ar-SY"/>
        </w:rPr>
        <w:t>. ويتضح ذلك في</w:t>
      </w:r>
      <w:r w:rsidR="00E838F9">
        <w:rPr>
          <w:rFonts w:hint="eastAsia"/>
          <w:rtl/>
          <w:lang w:bidi="ar-SY"/>
        </w:rPr>
        <w:t> </w:t>
      </w:r>
      <w:r w:rsidR="00B21C14">
        <w:rPr>
          <w:rFonts w:hint="cs"/>
          <w:rtl/>
          <w:lang w:bidi="ar-SY"/>
        </w:rPr>
        <w:t>الفقرة</w:t>
      </w:r>
      <w:r w:rsidR="00E838F9">
        <w:rPr>
          <w:rFonts w:hint="eastAsia"/>
          <w:rtl/>
          <w:lang w:bidi="ar-SY"/>
        </w:rPr>
        <w:t> </w:t>
      </w:r>
      <w:r w:rsidRPr="00C74F9C">
        <w:rPr>
          <w:rFonts w:asciiTheme="majorBidi" w:hAnsiTheme="majorBidi" w:cstheme="majorBidi"/>
        </w:rPr>
        <w:t>5</w:t>
      </w:r>
      <w:r w:rsidRPr="00C74F9C">
        <w:rPr>
          <w:rFonts w:asciiTheme="majorBidi" w:hAnsiTheme="majorBidi" w:cstheme="majorBidi" w:hint="cs"/>
          <w:rtl/>
        </w:rPr>
        <w:t>.</w:t>
      </w:r>
      <w:r w:rsidRPr="00C74F9C">
        <w:rPr>
          <w:rFonts w:asciiTheme="majorBidi" w:hAnsiTheme="majorBidi" w:cstheme="majorBidi"/>
        </w:rPr>
        <w:t>2</w:t>
      </w:r>
      <w:r w:rsidRPr="00C74F9C">
        <w:rPr>
          <w:rFonts w:hint="cs"/>
          <w:rtl/>
          <w:lang w:bidi="ar-SY"/>
        </w:rPr>
        <w:t xml:space="preserve"> من مشروع التوصية الذي لا</w:t>
      </w:r>
      <w:r w:rsidR="00E838F9">
        <w:rPr>
          <w:rFonts w:hint="eastAsia"/>
          <w:rtl/>
          <w:lang w:bidi="ar-SY"/>
        </w:rPr>
        <w:t> </w:t>
      </w:r>
      <w:r w:rsidRPr="00C74F9C">
        <w:rPr>
          <w:rFonts w:hint="cs"/>
          <w:rtl/>
          <w:lang w:bidi="ar-SY"/>
        </w:rPr>
        <w:t>يتناول سوى أنشطة وطنية وإقليمية. ويتجلى الطابع الوطني المحض للتوصية أيضاً في</w:t>
      </w:r>
      <w:r w:rsidR="00E838F9">
        <w:rPr>
          <w:rFonts w:hint="eastAsia"/>
          <w:rtl/>
          <w:lang w:bidi="ar-SY"/>
        </w:rPr>
        <w:t> </w:t>
      </w:r>
      <w:r w:rsidRPr="00C74F9C">
        <w:rPr>
          <w:rFonts w:hint="cs"/>
          <w:rtl/>
          <w:lang w:bidi="ar-SY"/>
        </w:rPr>
        <w:t>التعريف الوارد في</w:t>
      </w:r>
      <w:r w:rsidRPr="00C74F9C">
        <w:rPr>
          <w:rFonts w:hint="eastAsia"/>
          <w:rtl/>
          <w:lang w:bidi="ar-SY"/>
        </w:rPr>
        <w:t> </w:t>
      </w:r>
      <w:r w:rsidR="00B21C14">
        <w:rPr>
          <w:rFonts w:hint="cs"/>
          <w:rtl/>
          <w:lang w:bidi="ar-SY"/>
        </w:rPr>
        <w:t>الفقرة</w:t>
      </w:r>
      <w:r>
        <w:rPr>
          <w:rFonts w:hint="eastAsia"/>
          <w:rtl/>
          <w:lang w:bidi="ar-SY"/>
        </w:rPr>
        <w:t> </w:t>
      </w:r>
      <w:r w:rsidRPr="00C74F9C">
        <w:rPr>
          <w:rFonts w:asciiTheme="majorBidi" w:hAnsiTheme="majorBidi" w:cstheme="majorBidi"/>
        </w:rPr>
        <w:t>3</w:t>
      </w:r>
      <w:r w:rsidRPr="00022C7A">
        <w:rPr>
          <w:rFonts w:hint="cs"/>
          <w:rtl/>
        </w:rPr>
        <w:t>،</w:t>
      </w:r>
      <w:r w:rsidRPr="00C74F9C">
        <w:rPr>
          <w:rFonts w:asciiTheme="majorBidi" w:hAnsiTheme="majorBidi" w:cstheme="majorBidi" w:hint="cs"/>
          <w:rtl/>
        </w:rPr>
        <w:t xml:space="preserve"> </w:t>
      </w:r>
      <w:r w:rsidRPr="00C74F9C">
        <w:rPr>
          <w:rFonts w:hint="cs"/>
          <w:rtl/>
          <w:lang w:bidi="ar-SY"/>
        </w:rPr>
        <w:t xml:space="preserve">حيث ذُكر أن نقاط تبادل </w:t>
      </w:r>
      <w:r w:rsidRPr="00C74F9C">
        <w:rPr>
          <w:rFonts w:hint="cs"/>
          <w:rtl/>
          <w:lang w:bidi="ar-SY"/>
        </w:rPr>
        <w:lastRenderedPageBreak/>
        <w:t>الإنترنت</w:t>
      </w:r>
      <w:r w:rsidR="00E56842">
        <w:rPr>
          <w:rFonts w:hint="eastAsia"/>
          <w:rtl/>
          <w:lang w:bidi="ar-SY"/>
        </w:rPr>
        <w:t> </w:t>
      </w:r>
      <w:r w:rsidR="00E56842">
        <w:rPr>
          <w:lang w:bidi="ar-SY"/>
        </w:rPr>
        <w:t>(IXP)</w:t>
      </w:r>
      <w:r w:rsidRPr="00C74F9C">
        <w:rPr>
          <w:rFonts w:hint="cs"/>
          <w:rtl/>
          <w:lang w:bidi="ar-SY"/>
        </w:rPr>
        <w:t xml:space="preserve"> تمكّن من "تسيير الحركة المحلية للإنترنت محلياً".</w:t>
      </w:r>
      <w:r w:rsidR="00315A31">
        <w:rPr>
          <w:rFonts w:hint="cs"/>
          <w:rtl/>
          <w:lang w:bidi="ar-SY"/>
        </w:rPr>
        <w:t xml:space="preserve"> ومن ثم، فإن مشروع التوصية هذا يتعارض مع أحكام الخطة الاستراتيجية لقطاع تقييس الاتصالات الواردة في</w:t>
      </w:r>
      <w:r w:rsidR="00E838F9">
        <w:rPr>
          <w:rFonts w:hint="eastAsia"/>
          <w:rtl/>
          <w:lang w:bidi="ar-SY"/>
        </w:rPr>
        <w:t> </w:t>
      </w:r>
      <w:r w:rsidR="003B72D4">
        <w:rPr>
          <w:rFonts w:hint="cs"/>
          <w:rtl/>
          <w:lang w:bidi="ar-SY"/>
        </w:rPr>
        <w:t>الهدف</w:t>
      </w:r>
      <w:r w:rsidR="00E838F9">
        <w:rPr>
          <w:rFonts w:hint="eastAsia"/>
          <w:rtl/>
          <w:lang w:bidi="ar-SY"/>
        </w:rPr>
        <w:t> </w:t>
      </w:r>
      <w:r w:rsidR="003B72D4">
        <w:rPr>
          <w:lang w:bidi="ar-SY"/>
        </w:rPr>
        <w:t>T1</w:t>
      </w:r>
      <w:r w:rsidR="003B72D4">
        <w:rPr>
          <w:rFonts w:hint="cs"/>
          <w:rtl/>
          <w:lang w:bidi="ar-SY"/>
        </w:rPr>
        <w:t xml:space="preserve"> الذي ينص على </w:t>
      </w:r>
      <w:r w:rsidR="003B72D4" w:rsidRPr="003B72D4">
        <w:rPr>
          <w:rFonts w:hint="cs"/>
          <w:sz w:val="30"/>
          <w:rtl/>
          <w:lang w:bidi="ar-SY"/>
        </w:rPr>
        <w:t xml:space="preserve">"وضع معايير دولية غير تمييزية (توصيات قطاع تقييس الاتصالات) في الوقت المناسب وتعزيز قابلية التشغيل البيني وتحسين أداء المعدات والشبكات والخدمات والتطبيقات" </w:t>
      </w:r>
      <w:r w:rsidR="003B72D4">
        <w:rPr>
          <w:rFonts w:hint="cs"/>
          <w:rtl/>
          <w:lang w:bidi="ar-EG"/>
        </w:rPr>
        <w:t>(</w:t>
      </w:r>
      <w:r w:rsidR="003E75BD">
        <w:rPr>
          <w:rFonts w:hint="cs"/>
          <w:rtl/>
          <w:lang w:bidi="ar-EG"/>
        </w:rPr>
        <w:t xml:space="preserve">مع </w:t>
      </w:r>
      <w:r w:rsidR="003B72D4">
        <w:rPr>
          <w:rFonts w:hint="cs"/>
          <w:rtl/>
          <w:lang w:bidi="ar-EG"/>
        </w:rPr>
        <w:t xml:space="preserve">إضافة التأكيد). </w:t>
      </w:r>
      <w:r w:rsidR="007B7A33">
        <w:rPr>
          <w:rFonts w:hint="cs"/>
          <w:rtl/>
          <w:lang w:bidi="ar-EG"/>
        </w:rPr>
        <w:t>وبالمثل، ينص الرقم</w:t>
      </w:r>
      <w:r w:rsidR="00E838F9">
        <w:rPr>
          <w:rFonts w:hint="eastAsia"/>
          <w:rtl/>
          <w:lang w:bidi="ar-EG"/>
        </w:rPr>
        <w:t> </w:t>
      </w:r>
      <w:r w:rsidR="007B7A33">
        <w:rPr>
          <w:lang w:bidi="ar-EG"/>
        </w:rPr>
        <w:t>193</w:t>
      </w:r>
      <w:r w:rsidR="003B72D4">
        <w:rPr>
          <w:rFonts w:hint="cs"/>
          <w:rtl/>
          <w:lang w:bidi="ar-SY"/>
        </w:rPr>
        <w:t xml:space="preserve"> </w:t>
      </w:r>
      <w:r w:rsidR="007B7A33">
        <w:rPr>
          <w:rFonts w:hint="cs"/>
          <w:rtl/>
          <w:lang w:bidi="ar-EG"/>
        </w:rPr>
        <w:t xml:space="preserve">من الاتفاقية على أن لجان دراسات قطاع تقييس الاتصالات </w:t>
      </w:r>
      <w:r w:rsidR="007B7A33">
        <w:rPr>
          <w:color w:val="000000"/>
          <w:rtl/>
        </w:rPr>
        <w:t xml:space="preserve">مكلفة بدراسة </w:t>
      </w:r>
      <w:r w:rsidR="00FF1A79">
        <w:rPr>
          <w:rFonts w:hint="cs"/>
          <w:color w:val="000000"/>
          <w:rtl/>
        </w:rPr>
        <w:t>"</w:t>
      </w:r>
      <w:r w:rsidR="007B7A33">
        <w:rPr>
          <w:color w:val="000000"/>
          <w:rtl/>
        </w:rPr>
        <w:t>المسائل التقنية والتشغيلية والتعريفية</w:t>
      </w:r>
      <w:r w:rsidR="00FF1A79">
        <w:rPr>
          <w:rFonts w:hint="cs"/>
          <w:color w:val="000000"/>
          <w:rtl/>
        </w:rPr>
        <w:t>"</w:t>
      </w:r>
      <w:r w:rsidR="007B7A33">
        <w:rPr>
          <w:color w:val="000000"/>
          <w:rtl/>
        </w:rPr>
        <w:t xml:space="preserve"> و</w:t>
      </w:r>
      <w:r w:rsidR="00FF1A79">
        <w:rPr>
          <w:rFonts w:hint="cs"/>
          <w:color w:val="000000"/>
          <w:rtl/>
        </w:rPr>
        <w:t>"</w:t>
      </w:r>
      <w:r w:rsidR="007B7A33">
        <w:rPr>
          <w:color w:val="000000"/>
          <w:rtl/>
        </w:rPr>
        <w:t>إعداد التوصيات بشأنها بغية تقييس الاتصالات على الصعيد العالمي</w:t>
      </w:r>
      <w:r w:rsidR="00FF1A79">
        <w:rPr>
          <w:rFonts w:hint="cs"/>
          <w:rtl/>
        </w:rPr>
        <w:t>"</w:t>
      </w:r>
      <w:r w:rsidR="0004330A">
        <w:rPr>
          <w:rFonts w:hint="cs"/>
          <w:rtl/>
          <w:lang w:bidi="ar-SY"/>
        </w:rPr>
        <w:t xml:space="preserve"> (مع إضافة التأكيد)</w:t>
      </w:r>
      <w:r w:rsidR="00315A31" w:rsidRPr="00C74F9C">
        <w:rPr>
          <w:rFonts w:hint="cs"/>
          <w:rtl/>
          <w:lang w:bidi="ar-SY"/>
        </w:rPr>
        <w:t>.</w:t>
      </w:r>
      <w:r w:rsidR="00295A9D">
        <w:rPr>
          <w:rFonts w:hint="cs"/>
          <w:rtl/>
          <w:lang w:bidi="ar-SY"/>
        </w:rPr>
        <w:t xml:space="preserve"> وتتناول هذه التوصية الوطنية المقترحة</w:t>
      </w:r>
      <w:r w:rsidR="00E87A5B">
        <w:rPr>
          <w:rFonts w:hint="cs"/>
          <w:rtl/>
          <w:lang w:bidi="ar-SY"/>
        </w:rPr>
        <w:t xml:space="preserve"> القضايا التي تخضع للحقوق السيادية للدول الأعضاء وتتعارض مع الخطة الاستراتيجية لقطاع تقييس الاتصالات واتفاقية الاتحاد على السواء.</w:t>
      </w:r>
    </w:p>
    <w:p w:rsidR="0088148D" w:rsidRDefault="00DC44D1" w:rsidP="00E838F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وأخيراً، إن إنشاء نقاط تبادل الإنترنت أو أي </w:t>
      </w:r>
      <w:r w:rsidR="00E5266D">
        <w:rPr>
          <w:rFonts w:hint="cs"/>
          <w:rtl/>
          <w:lang w:bidi="ar-EG"/>
        </w:rPr>
        <w:t>أجزاء</w:t>
      </w:r>
      <w:r>
        <w:rPr>
          <w:rFonts w:hint="cs"/>
          <w:rtl/>
          <w:lang w:bidi="ar-EG"/>
        </w:rPr>
        <w:t xml:space="preserve"> أخرى محددة من أجهزة الاتصالات يقع خارج ولاية لجان دراسات قطاع تقييس الاتصالات. </w:t>
      </w:r>
      <w:r w:rsidR="00066AB7">
        <w:rPr>
          <w:rFonts w:hint="cs"/>
          <w:rtl/>
          <w:lang w:bidi="ar-EG"/>
        </w:rPr>
        <w:t>ولا يمكن</w:t>
      </w:r>
      <w:r>
        <w:rPr>
          <w:rFonts w:hint="cs"/>
          <w:rtl/>
          <w:lang w:bidi="ar-EG"/>
        </w:rPr>
        <w:t xml:space="preserve"> ل</w:t>
      </w:r>
      <w:r w:rsidR="005A7374">
        <w:rPr>
          <w:rFonts w:hint="cs"/>
          <w:rtl/>
          <w:lang w:bidi="ar-EG"/>
        </w:rPr>
        <w:t xml:space="preserve">توصية </w:t>
      </w:r>
      <w:r w:rsidR="00066AB7">
        <w:rPr>
          <w:rFonts w:hint="cs"/>
          <w:rtl/>
          <w:lang w:bidi="ar-EG"/>
        </w:rPr>
        <w:t>واحدة تلائم الجميع أن تعالج</w:t>
      </w:r>
      <w:r>
        <w:rPr>
          <w:rFonts w:hint="cs"/>
          <w:rtl/>
          <w:lang w:bidi="ar-EG"/>
        </w:rPr>
        <w:t xml:space="preserve"> الاختلافات العديدة في</w:t>
      </w:r>
      <w:r w:rsidR="00E838F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الأسواق المحلية والوطنية التي</w:t>
      </w:r>
      <w:r w:rsidR="00CF531A">
        <w:rPr>
          <w:rFonts w:hint="cs"/>
          <w:rtl/>
          <w:lang w:bidi="ar-EG"/>
        </w:rPr>
        <w:t xml:space="preserve"> ينبغي</w:t>
      </w:r>
      <w:r>
        <w:rPr>
          <w:rFonts w:hint="cs"/>
          <w:rtl/>
          <w:lang w:bidi="ar-EG"/>
        </w:rPr>
        <w:t xml:space="preserve"> </w:t>
      </w:r>
      <w:r w:rsidR="00066AB7">
        <w:rPr>
          <w:rFonts w:hint="cs"/>
          <w:rtl/>
          <w:lang w:bidi="ar-EG"/>
        </w:rPr>
        <w:t>مراعاتها</w:t>
      </w:r>
      <w:r>
        <w:rPr>
          <w:rFonts w:hint="cs"/>
          <w:rtl/>
          <w:lang w:bidi="ar-EG"/>
        </w:rPr>
        <w:t xml:space="preserve"> عند تركيب هذه المعدات. </w:t>
      </w:r>
      <w:r w:rsidR="00300F1B">
        <w:rPr>
          <w:rFonts w:hint="cs"/>
          <w:rtl/>
          <w:lang w:bidi="ar-EG"/>
        </w:rPr>
        <w:t xml:space="preserve">والمحاولات الرامية إلى فرض مثل هذه المنشآت للوفاء بمبادئ توجيهية عامة ستؤدي إلى زيادة التكاليف بلا </w:t>
      </w:r>
      <w:r w:rsidR="005477BD">
        <w:rPr>
          <w:rFonts w:hint="cs"/>
          <w:rtl/>
          <w:lang w:bidi="ar-EG"/>
        </w:rPr>
        <w:t>داعٍ والحد من الابتكار والاعتماد، الأمر الذي يسير عكس النتيجة الواضح</w:t>
      </w:r>
      <w:r w:rsidR="0098687D">
        <w:rPr>
          <w:rFonts w:hint="cs"/>
          <w:rtl/>
          <w:lang w:bidi="ar-EG"/>
        </w:rPr>
        <w:t>ة</w:t>
      </w:r>
      <w:r w:rsidR="005477BD">
        <w:rPr>
          <w:rFonts w:hint="cs"/>
          <w:rtl/>
          <w:lang w:bidi="ar-EG"/>
        </w:rPr>
        <w:t xml:space="preserve"> المتوخاة من </w:t>
      </w:r>
      <w:r w:rsidR="00300F1B">
        <w:rPr>
          <w:rFonts w:hint="cs"/>
          <w:rtl/>
          <w:lang w:bidi="ar-EG"/>
        </w:rPr>
        <w:t>مشروع التوصية هذا.</w:t>
      </w:r>
    </w:p>
    <w:p w:rsidR="00BF2426" w:rsidRDefault="00CF4DE0" w:rsidP="00E838F9">
      <w:pPr>
        <w:rPr>
          <w:lang w:bidi="ar-EG"/>
        </w:rPr>
      </w:pPr>
      <w:r>
        <w:rPr>
          <w:rFonts w:hint="cs"/>
          <w:rtl/>
          <w:lang w:bidi="ar-EG"/>
        </w:rPr>
        <w:t>وكما أوضحت الولايات المتحدة سابقاً في ردها على الرسالة المعممة رقم</w:t>
      </w:r>
      <w:r w:rsidR="00E838F9">
        <w:rPr>
          <w:rFonts w:hint="eastAsia"/>
          <w:rtl/>
          <w:lang w:bidi="ar-EG"/>
        </w:rPr>
        <w:t> </w:t>
      </w:r>
      <w:r>
        <w:rPr>
          <w:lang w:bidi="ar-EG"/>
        </w:rPr>
        <w:t>209</w:t>
      </w:r>
      <w:r>
        <w:rPr>
          <w:rFonts w:hint="cs"/>
          <w:rtl/>
          <w:lang w:bidi="ar-EG"/>
        </w:rPr>
        <w:t xml:space="preserve"> لمكتب تقييس الاتصالات الوارد في</w:t>
      </w:r>
      <w:r w:rsidR="00E838F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الوثيقة</w:t>
      </w:r>
      <w:r w:rsidR="00E838F9">
        <w:rPr>
          <w:rFonts w:hint="eastAsia"/>
          <w:rtl/>
          <w:lang w:bidi="ar-EG"/>
        </w:rPr>
        <w:t> </w:t>
      </w:r>
      <w:r>
        <w:rPr>
          <w:lang w:bidi="ar-EG"/>
        </w:rPr>
        <w:t>49</w:t>
      </w:r>
      <w:r>
        <w:rPr>
          <w:rFonts w:hint="cs"/>
          <w:rtl/>
          <w:lang w:bidi="ar-EG"/>
        </w:rPr>
        <w:t xml:space="preserve"> للجمعية العالمية لتقييس الاتصالات لعام</w:t>
      </w:r>
      <w:r w:rsidR="00E838F9">
        <w:rPr>
          <w:rFonts w:hint="eastAsia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، </w:t>
      </w:r>
      <w:r w:rsidR="00923462">
        <w:rPr>
          <w:rFonts w:hint="cs"/>
          <w:rtl/>
          <w:lang w:bidi="ar-EG"/>
        </w:rPr>
        <w:t xml:space="preserve">فإن الأعمال التي </w:t>
      </w:r>
      <w:r w:rsidR="00DA54EA">
        <w:rPr>
          <w:rFonts w:hint="cs"/>
          <w:rtl/>
          <w:lang w:bidi="ar-EG"/>
        </w:rPr>
        <w:t>قام وما</w:t>
      </w:r>
      <w:r w:rsidR="00DA54EA">
        <w:rPr>
          <w:rFonts w:hint="eastAsia"/>
          <w:rtl/>
          <w:lang w:bidi="ar-EG"/>
        </w:rPr>
        <w:t> </w:t>
      </w:r>
      <w:r w:rsidR="00923462">
        <w:rPr>
          <w:rFonts w:hint="cs"/>
          <w:rtl/>
          <w:lang w:bidi="ar-EG"/>
        </w:rPr>
        <w:t xml:space="preserve">زال </w:t>
      </w:r>
      <w:r w:rsidR="00DA54EA">
        <w:rPr>
          <w:rFonts w:hint="cs"/>
          <w:rtl/>
          <w:lang w:bidi="ar-EG"/>
        </w:rPr>
        <w:t>يقوم</w:t>
      </w:r>
      <w:r w:rsidR="00923462">
        <w:rPr>
          <w:rFonts w:hint="cs"/>
          <w:rtl/>
          <w:lang w:bidi="ar-EG"/>
        </w:rPr>
        <w:t xml:space="preserve"> بها قطاع تنمية الاتصالات ومنظمات أخرى لتعزيز تطوير نقاط تبادل الإنترنت، لم </w:t>
      </w:r>
      <w:r w:rsidR="00DA54EA">
        <w:rPr>
          <w:rFonts w:hint="cs"/>
          <w:rtl/>
          <w:lang w:bidi="ar-EG"/>
        </w:rPr>
        <w:t>تُراع</w:t>
      </w:r>
      <w:r w:rsidR="00923462">
        <w:rPr>
          <w:rFonts w:hint="cs"/>
          <w:rtl/>
          <w:lang w:bidi="ar-EG"/>
        </w:rPr>
        <w:t xml:space="preserve"> على نحو كافٍ خلال الاجتماع الذي </w:t>
      </w:r>
      <w:r w:rsidR="004263F6">
        <w:rPr>
          <w:rFonts w:hint="cs"/>
          <w:rtl/>
          <w:lang w:bidi="ar-EG"/>
        </w:rPr>
        <w:t>تناولت</w:t>
      </w:r>
      <w:r w:rsidR="00923462">
        <w:rPr>
          <w:rFonts w:hint="cs"/>
          <w:rtl/>
          <w:lang w:bidi="ar-EG"/>
        </w:rPr>
        <w:t xml:space="preserve"> فيه لجنة الدراسات</w:t>
      </w:r>
      <w:r w:rsidR="00E838F9">
        <w:rPr>
          <w:rFonts w:hint="eastAsia"/>
          <w:rtl/>
          <w:lang w:bidi="ar-EG"/>
        </w:rPr>
        <w:t> </w:t>
      </w:r>
      <w:r w:rsidR="00923462">
        <w:rPr>
          <w:lang w:bidi="ar-EG"/>
        </w:rPr>
        <w:t>3</w:t>
      </w:r>
      <w:r w:rsidR="00923462">
        <w:rPr>
          <w:rFonts w:hint="cs"/>
          <w:rtl/>
          <w:lang w:bidi="ar-EG"/>
        </w:rPr>
        <w:t xml:space="preserve"> مشروع التوصية هذا</w:t>
      </w:r>
      <w:r w:rsidR="004263F6">
        <w:rPr>
          <w:rFonts w:hint="cs"/>
          <w:rtl/>
          <w:lang w:bidi="ar-EG"/>
        </w:rPr>
        <w:t>.</w:t>
      </w:r>
      <w:r w:rsidR="00923462">
        <w:rPr>
          <w:rFonts w:hint="cs"/>
          <w:rtl/>
          <w:lang w:bidi="ar-EG"/>
        </w:rPr>
        <w:t xml:space="preserve"> </w:t>
      </w:r>
      <w:r w:rsidR="004B732D">
        <w:rPr>
          <w:rFonts w:hint="cs"/>
          <w:rtl/>
          <w:lang w:bidi="ar-EG"/>
        </w:rPr>
        <w:t xml:space="preserve">ولم تُقدم التوصية المقترحة في أي وقت من الأوقات إلى أي منظمات ذات صلة </w:t>
      </w:r>
      <w:r w:rsidR="00ED51F8">
        <w:rPr>
          <w:rFonts w:hint="cs"/>
          <w:rtl/>
          <w:lang w:bidi="ar-EG"/>
        </w:rPr>
        <w:t>وخصوصاً</w:t>
      </w:r>
      <w:r w:rsidR="004B732D">
        <w:rPr>
          <w:rFonts w:hint="cs"/>
          <w:rtl/>
          <w:lang w:bidi="ar-EG"/>
        </w:rPr>
        <w:t xml:space="preserve"> إلى قطاع تنمية الاتصالات.</w:t>
      </w:r>
      <w:r w:rsidR="00183DF7">
        <w:rPr>
          <w:rFonts w:hint="cs"/>
          <w:rtl/>
          <w:lang w:bidi="ar-EG"/>
        </w:rPr>
        <w:t xml:space="preserve"> وعلى هذا النحو</w:t>
      </w:r>
      <w:r w:rsidR="0098687D">
        <w:rPr>
          <w:rFonts w:hint="cs"/>
          <w:rtl/>
          <w:lang w:bidi="ar-EG"/>
        </w:rPr>
        <w:t>،</w:t>
      </w:r>
      <w:r w:rsidR="00183DF7">
        <w:rPr>
          <w:rFonts w:hint="cs"/>
          <w:rtl/>
          <w:lang w:bidi="ar-EG"/>
        </w:rPr>
        <w:t xml:space="preserve"> وفي</w:t>
      </w:r>
      <w:r w:rsidR="00E838F9">
        <w:rPr>
          <w:rFonts w:hint="eastAsia"/>
          <w:rtl/>
          <w:lang w:bidi="ar-EG"/>
        </w:rPr>
        <w:t> </w:t>
      </w:r>
      <w:r w:rsidR="00183DF7">
        <w:rPr>
          <w:rFonts w:hint="cs"/>
          <w:rtl/>
          <w:lang w:bidi="ar-EG"/>
        </w:rPr>
        <w:t>أفضل الحالات</w:t>
      </w:r>
      <w:r w:rsidR="0098687D">
        <w:rPr>
          <w:rFonts w:hint="cs"/>
          <w:rtl/>
          <w:lang w:bidi="ar-EG"/>
        </w:rPr>
        <w:t>،</w:t>
      </w:r>
      <w:r w:rsidR="00183DF7">
        <w:rPr>
          <w:rFonts w:hint="cs"/>
          <w:rtl/>
          <w:lang w:bidi="ar-EG"/>
        </w:rPr>
        <w:t xml:space="preserve"> يشكل هذا النص تكراراً لعمل يقوم به قطاع تنمية الاتصالات وكذلك منظمات أخرى خارج الاتحاد، مما يتعارض مع العديد من </w:t>
      </w:r>
      <w:r w:rsidR="0098687D">
        <w:rPr>
          <w:rFonts w:hint="cs"/>
          <w:rtl/>
          <w:lang w:bidi="ar-EG"/>
        </w:rPr>
        <w:t xml:space="preserve">قرارات </w:t>
      </w:r>
      <w:r w:rsidR="00183DF7">
        <w:rPr>
          <w:rFonts w:hint="cs"/>
          <w:rtl/>
          <w:lang w:bidi="ar-EG"/>
        </w:rPr>
        <w:t xml:space="preserve">الاتحاد </w:t>
      </w:r>
      <w:r w:rsidR="0098687D">
        <w:rPr>
          <w:rFonts w:hint="cs"/>
          <w:rtl/>
          <w:lang w:bidi="ar-EG"/>
        </w:rPr>
        <w:t>وخطته الاستراتيجية</w:t>
      </w:r>
      <w:r w:rsidR="00183DF7">
        <w:rPr>
          <w:rFonts w:hint="cs"/>
          <w:rtl/>
          <w:lang w:bidi="ar-EG"/>
        </w:rPr>
        <w:t xml:space="preserve"> </w:t>
      </w:r>
      <w:r w:rsidR="0098687D">
        <w:rPr>
          <w:rFonts w:hint="cs"/>
          <w:rtl/>
          <w:lang w:bidi="ar-EG"/>
        </w:rPr>
        <w:t>ونصوصه الأساسية</w:t>
      </w:r>
      <w:r w:rsidR="00183DF7">
        <w:rPr>
          <w:rFonts w:hint="cs"/>
          <w:rtl/>
          <w:lang w:bidi="ar-EG"/>
        </w:rPr>
        <w:t xml:space="preserve"> التي تقضي بتفادي الازدواجية </w:t>
      </w:r>
      <w:r w:rsidR="00FE4979">
        <w:rPr>
          <w:rFonts w:hint="cs"/>
          <w:rtl/>
          <w:lang w:bidi="ar-EG"/>
        </w:rPr>
        <w:t>ك</w:t>
      </w:r>
      <w:r w:rsidR="00E838F9">
        <w:rPr>
          <w:rFonts w:hint="cs"/>
          <w:rtl/>
          <w:lang w:bidi="ar-EG"/>
        </w:rPr>
        <w:t>ا</w:t>
      </w:r>
      <w:r w:rsidR="00183DF7">
        <w:rPr>
          <w:rFonts w:hint="cs"/>
          <w:rtl/>
          <w:lang w:bidi="ar-EG"/>
        </w:rPr>
        <w:t>لرقم</w:t>
      </w:r>
      <w:r w:rsidR="00E838F9">
        <w:rPr>
          <w:rFonts w:hint="eastAsia"/>
          <w:rtl/>
          <w:lang w:bidi="ar-EG"/>
        </w:rPr>
        <w:t> </w:t>
      </w:r>
      <w:r w:rsidR="00183DF7">
        <w:rPr>
          <w:lang w:bidi="ar-EG"/>
        </w:rPr>
        <w:t>215</w:t>
      </w:r>
      <w:r w:rsidR="00183DF7">
        <w:rPr>
          <w:rFonts w:hint="cs"/>
          <w:rtl/>
          <w:lang w:bidi="ar-EG"/>
        </w:rPr>
        <w:t xml:space="preserve"> من الاتفاقية والقرار</w:t>
      </w:r>
      <w:r w:rsidR="00E838F9">
        <w:rPr>
          <w:rFonts w:hint="eastAsia"/>
          <w:rtl/>
          <w:lang w:bidi="ar-EG"/>
        </w:rPr>
        <w:t> </w:t>
      </w:r>
      <w:r w:rsidR="00183DF7">
        <w:rPr>
          <w:lang w:bidi="ar-EG"/>
        </w:rPr>
        <w:t>191</w:t>
      </w:r>
      <w:r w:rsidR="00E838F9">
        <w:rPr>
          <w:rFonts w:hint="eastAsia"/>
          <w:rtl/>
          <w:lang w:bidi="ar-EG"/>
        </w:rPr>
        <w:t> </w:t>
      </w:r>
      <w:r w:rsidR="00183DF7">
        <w:rPr>
          <w:rFonts w:hint="cs"/>
          <w:rtl/>
          <w:lang w:bidi="ar-EG"/>
        </w:rPr>
        <w:t xml:space="preserve">(بوسان، </w:t>
      </w:r>
      <w:r w:rsidR="00183DF7">
        <w:rPr>
          <w:lang w:bidi="ar-EG"/>
        </w:rPr>
        <w:t>2014</w:t>
      </w:r>
      <w:r w:rsidR="00183DF7">
        <w:rPr>
          <w:rFonts w:hint="cs"/>
          <w:rtl/>
          <w:lang w:bidi="ar-EG"/>
        </w:rPr>
        <w:t>).</w:t>
      </w:r>
    </w:p>
    <w:p w:rsidR="006A55E6" w:rsidRDefault="006A55E6" w:rsidP="006A55E6">
      <w:pPr>
        <w:pStyle w:val="Proposal"/>
      </w:pPr>
      <w:r>
        <w:tab/>
        <w:t>USA/48A7/1</w:t>
      </w:r>
    </w:p>
    <w:p w:rsidR="00E2289F" w:rsidRDefault="00D26DC9" w:rsidP="00E838F9">
      <w:pPr>
        <w:pStyle w:val="Headingb"/>
        <w:rPr>
          <w:rtl/>
        </w:rPr>
      </w:pPr>
      <w:r>
        <w:rPr>
          <w:rFonts w:hint="cs"/>
          <w:rtl/>
        </w:rPr>
        <w:t>ال</w:t>
      </w:r>
      <w:r w:rsidR="00E2289F">
        <w:rPr>
          <w:rFonts w:hint="cs"/>
          <w:rtl/>
        </w:rPr>
        <w:t>مقترح</w:t>
      </w:r>
    </w:p>
    <w:p w:rsidR="00B30707" w:rsidRDefault="00E56842" w:rsidP="00E838F9">
      <w:r>
        <w:rPr>
          <w:rFonts w:hint="cs"/>
          <w:rtl/>
        </w:rPr>
        <w:t>لهذه الأسباب جميعها، ينبغي ألا</w:t>
      </w:r>
      <w:r w:rsidR="00561962" w:rsidRPr="00330413">
        <w:rPr>
          <w:rFonts w:hint="cs"/>
          <w:rtl/>
        </w:rPr>
        <w:t xml:space="preserve"> يحظى مشروع التوصية الجديدة </w:t>
      </w:r>
      <w:r w:rsidR="00561962" w:rsidRPr="008C51C2">
        <w:rPr>
          <w:rFonts w:asciiTheme="majorBidi" w:hAnsiTheme="majorBidi" w:cstheme="majorBidi"/>
          <w:szCs w:val="22"/>
        </w:rPr>
        <w:t>ITU</w:t>
      </w:r>
      <w:r w:rsidR="00E838F9">
        <w:rPr>
          <w:rFonts w:asciiTheme="majorBidi" w:hAnsiTheme="majorBidi" w:cstheme="majorBidi"/>
          <w:szCs w:val="22"/>
        </w:rPr>
        <w:noBreakHyphen/>
      </w:r>
      <w:r w:rsidR="00561962" w:rsidRPr="008C51C2">
        <w:rPr>
          <w:rFonts w:asciiTheme="majorBidi" w:hAnsiTheme="majorBidi" w:cstheme="majorBidi"/>
          <w:szCs w:val="22"/>
        </w:rPr>
        <w:t>T</w:t>
      </w:r>
      <w:r w:rsidR="00E838F9">
        <w:rPr>
          <w:rFonts w:asciiTheme="majorBidi" w:hAnsiTheme="majorBidi" w:cstheme="majorBidi"/>
          <w:szCs w:val="22"/>
        </w:rPr>
        <w:t> </w:t>
      </w:r>
      <w:r w:rsidR="00561962" w:rsidRPr="008C51C2">
        <w:rPr>
          <w:rFonts w:asciiTheme="majorBidi" w:hAnsiTheme="majorBidi" w:cstheme="majorBidi"/>
          <w:szCs w:val="22"/>
        </w:rPr>
        <w:t>D.52</w:t>
      </w:r>
      <w:r w:rsidR="00561962" w:rsidRPr="008C51C2">
        <w:rPr>
          <w:rFonts w:ascii="Traditional Arabic" w:hAnsi="Traditional Arabic"/>
          <w:sz w:val="30"/>
          <w:rtl/>
        </w:rPr>
        <w:t xml:space="preserve"> </w:t>
      </w:r>
      <w:r>
        <w:rPr>
          <w:rFonts w:hint="cs"/>
          <w:rtl/>
        </w:rPr>
        <w:t xml:space="preserve">الوارد في الوثيقة </w:t>
      </w:r>
      <w:r>
        <w:t>37</w:t>
      </w:r>
      <w:r>
        <w:rPr>
          <w:rFonts w:hint="cs"/>
          <w:rtl/>
          <w:lang w:bidi="ar-EG"/>
        </w:rPr>
        <w:t xml:space="preserve"> </w:t>
      </w:r>
      <w:r w:rsidR="00561962" w:rsidRPr="00330413">
        <w:rPr>
          <w:rFonts w:hint="cs"/>
          <w:rtl/>
        </w:rPr>
        <w:t>بال</w:t>
      </w:r>
      <w:r w:rsidR="00561962">
        <w:rPr>
          <w:rFonts w:hint="cs"/>
          <w:rtl/>
        </w:rPr>
        <w:t>موافقة</w:t>
      </w:r>
      <w:r w:rsidR="00561962" w:rsidRPr="00330413">
        <w:rPr>
          <w:rFonts w:hint="cs"/>
          <w:rtl/>
        </w:rPr>
        <w:t>.</w:t>
      </w:r>
    </w:p>
    <w:p w:rsidR="00E2289F" w:rsidRPr="00E56842" w:rsidRDefault="00E2289F" w:rsidP="00E838F9">
      <w:pPr>
        <w:pStyle w:val="Reasons"/>
        <w:rPr>
          <w:b w:val="0"/>
          <w:bCs w:val="0"/>
          <w:lang w:bidi="ar-EG"/>
        </w:rPr>
      </w:pPr>
    </w:p>
    <w:p w:rsidR="0022345D" w:rsidRPr="00930E6D" w:rsidRDefault="00E2289F" w:rsidP="00E2289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2345D" w:rsidRPr="00930E6D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88148D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88148D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893E39">
      <w:rPr>
        <w:rFonts w:cs="Times New Roman"/>
        <w:noProof/>
        <w:sz w:val="16"/>
        <w:szCs w:val="16"/>
        <w:lang w:val="fr-CH"/>
      </w:rPr>
      <w:t>P:\TRAD\A\ITU-T\CONF-T\WTSA16\000\048add07A.docx</w:t>
    </w:r>
    <w:r w:rsidRPr="00E07379">
      <w:rPr>
        <w:rFonts w:cs="Times New Roman"/>
        <w:sz w:val="16"/>
        <w:szCs w:val="16"/>
      </w:rPr>
      <w:fldChar w:fldCharType="end"/>
    </w:r>
    <w:r w:rsidR="0088148D" w:rsidRPr="0088148D">
      <w:rPr>
        <w:rFonts w:cs="Times New Roman"/>
        <w:sz w:val="16"/>
        <w:szCs w:val="16"/>
        <w:lang w:val="fr-CH"/>
      </w:rPr>
      <w:t xml:space="preserve">   (</w:t>
    </w:r>
    <w:r w:rsidR="0088148D">
      <w:rPr>
        <w:rFonts w:cs="Times New Roman"/>
        <w:sz w:val="16"/>
        <w:szCs w:val="16"/>
        <w:lang w:val="fr-CH"/>
      </w:rPr>
      <w:t>405812</w:t>
    </w:r>
    <w:r w:rsidR="0088148D" w:rsidRPr="0088148D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D98" w:rsidRPr="0088148D" w:rsidRDefault="00B44D98" w:rsidP="00B44D98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88148D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P:\TRAD\A\ITU-T\CONF-T\WTSA16\000\048add07A.docx</w:t>
    </w:r>
    <w:r w:rsidRPr="00E07379">
      <w:rPr>
        <w:rFonts w:cs="Times New Roman"/>
        <w:sz w:val="16"/>
        <w:szCs w:val="16"/>
      </w:rPr>
      <w:fldChar w:fldCharType="end"/>
    </w:r>
    <w:r w:rsidRPr="0088148D">
      <w:rPr>
        <w:rFonts w:cs="Times New Roman"/>
        <w:sz w:val="16"/>
        <w:szCs w:val="16"/>
        <w:lang w:val="fr-CH"/>
      </w:rPr>
      <w:t xml:space="preserve">   (</w:t>
    </w:r>
    <w:r>
      <w:rPr>
        <w:rFonts w:cs="Times New Roman"/>
        <w:sz w:val="16"/>
        <w:szCs w:val="16"/>
        <w:lang w:val="fr-CH"/>
      </w:rPr>
      <w:t>405812</w:t>
    </w:r>
    <w:r w:rsidRPr="0088148D">
      <w:rPr>
        <w:rFonts w:cs="Times New Roman"/>
        <w:sz w:val="16"/>
        <w:szCs w:val="16"/>
        <w:lang w:val="fr-CH"/>
      </w:rPr>
      <w:t>)</w:t>
    </w:r>
  </w:p>
  <w:p w:rsidR="00E07379" w:rsidRPr="00B44D98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D98" w:rsidRDefault="0022345D" w:rsidP="00B44D98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A254AE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B44D98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WTSA16/48(Add.7)-A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258D"/>
    <w:rsid w:val="0004330A"/>
    <w:rsid w:val="00046444"/>
    <w:rsid w:val="00057848"/>
    <w:rsid w:val="0006023B"/>
    <w:rsid w:val="00066AB7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07A5C"/>
    <w:rsid w:val="00111CC2"/>
    <w:rsid w:val="00126DA8"/>
    <w:rsid w:val="00173915"/>
    <w:rsid w:val="00183DF7"/>
    <w:rsid w:val="001A5406"/>
    <w:rsid w:val="001C5F94"/>
    <w:rsid w:val="0022345D"/>
    <w:rsid w:val="00225854"/>
    <w:rsid w:val="0023283D"/>
    <w:rsid w:val="00252E0C"/>
    <w:rsid w:val="00276881"/>
    <w:rsid w:val="00295A9D"/>
    <w:rsid w:val="002978F4"/>
    <w:rsid w:val="002B028D"/>
    <w:rsid w:val="002B2D91"/>
    <w:rsid w:val="002B435E"/>
    <w:rsid w:val="002C4DAE"/>
    <w:rsid w:val="002E6541"/>
    <w:rsid w:val="002F5560"/>
    <w:rsid w:val="00300F1B"/>
    <w:rsid w:val="0030486B"/>
    <w:rsid w:val="00315A31"/>
    <w:rsid w:val="003231B9"/>
    <w:rsid w:val="003271CE"/>
    <w:rsid w:val="003275AC"/>
    <w:rsid w:val="00333D29"/>
    <w:rsid w:val="003409F4"/>
    <w:rsid w:val="00351409"/>
    <w:rsid w:val="00357185"/>
    <w:rsid w:val="00394CD8"/>
    <w:rsid w:val="003B72D4"/>
    <w:rsid w:val="003C475F"/>
    <w:rsid w:val="003E4132"/>
    <w:rsid w:val="003E75BD"/>
    <w:rsid w:val="003F678F"/>
    <w:rsid w:val="004263F6"/>
    <w:rsid w:val="0042686F"/>
    <w:rsid w:val="004367CE"/>
    <w:rsid w:val="00443869"/>
    <w:rsid w:val="004712C6"/>
    <w:rsid w:val="004927F1"/>
    <w:rsid w:val="00497703"/>
    <w:rsid w:val="004A53F2"/>
    <w:rsid w:val="004B6ED5"/>
    <w:rsid w:val="004B732D"/>
    <w:rsid w:val="004F0F06"/>
    <w:rsid w:val="00501E0E"/>
    <w:rsid w:val="005204D7"/>
    <w:rsid w:val="005463C0"/>
    <w:rsid w:val="005477BD"/>
    <w:rsid w:val="00551AC9"/>
    <w:rsid w:val="00552BC5"/>
    <w:rsid w:val="0055516A"/>
    <w:rsid w:val="00561962"/>
    <w:rsid w:val="0056374C"/>
    <w:rsid w:val="0056614F"/>
    <w:rsid w:val="0057656F"/>
    <w:rsid w:val="00576731"/>
    <w:rsid w:val="0059285F"/>
    <w:rsid w:val="005A24B1"/>
    <w:rsid w:val="005A7374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7ACA"/>
    <w:rsid w:val="006A55E6"/>
    <w:rsid w:val="006B284A"/>
    <w:rsid w:val="006C1556"/>
    <w:rsid w:val="006F267F"/>
    <w:rsid w:val="006F63F7"/>
    <w:rsid w:val="006F6F03"/>
    <w:rsid w:val="00706D7A"/>
    <w:rsid w:val="00726AEC"/>
    <w:rsid w:val="00730AF7"/>
    <w:rsid w:val="007530CA"/>
    <w:rsid w:val="0079553D"/>
    <w:rsid w:val="007B01CC"/>
    <w:rsid w:val="007B7A33"/>
    <w:rsid w:val="007E7FF1"/>
    <w:rsid w:val="007F646C"/>
    <w:rsid w:val="00801FCD"/>
    <w:rsid w:val="00803D7E"/>
    <w:rsid w:val="00803F08"/>
    <w:rsid w:val="008235CD"/>
    <w:rsid w:val="00823A07"/>
    <w:rsid w:val="00835FEC"/>
    <w:rsid w:val="008513CB"/>
    <w:rsid w:val="00855EF8"/>
    <w:rsid w:val="00874D9C"/>
    <w:rsid w:val="0088148D"/>
    <w:rsid w:val="00893E39"/>
    <w:rsid w:val="008A1810"/>
    <w:rsid w:val="009123E7"/>
    <w:rsid w:val="00917694"/>
    <w:rsid w:val="00923462"/>
    <w:rsid w:val="009263CD"/>
    <w:rsid w:val="00930E6D"/>
    <w:rsid w:val="00972CA2"/>
    <w:rsid w:val="00982B28"/>
    <w:rsid w:val="00984EA5"/>
    <w:rsid w:val="0098687D"/>
    <w:rsid w:val="00992593"/>
    <w:rsid w:val="009A3368"/>
    <w:rsid w:val="009B5FAD"/>
    <w:rsid w:val="009C17E1"/>
    <w:rsid w:val="009C35ED"/>
    <w:rsid w:val="009C7121"/>
    <w:rsid w:val="009D4749"/>
    <w:rsid w:val="009F1C12"/>
    <w:rsid w:val="00A254AE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1C14"/>
    <w:rsid w:val="00B30707"/>
    <w:rsid w:val="00B44D98"/>
    <w:rsid w:val="00B50C2B"/>
    <w:rsid w:val="00B66B9A"/>
    <w:rsid w:val="00B67CA1"/>
    <w:rsid w:val="00B82089"/>
    <w:rsid w:val="00B83D1F"/>
    <w:rsid w:val="00B970AE"/>
    <w:rsid w:val="00BA1427"/>
    <w:rsid w:val="00BE49D0"/>
    <w:rsid w:val="00BF2426"/>
    <w:rsid w:val="00BF2C38"/>
    <w:rsid w:val="00C23331"/>
    <w:rsid w:val="00C265DA"/>
    <w:rsid w:val="00C442F2"/>
    <w:rsid w:val="00C51310"/>
    <w:rsid w:val="00C674FE"/>
    <w:rsid w:val="00C7297D"/>
    <w:rsid w:val="00C75633"/>
    <w:rsid w:val="00C8242E"/>
    <w:rsid w:val="00C82615"/>
    <w:rsid w:val="00C867DB"/>
    <w:rsid w:val="00CA2A38"/>
    <w:rsid w:val="00CA50FF"/>
    <w:rsid w:val="00CB6AB5"/>
    <w:rsid w:val="00CC3CD2"/>
    <w:rsid w:val="00CC43BE"/>
    <w:rsid w:val="00CD123C"/>
    <w:rsid w:val="00CD2085"/>
    <w:rsid w:val="00CE2EE1"/>
    <w:rsid w:val="00CF3FFD"/>
    <w:rsid w:val="00CF4DE0"/>
    <w:rsid w:val="00CF531A"/>
    <w:rsid w:val="00D0494C"/>
    <w:rsid w:val="00D14BEB"/>
    <w:rsid w:val="00D21C89"/>
    <w:rsid w:val="00D26DC9"/>
    <w:rsid w:val="00D45542"/>
    <w:rsid w:val="00D7058D"/>
    <w:rsid w:val="00D75C23"/>
    <w:rsid w:val="00D77D0F"/>
    <w:rsid w:val="00DA1CF0"/>
    <w:rsid w:val="00DA54EA"/>
    <w:rsid w:val="00DB2271"/>
    <w:rsid w:val="00DB5659"/>
    <w:rsid w:val="00DC24B4"/>
    <w:rsid w:val="00DC2955"/>
    <w:rsid w:val="00DC44D1"/>
    <w:rsid w:val="00DD7A05"/>
    <w:rsid w:val="00DE10E3"/>
    <w:rsid w:val="00DF16DC"/>
    <w:rsid w:val="00DF5361"/>
    <w:rsid w:val="00E009A1"/>
    <w:rsid w:val="00E00D15"/>
    <w:rsid w:val="00E071BE"/>
    <w:rsid w:val="00E07379"/>
    <w:rsid w:val="00E14494"/>
    <w:rsid w:val="00E17033"/>
    <w:rsid w:val="00E2289F"/>
    <w:rsid w:val="00E27ED4"/>
    <w:rsid w:val="00E32189"/>
    <w:rsid w:val="00E45211"/>
    <w:rsid w:val="00E5266D"/>
    <w:rsid w:val="00E56842"/>
    <w:rsid w:val="00E7380C"/>
    <w:rsid w:val="00E74BE7"/>
    <w:rsid w:val="00E838F9"/>
    <w:rsid w:val="00E86CC9"/>
    <w:rsid w:val="00E87A5B"/>
    <w:rsid w:val="00E96624"/>
    <w:rsid w:val="00ED51F8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744E"/>
    <w:rsid w:val="00FD58BD"/>
    <w:rsid w:val="00FE4979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28e13b-c995-4a04-8804-1c6fccd096b4" targetNamespace="http://schemas.microsoft.com/office/2006/metadata/properties" ma:root="true" ma:fieldsID="d41af5c836d734370eb92e7ee5f83852" ns2:_="" ns3:_="">
    <xsd:import namespace="996b2e75-67fd-4955-a3b0-5ab9934cb50b"/>
    <xsd:import namespace="3228e13b-c995-4a04-8804-1c6fccd096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e13b-c995-4a04-8804-1c6fccd096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28e13b-c995-4a04-8804-1c6fccd096b4">Documents Proposals Manager (DPM)</DPM_x0020_Author>
    <DPM_x0020_File_x0020_name xmlns="3228e13b-c995-4a04-8804-1c6fccd096b4">T13-WTSA.16-C-0048!A7!MSW-A</DPM_x0020_File_x0020_name>
    <DPM_x0020_Version xmlns="3228e13b-c995-4a04-8804-1c6fccd096b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28e13b-c995-4a04-8804-1c6fccd09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28e13b-c995-4a04-8804-1c6fccd096b4"/>
  </ds:schemaRefs>
</ds:datastoreItem>
</file>

<file path=customXml/itemProps3.xml><?xml version="1.0" encoding="utf-8"?>
<ds:datastoreItem xmlns:ds="http://schemas.openxmlformats.org/officeDocument/2006/customXml" ds:itemID="{35C3D02E-EDC4-433B-8E10-E22DE7FF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T13-WTSA.16-C-0048!A7!MSW-A</vt:lpstr>
    </vt:vector>
  </TitlesOfParts>
  <Company>International Telecommunication Union (ITU)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T13-WTSA.16-C-0048!A7!MSW-A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TSB (RC)</cp:lastModifiedBy>
  <cp:revision>2</cp:revision>
  <cp:lastPrinted>2016-10-14T14:01:00Z</cp:lastPrinted>
  <dcterms:created xsi:type="dcterms:W3CDTF">2016-10-18T17:02:00Z</dcterms:created>
  <dcterms:modified xsi:type="dcterms:W3CDTF">2016-10-18T17:02:00Z</dcterms:modified>
  <cp:category>Conference document</cp:category>
</cp:coreProperties>
</file>