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88"/>
        <w:gridCol w:w="5377"/>
        <w:gridCol w:w="1421"/>
        <w:gridCol w:w="1844"/>
      </w:tblGrid>
      <w:tr w:rsidR="00BC7D84" w:rsidRPr="00426748" w:rsidTr="002A0273">
        <w:trPr>
          <w:cantSplit/>
        </w:trPr>
        <w:tc>
          <w:tcPr>
            <w:tcW w:w="1388"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14:anchorId="796598AB" wp14:editId="499ED60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798"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44" w:type="dxa"/>
            <w:vAlign w:val="center"/>
          </w:tcPr>
          <w:p w:rsidR="00BC7D84" w:rsidRPr="00E0753B" w:rsidRDefault="00BC7D84" w:rsidP="00F00DDC">
            <w:pPr>
              <w:jc w:val="right"/>
            </w:pPr>
            <w:r w:rsidRPr="00E0753B">
              <w:rPr>
                <w:noProof/>
                <w:lang w:eastAsia="zh-CN"/>
              </w:rPr>
              <w:drawing>
                <wp:inline distT="0" distB="0" distL="0" distR="0" wp14:anchorId="6D849DD5" wp14:editId="13A7DA6F">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2A0273">
        <w:trPr>
          <w:cantSplit/>
        </w:trPr>
        <w:tc>
          <w:tcPr>
            <w:tcW w:w="6765"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265" w:type="dxa"/>
            <w:gridSpan w:val="2"/>
            <w:tcBorders>
              <w:bottom w:val="single" w:sz="12" w:space="0" w:color="auto"/>
            </w:tcBorders>
          </w:tcPr>
          <w:p w:rsidR="00BC7D84" w:rsidRPr="003251EA" w:rsidRDefault="00BC7D84" w:rsidP="00F00DDC">
            <w:pPr>
              <w:spacing w:before="0"/>
              <w:rPr>
                <w:sz w:val="20"/>
              </w:rPr>
            </w:pPr>
          </w:p>
        </w:tc>
      </w:tr>
      <w:tr w:rsidR="00BC7D84" w:rsidRPr="003251EA" w:rsidTr="002A0273">
        <w:trPr>
          <w:cantSplit/>
        </w:trPr>
        <w:tc>
          <w:tcPr>
            <w:tcW w:w="6765" w:type="dxa"/>
            <w:gridSpan w:val="2"/>
            <w:tcBorders>
              <w:top w:val="single" w:sz="12" w:space="0" w:color="auto"/>
            </w:tcBorders>
          </w:tcPr>
          <w:p w:rsidR="00BC7D84" w:rsidRPr="003251EA" w:rsidRDefault="00BC7D84" w:rsidP="00F00DDC">
            <w:pPr>
              <w:spacing w:before="0"/>
              <w:rPr>
                <w:sz w:val="20"/>
              </w:rPr>
            </w:pPr>
          </w:p>
        </w:tc>
        <w:tc>
          <w:tcPr>
            <w:tcW w:w="3265" w:type="dxa"/>
            <w:gridSpan w:val="2"/>
          </w:tcPr>
          <w:p w:rsidR="00BC7D84" w:rsidRPr="003251EA" w:rsidRDefault="00BC7D84" w:rsidP="00F00DDC">
            <w:pPr>
              <w:spacing w:before="0"/>
              <w:rPr>
                <w:rFonts w:ascii="Verdana" w:hAnsi="Verdana"/>
                <w:b/>
                <w:bCs/>
                <w:sz w:val="20"/>
              </w:rPr>
            </w:pPr>
          </w:p>
        </w:tc>
      </w:tr>
      <w:tr w:rsidR="00BC7D84" w:rsidRPr="003251EA" w:rsidTr="002A0273">
        <w:trPr>
          <w:cantSplit/>
        </w:trPr>
        <w:tc>
          <w:tcPr>
            <w:tcW w:w="6765" w:type="dxa"/>
            <w:gridSpan w:val="2"/>
          </w:tcPr>
          <w:p w:rsidR="00BC7D84" w:rsidRPr="00420EDB" w:rsidRDefault="00AB416A" w:rsidP="00F00DDC">
            <w:pPr>
              <w:pStyle w:val="Committee"/>
            </w:pPr>
            <w:r>
              <w:t>PLENARY MEETING</w:t>
            </w:r>
          </w:p>
        </w:tc>
        <w:tc>
          <w:tcPr>
            <w:tcW w:w="3265" w:type="dxa"/>
            <w:gridSpan w:val="2"/>
          </w:tcPr>
          <w:p w:rsidR="00BC7D84" w:rsidRPr="003251EA" w:rsidRDefault="00BC7D84" w:rsidP="005D5CF1">
            <w:pPr>
              <w:pStyle w:val="Docnumber"/>
              <w:ind w:left="-57"/>
            </w:pPr>
            <w:r>
              <w:t>Addendum 3 to</w:t>
            </w:r>
            <w:r>
              <w:br/>
              <w:t>Document 4</w:t>
            </w:r>
            <w:r w:rsidR="005D5CF1">
              <w:t>8</w:t>
            </w:r>
            <w:r w:rsidRPr="0056747D">
              <w:t>-</w:t>
            </w:r>
            <w:r w:rsidRPr="003251EA">
              <w:t>E</w:t>
            </w:r>
          </w:p>
        </w:tc>
      </w:tr>
      <w:tr w:rsidR="00BC7D84" w:rsidRPr="003251EA" w:rsidTr="002A0273">
        <w:trPr>
          <w:cantSplit/>
        </w:trPr>
        <w:tc>
          <w:tcPr>
            <w:tcW w:w="6765" w:type="dxa"/>
            <w:gridSpan w:val="2"/>
          </w:tcPr>
          <w:p w:rsidR="00BC7D84" w:rsidRPr="003251EA" w:rsidRDefault="00BC7D84" w:rsidP="00F00DDC">
            <w:pPr>
              <w:spacing w:before="0"/>
              <w:rPr>
                <w:sz w:val="20"/>
              </w:rPr>
            </w:pPr>
          </w:p>
        </w:tc>
        <w:tc>
          <w:tcPr>
            <w:tcW w:w="3265" w:type="dxa"/>
            <w:gridSpan w:val="2"/>
          </w:tcPr>
          <w:p w:rsidR="00BC7D84" w:rsidRPr="003251EA" w:rsidRDefault="00BC7D84" w:rsidP="00E94DBA">
            <w:pPr>
              <w:pStyle w:val="Docnumber"/>
              <w:ind w:left="-57"/>
            </w:pPr>
            <w:r w:rsidRPr="003251EA">
              <w:t>13 September 2016</w:t>
            </w:r>
          </w:p>
        </w:tc>
      </w:tr>
      <w:tr w:rsidR="00BC7D84" w:rsidRPr="003251EA" w:rsidTr="002A0273">
        <w:trPr>
          <w:cantSplit/>
        </w:trPr>
        <w:tc>
          <w:tcPr>
            <w:tcW w:w="6765" w:type="dxa"/>
            <w:gridSpan w:val="2"/>
          </w:tcPr>
          <w:p w:rsidR="00BC7D84" w:rsidRPr="003251EA" w:rsidRDefault="00BC7D84" w:rsidP="00F00DDC">
            <w:pPr>
              <w:spacing w:before="0"/>
              <w:rPr>
                <w:sz w:val="20"/>
              </w:rPr>
            </w:pPr>
          </w:p>
        </w:tc>
        <w:tc>
          <w:tcPr>
            <w:tcW w:w="3265" w:type="dxa"/>
            <w:gridSpan w:val="2"/>
          </w:tcPr>
          <w:p w:rsidR="00BC7D84" w:rsidRPr="003251EA" w:rsidRDefault="00BC7D84" w:rsidP="00E94DBA">
            <w:pPr>
              <w:pStyle w:val="Docnumber"/>
              <w:ind w:left="-57"/>
            </w:pPr>
            <w:r w:rsidRPr="003251EA">
              <w:t>Original: English</w:t>
            </w:r>
          </w:p>
        </w:tc>
      </w:tr>
      <w:tr w:rsidR="00BC7D84" w:rsidRPr="003251EA" w:rsidTr="002A0273">
        <w:trPr>
          <w:cantSplit/>
        </w:trPr>
        <w:tc>
          <w:tcPr>
            <w:tcW w:w="10030" w:type="dxa"/>
            <w:gridSpan w:val="4"/>
          </w:tcPr>
          <w:p w:rsidR="00BC7D84" w:rsidRPr="003251EA" w:rsidRDefault="00BC7D84" w:rsidP="00F00DDC">
            <w:pPr>
              <w:pStyle w:val="TopHeader"/>
              <w:spacing w:before="0"/>
              <w:rPr>
                <w:sz w:val="20"/>
                <w:szCs w:val="20"/>
              </w:rPr>
            </w:pPr>
          </w:p>
        </w:tc>
      </w:tr>
      <w:tr w:rsidR="00BC7D84" w:rsidRPr="00426748" w:rsidTr="002A0273">
        <w:trPr>
          <w:cantSplit/>
        </w:trPr>
        <w:tc>
          <w:tcPr>
            <w:tcW w:w="10030" w:type="dxa"/>
            <w:gridSpan w:val="4"/>
          </w:tcPr>
          <w:p w:rsidR="00BC7D84" w:rsidRPr="00D643B3" w:rsidRDefault="00BC7D84" w:rsidP="00F00DDC">
            <w:pPr>
              <w:pStyle w:val="Source"/>
              <w:rPr>
                <w:highlight w:val="yellow"/>
              </w:rPr>
            </w:pPr>
            <w:r>
              <w:t>United States</w:t>
            </w:r>
            <w:r w:rsidR="0045251A">
              <w:t xml:space="preserve"> of America</w:t>
            </w:r>
          </w:p>
        </w:tc>
      </w:tr>
      <w:tr w:rsidR="00BC7D84" w:rsidRPr="00426748" w:rsidTr="002A0273">
        <w:trPr>
          <w:cantSplit/>
        </w:trPr>
        <w:tc>
          <w:tcPr>
            <w:tcW w:w="10030" w:type="dxa"/>
            <w:gridSpan w:val="4"/>
          </w:tcPr>
          <w:p w:rsidR="00BC7D84" w:rsidRPr="00D643B3" w:rsidRDefault="000029DB" w:rsidP="000029DB">
            <w:pPr>
              <w:pStyle w:val="Title1"/>
              <w:rPr>
                <w:highlight w:val="yellow"/>
              </w:rPr>
            </w:pPr>
            <w:r w:rsidRPr="000029DB">
              <w:t>PROPOSED SUPPRESSION OF WTSA-12 RESOLUTION 7</w:t>
            </w:r>
            <w:r>
              <w:t>8</w:t>
            </w:r>
            <w:r w:rsidRPr="000029DB">
              <w:t xml:space="preserve"> - Information and communication technology applications and standards for improved access to e-health services</w:t>
            </w:r>
          </w:p>
        </w:tc>
      </w:tr>
      <w:tr w:rsidR="00BC7D84" w:rsidRPr="00426748" w:rsidTr="002A0273">
        <w:trPr>
          <w:cantSplit/>
        </w:trPr>
        <w:tc>
          <w:tcPr>
            <w:tcW w:w="10030" w:type="dxa"/>
            <w:gridSpan w:val="4"/>
          </w:tcPr>
          <w:p w:rsidR="00BC7D84" w:rsidRDefault="00BC7D84" w:rsidP="00F00DDC">
            <w:pPr>
              <w:pStyle w:val="Title2"/>
            </w:pPr>
          </w:p>
        </w:tc>
      </w:tr>
    </w:tbl>
    <w:tbl>
      <w:tblPr>
        <w:tblpPr w:leftFromText="180" w:rightFromText="180" w:vertAnchor="text" w:tblpY="1"/>
        <w:tblOverlap w:val="never"/>
        <w:tblW w:w="5089" w:type="pct"/>
        <w:tblLayout w:type="fixed"/>
        <w:tblLook w:val="0000" w:firstRow="0" w:lastRow="0" w:firstColumn="0" w:lastColumn="0" w:noHBand="0" w:noVBand="0"/>
      </w:tblPr>
      <w:tblGrid>
        <w:gridCol w:w="1951"/>
        <w:gridCol w:w="8079"/>
      </w:tblGrid>
      <w:tr w:rsidR="002A0273" w:rsidRPr="002957A7" w:rsidTr="00D055D3">
        <w:trPr>
          <w:cantSplit/>
        </w:trPr>
        <w:tc>
          <w:tcPr>
            <w:tcW w:w="1951" w:type="dxa"/>
          </w:tcPr>
          <w:p w:rsidR="002A0273" w:rsidRDefault="002A0273">
            <w:pPr>
              <w:spacing w:after="200" w:line="276" w:lineRule="auto"/>
              <w:jc w:val="both"/>
              <w:rPr>
                <w:sz w:val="22"/>
                <w:szCs w:val="22"/>
              </w:rPr>
            </w:pPr>
            <w:r>
              <w:rPr>
                <w:b/>
                <w:bCs/>
              </w:rPr>
              <w:t>Abstract:</w:t>
            </w:r>
          </w:p>
        </w:tc>
        <w:tc>
          <w:tcPr>
            <w:tcW w:w="8079" w:type="dxa"/>
          </w:tcPr>
          <w:p w:rsidR="002A0273" w:rsidRDefault="002A0273" w:rsidP="002A0273">
            <w:pPr>
              <w:spacing w:after="200"/>
              <w:jc w:val="both"/>
              <w:rPr>
                <w:sz w:val="22"/>
                <w:szCs w:val="22"/>
              </w:rPr>
            </w:pPr>
            <w:r>
              <w:t xml:space="preserve">The TSB Director has proposed guidelines for reducing the number and length of WTSA Resolutions in TSAG </w:t>
            </w:r>
            <w:hyperlink r:id="rId11" w:history="1">
              <w:r>
                <w:rPr>
                  <w:rStyle w:val="Hyperlink"/>
                </w:rPr>
                <w:t>TD532</w:t>
              </w:r>
            </w:hyperlink>
            <w:r>
              <w:t>. In support of this objective, the United States proposes to suppress Resolution 78. Advancement of technical work is best served through the study groups created by WTSA (or TSAG), the mandates and responsibilities of those study groups, the Questions assigned to the study groups, and the work items assigned to the Questions. The current resolutions that indicate that technical work should be started (especially considering that this work is now underway, and reflected in current study group mandates, Questions, and work items) should be suppressed; and additional proposals for new work should be addressed through Resolution 2 and the Questions rather than additional WTSA Resolutions.</w:t>
            </w:r>
          </w:p>
        </w:tc>
      </w:tr>
    </w:tbl>
    <w:p w:rsidR="00ED30BC" w:rsidRDefault="00ED30BC">
      <w:pPr>
        <w:tabs>
          <w:tab w:val="clear" w:pos="1134"/>
          <w:tab w:val="clear" w:pos="1871"/>
          <w:tab w:val="clear" w:pos="2268"/>
        </w:tabs>
        <w:overflowPunct/>
        <w:autoSpaceDE/>
        <w:autoSpaceDN/>
        <w:adjustRightInd/>
        <w:spacing w:before="0"/>
        <w:textAlignment w:val="auto"/>
      </w:pPr>
    </w:p>
    <w:p w:rsidR="00EC59E3" w:rsidRDefault="00EC59E3">
      <w:pPr>
        <w:tabs>
          <w:tab w:val="clear" w:pos="1134"/>
          <w:tab w:val="clear" w:pos="1871"/>
          <w:tab w:val="clear" w:pos="2268"/>
        </w:tabs>
        <w:overflowPunct/>
        <w:autoSpaceDE/>
        <w:autoSpaceDN/>
        <w:adjustRightInd/>
        <w:spacing w:before="0"/>
        <w:textAlignment w:val="auto"/>
      </w:pPr>
    </w:p>
    <w:p w:rsidR="00EC59E3" w:rsidRDefault="0019712E">
      <w:pPr>
        <w:tabs>
          <w:tab w:val="clear" w:pos="1134"/>
          <w:tab w:val="clear" w:pos="1871"/>
          <w:tab w:val="clear" w:pos="2268"/>
        </w:tabs>
        <w:overflowPunct/>
        <w:autoSpaceDE/>
        <w:autoSpaceDN/>
        <w:adjustRightInd/>
        <w:spacing w:before="0"/>
        <w:textAlignment w:val="auto"/>
        <w:rPr>
          <w:b/>
        </w:rPr>
      </w:pPr>
      <w:r w:rsidRPr="0019712E">
        <w:rPr>
          <w:b/>
        </w:rPr>
        <w:t>Proposal:</w:t>
      </w:r>
    </w:p>
    <w:p w:rsidR="0019712E" w:rsidRDefault="0019712E">
      <w:pPr>
        <w:tabs>
          <w:tab w:val="clear" w:pos="1134"/>
          <w:tab w:val="clear" w:pos="1871"/>
          <w:tab w:val="clear" w:pos="2268"/>
        </w:tabs>
        <w:overflowPunct/>
        <w:autoSpaceDE/>
        <w:autoSpaceDN/>
        <w:adjustRightInd/>
        <w:spacing w:before="0"/>
        <w:textAlignment w:val="auto"/>
        <w:rPr>
          <w:b/>
        </w:rPr>
      </w:pPr>
    </w:p>
    <w:p w:rsidR="0019712E" w:rsidRPr="0019712E" w:rsidRDefault="0019712E" w:rsidP="0019712E">
      <w:pPr>
        <w:tabs>
          <w:tab w:val="clear" w:pos="1134"/>
          <w:tab w:val="clear" w:pos="1871"/>
          <w:tab w:val="clear" w:pos="2268"/>
        </w:tabs>
        <w:overflowPunct/>
        <w:autoSpaceDE/>
        <w:autoSpaceDN/>
        <w:adjustRightInd/>
        <w:spacing w:before="0" w:after="200" w:line="276" w:lineRule="auto"/>
        <w:jc w:val="both"/>
        <w:textAlignment w:val="auto"/>
        <w:rPr>
          <w:rFonts w:eastAsia="Calibri"/>
          <w:sz w:val="22"/>
          <w:szCs w:val="22"/>
        </w:rPr>
      </w:pPr>
      <w:r w:rsidRPr="0019712E">
        <w:rPr>
          <w:rFonts w:eastAsia="Calibri"/>
          <w:sz w:val="22"/>
          <w:szCs w:val="22"/>
        </w:rPr>
        <w:t xml:space="preserve">The United States proposes to suppress Resolution 78, Information and communication technology applications and standards for improved access to e-health services. This was adopted in Dubai (2012). The work called for in the resolution was already being done at the time it was adopted: ITU-T Study Group 16 had a </w:t>
      </w:r>
      <w:r w:rsidR="000E77B8">
        <w:rPr>
          <w:rFonts w:eastAsia="Calibri"/>
          <w:sz w:val="22"/>
          <w:szCs w:val="22"/>
        </w:rPr>
        <w:t>Q</w:t>
      </w:r>
      <w:r w:rsidRPr="0019712E">
        <w:rPr>
          <w:rFonts w:eastAsia="Calibri"/>
          <w:sz w:val="22"/>
          <w:szCs w:val="22"/>
        </w:rPr>
        <w:t>uestion starting from the 2009-2012 study period, Q28/16, Multimedia framework for e-health applications, was already carrying out this work without the need for a resolution.</w:t>
      </w:r>
    </w:p>
    <w:p w:rsidR="0019712E" w:rsidRPr="0019712E" w:rsidRDefault="0019712E">
      <w:pPr>
        <w:tabs>
          <w:tab w:val="clear" w:pos="1134"/>
          <w:tab w:val="clear" w:pos="1871"/>
          <w:tab w:val="clear" w:pos="2268"/>
        </w:tabs>
        <w:overflowPunct/>
        <w:autoSpaceDE/>
        <w:autoSpaceDN/>
        <w:adjustRightInd/>
        <w:spacing w:before="0"/>
        <w:textAlignment w:val="auto"/>
        <w:rPr>
          <w:b/>
        </w:rPr>
      </w:pPr>
    </w:p>
    <w:p w:rsidR="00EC59E3" w:rsidRDefault="00EC59E3">
      <w:pPr>
        <w:tabs>
          <w:tab w:val="clear" w:pos="1134"/>
          <w:tab w:val="clear" w:pos="1871"/>
          <w:tab w:val="clear" w:pos="2268"/>
        </w:tabs>
        <w:overflowPunct/>
        <w:autoSpaceDE/>
        <w:autoSpaceDN/>
        <w:adjustRightInd/>
        <w:spacing w:before="0"/>
        <w:textAlignment w:val="auto"/>
      </w:pPr>
    </w:p>
    <w:p w:rsidR="00EC59E3" w:rsidRDefault="00EC59E3">
      <w:pPr>
        <w:tabs>
          <w:tab w:val="clear" w:pos="1134"/>
          <w:tab w:val="clear" w:pos="1871"/>
          <w:tab w:val="clear" w:pos="2268"/>
        </w:tabs>
        <w:overflowPunct/>
        <w:autoSpaceDE/>
        <w:autoSpaceDN/>
        <w:adjustRightInd/>
        <w:spacing w:before="0"/>
        <w:textAlignment w:val="auto"/>
      </w:pPr>
    </w:p>
    <w:p w:rsidR="00ED30BC" w:rsidRDefault="00ED30BC">
      <w:pPr>
        <w:tabs>
          <w:tab w:val="clear" w:pos="1134"/>
          <w:tab w:val="clear" w:pos="1871"/>
          <w:tab w:val="clear" w:pos="2268"/>
        </w:tabs>
        <w:overflowPunct/>
        <w:autoSpaceDE/>
        <w:autoSpaceDN/>
        <w:adjustRightInd/>
        <w:spacing w:before="0"/>
        <w:textAlignment w:val="auto"/>
      </w:pPr>
      <w:r>
        <w:br w:type="page"/>
      </w:r>
    </w:p>
    <w:p w:rsidR="001E2228" w:rsidRDefault="000E77B8">
      <w:pPr>
        <w:pStyle w:val="Proposal"/>
      </w:pPr>
      <w:r>
        <w:lastRenderedPageBreak/>
        <w:t>SUP</w:t>
      </w:r>
      <w:r>
        <w:tab/>
        <w:t>USA/4</w:t>
      </w:r>
      <w:r w:rsidR="001C4AF2">
        <w:t>8</w:t>
      </w:r>
      <w:r>
        <w:t>A3/1</w:t>
      </w:r>
    </w:p>
    <w:p w:rsidR="00324ABE" w:rsidRPr="00B561BC" w:rsidRDefault="000E77B8" w:rsidP="00324ABE">
      <w:pPr>
        <w:pStyle w:val="ResNo"/>
        <w:rPr>
          <w:lang w:val="en-US"/>
        </w:rPr>
      </w:pPr>
      <w:r w:rsidRPr="00BC43D8">
        <w:t>RESOLUTION 78 (DUBAI, 2012)</w:t>
      </w:r>
    </w:p>
    <w:p w:rsidR="00324ABE" w:rsidRPr="00BC43D8" w:rsidRDefault="000E77B8" w:rsidP="00324ABE">
      <w:pPr>
        <w:pStyle w:val="Restitle"/>
      </w:pPr>
      <w:r w:rsidRPr="00BC43D8">
        <w:t>Information and communication technology applications and standards for improved access to e-health services</w:t>
      </w:r>
    </w:p>
    <w:p w:rsidR="00324ABE" w:rsidRPr="00BC43D8" w:rsidRDefault="000E77B8" w:rsidP="00324ABE">
      <w:pPr>
        <w:pStyle w:val="Resref"/>
      </w:pPr>
      <w:r w:rsidRPr="00BC43D8">
        <w:t>(Dubai, 2012)</w:t>
      </w:r>
    </w:p>
    <w:p w:rsidR="00324ABE" w:rsidRDefault="000E77B8" w:rsidP="00324ABE">
      <w:pPr>
        <w:pStyle w:val="Normalaftertitle"/>
        <w:rPr>
          <w:lang w:val="en-US"/>
        </w:rPr>
      </w:pPr>
      <w:r w:rsidRPr="00735B87">
        <w:rPr>
          <w:lang w:val="en-US"/>
        </w:rPr>
        <w:t>The World Telecommunication Standardization Assembly (Dubai, 2012),</w:t>
      </w:r>
    </w:p>
    <w:p w:rsidR="001C4AF2" w:rsidRPr="001C4AF2" w:rsidRDefault="001C4AF2" w:rsidP="001C4AF2">
      <w:pPr>
        <w:rPr>
          <w:lang w:val="en-US"/>
        </w:rPr>
      </w:pPr>
    </w:p>
    <w:p w:rsidR="0019712E" w:rsidRDefault="000E77B8" w:rsidP="0019712E">
      <w:pPr>
        <w:pStyle w:val="Reasons"/>
      </w:pPr>
      <w:r>
        <w:rPr>
          <w:b/>
        </w:rPr>
        <w:t>Reasons:</w:t>
      </w:r>
      <w:r>
        <w:tab/>
      </w:r>
      <w:r w:rsidR="0019712E" w:rsidRPr="00360A0C">
        <w:t xml:space="preserve">See </w:t>
      </w:r>
      <w:r w:rsidR="0019712E">
        <w:t xml:space="preserve">Abstract and Proposal </w:t>
      </w:r>
      <w:r w:rsidR="0019712E" w:rsidRPr="00360A0C">
        <w:t>section</w:t>
      </w:r>
      <w:r w:rsidR="0019712E">
        <w:t>s</w:t>
      </w:r>
      <w:r w:rsidR="0019712E" w:rsidRPr="00360A0C">
        <w:t xml:space="preserve"> to this document.</w:t>
      </w:r>
    </w:p>
    <w:p w:rsidR="001E2228" w:rsidRDefault="001E2228">
      <w:pPr>
        <w:pStyle w:val="Reasons"/>
      </w:pPr>
    </w:p>
    <w:sectPr w:rsidR="001E2228">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45251A">
      <w:rPr>
        <w:noProof/>
      </w:rPr>
      <w:t>13.09.16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45251A" w:rsidRDefault="0045251A" w:rsidP="0045251A">
    <w:pPr>
      <w:pStyle w:val="Footer"/>
      <w:rPr>
        <w:lang w:val="fr-CH"/>
      </w:rPr>
    </w:pPr>
    <w:r w:rsidRPr="0045251A">
      <w:rPr>
        <w:lang w:val="fr-CH"/>
      </w:rPr>
      <w:t>ITU-T\CONF-T\WTSA16\000\048</w:t>
    </w:r>
    <w:r>
      <w:rPr>
        <w:lang w:val="fr-CH"/>
      </w:rPr>
      <w:t>Add3</w:t>
    </w:r>
    <w:bookmarkStart w:id="0" w:name="_GoBack"/>
    <w:bookmarkEnd w:id="0"/>
    <w:r w:rsidRPr="0045251A">
      <w:rPr>
        <w:lang w:val="fr-CH"/>
      </w:rPr>
      <w:t>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45251A" w:rsidRDefault="0045251A" w:rsidP="0045251A">
    <w:pPr>
      <w:pStyle w:val="Footer"/>
      <w:rPr>
        <w:lang w:val="fr-CH"/>
      </w:rPr>
    </w:pPr>
    <w:r w:rsidRPr="0045251A">
      <w:rPr>
        <w:lang w:val="fr-CH"/>
      </w:rPr>
      <w:t>ITU-T\CONF-T\WTSA16\000\048</w:t>
    </w:r>
    <w:r>
      <w:rPr>
        <w:lang w:val="fr-CH"/>
      </w:rPr>
      <w:t>Add3</w:t>
    </w:r>
    <w:r w:rsidRPr="0045251A">
      <w:rPr>
        <w:lang w:val="fr-CH"/>
      </w:rPr>
      <w:t>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1A" w:rsidRDefault="004525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45251A">
      <w:rPr>
        <w:noProof/>
      </w:rPr>
      <w:t>2</w:t>
    </w:r>
    <w:r>
      <w:fldChar w:fldCharType="end"/>
    </w:r>
  </w:p>
  <w:p w:rsidR="00A066F1" w:rsidRPr="00C72D5C" w:rsidRDefault="00C72D5C" w:rsidP="008E67E5">
    <w:pPr>
      <w:pStyle w:val="Header"/>
    </w:pPr>
    <w:r>
      <w:t>WTSA16/</w:t>
    </w:r>
    <w:r w:rsidR="008E67E5">
      <w:t>4</w:t>
    </w:r>
    <w:r w:rsidR="00235EC1">
      <w:t>8</w:t>
    </w:r>
    <w:r w:rsidR="008E67E5">
      <w:t>(Add.3)-E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1A" w:rsidRDefault="00452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29DB"/>
    <w:rsid w:val="000041EA"/>
    <w:rsid w:val="00022A29"/>
    <w:rsid w:val="000355FD"/>
    <w:rsid w:val="00051E39"/>
    <w:rsid w:val="00063D0B"/>
    <w:rsid w:val="00077239"/>
    <w:rsid w:val="000807E9"/>
    <w:rsid w:val="00086491"/>
    <w:rsid w:val="00091346"/>
    <w:rsid w:val="0009706C"/>
    <w:rsid w:val="000E77B8"/>
    <w:rsid w:val="000F73FF"/>
    <w:rsid w:val="00114CF7"/>
    <w:rsid w:val="00123B68"/>
    <w:rsid w:val="00126F2E"/>
    <w:rsid w:val="001301F4"/>
    <w:rsid w:val="00130789"/>
    <w:rsid w:val="00137CF6"/>
    <w:rsid w:val="00146F6F"/>
    <w:rsid w:val="00161472"/>
    <w:rsid w:val="0017074E"/>
    <w:rsid w:val="00182117"/>
    <w:rsid w:val="00187BD9"/>
    <w:rsid w:val="00190B55"/>
    <w:rsid w:val="0019712E"/>
    <w:rsid w:val="001C3B5F"/>
    <w:rsid w:val="001C4AF2"/>
    <w:rsid w:val="001D058F"/>
    <w:rsid w:val="001E2228"/>
    <w:rsid w:val="001E6F73"/>
    <w:rsid w:val="002009EA"/>
    <w:rsid w:val="00202CA0"/>
    <w:rsid w:val="00216B6D"/>
    <w:rsid w:val="00235EC1"/>
    <w:rsid w:val="00236EBA"/>
    <w:rsid w:val="00245127"/>
    <w:rsid w:val="00250AF4"/>
    <w:rsid w:val="00260B50"/>
    <w:rsid w:val="0026217B"/>
    <w:rsid w:val="00263BE8"/>
    <w:rsid w:val="00271316"/>
    <w:rsid w:val="00290F83"/>
    <w:rsid w:val="002957A7"/>
    <w:rsid w:val="002A0273"/>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5251A"/>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D5CF1"/>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52599"/>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59E3"/>
    <w:rsid w:val="00EC7F04"/>
    <w:rsid w:val="00ED30BC"/>
    <w:rsid w:val="00F00DDC"/>
    <w:rsid w:val="00F02766"/>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64F32BD-8E2C-49C6-85BA-E3FB57F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uiPriority w:val="99"/>
    <w:semiHidden/>
    <w:unhideWhenUsed/>
    <w:rsid w:val="002A02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meetingdoc.asp?lang=en&amp;parent=T13-TSAG-160718-TD-GEN-053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38a8f3c4-cc07-48de-98aa-38c3608a3d5c">Conference Proposals Interface (CPI)</DPM_x0020_Author>
    <DPM_x0020_File_x0020_name xmlns="38a8f3c4-cc07-48de-98aa-38c3608a3d5c">T13-WTSA.16-C-4221!A3!MSW-E</DPM_x0020_File_x0020_name>
    <DPM_x0020_Version xmlns="38a8f3c4-cc07-48de-98aa-38c3608a3d5c">CPI_2016.9.6.1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8a8f3c4-cc07-48de-98aa-38c3608a3d5c" targetNamespace="http://schemas.microsoft.com/office/2006/metadata/properties" ma:root="true" ma:fieldsID="d41af5c836d734370eb92e7ee5f83852" ns2:_="" ns3:_="">
    <xsd:import namespace="996b2e75-67fd-4955-a3b0-5ab9934cb50b"/>
    <xsd:import namespace="38a8f3c4-cc07-48de-98aa-38c3608a3d5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8a8f3c4-cc07-48de-98aa-38c3608a3d5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http://purl.org/dc/elements/1.1/"/>
    <ds:schemaRef ds:uri="996b2e75-67fd-4955-a3b0-5ab9934cb50b"/>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38a8f3c4-cc07-48de-98aa-38c3608a3d5c"/>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8a8f3c4-cc07-48de-98aa-38c3608a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T13-WTSA.16-C-4221!A3!MSW-E</vt:lpstr>
    </vt:vector>
  </TitlesOfParts>
  <Manager>General Secretariat - Pool</Manager>
  <Company>International Telecommunication Union (ITU)</Company>
  <LinksUpToDate>false</LinksUpToDate>
  <CharactersWithSpaces>2097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T13-WTSA.16-C-4221!A3!MSW-E</dc:title>
  <dc:subject>World Telecommunication Standardization Assembly</dc:subject>
  <dc:creator>Conference Proposals Interface (CPI)</dc:creator>
  <cp:keywords>CPI_2016.9.6.1</cp:keywords>
  <dc:description>Template used by DPM and CPI for the WTSA-16</dc:description>
  <cp:lastModifiedBy>Clark, Robert</cp:lastModifiedBy>
  <cp:revision>12</cp:revision>
  <cp:lastPrinted>2016-06-06T07:49:00Z</cp:lastPrinted>
  <dcterms:created xsi:type="dcterms:W3CDTF">2016-09-13T18:47:00Z</dcterms:created>
  <dcterms:modified xsi:type="dcterms:W3CDTF">2016-09-14T07:10:00Z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