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000" w:firstRow="0" w:lastRow="0" w:firstColumn="0" w:lastColumn="0" w:noHBand="0" w:noVBand="0"/>
      </w:tblPr>
      <w:tblGrid>
        <w:gridCol w:w="1379"/>
        <w:gridCol w:w="5234"/>
        <w:gridCol w:w="1325"/>
        <w:gridCol w:w="1873"/>
      </w:tblGrid>
      <w:tr w:rsidR="000E5EE9" w:rsidTr="004B520A">
        <w:trPr>
          <w:cantSplit/>
        </w:trPr>
        <w:tc>
          <w:tcPr>
            <w:tcW w:w="1379" w:type="dxa"/>
            <w:vAlign w:val="center"/>
          </w:tcPr>
          <w:p w:rsidR="000E5EE9" w:rsidRPr="00566A5B" w:rsidRDefault="000E5EE9" w:rsidP="004B520A">
            <w:pPr>
              <w:rPr>
                <w:rFonts w:ascii="Verdana" w:hAnsi="Verdana" w:cs="Times New Roman Bold"/>
                <w:b/>
                <w:bCs/>
                <w:sz w:val="22"/>
                <w:szCs w:val="22"/>
              </w:rPr>
            </w:pPr>
            <w:r>
              <w:rPr>
                <w:noProof/>
                <w:lang w:val="en-GB" w:eastAsia="zh-CN"/>
              </w:rPr>
              <w:drawing>
                <wp:inline distT="0" distB="0" distL="0" distR="0">
                  <wp:extent cx="717701" cy="799465"/>
                  <wp:effectExtent l="0" t="0" r="6350" b="635"/>
                  <wp:docPr id="1" name="Picture 1"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559" w:type="dxa"/>
            <w:gridSpan w:val="2"/>
            <w:vAlign w:val="center"/>
          </w:tcPr>
          <w:p w:rsidR="0028017B" w:rsidRDefault="000E5EE9" w:rsidP="004B520A">
            <w:pPr>
              <w:rPr>
                <w:rFonts w:ascii="Verdana" w:hAnsi="Verdana" w:cs="Times New Roman Bold"/>
                <w:b/>
                <w:bCs/>
                <w:szCs w:val="24"/>
              </w:rPr>
            </w:pPr>
            <w:r w:rsidRPr="00692C39">
              <w:rPr>
                <w:rFonts w:ascii="Verdana" w:hAnsi="Verdana" w:cs="Times New Roman Bold"/>
                <w:b/>
                <w:bCs/>
                <w:szCs w:val="24"/>
              </w:rPr>
              <w:t xml:space="preserve">Asamblea Mundial de Normalización de las </w:t>
            </w:r>
            <w:r>
              <w:rPr>
                <w:rFonts w:ascii="Verdana" w:hAnsi="Verdana" w:cs="Times New Roman Bold"/>
                <w:b/>
                <w:bCs/>
                <w:szCs w:val="24"/>
              </w:rPr>
              <w:t>Telecomunicaciones</w:t>
            </w:r>
            <w:r w:rsidRPr="00692C39">
              <w:rPr>
                <w:rFonts w:ascii="Verdana" w:hAnsi="Verdana" w:cs="Times New Roman Bold"/>
                <w:b/>
                <w:bCs/>
                <w:szCs w:val="24"/>
              </w:rPr>
              <w:t xml:space="preserve"> (</w:t>
            </w:r>
            <w:r w:rsidR="0028017B" w:rsidRPr="00692C39">
              <w:rPr>
                <w:rFonts w:ascii="Verdana" w:hAnsi="Verdana" w:cs="Times New Roman Bold"/>
                <w:b/>
                <w:bCs/>
                <w:szCs w:val="24"/>
              </w:rPr>
              <w:t>A</w:t>
            </w:r>
            <w:r w:rsidR="0028017B">
              <w:rPr>
                <w:rFonts w:ascii="Verdana" w:hAnsi="Verdana" w:cs="Times New Roman Bold"/>
                <w:b/>
                <w:bCs/>
                <w:szCs w:val="24"/>
              </w:rPr>
              <w:t>MNT</w:t>
            </w:r>
            <w:r w:rsidR="0028017B" w:rsidRPr="00692C39">
              <w:rPr>
                <w:rFonts w:ascii="Verdana" w:hAnsi="Verdana" w:cs="Times New Roman Bold"/>
                <w:b/>
                <w:bCs/>
                <w:szCs w:val="24"/>
              </w:rPr>
              <w:t>-1</w:t>
            </w:r>
            <w:r w:rsidR="0028017B">
              <w:rPr>
                <w:rFonts w:ascii="Verdana" w:hAnsi="Verdana" w:cs="Times New Roman Bold"/>
                <w:b/>
                <w:bCs/>
                <w:szCs w:val="24"/>
              </w:rPr>
              <w:t>6</w:t>
            </w:r>
            <w:r w:rsidRPr="00692C39">
              <w:rPr>
                <w:rFonts w:ascii="Verdana" w:hAnsi="Verdana" w:cs="Times New Roman Bold"/>
                <w:b/>
                <w:bCs/>
                <w:szCs w:val="24"/>
              </w:rPr>
              <w:t>)</w:t>
            </w:r>
          </w:p>
          <w:p w:rsidR="000E5EE9" w:rsidRPr="0028017B" w:rsidRDefault="0028017B" w:rsidP="004B520A">
            <w:pPr>
              <w:spacing w:before="0"/>
              <w:rPr>
                <w:rFonts w:ascii="Verdana" w:hAnsi="Verdana" w:cs="Times New Roman Bold"/>
                <w:b/>
                <w:bCs/>
                <w:sz w:val="19"/>
                <w:szCs w:val="19"/>
              </w:rPr>
            </w:pPr>
            <w:proofErr w:type="spellStart"/>
            <w:r w:rsidRPr="00E83D45">
              <w:rPr>
                <w:rFonts w:ascii="Verdana" w:hAnsi="Verdana" w:cs="Times New Roman Bold"/>
                <w:b/>
                <w:bCs/>
                <w:sz w:val="18"/>
                <w:szCs w:val="18"/>
              </w:rPr>
              <w:t>Hammamet</w:t>
            </w:r>
            <w:proofErr w:type="spellEnd"/>
            <w:r w:rsidRPr="00E83D45">
              <w:rPr>
                <w:rFonts w:ascii="Verdana" w:hAnsi="Verdana" w:cs="Times New Roman Bold"/>
                <w:b/>
                <w:bCs/>
                <w:sz w:val="18"/>
                <w:szCs w:val="18"/>
              </w:rPr>
              <w:t>, 25 de octubre</w:t>
            </w:r>
            <w:r w:rsidR="00E21778">
              <w:rPr>
                <w:rFonts w:ascii="Verdana" w:hAnsi="Verdana" w:cs="Times New Roman Bold"/>
                <w:b/>
                <w:bCs/>
                <w:sz w:val="18"/>
                <w:szCs w:val="18"/>
              </w:rPr>
              <w:t xml:space="preserve"> </w:t>
            </w:r>
            <w:r w:rsidRPr="00E83D45">
              <w:rPr>
                <w:rFonts w:ascii="Verdana" w:hAnsi="Verdana" w:cs="Times New Roman Bold"/>
                <w:b/>
                <w:bCs/>
                <w:sz w:val="18"/>
                <w:szCs w:val="18"/>
              </w:rPr>
              <w:t>-</w:t>
            </w:r>
            <w:r w:rsidR="00E21778">
              <w:rPr>
                <w:rFonts w:ascii="Verdana" w:hAnsi="Verdana" w:cs="Times New Roman Bold"/>
                <w:b/>
                <w:bCs/>
                <w:sz w:val="18"/>
                <w:szCs w:val="18"/>
              </w:rPr>
              <w:t xml:space="preserve"> </w:t>
            </w:r>
            <w:r w:rsidRPr="00E83D45">
              <w:rPr>
                <w:rFonts w:ascii="Verdana" w:hAnsi="Verdana" w:cs="Times New Roman Bold"/>
                <w:b/>
                <w:bCs/>
                <w:sz w:val="18"/>
                <w:szCs w:val="18"/>
              </w:rPr>
              <w:t>3 de noviembre de 2016</w:t>
            </w:r>
          </w:p>
        </w:tc>
        <w:tc>
          <w:tcPr>
            <w:tcW w:w="1873" w:type="dxa"/>
            <w:vAlign w:val="center"/>
          </w:tcPr>
          <w:p w:rsidR="000E5EE9" w:rsidRDefault="000E5EE9" w:rsidP="004B520A">
            <w:pPr>
              <w:spacing w:before="0"/>
              <w:jc w:val="right"/>
            </w:pPr>
            <w:r>
              <w:rPr>
                <w:noProof/>
                <w:lang w:val="en-GB" w:eastAsia="zh-CN"/>
              </w:rPr>
              <w:drawing>
                <wp:inline distT="0" distB="0" distL="0" distR="0">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F0220A" w:rsidTr="004B520A">
        <w:trPr>
          <w:cantSplit/>
        </w:trPr>
        <w:tc>
          <w:tcPr>
            <w:tcW w:w="6613" w:type="dxa"/>
            <w:gridSpan w:val="2"/>
            <w:tcBorders>
              <w:bottom w:val="single" w:sz="12" w:space="0" w:color="auto"/>
            </w:tcBorders>
          </w:tcPr>
          <w:p w:rsidR="00F0220A" w:rsidRDefault="00F0220A" w:rsidP="004B520A">
            <w:pPr>
              <w:spacing w:before="0"/>
            </w:pPr>
          </w:p>
        </w:tc>
        <w:tc>
          <w:tcPr>
            <w:tcW w:w="3198" w:type="dxa"/>
            <w:gridSpan w:val="2"/>
            <w:tcBorders>
              <w:bottom w:val="single" w:sz="12" w:space="0" w:color="auto"/>
            </w:tcBorders>
          </w:tcPr>
          <w:p w:rsidR="00F0220A" w:rsidRDefault="00F0220A" w:rsidP="004B520A">
            <w:pPr>
              <w:spacing w:before="0"/>
            </w:pPr>
          </w:p>
        </w:tc>
      </w:tr>
      <w:tr w:rsidR="005A374D" w:rsidTr="004B520A">
        <w:trPr>
          <w:cantSplit/>
        </w:trPr>
        <w:tc>
          <w:tcPr>
            <w:tcW w:w="6613" w:type="dxa"/>
            <w:gridSpan w:val="2"/>
            <w:tcBorders>
              <w:top w:val="single" w:sz="12" w:space="0" w:color="auto"/>
            </w:tcBorders>
          </w:tcPr>
          <w:p w:rsidR="005A374D" w:rsidRDefault="005A374D" w:rsidP="004B520A">
            <w:pPr>
              <w:spacing w:before="0"/>
            </w:pPr>
          </w:p>
        </w:tc>
        <w:tc>
          <w:tcPr>
            <w:tcW w:w="3198" w:type="dxa"/>
            <w:gridSpan w:val="2"/>
          </w:tcPr>
          <w:p w:rsidR="005A374D" w:rsidRPr="005A374D" w:rsidRDefault="005A374D" w:rsidP="004B520A">
            <w:pPr>
              <w:spacing w:before="0"/>
              <w:rPr>
                <w:rFonts w:ascii="Verdana" w:hAnsi="Verdana"/>
                <w:b/>
                <w:bCs/>
                <w:sz w:val="20"/>
              </w:rPr>
            </w:pPr>
          </w:p>
        </w:tc>
      </w:tr>
      <w:tr w:rsidR="00E83D45" w:rsidTr="004B520A">
        <w:trPr>
          <w:cantSplit/>
        </w:trPr>
        <w:tc>
          <w:tcPr>
            <w:tcW w:w="6613" w:type="dxa"/>
            <w:gridSpan w:val="2"/>
          </w:tcPr>
          <w:p w:rsidR="00E83D45" w:rsidRPr="00B239FA" w:rsidRDefault="00E83D45" w:rsidP="004B520A">
            <w:pPr>
              <w:pStyle w:val="Committee"/>
              <w:framePr w:hSpace="0" w:wrap="auto" w:hAnchor="text" w:yAlign="inline"/>
            </w:pPr>
            <w:r w:rsidRPr="001E7D42">
              <w:t>SESIÓN PLENARIA</w:t>
            </w:r>
          </w:p>
        </w:tc>
        <w:tc>
          <w:tcPr>
            <w:tcW w:w="3198" w:type="dxa"/>
            <w:gridSpan w:val="2"/>
          </w:tcPr>
          <w:p w:rsidR="00E83D45" w:rsidRPr="002074EC" w:rsidRDefault="00E83D45" w:rsidP="004B520A">
            <w:pPr>
              <w:spacing w:before="0"/>
              <w:rPr>
                <w:rFonts w:ascii="Verdana" w:hAnsi="Verdana"/>
                <w:b/>
                <w:bCs/>
                <w:sz w:val="20"/>
              </w:rPr>
            </w:pPr>
            <w:r>
              <w:rPr>
                <w:rFonts w:ascii="Verdana" w:hAnsi="Verdana"/>
                <w:b/>
                <w:sz w:val="20"/>
                <w:lang w:val="en-US"/>
              </w:rPr>
              <w:t>Addéndum 2 al</w:t>
            </w:r>
            <w:r>
              <w:rPr>
                <w:rFonts w:ascii="Verdana" w:hAnsi="Verdana"/>
                <w:b/>
                <w:sz w:val="20"/>
                <w:lang w:val="en-US"/>
              </w:rPr>
              <w:br/>
              <w:t>Documento 48</w:t>
            </w:r>
            <w:r w:rsidRPr="00523269">
              <w:rPr>
                <w:rFonts w:ascii="Verdana" w:hAnsi="Verdana"/>
                <w:b/>
                <w:sz w:val="20"/>
                <w:lang w:val="en-US"/>
              </w:rPr>
              <w:t>-</w:t>
            </w:r>
            <w:r w:rsidRPr="0002785D">
              <w:rPr>
                <w:rFonts w:ascii="Verdana" w:hAnsi="Verdana"/>
                <w:b/>
                <w:sz w:val="20"/>
                <w:lang w:val="en-US"/>
              </w:rPr>
              <w:t>S</w:t>
            </w:r>
          </w:p>
        </w:tc>
      </w:tr>
      <w:tr w:rsidR="00E83D45" w:rsidTr="004B520A">
        <w:trPr>
          <w:cantSplit/>
        </w:trPr>
        <w:tc>
          <w:tcPr>
            <w:tcW w:w="6613" w:type="dxa"/>
            <w:gridSpan w:val="2"/>
          </w:tcPr>
          <w:p w:rsidR="00E83D45" w:rsidRPr="0002785D" w:rsidRDefault="00E83D45" w:rsidP="004B520A">
            <w:pPr>
              <w:spacing w:before="0" w:after="48"/>
              <w:rPr>
                <w:rFonts w:ascii="Verdana" w:hAnsi="Verdana"/>
                <w:b/>
                <w:smallCaps/>
                <w:sz w:val="20"/>
                <w:lang w:val="en-US"/>
              </w:rPr>
            </w:pPr>
          </w:p>
        </w:tc>
        <w:tc>
          <w:tcPr>
            <w:tcW w:w="3198" w:type="dxa"/>
            <w:gridSpan w:val="2"/>
          </w:tcPr>
          <w:p w:rsidR="00E83D45" w:rsidRPr="002074EC" w:rsidRDefault="00E83D45" w:rsidP="003A370C">
            <w:pPr>
              <w:spacing w:before="0"/>
              <w:rPr>
                <w:rFonts w:ascii="Verdana" w:hAnsi="Verdana"/>
                <w:b/>
                <w:bCs/>
                <w:sz w:val="20"/>
              </w:rPr>
            </w:pPr>
            <w:r w:rsidRPr="0002785D">
              <w:rPr>
                <w:rFonts w:ascii="Verdana" w:hAnsi="Verdana"/>
                <w:b/>
                <w:sz w:val="20"/>
                <w:lang w:val="en-US"/>
              </w:rPr>
              <w:t>1</w:t>
            </w:r>
            <w:r w:rsidR="003A370C">
              <w:rPr>
                <w:rFonts w:ascii="Verdana" w:hAnsi="Verdana"/>
                <w:b/>
                <w:sz w:val="20"/>
                <w:lang w:val="en-US"/>
              </w:rPr>
              <w:t>3</w:t>
            </w:r>
            <w:r w:rsidRPr="0002785D">
              <w:rPr>
                <w:rFonts w:ascii="Verdana" w:hAnsi="Verdana"/>
                <w:b/>
                <w:sz w:val="20"/>
                <w:lang w:val="en-US"/>
              </w:rPr>
              <w:t xml:space="preserve"> de </w:t>
            </w:r>
            <w:proofErr w:type="spellStart"/>
            <w:r w:rsidRPr="0002785D">
              <w:rPr>
                <w:rFonts w:ascii="Verdana" w:hAnsi="Verdana"/>
                <w:b/>
                <w:sz w:val="20"/>
                <w:lang w:val="en-US"/>
              </w:rPr>
              <w:t>septiembre</w:t>
            </w:r>
            <w:proofErr w:type="spellEnd"/>
            <w:r w:rsidRPr="0002785D">
              <w:rPr>
                <w:rFonts w:ascii="Verdana" w:hAnsi="Verdana"/>
                <w:b/>
                <w:sz w:val="20"/>
                <w:lang w:val="en-US"/>
              </w:rPr>
              <w:t xml:space="preserve"> de 2016</w:t>
            </w:r>
          </w:p>
        </w:tc>
      </w:tr>
      <w:tr w:rsidR="00E83D45" w:rsidTr="004B520A">
        <w:trPr>
          <w:cantSplit/>
        </w:trPr>
        <w:tc>
          <w:tcPr>
            <w:tcW w:w="6613" w:type="dxa"/>
            <w:gridSpan w:val="2"/>
          </w:tcPr>
          <w:p w:rsidR="00E83D45" w:rsidRDefault="00E83D45" w:rsidP="004B520A">
            <w:pPr>
              <w:spacing w:before="0"/>
            </w:pPr>
          </w:p>
        </w:tc>
        <w:tc>
          <w:tcPr>
            <w:tcW w:w="3198" w:type="dxa"/>
            <w:gridSpan w:val="2"/>
          </w:tcPr>
          <w:p w:rsidR="00E83D45" w:rsidRPr="002074EC" w:rsidRDefault="00E83D45" w:rsidP="004B520A">
            <w:pPr>
              <w:spacing w:before="0"/>
              <w:rPr>
                <w:rFonts w:ascii="Verdana" w:hAnsi="Verdana"/>
                <w:b/>
                <w:bCs/>
                <w:sz w:val="20"/>
              </w:rPr>
            </w:pPr>
            <w:r w:rsidRPr="0002785D">
              <w:rPr>
                <w:rFonts w:ascii="Verdana" w:hAnsi="Verdana"/>
                <w:b/>
                <w:sz w:val="20"/>
                <w:lang w:val="en-US"/>
              </w:rPr>
              <w:t>Original: inglés</w:t>
            </w:r>
          </w:p>
        </w:tc>
      </w:tr>
      <w:tr w:rsidR="00681766" w:rsidTr="004B520A">
        <w:trPr>
          <w:cantSplit/>
        </w:trPr>
        <w:tc>
          <w:tcPr>
            <w:tcW w:w="9811" w:type="dxa"/>
            <w:gridSpan w:val="4"/>
          </w:tcPr>
          <w:p w:rsidR="00681766" w:rsidRPr="002074EC" w:rsidRDefault="00681766" w:rsidP="004B520A">
            <w:pPr>
              <w:spacing w:before="0"/>
              <w:rPr>
                <w:rFonts w:ascii="Verdana" w:hAnsi="Verdana"/>
                <w:b/>
                <w:bCs/>
                <w:sz w:val="20"/>
              </w:rPr>
            </w:pPr>
          </w:p>
        </w:tc>
      </w:tr>
      <w:tr w:rsidR="00E83D45" w:rsidTr="004B520A">
        <w:trPr>
          <w:cantSplit/>
        </w:trPr>
        <w:tc>
          <w:tcPr>
            <w:tcW w:w="9811" w:type="dxa"/>
            <w:gridSpan w:val="4"/>
          </w:tcPr>
          <w:p w:rsidR="00E83D45" w:rsidRDefault="00E83D45" w:rsidP="004B520A">
            <w:pPr>
              <w:pStyle w:val="Source"/>
            </w:pPr>
            <w:r w:rsidRPr="0002785D">
              <w:rPr>
                <w:lang w:val="en-US"/>
              </w:rPr>
              <w:t>Estados Unidos de América</w:t>
            </w:r>
          </w:p>
        </w:tc>
      </w:tr>
      <w:tr w:rsidR="00E83D45" w:rsidRPr="003A370C" w:rsidTr="004B520A">
        <w:trPr>
          <w:cantSplit/>
        </w:trPr>
        <w:tc>
          <w:tcPr>
            <w:tcW w:w="9811" w:type="dxa"/>
            <w:gridSpan w:val="4"/>
          </w:tcPr>
          <w:p w:rsidR="00E83D45" w:rsidRPr="003A370C" w:rsidRDefault="003A370C" w:rsidP="003A370C">
            <w:pPr>
              <w:pStyle w:val="Title1"/>
            </w:pPr>
            <w:r>
              <w:rPr>
                <w:lang w:val="es-ES"/>
              </w:rPr>
              <w:t>Propuesta de supresión de la resolución 77 de la amnt-12 –</w:t>
            </w:r>
            <w:r>
              <w:t xml:space="preserve"> </w:t>
            </w:r>
            <w:r>
              <w:rPr>
                <w:lang w:val="es-ES"/>
              </w:rPr>
              <w:t xml:space="preserve">Normalización de las redes definidas por software </w:t>
            </w:r>
            <w:r>
              <w:rPr>
                <w:lang w:val="es-ES"/>
              </w:rPr>
              <w:br/>
              <w:t xml:space="preserve">en el Sector de Normalización de las </w:t>
            </w:r>
            <w:r>
              <w:rPr>
                <w:lang w:val="es-ES"/>
              </w:rPr>
              <w:br/>
              <w:t>Telecomunicaciones de la UIT</w:t>
            </w:r>
          </w:p>
        </w:tc>
      </w:tr>
      <w:tr w:rsidR="00E83D45" w:rsidRPr="003A370C" w:rsidTr="004B520A">
        <w:trPr>
          <w:cantSplit/>
        </w:trPr>
        <w:tc>
          <w:tcPr>
            <w:tcW w:w="9811" w:type="dxa"/>
            <w:gridSpan w:val="4"/>
          </w:tcPr>
          <w:p w:rsidR="00E83D45" w:rsidRPr="003A370C" w:rsidRDefault="00E83D45" w:rsidP="004B520A">
            <w:pPr>
              <w:pStyle w:val="Title2"/>
            </w:pPr>
          </w:p>
        </w:tc>
      </w:tr>
    </w:tbl>
    <w:p w:rsidR="006B0F54" w:rsidRPr="003A370C" w:rsidRDefault="006B0F54" w:rsidP="006B0F54"/>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1"/>
        <w:gridCol w:w="7828"/>
      </w:tblGrid>
      <w:tr w:rsidR="003A370C" w:rsidTr="003A370C">
        <w:tc>
          <w:tcPr>
            <w:tcW w:w="1801" w:type="dxa"/>
            <w:hideMark/>
          </w:tcPr>
          <w:p w:rsidR="003A370C" w:rsidRDefault="003A370C">
            <w:pPr>
              <w:rPr>
                <w:b/>
                <w:bCs/>
              </w:rPr>
            </w:pPr>
            <w:r>
              <w:rPr>
                <w:b/>
                <w:bCs/>
              </w:rPr>
              <w:t>Resumen:</w:t>
            </w:r>
          </w:p>
        </w:tc>
        <w:tc>
          <w:tcPr>
            <w:tcW w:w="7828" w:type="dxa"/>
            <w:hideMark/>
          </w:tcPr>
          <w:p w:rsidR="003A370C" w:rsidRDefault="003A370C">
            <w:r>
              <w:t xml:space="preserve">En el Documento </w:t>
            </w:r>
            <w:hyperlink r:id="rId12" w:history="1">
              <w:r>
                <w:rPr>
                  <w:rStyle w:val="Hyperlink"/>
                </w:rPr>
                <w:t>TD532</w:t>
              </w:r>
            </w:hyperlink>
            <w:r>
              <w:t xml:space="preserve"> del GANT, el Director de la TSB ha propuesto unas directrices para reducir el número y la extensión de las Resoluciones de la AMNT. Para apoyar este objetivo, los Estados Unidos proponen la supresión de la Resolución 77. Los avances de las labores técnicas se obtiene mejor a través de las Comisiones de Estudio creadas por la AMNT (o el GANT), los mandatos y responsabilidades de dichas Comisiones de Estudio, las Cuestiones asignadas a las Comisiones de Estudio y los temas de trabajo asignados a las Cuestiones. Deben suprimirse las Resoluciones en vigor en las que se indica que debe iniciarse una labor técnica (especialmente si se considera que dicha labor ya está en curso y está reflejada en los mandatos, Cuestiones y temas de trabajo de las Comisiones de Estudio); y las propuestas adicionales para nuevas labores deben tratarse a través de la Resolución 2 y las Cuestiones, antes que por medio de nuevas Resoluciones.</w:t>
            </w:r>
          </w:p>
        </w:tc>
      </w:tr>
    </w:tbl>
    <w:p w:rsidR="003A370C" w:rsidRDefault="00531196" w:rsidP="00531196">
      <w:pPr>
        <w:pStyle w:val="Headingb"/>
      </w:pPr>
      <w:r>
        <w:t>Propuesta</w:t>
      </w:r>
    </w:p>
    <w:p w:rsidR="003A370C" w:rsidRDefault="003A370C" w:rsidP="003A370C">
      <w:pPr>
        <w:rPr>
          <w:lang w:val="es-ES"/>
        </w:rPr>
      </w:pPr>
      <w:r>
        <w:rPr>
          <w:lang w:val="es-ES"/>
        </w:rPr>
        <w:t>Los Estados Unidos proponen la supresión de la Resolución 77, Normalización de las redes definidas por software en el Sector de Normalización de las Telecomunicaciones de la UIT. No estaba clara la necesidad de una Resolución sobre este tema, dado que las labores ya se estaban llevando a cabo: ya en el periodo de estudios 2009-2012, la CE13 del UIT-T contaba con cinco Cuestiones en cuyo título figuraban  las redes definidas por software, y numerosos temas de trabajo en curso:</w:t>
      </w:r>
    </w:p>
    <w:p w:rsidR="003A370C" w:rsidRDefault="003A370C" w:rsidP="003A370C">
      <w:pPr>
        <w:pStyle w:val="enumlev1"/>
      </w:pPr>
      <w:r>
        <w:rPr>
          <w:rFonts w:eastAsia="Malgun Gothic"/>
          <w:lang w:eastAsia="ko-KR"/>
        </w:rPr>
        <w:t>–</w:t>
      </w:r>
      <w:r>
        <w:rPr>
          <w:rFonts w:eastAsia="Malgun Gothic"/>
          <w:lang w:eastAsia="ko-KR"/>
        </w:rPr>
        <w:tab/>
        <w:t xml:space="preserve">C2/13: </w:t>
      </w:r>
      <w:r>
        <w:rPr>
          <w:lang w:eastAsia="ko-KR"/>
        </w:rPr>
        <w:t xml:space="preserve">Requisitos para la evolución de las NGN (NGN-e) y sus capacidades, incluido el soporte de Internet de las cosas (Internet of </w:t>
      </w:r>
      <w:proofErr w:type="spellStart"/>
      <w:r>
        <w:rPr>
          <w:lang w:eastAsia="ko-KR"/>
        </w:rPr>
        <w:t>Things</w:t>
      </w:r>
      <w:proofErr w:type="spellEnd"/>
      <w:r>
        <w:rPr>
          <w:lang w:eastAsia="ko-KR"/>
        </w:rPr>
        <w:t xml:space="preserve">, </w:t>
      </w:r>
      <w:proofErr w:type="spellStart"/>
      <w:r>
        <w:rPr>
          <w:lang w:eastAsia="ko-KR"/>
        </w:rPr>
        <w:t>IoT</w:t>
      </w:r>
      <w:proofErr w:type="spellEnd"/>
      <w:r>
        <w:rPr>
          <w:lang w:eastAsia="ko-KR"/>
        </w:rPr>
        <w:t xml:space="preserve">) y de la conexión en </w:t>
      </w:r>
      <w:r>
        <w:rPr>
          <w:u w:val="single"/>
          <w:lang w:eastAsia="ko-KR"/>
        </w:rPr>
        <w:t>red definida por software</w:t>
      </w:r>
      <w:r>
        <w:rPr>
          <w:lang w:eastAsia="ko-KR"/>
        </w:rPr>
        <w:t>;</w:t>
      </w:r>
    </w:p>
    <w:p w:rsidR="003A370C" w:rsidRDefault="003A370C" w:rsidP="003A370C">
      <w:pPr>
        <w:pStyle w:val="enumlev1"/>
      </w:pPr>
      <w:r>
        <w:rPr>
          <w:lang w:eastAsia="ko-KR"/>
        </w:rPr>
        <w:lastRenderedPageBreak/>
        <w:t>–</w:t>
      </w:r>
      <w:r>
        <w:rPr>
          <w:lang w:eastAsia="ko-KR"/>
        </w:rPr>
        <w:tab/>
        <w:t xml:space="preserve">C3/13: Arquitectura funcional para la evolución de las NGN (NGN-e), incluido el soporte de Internet de las cosas (Internet of </w:t>
      </w:r>
      <w:proofErr w:type="spellStart"/>
      <w:r>
        <w:rPr>
          <w:lang w:eastAsia="ko-KR"/>
        </w:rPr>
        <w:t>Things</w:t>
      </w:r>
      <w:proofErr w:type="spellEnd"/>
      <w:r>
        <w:rPr>
          <w:lang w:eastAsia="ko-KR"/>
        </w:rPr>
        <w:t xml:space="preserve">, </w:t>
      </w:r>
      <w:proofErr w:type="spellStart"/>
      <w:r>
        <w:rPr>
          <w:lang w:eastAsia="ko-KR"/>
        </w:rPr>
        <w:t>IoT</w:t>
      </w:r>
      <w:proofErr w:type="spellEnd"/>
      <w:r>
        <w:rPr>
          <w:lang w:eastAsia="ko-KR"/>
        </w:rPr>
        <w:t xml:space="preserve">) y de la conexión en </w:t>
      </w:r>
      <w:r>
        <w:rPr>
          <w:u w:val="single"/>
          <w:lang w:eastAsia="ko-KR"/>
        </w:rPr>
        <w:t>red definida por software</w:t>
      </w:r>
      <w:r>
        <w:rPr>
          <w:lang w:eastAsia="ko-KR"/>
        </w:rPr>
        <w:t>;</w:t>
      </w:r>
    </w:p>
    <w:p w:rsidR="003A370C" w:rsidRDefault="003A370C" w:rsidP="003A370C">
      <w:pPr>
        <w:pStyle w:val="enumlev1"/>
      </w:pPr>
      <w:r>
        <w:rPr>
          <w:lang w:eastAsia="ko-KR"/>
        </w:rPr>
        <w:t>–</w:t>
      </w:r>
      <w:r>
        <w:rPr>
          <w:lang w:eastAsia="ko-KR"/>
        </w:rPr>
        <w:tab/>
        <w:t xml:space="preserve">C6/13: Requisitos y mecanismos para permitir </w:t>
      </w:r>
      <w:proofErr w:type="spellStart"/>
      <w:r>
        <w:rPr>
          <w:lang w:eastAsia="ko-KR"/>
        </w:rPr>
        <w:t>QoS</w:t>
      </w:r>
      <w:proofErr w:type="spellEnd"/>
      <w:r>
        <w:rPr>
          <w:lang w:eastAsia="ko-KR"/>
        </w:rPr>
        <w:t xml:space="preserve"> de la red (incluido el soporte de la conexión en </w:t>
      </w:r>
      <w:r>
        <w:rPr>
          <w:u w:val="single"/>
          <w:lang w:eastAsia="ko-KR"/>
        </w:rPr>
        <w:t>red definida por software</w:t>
      </w:r>
      <w:r>
        <w:rPr>
          <w:lang w:eastAsia="ko-KR"/>
        </w:rPr>
        <w:t>);</w:t>
      </w:r>
    </w:p>
    <w:p w:rsidR="003A370C" w:rsidRDefault="003A370C" w:rsidP="003A370C">
      <w:pPr>
        <w:pStyle w:val="enumlev1"/>
        <w:rPr>
          <w:lang w:val="es-ES"/>
        </w:rPr>
      </w:pPr>
      <w:r>
        <w:rPr>
          <w:lang w:eastAsia="ko-KR"/>
        </w:rPr>
        <w:t>–</w:t>
      </w:r>
      <w:r>
        <w:rPr>
          <w:lang w:eastAsia="ko-KR"/>
        </w:rPr>
        <w:tab/>
        <w:t xml:space="preserve">C11/13: Evolución de redes y servicios centrados en el usuario, así como el </w:t>
      </w:r>
      <w:proofErr w:type="spellStart"/>
      <w:r>
        <w:rPr>
          <w:lang w:eastAsia="ko-KR"/>
        </w:rPr>
        <w:t>interfuncionamiento</w:t>
      </w:r>
      <w:proofErr w:type="spellEnd"/>
      <w:r>
        <w:rPr>
          <w:lang w:eastAsia="ko-KR"/>
        </w:rPr>
        <w:t xml:space="preserve"> con las redes del futuro, incluido el soporte de la conexión en red definida por software;</w:t>
      </w:r>
    </w:p>
    <w:p w:rsidR="003A370C" w:rsidRDefault="003A370C" w:rsidP="003A370C">
      <w:pPr>
        <w:pStyle w:val="enumlev1"/>
        <w:rPr>
          <w:lang w:val="es-ES"/>
        </w:rPr>
      </w:pPr>
      <w:r>
        <w:rPr>
          <w:lang w:eastAsia="ko-KR"/>
        </w:rPr>
        <w:t>–</w:t>
      </w:r>
      <w:r>
        <w:rPr>
          <w:lang w:eastAsia="ko-KR"/>
        </w:rPr>
        <w:tab/>
        <w:t xml:space="preserve">C14/13: Conexión en </w:t>
      </w:r>
      <w:r>
        <w:rPr>
          <w:u w:val="single"/>
          <w:lang w:eastAsia="ko-KR"/>
        </w:rPr>
        <w:t>red definida por software</w:t>
      </w:r>
      <w:r>
        <w:rPr>
          <w:lang w:eastAsia="ko-KR"/>
        </w:rPr>
        <w:t xml:space="preserve"> y conexión en red dependiente del servicio de las futuras redes.</w:t>
      </w:r>
    </w:p>
    <w:p w:rsidR="003A370C" w:rsidRDefault="003A370C" w:rsidP="003A370C">
      <w:pPr>
        <w:rPr>
          <w:lang w:val="es-ES"/>
        </w:rPr>
      </w:pPr>
      <w:r>
        <w:rPr>
          <w:lang w:val="es-ES"/>
        </w:rPr>
        <w:t xml:space="preserve">Aunque no quedara reflejado en los títulos de la Cuestiones, también había labores en curso en las Cuestiones 12 y 14 de la CE 15 del UIT-T sobre la aplicación de la conexión en red definida por software al transporte. </w:t>
      </w:r>
    </w:p>
    <w:p w:rsidR="003A370C" w:rsidRDefault="003A370C" w:rsidP="003A370C">
      <w:pPr>
        <w:rPr>
          <w:lang w:val="es-ES"/>
        </w:rPr>
      </w:pPr>
      <w:r>
        <w:rPr>
          <w:lang w:val="es-ES"/>
        </w:rPr>
        <w:t xml:space="preserve">De hecho, las únicas actividades que se piden en la Resolución 77 que aún no se habían iniciado en el momento de su adopción figuraban en </w:t>
      </w:r>
      <w:proofErr w:type="spellStart"/>
      <w:r>
        <w:rPr>
          <w:lang w:val="es-ES"/>
        </w:rPr>
        <w:t>el</w:t>
      </w:r>
      <w:proofErr w:type="spellEnd"/>
      <w:r>
        <w:rPr>
          <w:lang w:val="es-ES"/>
        </w:rPr>
        <w:t xml:space="preserve"> </w:t>
      </w:r>
      <w:r>
        <w:rPr>
          <w:i/>
          <w:iCs/>
          <w:lang w:val="es-ES"/>
        </w:rPr>
        <w:t>encarga</w:t>
      </w:r>
      <w:r>
        <w:rPr>
          <w:lang w:val="es-ES"/>
        </w:rPr>
        <w:t xml:space="preserve"> 2, para que el Director solicitara organizar un taller en 2013. En el UIT-T se programan periódicamente talleres sobre numerosos temas de interés técnico, y no cabe duda que esto se podría haber hecho para las SDN sin necesidad de una Resolución de la AMNT. </w:t>
      </w:r>
    </w:p>
    <w:p w:rsidR="003A370C" w:rsidRDefault="003A370C" w:rsidP="003A370C"/>
    <w:p w:rsidR="003A370C" w:rsidRDefault="003A370C" w:rsidP="003A370C">
      <w:pPr>
        <w:tabs>
          <w:tab w:val="clear" w:pos="1134"/>
          <w:tab w:val="clear" w:pos="1871"/>
          <w:tab w:val="clear" w:pos="2268"/>
        </w:tabs>
        <w:overflowPunct/>
        <w:autoSpaceDE/>
        <w:autoSpaceDN/>
        <w:adjustRightInd/>
        <w:spacing w:before="0"/>
        <w:sectPr w:rsidR="003A370C" w:rsidSect="00A15B76">
          <w:headerReference w:type="default" r:id="rId13"/>
          <w:footerReference w:type="default" r:id="rId14"/>
          <w:footerReference w:type="first" r:id="rId15"/>
          <w:pgSz w:w="11907" w:h="16834"/>
          <w:pgMar w:top="1418" w:right="1134" w:bottom="1418" w:left="1134" w:header="567" w:footer="567" w:gutter="0"/>
          <w:paperSrc w:first="15" w:other="15"/>
          <w:cols w:space="720"/>
          <w:titlePg/>
          <w:docGrid w:linePitch="326"/>
        </w:sectPr>
      </w:pPr>
    </w:p>
    <w:p w:rsidR="00E83D45" w:rsidRPr="006B59BA" w:rsidRDefault="00E83D45" w:rsidP="00E8097C">
      <w:pPr>
        <w:rPr>
          <w:lang w:val="es-ES"/>
        </w:rPr>
      </w:pPr>
    </w:p>
    <w:p w:rsidR="00DC4406" w:rsidRPr="006B59BA" w:rsidRDefault="0007469B">
      <w:pPr>
        <w:pStyle w:val="Proposal"/>
        <w:rPr>
          <w:lang w:val="es-ES"/>
        </w:rPr>
      </w:pPr>
      <w:r w:rsidRPr="006B59BA">
        <w:rPr>
          <w:lang w:val="es-ES"/>
        </w:rPr>
        <w:t>SUP</w:t>
      </w:r>
      <w:r w:rsidRPr="006B59BA">
        <w:rPr>
          <w:lang w:val="es-ES"/>
        </w:rPr>
        <w:tab/>
        <w:t>USA/48A2/1</w:t>
      </w:r>
    </w:p>
    <w:p w:rsidR="00705B93" w:rsidRPr="00477E44" w:rsidRDefault="0007469B" w:rsidP="00477E44">
      <w:pPr>
        <w:pStyle w:val="ResNo"/>
      </w:pPr>
      <w:r w:rsidRPr="00477E44">
        <w:t xml:space="preserve">RESOLUCIÓN </w:t>
      </w:r>
      <w:r w:rsidRPr="00477E44">
        <w:rPr>
          <w:rStyle w:val="href"/>
          <w:rFonts w:eastAsia="MS Mincho"/>
        </w:rPr>
        <w:t>77</w:t>
      </w:r>
      <w:r w:rsidRPr="00477E44">
        <w:t xml:space="preserve"> (Dubái, 2012)</w:t>
      </w:r>
    </w:p>
    <w:p w:rsidR="00705B93" w:rsidRPr="00BD2ACF" w:rsidRDefault="0007469B" w:rsidP="00705B93">
      <w:pPr>
        <w:pStyle w:val="Restitle"/>
        <w:rPr>
          <w:rFonts w:eastAsia="SimSun"/>
        </w:rPr>
      </w:pPr>
      <w:r w:rsidRPr="00BD2ACF">
        <w:rPr>
          <w:rFonts w:eastAsia="MS Mincho"/>
        </w:rPr>
        <w:t>N</w:t>
      </w:r>
      <w:r w:rsidRPr="00BD2ACF">
        <w:rPr>
          <w:rFonts w:eastAsia="SimSun"/>
        </w:rPr>
        <w:t xml:space="preserve">ormalización de las redes definidas por software en el Sector </w:t>
      </w:r>
      <w:r w:rsidRPr="00BD2ACF">
        <w:rPr>
          <w:rFonts w:eastAsia="SimSun"/>
        </w:rPr>
        <w:br/>
        <w:t>de Normalización de las Telecomunicaciones de la UIT</w:t>
      </w:r>
    </w:p>
    <w:p w:rsidR="00705B93" w:rsidRPr="00BD2ACF" w:rsidRDefault="0007469B" w:rsidP="00705B93">
      <w:pPr>
        <w:pStyle w:val="Resref"/>
        <w:rPr>
          <w:rFonts w:eastAsia="Malgun Gothic"/>
        </w:rPr>
      </w:pPr>
      <w:r w:rsidRPr="00BD2ACF">
        <w:rPr>
          <w:rFonts w:eastAsia="Malgun Gothic"/>
        </w:rPr>
        <w:t>(</w:t>
      </w:r>
      <w:r>
        <w:rPr>
          <w:rFonts w:eastAsia="Malgun Gothic"/>
        </w:rPr>
        <w:t>Dubái</w:t>
      </w:r>
      <w:r w:rsidRPr="00BD2ACF">
        <w:rPr>
          <w:rFonts w:eastAsia="Malgun Gothic"/>
        </w:rPr>
        <w:t>, 2012)</w:t>
      </w:r>
    </w:p>
    <w:p w:rsidR="00705B93" w:rsidRPr="004C47E1" w:rsidRDefault="0007469B" w:rsidP="00705B93">
      <w:pPr>
        <w:pStyle w:val="Normalaftertitle"/>
        <w:rPr>
          <w:rFonts w:eastAsia="Malgun Gothic"/>
        </w:rPr>
      </w:pPr>
      <w:r w:rsidRPr="004C47E1">
        <w:rPr>
          <w:rFonts w:eastAsia="Malgun Gothic"/>
        </w:rPr>
        <w:t>La Asamblea Mundial de Normalización de las Telecomunicaciones (</w:t>
      </w:r>
      <w:r>
        <w:rPr>
          <w:rFonts w:eastAsia="Malgun Gothic"/>
        </w:rPr>
        <w:t>Dubái</w:t>
      </w:r>
      <w:r w:rsidRPr="004C47E1">
        <w:rPr>
          <w:rFonts w:eastAsia="Malgun Gothic"/>
        </w:rPr>
        <w:t xml:space="preserve">, 2012), </w:t>
      </w:r>
    </w:p>
    <w:p w:rsidR="00DC4406" w:rsidRDefault="0007469B">
      <w:pPr>
        <w:pStyle w:val="Reasons"/>
        <w:rPr>
          <w:lang w:val="es-ES"/>
        </w:rPr>
      </w:pPr>
      <w:r>
        <w:rPr>
          <w:b/>
        </w:rPr>
        <w:t>Motivos:</w:t>
      </w:r>
      <w:r>
        <w:tab/>
      </w:r>
      <w:r w:rsidR="003A370C">
        <w:rPr>
          <w:lang w:val="es-ES"/>
        </w:rPr>
        <w:t xml:space="preserve">Véanse los apartados Resumen y Propuesta del presente documento. </w:t>
      </w:r>
    </w:p>
    <w:p w:rsidR="00CD1924" w:rsidRDefault="00CD1924">
      <w:pPr>
        <w:pStyle w:val="Reasons"/>
        <w:rPr>
          <w:lang w:val="es-ES"/>
        </w:rPr>
      </w:pPr>
    </w:p>
    <w:p w:rsidR="00CD1924" w:rsidRDefault="00CD1924" w:rsidP="0032202E">
      <w:pPr>
        <w:pStyle w:val="Reasons"/>
      </w:pPr>
    </w:p>
    <w:p w:rsidR="00CD1924" w:rsidRDefault="00CD1924">
      <w:pPr>
        <w:jc w:val="center"/>
      </w:pPr>
      <w:r>
        <w:t>______________</w:t>
      </w:r>
    </w:p>
    <w:p w:rsidR="00CD1924" w:rsidRDefault="00CD1924">
      <w:pPr>
        <w:pStyle w:val="Reasons"/>
      </w:pPr>
      <w:bookmarkStart w:id="0" w:name="_GoBack"/>
      <w:bookmarkEnd w:id="0"/>
    </w:p>
    <w:sectPr w:rsidR="00CD1924">
      <w:headerReference w:type="default" r:id="rId16"/>
      <w:footerReference w:type="even" r:id="rId17"/>
      <w:footerReference w:type="default" r:id="rId18"/>
      <w:headerReference w:type="first" r:id="rId19"/>
      <w:footerReference w:type="first" r:id="rId20"/>
      <w:pgSz w:w="11907" w:h="16840" w:code="9"/>
      <w:pgMar w:top="1418" w:right="1134" w:bottom="1418"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2C63" w:rsidRDefault="00F02C63">
      <w:r>
        <w:separator/>
      </w:r>
    </w:p>
  </w:endnote>
  <w:endnote w:type="continuationSeparator" w:id="0">
    <w:p w:rsidR="00F02C63" w:rsidRDefault="00F02C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G Times">
    <w:altName w:val="Times New Roman"/>
    <w:charset w:val="00"/>
    <w:family w:val="roman"/>
    <w:pitch w:val="variable"/>
    <w:sig w:usb0="00000007" w:usb1="00000000" w:usb2="00000000" w:usb3="00000000" w:csb0="00000093" w:csb1="00000000"/>
  </w:font>
  <w:font w:name="Malgun Gothic">
    <w:panose1 w:val="020B0503020000020004"/>
    <w:charset w:val="81"/>
    <w:family w:val="swiss"/>
    <w:pitch w:val="variable"/>
    <w:sig w:usb0="900002AF" w:usb1="09D77CFB" w:usb2="00000012" w:usb3="00000000" w:csb0="00080001"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5B76" w:rsidRPr="006B59BA" w:rsidRDefault="006B59BA" w:rsidP="006B59BA">
    <w:pPr>
      <w:pStyle w:val="Footer"/>
      <w:rPr>
        <w:lang w:val="fr-CH"/>
      </w:rPr>
    </w:pPr>
    <w:r w:rsidRPr="006B59BA">
      <w:rPr>
        <w:lang w:val="fr-CH"/>
      </w:rPr>
      <w:t>ITU-T\CONF-T\WTSA16\000\048ADD2S.DOC</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5B76" w:rsidRPr="006B59BA" w:rsidRDefault="006B59BA" w:rsidP="006B59BA">
    <w:pPr>
      <w:pStyle w:val="Footer"/>
      <w:rPr>
        <w:lang w:val="fr-CH"/>
      </w:rPr>
    </w:pPr>
    <w:r w:rsidRPr="006B59BA">
      <w:rPr>
        <w:lang w:val="fr-CH"/>
      </w:rPr>
      <w:t>ITU-T\CONF-T\WTSA16\000\048ADD2</w:t>
    </w:r>
    <w:r>
      <w:rPr>
        <w:lang w:val="fr-CH"/>
      </w:rPr>
      <w:t>S</w:t>
    </w:r>
    <w:r w:rsidRPr="006B59BA">
      <w:rPr>
        <w:lang w:val="fr-CH"/>
      </w:rPr>
      <w:t>.DOC</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084A" w:rsidRDefault="0077084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77084A" w:rsidRPr="006E0078" w:rsidRDefault="0077084A">
    <w:pPr>
      <w:ind w:right="360"/>
      <w:rPr>
        <w:lang w:val="fr-CH"/>
      </w:rPr>
    </w:pPr>
    <w:r>
      <w:fldChar w:fldCharType="begin"/>
    </w:r>
    <w:r w:rsidRPr="006E0078">
      <w:rPr>
        <w:lang w:val="fr-CH"/>
      </w:rPr>
      <w:instrText xml:space="preserve"> FILENAME \p  \* MERGEFORMAT </w:instrText>
    </w:r>
    <w:r>
      <w:fldChar w:fldCharType="separate"/>
    </w:r>
    <w:r w:rsidR="00734034">
      <w:rPr>
        <w:noProof/>
        <w:lang w:val="fr-CH"/>
      </w:rPr>
      <w:t>P:\ESP\ITU-T\CONF-T\WTSA16\395105S.docx</w:t>
    </w:r>
    <w:r>
      <w:fldChar w:fldCharType="end"/>
    </w:r>
    <w:r w:rsidRPr="006E0078">
      <w:rPr>
        <w:lang w:val="fr-CH"/>
      </w:rPr>
      <w:tab/>
    </w:r>
    <w:r>
      <w:fldChar w:fldCharType="begin"/>
    </w:r>
    <w:r>
      <w:instrText xml:space="preserve"> SAVEDATE \@ DD.MM.YY </w:instrText>
    </w:r>
    <w:r>
      <w:fldChar w:fldCharType="separate"/>
    </w:r>
    <w:r w:rsidR="006B59BA">
      <w:rPr>
        <w:noProof/>
      </w:rPr>
      <w:t>15.09.16</w:t>
    </w:r>
    <w:r>
      <w:fldChar w:fldCharType="end"/>
    </w:r>
    <w:r w:rsidRPr="006E0078">
      <w:rPr>
        <w:lang w:val="fr-CH"/>
      </w:rPr>
      <w:tab/>
    </w:r>
    <w:r>
      <w:fldChar w:fldCharType="begin"/>
    </w:r>
    <w:r>
      <w:instrText xml:space="preserve"> PRINTDATE \@ DD.MM.YY </w:instrText>
    </w:r>
    <w:r>
      <w:fldChar w:fldCharType="separate"/>
    </w:r>
    <w:r w:rsidR="00734034">
      <w:rPr>
        <w:noProof/>
      </w:rPr>
      <w:t>08.03.16</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084A" w:rsidRPr="00FC3528" w:rsidRDefault="0077084A" w:rsidP="00FC3528">
    <w:pPr>
      <w:pStyle w:val="Footer"/>
      <w:ind w:right="360"/>
      <w:rPr>
        <w:lang w:val="en-GB"/>
      </w:rPr>
    </w:pPr>
    <w:r>
      <w:fldChar w:fldCharType="begin"/>
    </w:r>
    <w:r w:rsidRPr="00FC3528">
      <w:rPr>
        <w:lang w:val="en-GB"/>
      </w:rPr>
      <w:instrText xml:space="preserve"> FILENAME \p  \* MERGEFORMAT </w:instrText>
    </w:r>
    <w:r>
      <w:fldChar w:fldCharType="separate"/>
    </w:r>
    <w:r w:rsidR="004C3A5A" w:rsidRPr="00FC3528">
      <w:rPr>
        <w:lang w:val="en-GB"/>
      </w:rPr>
      <w:t>E:\Dropbox\ProposalSharing\WTSA-16\Template\WTSA16-S.docx</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5B76" w:rsidRPr="006B59BA" w:rsidRDefault="006B59BA" w:rsidP="006B59BA">
    <w:pPr>
      <w:pStyle w:val="Footer"/>
      <w:rPr>
        <w:lang w:val="fr-CH"/>
      </w:rPr>
    </w:pPr>
    <w:r w:rsidRPr="006B59BA">
      <w:rPr>
        <w:lang w:val="fr-CH"/>
      </w:rPr>
      <w:t>ITU-T\CONF-T\WTSA16\000\048ADD2S.DOC</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2C63" w:rsidRDefault="00F02C63">
      <w:r>
        <w:rPr>
          <w:b/>
        </w:rPr>
        <w:t>_______________</w:t>
      </w:r>
    </w:p>
  </w:footnote>
  <w:footnote w:type="continuationSeparator" w:id="0">
    <w:p w:rsidR="00F02C63" w:rsidRDefault="00F02C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4804" w:rsidRDefault="00D14804" w:rsidP="00D14804">
    <w:pPr>
      <w:pStyle w:val="Header"/>
      <w:rPr>
        <w:lang w:val="en-GB"/>
      </w:rPr>
    </w:pPr>
    <w:r>
      <w:fldChar w:fldCharType="begin"/>
    </w:r>
    <w:r w:rsidRPr="00D14804">
      <w:rPr>
        <w:lang w:val="en-GB"/>
      </w:rPr>
      <w:instrText xml:space="preserve"> PAGE </w:instrText>
    </w:r>
    <w:r>
      <w:fldChar w:fldCharType="separate"/>
    </w:r>
    <w:r w:rsidR="006B59BA">
      <w:rPr>
        <w:noProof/>
        <w:lang w:val="en-GB"/>
      </w:rPr>
      <w:t>2</w:t>
    </w:r>
    <w:r>
      <w:rPr>
        <w:noProof/>
      </w:rPr>
      <w:fldChar w:fldCharType="end"/>
    </w:r>
  </w:p>
  <w:p w:rsidR="00D14804" w:rsidRPr="00D14804" w:rsidRDefault="00D14804" w:rsidP="00D14804">
    <w:pPr>
      <w:pStyle w:val="Header"/>
      <w:rPr>
        <w:lang w:val="en-GB"/>
      </w:rPr>
    </w:pPr>
    <w:r w:rsidRPr="00D14804">
      <w:rPr>
        <w:lang w:val="en-GB"/>
      </w:rPr>
      <w:t>AMNT-16/48(Add.2)-S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5" w:rsidRDefault="00E83D45" w:rsidP="00E83D45">
    <w:pPr>
      <w:pStyle w:val="Header"/>
    </w:pPr>
    <w:r>
      <w:fldChar w:fldCharType="begin"/>
    </w:r>
    <w:r>
      <w:instrText xml:space="preserve"> PAGE  \* MERGEFORMAT </w:instrText>
    </w:r>
    <w:r>
      <w:fldChar w:fldCharType="separate"/>
    </w:r>
    <w:r w:rsidR="003A370C">
      <w:rPr>
        <w:noProof/>
      </w:rPr>
      <w:t>4</w:t>
    </w:r>
    <w:r>
      <w:fldChar w:fldCharType="end"/>
    </w:r>
  </w:p>
  <w:p w:rsidR="00E83D45" w:rsidRPr="00C72D5C" w:rsidRDefault="00566BEE" w:rsidP="00E83D45">
    <w:pPr>
      <w:pStyle w:val="Header"/>
    </w:pPr>
    <w:r>
      <w:t>AMNT</w:t>
    </w:r>
    <w:r w:rsidR="00E83D45">
      <w:t>16/48(Add.2)-</w:t>
    </w:r>
    <w:r w:rsidR="00E83D45" w:rsidRPr="004A26C4">
      <w:t>S</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5B76" w:rsidRDefault="00A15B76" w:rsidP="00A15B76">
    <w:pPr>
      <w:pStyle w:val="Header"/>
    </w:pPr>
    <w:r>
      <w:fldChar w:fldCharType="begin"/>
    </w:r>
    <w:r>
      <w:instrText xml:space="preserve"> PAGE  \* MERGEFORMAT </w:instrText>
    </w:r>
    <w:r>
      <w:fldChar w:fldCharType="separate"/>
    </w:r>
    <w:r w:rsidR="006B59BA">
      <w:rPr>
        <w:noProof/>
      </w:rPr>
      <w:t>3</w:t>
    </w:r>
    <w:r>
      <w:fldChar w:fldCharType="end"/>
    </w:r>
  </w:p>
  <w:p w:rsidR="00A15B76" w:rsidRDefault="00A15B76" w:rsidP="00A15B76">
    <w:pPr>
      <w:pStyle w:val="Header"/>
    </w:pPr>
    <w:r>
      <w:t>AMNT16/48(Add.2)-S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0E66C6D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C70E95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31EE9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76A9A6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9E4AFA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66290A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424007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F7E808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2CD5F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F4F08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152D15D3"/>
    <w:multiLevelType w:val="hybridMultilevel"/>
    <w:tmpl w:val="0060D946"/>
    <w:lvl w:ilvl="0" w:tplc="0AE8E3C2">
      <w:start w:val="1"/>
      <w:numFmt w:val="bullet"/>
      <w:lvlText w:val="–"/>
      <w:lvlJc w:val="left"/>
      <w:pPr>
        <w:ind w:left="363" w:hanging="363"/>
      </w:pPr>
      <w:rPr>
        <w:rFonts w:ascii="Times New Roman" w:hAnsi="Times New Roman" w:cs="Times New Roman" w:hint="default"/>
      </w:rPr>
    </w:lvl>
    <w:lvl w:ilvl="1" w:tplc="04090003">
      <w:start w:val="1"/>
      <w:numFmt w:val="bullet"/>
      <w:lvlText w:val="o"/>
      <w:lvlJc w:val="left"/>
      <w:pPr>
        <w:ind w:left="1083" w:hanging="360"/>
      </w:pPr>
      <w:rPr>
        <w:rFonts w:ascii="Courier New" w:hAnsi="Courier New" w:cs="Courier New" w:hint="default"/>
      </w:rPr>
    </w:lvl>
    <w:lvl w:ilvl="2" w:tplc="04090005">
      <w:start w:val="1"/>
      <w:numFmt w:val="bullet"/>
      <w:lvlText w:val=""/>
      <w:lvlJc w:val="left"/>
      <w:pPr>
        <w:ind w:left="1803" w:hanging="360"/>
      </w:pPr>
      <w:rPr>
        <w:rFonts w:ascii="Wingdings" w:hAnsi="Wingdings" w:hint="default"/>
      </w:rPr>
    </w:lvl>
    <w:lvl w:ilvl="3" w:tplc="04090001">
      <w:start w:val="1"/>
      <w:numFmt w:val="bullet"/>
      <w:lvlText w:val=""/>
      <w:lvlJc w:val="left"/>
      <w:pPr>
        <w:ind w:left="2523" w:hanging="360"/>
      </w:pPr>
      <w:rPr>
        <w:rFonts w:ascii="Symbol" w:hAnsi="Symbol" w:hint="default"/>
      </w:rPr>
    </w:lvl>
    <w:lvl w:ilvl="4" w:tplc="04090003">
      <w:start w:val="1"/>
      <w:numFmt w:val="bullet"/>
      <w:lvlText w:val="o"/>
      <w:lvlJc w:val="left"/>
      <w:pPr>
        <w:ind w:left="3243" w:hanging="360"/>
      </w:pPr>
      <w:rPr>
        <w:rFonts w:ascii="Courier New" w:hAnsi="Courier New" w:cs="Courier New" w:hint="default"/>
      </w:rPr>
    </w:lvl>
    <w:lvl w:ilvl="5" w:tplc="04090005">
      <w:start w:val="1"/>
      <w:numFmt w:val="bullet"/>
      <w:lvlText w:val=""/>
      <w:lvlJc w:val="left"/>
      <w:pPr>
        <w:ind w:left="3963" w:hanging="360"/>
      </w:pPr>
      <w:rPr>
        <w:rFonts w:ascii="Wingdings" w:hAnsi="Wingdings" w:hint="default"/>
      </w:rPr>
    </w:lvl>
    <w:lvl w:ilvl="6" w:tplc="04090001">
      <w:start w:val="1"/>
      <w:numFmt w:val="bullet"/>
      <w:lvlText w:val=""/>
      <w:lvlJc w:val="left"/>
      <w:pPr>
        <w:ind w:left="4683" w:hanging="360"/>
      </w:pPr>
      <w:rPr>
        <w:rFonts w:ascii="Symbol" w:hAnsi="Symbol" w:hint="default"/>
      </w:rPr>
    </w:lvl>
    <w:lvl w:ilvl="7" w:tplc="04090003">
      <w:start w:val="1"/>
      <w:numFmt w:val="bullet"/>
      <w:lvlText w:val="o"/>
      <w:lvlJc w:val="left"/>
      <w:pPr>
        <w:ind w:left="5403" w:hanging="360"/>
      </w:pPr>
      <w:rPr>
        <w:rFonts w:ascii="Courier New" w:hAnsi="Courier New" w:cs="Courier New" w:hint="default"/>
      </w:rPr>
    </w:lvl>
    <w:lvl w:ilvl="8" w:tplc="04090005">
      <w:start w:val="1"/>
      <w:numFmt w:val="bullet"/>
      <w:lvlText w:val=""/>
      <w:lvlJc w:val="left"/>
      <w:pPr>
        <w:ind w:left="6123" w:hanging="360"/>
      </w:pPr>
      <w:rPr>
        <w:rFonts w:ascii="Wingdings" w:hAnsi="Wingdings" w:hint="default"/>
      </w:r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isplayBackgroundShape/>
  <w:printFractionalCharacterWidth/>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017B"/>
    <w:rsid w:val="000121A4"/>
    <w:rsid w:val="00023137"/>
    <w:rsid w:val="0002785D"/>
    <w:rsid w:val="00057296"/>
    <w:rsid w:val="0007469B"/>
    <w:rsid w:val="00087AE8"/>
    <w:rsid w:val="000A5B9A"/>
    <w:rsid w:val="000C7758"/>
    <w:rsid w:val="000E5BF9"/>
    <w:rsid w:val="000E5EE9"/>
    <w:rsid w:val="000F0E6D"/>
    <w:rsid w:val="00120191"/>
    <w:rsid w:val="00121170"/>
    <w:rsid w:val="00123CC5"/>
    <w:rsid w:val="0015142D"/>
    <w:rsid w:val="001616DC"/>
    <w:rsid w:val="00163962"/>
    <w:rsid w:val="00191A97"/>
    <w:rsid w:val="00192E38"/>
    <w:rsid w:val="001A083F"/>
    <w:rsid w:val="001C41FA"/>
    <w:rsid w:val="001D380F"/>
    <w:rsid w:val="001E2B52"/>
    <w:rsid w:val="001E3F27"/>
    <w:rsid w:val="001F20F0"/>
    <w:rsid w:val="0021371A"/>
    <w:rsid w:val="002337D9"/>
    <w:rsid w:val="00236D2A"/>
    <w:rsid w:val="00255F12"/>
    <w:rsid w:val="00262C09"/>
    <w:rsid w:val="00263815"/>
    <w:rsid w:val="0028017B"/>
    <w:rsid w:val="00286495"/>
    <w:rsid w:val="002A791F"/>
    <w:rsid w:val="002C1B26"/>
    <w:rsid w:val="002C79B8"/>
    <w:rsid w:val="002E701F"/>
    <w:rsid w:val="003237B0"/>
    <w:rsid w:val="003248A9"/>
    <w:rsid w:val="00324FFA"/>
    <w:rsid w:val="0032680B"/>
    <w:rsid w:val="00363A65"/>
    <w:rsid w:val="00377EC9"/>
    <w:rsid w:val="003A370C"/>
    <w:rsid w:val="003B1E8C"/>
    <w:rsid w:val="003C2508"/>
    <w:rsid w:val="003D0AA3"/>
    <w:rsid w:val="004104AC"/>
    <w:rsid w:val="00454553"/>
    <w:rsid w:val="00476FB2"/>
    <w:rsid w:val="00492684"/>
    <w:rsid w:val="004A1968"/>
    <w:rsid w:val="004B124A"/>
    <w:rsid w:val="004B520A"/>
    <w:rsid w:val="004C3636"/>
    <w:rsid w:val="004C3A5A"/>
    <w:rsid w:val="00523269"/>
    <w:rsid w:val="00531196"/>
    <w:rsid w:val="00532097"/>
    <w:rsid w:val="00566BEE"/>
    <w:rsid w:val="0058350F"/>
    <w:rsid w:val="005A374D"/>
    <w:rsid w:val="005E782D"/>
    <w:rsid w:val="005F2605"/>
    <w:rsid w:val="00662039"/>
    <w:rsid w:val="00662BA0"/>
    <w:rsid w:val="00681766"/>
    <w:rsid w:val="00692AAE"/>
    <w:rsid w:val="006B0F54"/>
    <w:rsid w:val="006B59BA"/>
    <w:rsid w:val="006D6E67"/>
    <w:rsid w:val="006E0078"/>
    <w:rsid w:val="006E1A13"/>
    <w:rsid w:val="006E76B9"/>
    <w:rsid w:val="00701C20"/>
    <w:rsid w:val="00702F3D"/>
    <w:rsid w:val="0070518E"/>
    <w:rsid w:val="00734034"/>
    <w:rsid w:val="007354E9"/>
    <w:rsid w:val="00765578"/>
    <w:rsid w:val="0077084A"/>
    <w:rsid w:val="00786250"/>
    <w:rsid w:val="00790506"/>
    <w:rsid w:val="007952C7"/>
    <w:rsid w:val="007C2317"/>
    <w:rsid w:val="007C39FA"/>
    <w:rsid w:val="007D330A"/>
    <w:rsid w:val="007E667F"/>
    <w:rsid w:val="00866AE6"/>
    <w:rsid w:val="00866BBD"/>
    <w:rsid w:val="00873B75"/>
    <w:rsid w:val="008750A8"/>
    <w:rsid w:val="008E35DA"/>
    <w:rsid w:val="008E4453"/>
    <w:rsid w:val="0090121B"/>
    <w:rsid w:val="009144C9"/>
    <w:rsid w:val="00916196"/>
    <w:rsid w:val="0094091F"/>
    <w:rsid w:val="00973754"/>
    <w:rsid w:val="0097673E"/>
    <w:rsid w:val="00990278"/>
    <w:rsid w:val="009A137D"/>
    <w:rsid w:val="009C0BED"/>
    <w:rsid w:val="009E11EC"/>
    <w:rsid w:val="009F6A67"/>
    <w:rsid w:val="00A118DB"/>
    <w:rsid w:val="00A15B76"/>
    <w:rsid w:val="00A24AC0"/>
    <w:rsid w:val="00A4450C"/>
    <w:rsid w:val="00AA5E6C"/>
    <w:rsid w:val="00AB4E90"/>
    <w:rsid w:val="00AE5677"/>
    <w:rsid w:val="00AE658F"/>
    <w:rsid w:val="00AF2F78"/>
    <w:rsid w:val="00B07178"/>
    <w:rsid w:val="00B1727C"/>
    <w:rsid w:val="00B173B3"/>
    <w:rsid w:val="00B257B2"/>
    <w:rsid w:val="00B51263"/>
    <w:rsid w:val="00B52D55"/>
    <w:rsid w:val="00B61807"/>
    <w:rsid w:val="00B627DD"/>
    <w:rsid w:val="00B75455"/>
    <w:rsid w:val="00B8288C"/>
    <w:rsid w:val="00BD5FE4"/>
    <w:rsid w:val="00BE2E80"/>
    <w:rsid w:val="00BE5EDD"/>
    <w:rsid w:val="00BE6A1F"/>
    <w:rsid w:val="00C126C4"/>
    <w:rsid w:val="00C614DC"/>
    <w:rsid w:val="00C63EB5"/>
    <w:rsid w:val="00C858D0"/>
    <w:rsid w:val="00CA1F40"/>
    <w:rsid w:val="00CB35C9"/>
    <w:rsid w:val="00CC01E0"/>
    <w:rsid w:val="00CD1924"/>
    <w:rsid w:val="00CD5FEE"/>
    <w:rsid w:val="00CD663E"/>
    <w:rsid w:val="00CE60D2"/>
    <w:rsid w:val="00D0288A"/>
    <w:rsid w:val="00D14804"/>
    <w:rsid w:val="00D56781"/>
    <w:rsid w:val="00D72A5D"/>
    <w:rsid w:val="00DC4406"/>
    <w:rsid w:val="00DC629B"/>
    <w:rsid w:val="00E05BFF"/>
    <w:rsid w:val="00E21778"/>
    <w:rsid w:val="00E262F1"/>
    <w:rsid w:val="00E32BEE"/>
    <w:rsid w:val="00E47B44"/>
    <w:rsid w:val="00E71D14"/>
    <w:rsid w:val="00E8097C"/>
    <w:rsid w:val="00E83D45"/>
    <w:rsid w:val="00E94A4A"/>
    <w:rsid w:val="00EE1779"/>
    <w:rsid w:val="00EF0D6D"/>
    <w:rsid w:val="00F0220A"/>
    <w:rsid w:val="00F02C63"/>
    <w:rsid w:val="00F247BB"/>
    <w:rsid w:val="00F26F4E"/>
    <w:rsid w:val="00F54E0E"/>
    <w:rsid w:val="00F606A0"/>
    <w:rsid w:val="00F62AB3"/>
    <w:rsid w:val="00F63177"/>
    <w:rsid w:val="00F66597"/>
    <w:rsid w:val="00F7212F"/>
    <w:rsid w:val="00F8150C"/>
    <w:rsid w:val="00FC3528"/>
    <w:rsid w:val="00FD5C8C"/>
    <w:rsid w:val="00FE161E"/>
    <w:rsid w:val="00FE4574"/>
    <w:rsid w:val="00FF0475"/>
    <w:rsid w:val="00FF40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3F27"/>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pPr>
      <w:keepNext/>
      <w:keepLines/>
      <w:spacing w:before="160"/>
      <w:ind w:left="113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pPr>
      <w:tabs>
        <w:tab w:val="clear" w:pos="2268"/>
        <w:tab w:val="left" w:pos="2608"/>
        <w:tab w:val="left" w:pos="3345"/>
      </w:tabs>
      <w:spacing w:before="80"/>
      <w:ind w:left="1134" w:hanging="1134"/>
    </w:pPr>
  </w:style>
  <w:style w:type="paragraph" w:customStyle="1" w:styleId="enumlev2">
    <w:name w:val="enumlev2"/>
    <w:basedOn w:val="enumlev1"/>
    <w:pPr>
      <w:ind w:left="1871" w:hanging="737"/>
    </w:pPr>
  </w:style>
  <w:style w:type="paragraph" w:customStyle="1" w:styleId="enumlev3">
    <w:name w:val="enumlev3"/>
    <w:basedOn w:val="enumlev2"/>
    <w:pPr>
      <w:ind w:left="2268" w:hanging="397"/>
    </w:pPr>
  </w:style>
  <w:style w:type="paragraph" w:customStyle="1" w:styleId="Equation">
    <w:name w:val="Equation"/>
    <w:basedOn w:val="Normal"/>
    <w:pPr>
      <w:tabs>
        <w:tab w:val="clear" w:pos="1871"/>
        <w:tab w:val="clear" w:pos="2268"/>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clear" w:pos="1134"/>
        <w:tab w:val="clear" w:pos="2268"/>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Pr>
      <w:position w:val="6"/>
      <w:sz w:val="18"/>
    </w:rPr>
  </w:style>
  <w:style w:type="paragraph" w:styleId="FootnoteText">
    <w:name w:val="footnote text"/>
    <w:basedOn w:val="Normal"/>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Normal"/>
    <w:next w:val="Normal"/>
    <w:link w:val="ResNoChar"/>
    <w:rsid w:val="00E8097C"/>
    <w:pPr>
      <w:spacing w:before="480"/>
      <w:jc w:val="center"/>
    </w:pPr>
    <w:rPr>
      <w:caps/>
      <w:sz w:val="28"/>
    </w:rPr>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qFormat/>
    <w:pPr>
      <w:tabs>
        <w:tab w:val="clear" w:pos="1871"/>
        <w:tab w:val="clear" w:pos="2268"/>
        <w:tab w:val="left" w:pos="1588"/>
        <w:tab w:val="left" w:pos="1985"/>
      </w:tabs>
    </w:pPr>
  </w:style>
  <w:style w:type="paragraph" w:customStyle="1" w:styleId="Proposal">
    <w:name w:val="Proposal"/>
    <w:basedOn w:val="Normal"/>
    <w:next w:val="Normal"/>
    <w:rsid w:val="00B51263"/>
    <w:pPr>
      <w:keepNext/>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lear" w:pos="1134"/>
        <w:tab w:val="clear" w:pos="1871"/>
        <w:tab w:val="clear" w:pos="2268"/>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clear" w:pos="1134"/>
        <w:tab w:val="clear" w:pos="1871"/>
        <w:tab w:val="clear" w:pos="2268"/>
        <w:tab w:val="right" w:pos="9781"/>
      </w:tabs>
    </w:pPr>
    <w:rPr>
      <w:b/>
    </w:rPr>
  </w:style>
  <w:style w:type="paragraph" w:styleId="TOC1">
    <w:name w:val="toc 1"/>
    <w:basedOn w:val="Normal"/>
    <w:rsid w:val="00F8150C"/>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B75455"/>
    <w:pPr>
      <w:keepNext/>
      <w:keepLines/>
      <w:spacing w:before="480"/>
      <w:jc w:val="center"/>
    </w:pPr>
    <w:rPr>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character" w:customStyle="1" w:styleId="href">
    <w:name w:val="href"/>
    <w:basedOn w:val="DefaultParagraphFont"/>
    <w:uiPriority w:val="99"/>
    <w:rsid w:val="00705B93"/>
  </w:style>
  <w:style w:type="character" w:styleId="Hyperlink">
    <w:name w:val="Hyperlink"/>
    <w:basedOn w:val="DefaultParagraphFont"/>
    <w:semiHidden/>
    <w:unhideWhenUsed/>
    <w:rsid w:val="003A370C"/>
    <w:rPr>
      <w:color w:val="0000FF"/>
      <w:u w:val="single"/>
    </w:rPr>
  </w:style>
  <w:style w:type="table" w:styleId="TableGrid">
    <w:name w:val="Table Grid"/>
    <w:basedOn w:val="TableNormal"/>
    <w:rsid w:val="003A370C"/>
    <w:rPr>
      <w:rFonts w:ascii="CG Times" w:hAnsi="CG Time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8163618">
      <w:bodyDiv w:val="1"/>
      <w:marLeft w:val="0"/>
      <w:marRight w:val="0"/>
      <w:marTop w:val="0"/>
      <w:marBottom w:val="0"/>
      <w:divBdr>
        <w:top w:val="none" w:sz="0" w:space="0" w:color="auto"/>
        <w:left w:val="none" w:sz="0" w:space="0" w:color="auto"/>
        <w:bottom w:val="none" w:sz="0" w:space="0" w:color="auto"/>
        <w:right w:val="none" w:sz="0" w:space="0" w:color="auto"/>
      </w:divBdr>
    </w:div>
    <w:div w:id="1448697572">
      <w:bodyDiv w:val="1"/>
      <w:marLeft w:val="0"/>
      <w:marRight w:val="0"/>
      <w:marTop w:val="0"/>
      <w:marBottom w:val="0"/>
      <w:divBdr>
        <w:top w:val="none" w:sz="0" w:space="0" w:color="auto"/>
        <w:left w:val="none" w:sz="0" w:space="0" w:color="auto"/>
        <w:bottom w:val="none" w:sz="0" w:space="0" w:color="auto"/>
        <w:right w:val="none" w:sz="0" w:space="0" w:color="auto"/>
      </w:divBdr>
    </w:div>
    <w:div w:id="1822187125">
      <w:bodyDiv w:val="1"/>
      <w:marLeft w:val="0"/>
      <w:marRight w:val="0"/>
      <w:marTop w:val="0"/>
      <w:marBottom w:val="0"/>
      <w:divBdr>
        <w:top w:val="none" w:sz="0" w:space="0" w:color="auto"/>
        <w:left w:val="none" w:sz="0" w:space="0" w:color="auto"/>
        <w:bottom w:val="none" w:sz="0" w:space="0" w:color="auto"/>
        <w:right w:val="none" w:sz="0" w:space="0" w:color="auto"/>
      </w:divBdr>
    </w:div>
    <w:div w:id="1899121009">
      <w:bodyDiv w:val="1"/>
      <w:marLeft w:val="0"/>
      <w:marRight w:val="0"/>
      <w:marTop w:val="0"/>
      <w:marBottom w:val="0"/>
      <w:divBdr>
        <w:top w:val="none" w:sz="0" w:space="0" w:color="auto"/>
        <w:left w:val="none" w:sz="0" w:space="0" w:color="auto"/>
        <w:bottom w:val="none" w:sz="0" w:space="0" w:color="auto"/>
        <w:right w:val="none" w:sz="0" w:space="0" w:color="auto"/>
      </w:divBdr>
    </w:div>
    <w:div w:id="199865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www.itu.int/md/meetingdoc.asp?lang=en&amp;parent=T13-TSAG-160718-TD-GEN-0532"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header" Target="head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5f270924-0423-49f7-a220-e9589fb2bf10">Documents Proposals Manager (DPM)</DPM_x0020_Author>
    <DPM_x0020_File_x0020_name xmlns="5f270924-0423-49f7-a220-e9589fb2bf10">T13-WTSA.16-C-0048!A2!MSW-S</DPM_x0020_File_x0020_name>
    <DPM_x0020_Version xmlns="5f270924-0423-49f7-a220-e9589fb2bf10">DPM_v2016.9.14.1_prod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5f270924-0423-49f7-a220-e9589fb2bf10" targetNamespace="http://schemas.microsoft.com/office/2006/metadata/properties" ma:root="true" ma:fieldsID="d41af5c836d734370eb92e7ee5f83852" ns2:_="" ns3:_="">
    <xsd:import namespace="996b2e75-67fd-4955-a3b0-5ab9934cb50b"/>
    <xsd:import namespace="5f270924-0423-49f7-a220-e9589fb2bf10"/>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5f270924-0423-49f7-a220-e9589fb2bf10"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3D58E2-EC10-4DC5-9074-AF807B63C28A}">
  <ds:schemaRefs>
    <ds:schemaRef ds:uri="http://purl.org/dc/terms/"/>
    <ds:schemaRef ds:uri="http://schemas.microsoft.com/office/2006/metadata/properties"/>
    <ds:schemaRef ds:uri="http://schemas.microsoft.com/office/2006/documentManagement/types"/>
    <ds:schemaRef ds:uri="http://schemas.openxmlformats.org/package/2006/metadata/core-properties"/>
    <ds:schemaRef ds:uri="http://purl.org/dc/elements/1.1/"/>
    <ds:schemaRef ds:uri="http://schemas.microsoft.com/office/infopath/2007/PartnerControls"/>
    <ds:schemaRef ds:uri="http://purl.org/dc/dcmitype/"/>
    <ds:schemaRef ds:uri="5f270924-0423-49f7-a220-e9589fb2bf10"/>
    <ds:schemaRef ds:uri="996b2e75-67fd-4955-a3b0-5ab9934cb50b"/>
    <ds:schemaRef ds:uri="http://www.w3.org/XML/1998/namespace"/>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5f270924-0423-49f7-a220-e9589fb2bf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BFB276F-3E0B-4A09-BAE9-D455E9C9DB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599</Words>
  <Characters>3170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T13-WTSA.16-C-0048!A2!MSW-S</vt:lpstr>
    </vt:vector>
  </TitlesOfParts>
  <Manager>Secretaría General - Pool</Manager>
  <Company>International Telecommunication Union (ITU)</Company>
  <LinksUpToDate>false</LinksUpToDate>
  <CharactersWithSpaces>3762</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T13-WTSA.16-C-0048!A2!MSW-S</dc:title>
  <dc:subject>World Telecommunication Standardization Assembly</dc:subject>
  <dc:creator>Documents Proposals Manager (DPM)</dc:creator>
  <cp:keywords>DPM_v2016.9.14.1_prod</cp:keywords>
  <dc:description>Template used by DPM and CPI for the WTSA-16</dc:description>
  <cp:lastModifiedBy>Clark, Robert</cp:lastModifiedBy>
  <cp:revision>9</cp:revision>
  <cp:lastPrinted>2016-03-08T15:23:00Z</cp:lastPrinted>
  <dcterms:created xsi:type="dcterms:W3CDTF">2016-09-15T14:20:00Z</dcterms:created>
  <dcterms:modified xsi:type="dcterms:W3CDTF">2016-09-21T08:52:00Z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