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754274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754274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754274">
            <w:pPr>
              <w:spacing w:before="0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754274">
            <w:pPr>
              <w:spacing w:before="0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754274">
            <w:pPr>
              <w:spacing w:before="0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754274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754274">
            <w:pPr>
              <w:spacing w:before="0" w:line="26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754274">
            <w:pPr>
              <w:spacing w:before="0" w:line="26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754274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E83E7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BD6EF3" w:rsidRDefault="0022345D" w:rsidP="00CA12B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7331F2">
              <w:rPr>
                <w:rFonts w:ascii="Times New Roman" w:eastAsia="SimSun" w:hAnsi="Times New Roman"/>
                <w:rtl/>
              </w:rPr>
              <w:t>الإضافة</w:t>
            </w:r>
            <w:r w:rsidR="00FA705E">
              <w:rPr>
                <w:rFonts w:ascii="Times New Roman" w:eastAsia="SimSun" w:hAnsi="Times New Roman" w:hint="cs"/>
                <w:rtl/>
              </w:rPr>
              <w:t xml:space="preserve"> </w:t>
            </w:r>
            <w:r>
              <w:t>2</w:t>
            </w:r>
            <w:r>
              <w:br/>
            </w:r>
            <w:r w:rsidRPr="007331F2">
              <w:rPr>
                <w:rFonts w:ascii="Times New Roman" w:eastAsia="SimSun" w:hAnsi="Times New Roman"/>
                <w:rtl/>
              </w:rPr>
              <w:t>للوثيقة</w:t>
            </w:r>
            <w:r w:rsidR="00CA12B7">
              <w:rPr>
                <w:rFonts w:ascii="Times New Roman" w:eastAsia="SimSun" w:hAnsi="Times New Roman" w:hint="cs"/>
                <w:rtl/>
              </w:rPr>
              <w:t xml:space="preserve"> </w:t>
            </w:r>
            <w:r>
              <w:t>48-</w:t>
            </w:r>
            <w:r w:rsidR="007331F2">
              <w:t>A</w:t>
            </w:r>
          </w:p>
        </w:tc>
      </w:tr>
      <w:tr w:rsidR="0022345D" w:rsidRPr="00E07379" w:rsidTr="00754274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E83E78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BD6EF3" w:rsidRDefault="00DD3F27" w:rsidP="00E83E78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>
              <w:t>13</w:t>
            </w:r>
            <w:r w:rsidR="0022345D">
              <w:rPr>
                <w:rFonts w:ascii="Times New Roman" w:eastAsia="SimSun" w:hAnsi="Times New Roman"/>
                <w:rtl/>
              </w:rPr>
              <w:t xml:space="preserve"> سبتمبر </w:t>
            </w:r>
            <w:r w:rsidR="0022345D" w:rsidRPr="007331F2">
              <w:t>2016</w:t>
            </w:r>
          </w:p>
        </w:tc>
      </w:tr>
      <w:tr w:rsidR="0022345D" w:rsidRPr="00E07379" w:rsidTr="00754274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E83E78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BD6EF3" w:rsidRDefault="0022345D" w:rsidP="00E83E78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8204AC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754274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754274">
            <w:pPr>
              <w:spacing w:before="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754274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الولايات المتحدة الأمريكية</w:t>
            </w:r>
          </w:p>
        </w:tc>
      </w:tr>
      <w:tr w:rsidR="0022345D" w:rsidRPr="00E07379" w:rsidTr="00754274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F34F8B" w:rsidRDefault="007E147B" w:rsidP="00F34F8B">
            <w:pPr>
              <w:pStyle w:val="Title1"/>
              <w:spacing w:before="240"/>
              <w:rPr>
                <w:spacing w:val="-4"/>
                <w:w w:val="110"/>
                <w:rtl/>
              </w:rPr>
            </w:pPr>
            <w:r w:rsidRPr="00F34F8B">
              <w:rPr>
                <w:color w:val="000000"/>
                <w:spacing w:val="-4"/>
                <w:w w:val="110"/>
                <w:rtl/>
              </w:rPr>
              <w:t xml:space="preserve">اقتراح </w:t>
            </w:r>
            <w:r w:rsidR="00344279">
              <w:rPr>
                <w:rFonts w:hint="cs"/>
                <w:color w:val="000000"/>
                <w:spacing w:val="-4"/>
                <w:w w:val="110"/>
                <w:rtl/>
              </w:rPr>
              <w:t>ب</w:t>
            </w:r>
            <w:r w:rsidRPr="00F34F8B">
              <w:rPr>
                <w:color w:val="000000"/>
                <w:spacing w:val="-4"/>
                <w:w w:val="110"/>
                <w:rtl/>
              </w:rPr>
              <w:t xml:space="preserve">إلغاء القـرار </w:t>
            </w:r>
            <w:r w:rsidR="00006251" w:rsidRPr="00F34F8B">
              <w:rPr>
                <w:spacing w:val="-4"/>
                <w:w w:val="110"/>
                <w:lang w:bidi="ar-SA"/>
              </w:rPr>
              <w:t>77</w:t>
            </w:r>
            <w:r w:rsidRPr="00F34F8B">
              <w:rPr>
                <w:rFonts w:hint="cs"/>
                <w:spacing w:val="-4"/>
                <w:w w:val="110"/>
                <w:rtl/>
                <w:lang w:bidi="ar-SA"/>
              </w:rPr>
              <w:t xml:space="preserve"> للجمعية العال</w:t>
            </w:r>
            <w:r w:rsidR="00F34F8B" w:rsidRPr="00F34F8B">
              <w:rPr>
                <w:rFonts w:hint="cs"/>
                <w:spacing w:val="-4"/>
                <w:w w:val="110"/>
                <w:rtl/>
                <w:lang w:bidi="ar-SA"/>
              </w:rPr>
              <w:t>‍</w:t>
            </w:r>
            <w:r w:rsidRPr="00F34F8B">
              <w:rPr>
                <w:rFonts w:hint="cs"/>
                <w:spacing w:val="-4"/>
                <w:w w:val="110"/>
                <w:rtl/>
                <w:lang w:bidi="ar-SA"/>
              </w:rPr>
              <w:t>مية لتقييس الاتصالات لعام</w:t>
            </w:r>
            <w:r w:rsidRPr="00F34F8B">
              <w:rPr>
                <w:rFonts w:hint="eastAsia"/>
                <w:spacing w:val="-4"/>
                <w:w w:val="110"/>
                <w:rtl/>
                <w:lang w:bidi="ar-SA"/>
              </w:rPr>
              <w:t> </w:t>
            </w:r>
            <w:r w:rsidRPr="00F34F8B">
              <w:rPr>
                <w:spacing w:val="-4"/>
                <w:w w:val="110"/>
                <w:lang w:bidi="ar-SA"/>
              </w:rPr>
              <w:t>2012</w:t>
            </w:r>
            <w:r w:rsidRPr="00F34F8B">
              <w:rPr>
                <w:rFonts w:hint="cs"/>
                <w:spacing w:val="-4"/>
                <w:w w:val="110"/>
                <w:rtl/>
                <w:lang w:bidi="ar-SA"/>
              </w:rPr>
              <w:t xml:space="preserve"> </w:t>
            </w:r>
            <w:r w:rsidRPr="00F34F8B">
              <w:rPr>
                <w:spacing w:val="-4"/>
                <w:w w:val="110"/>
                <w:lang w:bidi="ar-SA"/>
              </w:rPr>
              <w:t>(WTSA-12)</w:t>
            </w:r>
            <w:r w:rsidR="00F34F8B">
              <w:rPr>
                <w:rFonts w:hint="eastAsia"/>
                <w:spacing w:val="-4"/>
                <w:w w:val="110"/>
                <w:rtl/>
                <w:lang w:bidi="ar-SA"/>
              </w:rPr>
              <w:t> </w:t>
            </w:r>
            <w:r w:rsidRPr="00F34F8B">
              <w:rPr>
                <w:rFonts w:hint="cs"/>
                <w:spacing w:val="-4"/>
                <w:w w:val="110"/>
                <w:rtl/>
                <w:lang w:bidi="ar-SA"/>
              </w:rPr>
              <w:t xml:space="preserve">- </w:t>
            </w:r>
            <w:r w:rsidR="00524A3B" w:rsidRPr="00F34F8B">
              <w:rPr>
                <w:rFonts w:eastAsia="SimSun" w:hint="cs"/>
                <w:spacing w:val="-4"/>
                <w:w w:val="110"/>
                <w:rtl/>
              </w:rPr>
              <w:t>أعمال التقييس ال</w:t>
            </w:r>
            <w:r w:rsidR="00F34F8B">
              <w:rPr>
                <w:rFonts w:eastAsia="SimSun" w:hint="cs"/>
                <w:spacing w:val="-4"/>
                <w:w w:val="110"/>
                <w:rtl/>
              </w:rPr>
              <w:t>‍</w:t>
            </w:r>
            <w:r w:rsidR="00524A3B" w:rsidRPr="00F34F8B">
              <w:rPr>
                <w:rFonts w:eastAsia="SimSun" w:hint="cs"/>
                <w:spacing w:val="-4"/>
                <w:w w:val="110"/>
                <w:rtl/>
              </w:rPr>
              <w:t>متعلقة بالتوصيل الشبكي ال</w:t>
            </w:r>
            <w:r w:rsidR="00F34F8B">
              <w:rPr>
                <w:rFonts w:eastAsia="SimSun" w:hint="cs"/>
                <w:spacing w:val="-4"/>
                <w:w w:val="110"/>
                <w:rtl/>
              </w:rPr>
              <w:t>‍</w:t>
            </w:r>
            <w:r w:rsidR="00524A3B" w:rsidRPr="00F34F8B">
              <w:rPr>
                <w:rFonts w:eastAsia="SimSun" w:hint="cs"/>
                <w:spacing w:val="-4"/>
                <w:w w:val="110"/>
                <w:rtl/>
              </w:rPr>
              <w:t>معرّف بالبرم</w:t>
            </w:r>
            <w:r w:rsidR="00F34F8B">
              <w:rPr>
                <w:rFonts w:eastAsia="SimSun" w:hint="cs"/>
                <w:spacing w:val="-4"/>
                <w:w w:val="110"/>
                <w:rtl/>
              </w:rPr>
              <w:t>‍</w:t>
            </w:r>
            <w:r w:rsidR="00524A3B" w:rsidRPr="00F34F8B">
              <w:rPr>
                <w:rFonts w:eastAsia="SimSun" w:hint="cs"/>
                <w:spacing w:val="-4"/>
                <w:w w:val="110"/>
                <w:rtl/>
              </w:rPr>
              <w:t>جيات</w:t>
            </w:r>
            <w:r w:rsidR="00524A3B" w:rsidRPr="00F34F8B">
              <w:rPr>
                <w:rFonts w:eastAsia="SimSun"/>
                <w:spacing w:val="-4"/>
                <w:w w:val="110"/>
                <w:rtl/>
              </w:rPr>
              <w:br/>
            </w:r>
            <w:r w:rsidR="00524A3B" w:rsidRPr="00F34F8B">
              <w:rPr>
                <w:rFonts w:eastAsia="SimSun" w:hint="cs"/>
                <w:spacing w:val="-4"/>
                <w:w w:val="110"/>
                <w:rtl/>
              </w:rPr>
              <w:t>في قطاع تقييس الاتصالات للات</w:t>
            </w:r>
            <w:r w:rsidR="00F34F8B">
              <w:rPr>
                <w:rFonts w:eastAsia="SimSun" w:hint="cs"/>
                <w:spacing w:val="-4"/>
                <w:w w:val="110"/>
                <w:rtl/>
              </w:rPr>
              <w:t>‍</w:t>
            </w:r>
            <w:r w:rsidR="00524A3B" w:rsidRPr="00F34F8B">
              <w:rPr>
                <w:rFonts w:eastAsia="SimSun" w:hint="cs"/>
                <w:spacing w:val="-4"/>
                <w:w w:val="110"/>
                <w:rtl/>
              </w:rPr>
              <w:t>حاد الدولي للاتصالات</w:t>
            </w:r>
          </w:p>
        </w:tc>
      </w:tr>
      <w:tr w:rsidR="0022345D" w:rsidRPr="00E07379" w:rsidTr="00754274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754274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754274">
      <w:pPr>
        <w:spacing w:before="0"/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7797"/>
        <w:gridCol w:w="1767"/>
      </w:tblGrid>
      <w:tr w:rsidR="006157A3" w:rsidRPr="00E70E87" w:rsidTr="000620EA">
        <w:trPr>
          <w:cantSplit/>
          <w:jc w:val="right"/>
        </w:trPr>
        <w:tc>
          <w:tcPr>
            <w:tcW w:w="7797" w:type="dxa"/>
          </w:tcPr>
          <w:p w:rsidR="006157A3" w:rsidRPr="00984EA5" w:rsidRDefault="000620EA" w:rsidP="00BD0AF2">
            <w:r>
              <w:rPr>
                <w:rtl/>
              </w:rPr>
              <w:t>اقترح مدير مكتب تقييس الاتصالات مبادئ توجيهية لتخفيض عدد وطول قرارات الجمعية ترد في</w:t>
            </w:r>
            <w:r w:rsidR="008E439C">
              <w:rPr>
                <w:rFonts w:hint="cs"/>
                <w:rtl/>
              </w:rPr>
              <w:t> </w:t>
            </w:r>
            <w:r>
              <w:rPr>
                <w:rtl/>
              </w:rPr>
              <w:t xml:space="preserve">الوثيقة </w:t>
            </w:r>
            <w:hyperlink r:id="rId12" w:history="1">
              <w:r w:rsidRPr="000620EA">
                <w:rPr>
                  <w:rStyle w:val="Hyperlink"/>
                </w:rPr>
                <w:t>TD532</w:t>
              </w:r>
            </w:hyperlink>
            <w:r>
              <w:rPr>
                <w:rtl/>
              </w:rPr>
              <w:t>‏</w:t>
            </w:r>
            <w:r>
              <w:rPr>
                <w:cs/>
              </w:rPr>
              <w:t>‎</w:t>
            </w:r>
            <w:r>
              <w:rPr>
                <w:rtl/>
              </w:rPr>
              <w:t>‏ للفريق الاستشاري لتقييس الاتصالات. وبغية دعم هذا الهدف، تقترح الولايات المتحدة إلغاء القرار ‏</w:t>
            </w:r>
            <w:r>
              <w:rPr>
                <w:cs/>
              </w:rPr>
              <w:t>‎</w:t>
            </w:r>
            <w:r>
              <w:t>77</w:t>
            </w:r>
            <w:r>
              <w:rPr>
                <w:cs/>
              </w:rPr>
              <w:t>‎</w:t>
            </w:r>
            <w:r>
              <w:rPr>
                <w:rtl/>
              </w:rPr>
              <w:t xml:space="preserve">‏.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أفضل طريقة للنهوض بالعمل التقني </w:t>
            </w:r>
            <w:r>
              <w:rPr>
                <w:rFonts w:hint="cs"/>
                <w:rtl/>
              </w:rPr>
              <w:t xml:space="preserve">تكون </w:t>
            </w:r>
            <w:r>
              <w:rPr>
                <w:rtl/>
              </w:rPr>
              <w:t xml:space="preserve">من خلال لجان الدراسات التي تنشئها الجمعية (أو الفريق ‏الاستشاري لتقييس الاتصالات)، وولايات ومسؤوليات لجان الدراسات هذه والمسائل المسندة إليها وبنود ‏العمل المكرسة للمسائل. وينبغي إلغاء القرارات الحالية التي تشير إلى بدء </w:t>
            </w:r>
            <w:r>
              <w:rPr>
                <w:rFonts w:hint="cs"/>
                <w:rtl/>
              </w:rPr>
              <w:t>الأعمال التقنية</w:t>
            </w:r>
            <w:r>
              <w:rPr>
                <w:rtl/>
              </w:rPr>
              <w:t xml:space="preserve"> (لا سيما باعتبار أن ‏هذه الأعمال جارية الآن ومجسدة في ولايات لجان الدراسات </w:t>
            </w:r>
            <w:r>
              <w:rPr>
                <w:rFonts w:hint="cs"/>
                <w:rtl/>
              </w:rPr>
              <w:t>ومسائلها</w:t>
            </w:r>
            <w:r>
              <w:rPr>
                <w:rtl/>
              </w:rPr>
              <w:t xml:space="preserve"> وبنود </w:t>
            </w:r>
            <w:r>
              <w:rPr>
                <w:rFonts w:hint="cs"/>
                <w:rtl/>
              </w:rPr>
              <w:t>عملها الحالية</w:t>
            </w:r>
            <w:r>
              <w:rPr>
                <w:rtl/>
              </w:rPr>
              <w:t>)، وينبغي معالجة ‏المقترحات الإضافية المتعلقة بالأعمال الجديدة من خلال القرار</w:t>
            </w:r>
            <w:r w:rsidR="00BD0AF2">
              <w:rPr>
                <w:rFonts w:hint="cs"/>
                <w:rtl/>
              </w:rPr>
              <w:t> </w:t>
            </w:r>
            <w:r>
              <w:rPr>
                <w:rtl/>
              </w:rPr>
              <w:t>‏</w:t>
            </w:r>
            <w:r>
              <w:rPr>
                <w:cs/>
              </w:rPr>
              <w:t>‎</w:t>
            </w:r>
            <w:r>
              <w:t>2</w:t>
            </w:r>
            <w:r>
              <w:rPr>
                <w:cs/>
              </w:rPr>
              <w:t>‎</w:t>
            </w:r>
            <w:r>
              <w:rPr>
                <w:rtl/>
              </w:rPr>
              <w:t xml:space="preserve">‏ والمسائل </w:t>
            </w:r>
            <w:r>
              <w:rPr>
                <w:rFonts w:hint="cs"/>
                <w:rtl/>
              </w:rPr>
              <w:t>بدلاً من</w:t>
            </w:r>
            <w:r>
              <w:rPr>
                <w:rtl/>
              </w:rPr>
              <w:t xml:space="preserve"> معالجتها من خلال ‏قرارات إضافية للجمعية.</w:t>
            </w:r>
          </w:p>
        </w:tc>
        <w:tc>
          <w:tcPr>
            <w:tcW w:w="1767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22345D" w:rsidRPr="002114EF" w:rsidRDefault="00E83E78" w:rsidP="000620EA">
      <w:pPr>
        <w:pStyle w:val="Headingb"/>
      </w:pPr>
      <w:r>
        <w:rPr>
          <w:rFonts w:hint="cs"/>
          <w:rtl/>
        </w:rPr>
        <w:t>ال</w:t>
      </w:r>
      <w:r w:rsidR="002114EF" w:rsidRPr="002114EF">
        <w:rPr>
          <w:rFonts w:hint="cs"/>
          <w:rtl/>
        </w:rPr>
        <w:t>مقترح</w:t>
      </w:r>
    </w:p>
    <w:p w:rsidR="008A1B6F" w:rsidRDefault="00950E44" w:rsidP="00F80A0B">
      <w:pPr>
        <w:rPr>
          <w:rtl/>
          <w:lang w:bidi="ar-EG"/>
        </w:rPr>
      </w:pPr>
      <w:r>
        <w:rPr>
          <w:rFonts w:hint="cs"/>
          <w:color w:val="000000"/>
          <w:rtl/>
        </w:rPr>
        <w:t xml:space="preserve">تقترح الولايات المتحدة إلغاء القرار </w:t>
      </w:r>
      <w:r w:rsidR="006D52FA">
        <w:rPr>
          <w:color w:val="000000"/>
        </w:rPr>
        <w:t>77</w:t>
      </w:r>
      <w:r>
        <w:rPr>
          <w:rFonts w:hint="cs"/>
          <w:color w:val="000000"/>
          <w:rtl/>
        </w:rPr>
        <w:t xml:space="preserve"> </w:t>
      </w:r>
      <w:r w:rsidR="000620EA">
        <w:rPr>
          <w:rFonts w:hint="cs"/>
          <w:color w:val="000000"/>
          <w:rtl/>
        </w:rPr>
        <w:t xml:space="preserve">(دبي، </w:t>
      </w:r>
      <w:r w:rsidR="000620EA">
        <w:rPr>
          <w:color w:val="000000"/>
        </w:rPr>
        <w:t>2012</w:t>
      </w:r>
      <w:r w:rsidR="000620EA">
        <w:rPr>
          <w:rFonts w:hint="cs"/>
          <w:color w:val="000000"/>
          <w:rtl/>
          <w:lang w:bidi="ar-EG"/>
        </w:rPr>
        <w:t xml:space="preserve">)، </w:t>
      </w:r>
      <w:r>
        <w:rPr>
          <w:rFonts w:hint="cs"/>
          <w:color w:val="000000"/>
          <w:rtl/>
        </w:rPr>
        <w:t xml:space="preserve">بشأن </w:t>
      </w:r>
      <w:r w:rsidR="006D52FA">
        <w:rPr>
          <w:rFonts w:hint="cs"/>
          <w:rtl/>
          <w:lang w:bidi="ar-EG"/>
        </w:rPr>
        <w:t>أعمال التقييس المتعلقة بالتوصيل الشبكي المعرّف بالبرمجيات في</w:t>
      </w:r>
      <w:r w:rsidR="00754274">
        <w:rPr>
          <w:rFonts w:hint="eastAsia"/>
          <w:rtl/>
          <w:lang w:bidi="ar-EG"/>
        </w:rPr>
        <w:t> </w:t>
      </w:r>
      <w:r w:rsidR="006D52FA">
        <w:rPr>
          <w:rFonts w:hint="cs"/>
          <w:rtl/>
          <w:lang w:bidi="ar-EG"/>
        </w:rPr>
        <w:t>قطاع تقييس الاتصالات للاتحاد الدولي للاتصالات</w:t>
      </w:r>
      <w:r>
        <w:rPr>
          <w:rFonts w:hint="cs"/>
          <w:color w:val="000000"/>
          <w:rtl/>
          <w:lang w:bidi="ar-EG"/>
        </w:rPr>
        <w:t xml:space="preserve">. </w:t>
      </w:r>
      <w:r w:rsidR="0020643B">
        <w:rPr>
          <w:rFonts w:hint="cs"/>
          <w:color w:val="000000"/>
          <w:rtl/>
          <w:lang w:bidi="ar-EG"/>
        </w:rPr>
        <w:t>و</w:t>
      </w:r>
      <w:r w:rsidR="00D44C1D">
        <w:rPr>
          <w:rFonts w:hint="cs"/>
          <w:color w:val="000000"/>
          <w:rtl/>
          <w:lang w:bidi="ar-EG"/>
        </w:rPr>
        <w:t xml:space="preserve">لم تكن </w:t>
      </w:r>
      <w:r w:rsidR="0020643B">
        <w:rPr>
          <w:rFonts w:hint="cs"/>
          <w:color w:val="000000"/>
          <w:rtl/>
          <w:lang w:bidi="ar-EG"/>
        </w:rPr>
        <w:t>الحاجة إلى قرار بشأن هذ</w:t>
      </w:r>
      <w:r w:rsidR="00D44C1D">
        <w:rPr>
          <w:rFonts w:hint="cs"/>
          <w:color w:val="000000"/>
          <w:rtl/>
          <w:lang w:bidi="ar-EG"/>
        </w:rPr>
        <w:t>ا</w:t>
      </w:r>
      <w:r w:rsidR="0020643B">
        <w:rPr>
          <w:rFonts w:hint="cs"/>
          <w:color w:val="000000"/>
          <w:rtl/>
          <w:lang w:bidi="ar-EG"/>
        </w:rPr>
        <w:t xml:space="preserve"> الموضوع واضحة، علماً أن العمل كان جارياً بالفعل: وحتى في فترة الدراسة </w:t>
      </w:r>
      <w:r w:rsidR="0020643B">
        <w:rPr>
          <w:color w:val="000000"/>
          <w:lang w:bidi="ar-EG"/>
        </w:rPr>
        <w:t>2012-2009</w:t>
      </w:r>
      <w:r w:rsidR="0020643B">
        <w:rPr>
          <w:rFonts w:hint="cs"/>
          <w:color w:val="000000"/>
          <w:rtl/>
          <w:lang w:bidi="ar-EG"/>
        </w:rPr>
        <w:t xml:space="preserve"> كان لدى لجنة الدراسات </w:t>
      </w:r>
      <w:r w:rsidR="0020643B">
        <w:rPr>
          <w:color w:val="000000"/>
          <w:lang w:bidi="ar-EG"/>
        </w:rPr>
        <w:t>13</w:t>
      </w:r>
      <w:r w:rsidR="0020643B">
        <w:rPr>
          <w:rFonts w:hint="cs"/>
          <w:color w:val="000000"/>
          <w:rtl/>
          <w:lang w:bidi="ar-EG"/>
        </w:rPr>
        <w:t xml:space="preserve"> لقطاع تقييس الاتصالات خمس مسائل </w:t>
      </w:r>
      <w:r w:rsidR="00D74018">
        <w:rPr>
          <w:rFonts w:hint="cs"/>
          <w:color w:val="000000"/>
          <w:rtl/>
          <w:lang w:bidi="ar-EG"/>
        </w:rPr>
        <w:t>يرد في</w:t>
      </w:r>
      <w:r w:rsidR="00F80A0B">
        <w:rPr>
          <w:rFonts w:hint="eastAsia"/>
          <w:color w:val="000000"/>
          <w:rtl/>
          <w:lang w:bidi="ar-EG"/>
        </w:rPr>
        <w:t> </w:t>
      </w:r>
      <w:r w:rsidR="00D74018">
        <w:rPr>
          <w:rFonts w:hint="cs"/>
          <w:color w:val="000000"/>
          <w:rtl/>
          <w:lang w:bidi="ar-EG"/>
        </w:rPr>
        <w:t>عنوانها</w:t>
      </w:r>
      <w:r w:rsidR="002114EF">
        <w:rPr>
          <w:rFonts w:hint="cs"/>
          <w:color w:val="000000"/>
          <w:rtl/>
          <w:lang w:bidi="ar-EG"/>
        </w:rPr>
        <w:t xml:space="preserve"> </w:t>
      </w:r>
      <w:r w:rsidR="0020643B">
        <w:rPr>
          <w:rFonts w:hint="cs"/>
          <w:color w:val="000000"/>
          <w:rtl/>
          <w:lang w:bidi="ar-EG"/>
        </w:rPr>
        <w:t>موضوع التوص</w:t>
      </w:r>
      <w:r w:rsidR="002114EF">
        <w:rPr>
          <w:rFonts w:hint="cs"/>
          <w:color w:val="000000"/>
          <w:rtl/>
          <w:lang w:bidi="ar-EG"/>
        </w:rPr>
        <w:t xml:space="preserve">يل الشبكي المعرّف بالبرمجيات </w:t>
      </w:r>
      <w:r w:rsidR="0020643B">
        <w:rPr>
          <w:rFonts w:hint="cs"/>
          <w:color w:val="000000"/>
          <w:rtl/>
          <w:lang w:bidi="ar-EG"/>
        </w:rPr>
        <w:t>و</w:t>
      </w:r>
      <w:r w:rsidR="0020643B">
        <w:rPr>
          <w:rFonts w:hint="cs"/>
          <w:rtl/>
          <w:lang w:bidi="ar-EG"/>
        </w:rPr>
        <w:t>العديد من بنود العمل الجارية:</w:t>
      </w:r>
    </w:p>
    <w:p w:rsidR="008A1B6F" w:rsidRPr="009568E6" w:rsidRDefault="00A36C58" w:rsidP="008A1B6F">
      <w:pPr>
        <w:pStyle w:val="enumlev1"/>
        <w:spacing w:line="187" w:lineRule="auto"/>
        <w:rPr>
          <w:rFonts w:eastAsia="SimSun"/>
          <w:rtl/>
        </w:rPr>
      </w:pPr>
      <w:r>
        <w:rPr>
          <w:rFonts w:eastAsia="SimSun" w:hint="cs"/>
          <w:rtl/>
        </w:rPr>
        <w:t>-</w:t>
      </w:r>
      <w:r w:rsidR="008A1B6F" w:rsidRPr="009568E6">
        <w:rPr>
          <w:rFonts w:eastAsia="SimSun" w:hint="cs"/>
          <w:rtl/>
        </w:rPr>
        <w:tab/>
        <w:t xml:space="preserve">المسألة </w:t>
      </w:r>
      <w:r w:rsidR="008A1B6F" w:rsidRPr="009568E6">
        <w:rPr>
          <w:rFonts w:eastAsia="SimSun"/>
          <w:lang w:bidi="ar-EG"/>
        </w:rPr>
        <w:t>2/13</w:t>
      </w:r>
      <w:r w:rsidR="008A1B6F" w:rsidRPr="009568E6">
        <w:rPr>
          <w:rFonts w:eastAsia="SimSun" w:hint="cs"/>
          <w:rtl/>
        </w:rPr>
        <w:t xml:space="preserve">: متطلبات تطور </w:t>
      </w:r>
      <w:r w:rsidR="008A1B6F" w:rsidRPr="009568E6">
        <w:rPr>
          <w:rFonts w:eastAsia="SimSun"/>
          <w:rtl/>
        </w:rPr>
        <w:t>شبكات الجيل التالي</w:t>
      </w:r>
      <w:r w:rsidR="008A1B6F" w:rsidRPr="009568E6">
        <w:rPr>
          <w:rFonts w:eastAsia="SimSun" w:hint="cs"/>
          <w:rtl/>
        </w:rPr>
        <w:t xml:space="preserve"> </w:t>
      </w:r>
      <w:r w:rsidR="008A1B6F" w:rsidRPr="009568E6">
        <w:rPr>
          <w:rFonts w:eastAsia="SimSun"/>
          <w:lang w:bidi="ar-EG"/>
        </w:rPr>
        <w:t>(NGN</w:t>
      </w:r>
      <w:r w:rsidR="008A1B6F" w:rsidRPr="009568E6">
        <w:rPr>
          <w:rFonts w:eastAsia="SimSun"/>
          <w:lang w:bidi="ar-EG"/>
        </w:rPr>
        <w:noBreakHyphen/>
        <w:t>e)</w:t>
      </w:r>
      <w:r w:rsidR="008A1B6F" w:rsidRPr="009568E6">
        <w:rPr>
          <w:rFonts w:eastAsia="SimSun" w:hint="cs"/>
          <w:rtl/>
        </w:rPr>
        <w:t xml:space="preserve"> ومقدراتها</w:t>
      </w:r>
      <w:r w:rsidR="008A1B6F" w:rsidRPr="009568E6">
        <w:rPr>
          <w:rFonts w:eastAsia="SimSun" w:hint="cs"/>
          <w:rtl/>
          <w:lang w:bidi="ar-SY"/>
        </w:rPr>
        <w:t xml:space="preserve"> </w:t>
      </w:r>
      <w:r w:rsidR="008A1B6F" w:rsidRPr="009568E6">
        <w:rPr>
          <w:rFonts w:eastAsia="SimSun" w:hint="cs"/>
          <w:rtl/>
        </w:rPr>
        <w:t>بما في ذلك دعم إنترنت الأشياء</w:t>
      </w:r>
      <w:r w:rsidR="008A1B6F" w:rsidRPr="009568E6">
        <w:rPr>
          <w:rFonts w:eastAsia="SimSun"/>
          <w:lang w:bidi="ar-EG"/>
        </w:rPr>
        <w:t xml:space="preserve"> </w:t>
      </w:r>
      <w:r w:rsidR="008A1B6F" w:rsidRPr="009568E6">
        <w:rPr>
          <w:rFonts w:eastAsia="SimSun"/>
          <w:rtl/>
        </w:rPr>
        <w:t>و</w:t>
      </w:r>
      <w:r w:rsidR="008A1B6F" w:rsidRPr="009568E6">
        <w:rPr>
          <w:rFonts w:eastAsia="SimSun" w:hint="cs"/>
          <w:rtl/>
          <w:lang w:bidi="ar-EG"/>
        </w:rPr>
        <w:t xml:space="preserve">استخدام </w:t>
      </w:r>
      <w:r w:rsidR="008A1B6F" w:rsidRPr="009568E6">
        <w:rPr>
          <w:rFonts w:eastAsia="SimSun"/>
          <w:rtl/>
        </w:rPr>
        <w:t>التوصيل الشبكي المعرّف بالبرمجيات</w:t>
      </w:r>
      <w:r w:rsidR="008A1B6F" w:rsidRPr="009568E6">
        <w:rPr>
          <w:rFonts w:eastAsia="SimSun" w:hint="cs"/>
          <w:rtl/>
        </w:rPr>
        <w:t>؛</w:t>
      </w:r>
    </w:p>
    <w:p w:rsidR="008A1B6F" w:rsidRPr="009568E6" w:rsidRDefault="008A1B6F" w:rsidP="008A1B6F">
      <w:pPr>
        <w:pStyle w:val="enumlev1"/>
        <w:spacing w:line="187" w:lineRule="auto"/>
        <w:rPr>
          <w:rFonts w:eastAsia="SimSun"/>
          <w:rtl/>
        </w:rPr>
      </w:pPr>
      <w:r w:rsidRPr="009568E6">
        <w:rPr>
          <w:rFonts w:eastAsia="SimSun" w:hint="cs"/>
          <w:rtl/>
        </w:rPr>
        <w:lastRenderedPageBreak/>
        <w:t>-</w:t>
      </w:r>
      <w:r w:rsidRPr="009568E6">
        <w:rPr>
          <w:rFonts w:eastAsia="SimSun" w:hint="cs"/>
          <w:rtl/>
        </w:rPr>
        <w:tab/>
        <w:t xml:space="preserve">المسألة </w:t>
      </w:r>
      <w:r w:rsidRPr="009568E6">
        <w:rPr>
          <w:rFonts w:eastAsia="SimSun"/>
          <w:lang w:bidi="ar-EG"/>
        </w:rPr>
        <w:t>3/13</w:t>
      </w:r>
      <w:r w:rsidRPr="009568E6">
        <w:rPr>
          <w:rFonts w:eastAsia="SimSun" w:hint="cs"/>
          <w:rtl/>
        </w:rPr>
        <w:t xml:space="preserve">: </w:t>
      </w:r>
      <w:r w:rsidRPr="009568E6">
        <w:rPr>
          <w:rFonts w:eastAsia="SimSun"/>
          <w:rtl/>
        </w:rPr>
        <w:t>المعمارية الوظيفية لتطور شبكات الجيل التالي</w:t>
      </w:r>
      <w:r w:rsidRPr="009568E6">
        <w:rPr>
          <w:rFonts w:eastAsia="SimSun" w:hint="cs"/>
          <w:rtl/>
        </w:rPr>
        <w:t xml:space="preserve"> </w:t>
      </w:r>
      <w:r w:rsidRPr="009568E6">
        <w:rPr>
          <w:rFonts w:eastAsia="SimSun"/>
          <w:lang w:bidi="ar-EG"/>
        </w:rPr>
        <w:t>(NGN-e)</w:t>
      </w:r>
      <w:r w:rsidRPr="009568E6">
        <w:rPr>
          <w:rFonts w:eastAsia="SimSun"/>
          <w:rtl/>
        </w:rPr>
        <w:t xml:space="preserve"> بما في ذلك</w:t>
      </w:r>
      <w:r w:rsidRPr="009568E6">
        <w:rPr>
          <w:rFonts w:eastAsia="SimSun" w:hint="cs"/>
          <w:rtl/>
        </w:rPr>
        <w:t xml:space="preserve"> </w:t>
      </w:r>
      <w:r w:rsidRPr="009568E6">
        <w:rPr>
          <w:rFonts w:eastAsia="SimSun"/>
          <w:rtl/>
        </w:rPr>
        <w:t>دعم إنترنت الأشياء</w:t>
      </w:r>
      <w:r w:rsidRPr="009568E6">
        <w:rPr>
          <w:rFonts w:eastAsia="SimSun" w:hint="cs"/>
          <w:rtl/>
        </w:rPr>
        <w:t xml:space="preserve"> </w:t>
      </w:r>
      <w:r w:rsidRPr="009568E6">
        <w:rPr>
          <w:rFonts w:eastAsia="SimSun"/>
          <w:rtl/>
        </w:rPr>
        <w:t>و</w:t>
      </w:r>
      <w:r w:rsidRPr="009568E6">
        <w:rPr>
          <w:rFonts w:eastAsia="SimSun" w:hint="cs"/>
          <w:rtl/>
          <w:lang w:bidi="ar-EG"/>
        </w:rPr>
        <w:t xml:space="preserve">استخدام </w:t>
      </w:r>
      <w:r w:rsidRPr="009568E6">
        <w:rPr>
          <w:rFonts w:eastAsia="SimSun"/>
          <w:rtl/>
        </w:rPr>
        <w:t>التوصيل الشبكي المعرّف بالبرمجيات</w:t>
      </w:r>
      <w:r w:rsidRPr="009568E6">
        <w:rPr>
          <w:rFonts w:eastAsia="SimSun" w:hint="cs"/>
          <w:rtl/>
        </w:rPr>
        <w:t>؛</w:t>
      </w:r>
    </w:p>
    <w:p w:rsidR="008A1B6F" w:rsidRPr="009568E6" w:rsidRDefault="008A1B6F" w:rsidP="008A1B6F">
      <w:pPr>
        <w:pStyle w:val="enumlev1"/>
        <w:spacing w:line="187" w:lineRule="auto"/>
        <w:rPr>
          <w:rFonts w:eastAsia="SimSun"/>
          <w:rtl/>
          <w:lang w:bidi="ar-EG"/>
        </w:rPr>
      </w:pPr>
      <w:r w:rsidRPr="009568E6">
        <w:rPr>
          <w:rFonts w:eastAsia="SimSun" w:hint="cs"/>
          <w:rtl/>
        </w:rPr>
        <w:t>-</w:t>
      </w:r>
      <w:r w:rsidRPr="009568E6">
        <w:rPr>
          <w:rFonts w:eastAsia="SimSun" w:hint="cs"/>
          <w:rtl/>
        </w:rPr>
        <w:tab/>
      </w:r>
      <w:r w:rsidRPr="009568E6">
        <w:rPr>
          <w:rFonts w:eastAsia="SimSun" w:hint="cs"/>
          <w:spacing w:val="6"/>
          <w:rtl/>
        </w:rPr>
        <w:t xml:space="preserve">المسألة </w:t>
      </w:r>
      <w:r w:rsidRPr="009568E6">
        <w:rPr>
          <w:rFonts w:eastAsia="SimSun"/>
          <w:spacing w:val="6"/>
          <w:lang w:bidi="ar-EG"/>
        </w:rPr>
        <w:t>6/13</w:t>
      </w:r>
      <w:r w:rsidRPr="009568E6">
        <w:rPr>
          <w:rFonts w:eastAsia="SimSun" w:hint="cs"/>
          <w:spacing w:val="6"/>
          <w:rtl/>
        </w:rPr>
        <w:t xml:space="preserve">: </w:t>
      </w:r>
      <w:r w:rsidRPr="009568E6">
        <w:rPr>
          <w:rFonts w:eastAsia="SimSun"/>
          <w:spacing w:val="6"/>
          <w:rtl/>
        </w:rPr>
        <w:t>المتطلبات والآليا</w:t>
      </w:r>
      <w:r w:rsidRPr="009568E6">
        <w:rPr>
          <w:rFonts w:eastAsia="SimSun" w:hint="cs"/>
          <w:spacing w:val="6"/>
          <w:rtl/>
        </w:rPr>
        <w:t>ت اللازمة</w:t>
      </w:r>
      <w:r w:rsidRPr="009568E6">
        <w:rPr>
          <w:rFonts w:eastAsia="SimSun"/>
          <w:spacing w:val="6"/>
          <w:rtl/>
        </w:rPr>
        <w:t xml:space="preserve"> </w:t>
      </w:r>
      <w:r w:rsidRPr="009568E6">
        <w:rPr>
          <w:rFonts w:eastAsia="SimSun" w:hint="cs"/>
          <w:spacing w:val="6"/>
          <w:rtl/>
        </w:rPr>
        <w:t>لتحقيق</w:t>
      </w:r>
      <w:r w:rsidRPr="009568E6">
        <w:rPr>
          <w:rFonts w:eastAsia="SimSun"/>
          <w:spacing w:val="6"/>
          <w:rtl/>
        </w:rPr>
        <w:t xml:space="preserve"> جودة الخدمة في الشبكات</w:t>
      </w:r>
      <w:r w:rsidRPr="009568E6">
        <w:rPr>
          <w:rFonts w:eastAsia="SimSun" w:hint="cs"/>
          <w:spacing w:val="6"/>
          <w:rtl/>
          <w:lang w:bidi="ar-EG"/>
        </w:rPr>
        <w:t xml:space="preserve"> (بما في ذلك </w:t>
      </w:r>
      <w:r w:rsidRPr="009568E6">
        <w:rPr>
          <w:rFonts w:eastAsia="SimSun"/>
          <w:spacing w:val="6"/>
          <w:rtl/>
        </w:rPr>
        <w:t>التوصيل الشبكي المعرّف بالبرمجيات</w:t>
      </w:r>
      <w:r w:rsidRPr="009568E6">
        <w:rPr>
          <w:rFonts w:eastAsia="SimSun" w:hint="cs"/>
          <w:spacing w:val="6"/>
          <w:rtl/>
          <w:lang w:bidi="ar-EG"/>
        </w:rPr>
        <w:t>)؛</w:t>
      </w:r>
    </w:p>
    <w:p w:rsidR="008A1B6F" w:rsidRPr="009568E6" w:rsidRDefault="008A1B6F" w:rsidP="00F46A71">
      <w:pPr>
        <w:pStyle w:val="enumlev1"/>
        <w:spacing w:line="187" w:lineRule="auto"/>
        <w:rPr>
          <w:rFonts w:eastAsia="SimSun"/>
          <w:rtl/>
        </w:rPr>
      </w:pPr>
      <w:r w:rsidRPr="009568E6">
        <w:rPr>
          <w:rFonts w:eastAsia="SimSun" w:hint="cs"/>
          <w:rtl/>
        </w:rPr>
        <w:t>-</w:t>
      </w:r>
      <w:r w:rsidRPr="009568E6">
        <w:rPr>
          <w:rFonts w:eastAsia="SimSun" w:hint="cs"/>
          <w:rtl/>
        </w:rPr>
        <w:tab/>
        <w:t xml:space="preserve">المسألة </w:t>
      </w:r>
      <w:r w:rsidRPr="009568E6">
        <w:rPr>
          <w:rFonts w:eastAsia="SimSun"/>
          <w:lang w:bidi="ar-EG"/>
        </w:rPr>
        <w:t>11/13</w:t>
      </w:r>
      <w:r w:rsidRPr="009568E6">
        <w:rPr>
          <w:rFonts w:eastAsia="SimSun" w:hint="cs"/>
          <w:rtl/>
        </w:rPr>
        <w:t xml:space="preserve">: </w:t>
      </w:r>
      <w:r w:rsidRPr="009568E6">
        <w:rPr>
          <w:rFonts w:eastAsia="SimSun"/>
          <w:rtl/>
        </w:rPr>
        <w:t xml:space="preserve">تطور الشبكات والخدمات </w:t>
      </w:r>
      <w:r w:rsidRPr="009568E6">
        <w:rPr>
          <w:rFonts w:eastAsia="SimSun" w:hint="cs"/>
          <w:rtl/>
        </w:rPr>
        <w:t xml:space="preserve">المتمحورة حول </w:t>
      </w:r>
      <w:r w:rsidRPr="009568E6">
        <w:rPr>
          <w:rFonts w:eastAsia="SimSun"/>
          <w:rtl/>
        </w:rPr>
        <w:t xml:space="preserve">المستهلك، </w:t>
      </w:r>
      <w:r>
        <w:rPr>
          <w:rFonts w:eastAsia="SimSun" w:hint="cs"/>
          <w:rtl/>
        </w:rPr>
        <w:t>و</w:t>
      </w:r>
      <w:r w:rsidRPr="009568E6">
        <w:rPr>
          <w:rFonts w:eastAsia="SimSun" w:hint="cs"/>
          <w:rtl/>
        </w:rPr>
        <w:t xml:space="preserve">التشغيل البيني مع شبكات المستقبل </w:t>
      </w:r>
      <w:r w:rsidR="00E83E78">
        <w:rPr>
          <w:rFonts w:eastAsia="SimSun" w:hint="cs"/>
          <w:rtl/>
        </w:rPr>
        <w:t>بما</w:t>
      </w:r>
      <w:r w:rsidR="00F46A71">
        <w:rPr>
          <w:rFonts w:eastAsia="SimSun" w:hint="eastAsia"/>
          <w:rtl/>
        </w:rPr>
        <w:t> </w:t>
      </w:r>
      <w:r w:rsidR="00F46A71">
        <w:rPr>
          <w:rFonts w:eastAsia="SimSun" w:hint="cs"/>
          <w:rtl/>
        </w:rPr>
        <w:t>في</w:t>
      </w:r>
      <w:r w:rsidR="00F46A71">
        <w:rPr>
          <w:rFonts w:eastAsia="SimSun" w:hint="eastAsia"/>
          <w:rtl/>
        </w:rPr>
        <w:t> </w:t>
      </w:r>
      <w:r w:rsidR="00E83E78">
        <w:rPr>
          <w:rFonts w:eastAsia="SimSun" w:hint="cs"/>
          <w:rtl/>
        </w:rPr>
        <w:t>ذلك</w:t>
      </w:r>
      <w:r w:rsidRPr="009568E6">
        <w:rPr>
          <w:rFonts w:eastAsia="SimSun"/>
          <w:rtl/>
        </w:rPr>
        <w:t xml:space="preserve"> التوصيل الشبكي المعرّف بالبرمجيات</w:t>
      </w:r>
      <w:r w:rsidRPr="009568E6">
        <w:rPr>
          <w:rFonts w:eastAsia="SimSun" w:hint="cs"/>
          <w:rtl/>
        </w:rPr>
        <w:t>؛</w:t>
      </w:r>
    </w:p>
    <w:p w:rsidR="008A1B6F" w:rsidRPr="005546FE" w:rsidRDefault="008A1B6F" w:rsidP="008A1B6F">
      <w:pPr>
        <w:pStyle w:val="enumlev1"/>
        <w:spacing w:line="187" w:lineRule="auto"/>
        <w:rPr>
          <w:b/>
          <w:bCs/>
          <w:i/>
          <w:iCs/>
          <w:rtl/>
          <w:lang w:bidi="ar-EG"/>
        </w:rPr>
      </w:pPr>
      <w:r w:rsidRPr="005546FE">
        <w:rPr>
          <w:rFonts w:hint="cs"/>
          <w:rtl/>
        </w:rPr>
        <w:t>-</w:t>
      </w:r>
      <w:r w:rsidRPr="005546FE">
        <w:rPr>
          <w:rFonts w:hint="cs"/>
          <w:rtl/>
        </w:rPr>
        <w:tab/>
        <w:t xml:space="preserve">المسألة </w:t>
      </w:r>
      <w:r w:rsidRPr="005546FE">
        <w:rPr>
          <w:lang w:bidi="ar-EG"/>
        </w:rPr>
        <w:t>14/13</w:t>
      </w:r>
      <w:r w:rsidRPr="005546FE">
        <w:rPr>
          <w:rFonts w:hint="cs"/>
          <w:rtl/>
        </w:rPr>
        <w:t>:</w:t>
      </w:r>
      <w:r w:rsidRPr="009568E6">
        <w:rPr>
          <w:rFonts w:hint="cs"/>
          <w:rtl/>
        </w:rPr>
        <w:t xml:space="preserve"> </w:t>
      </w:r>
      <w:r w:rsidRPr="005546FE">
        <w:rPr>
          <w:rtl/>
        </w:rPr>
        <w:t>التوصيل الشبكي المعرّف بالبرمجيات</w:t>
      </w:r>
      <w:r w:rsidRPr="005546FE">
        <w:rPr>
          <w:rFonts w:hint="cs"/>
          <w:rtl/>
          <w:lang w:bidi="ar-EG"/>
        </w:rPr>
        <w:t xml:space="preserve"> </w:t>
      </w:r>
      <w:r w:rsidRPr="005546FE">
        <w:rPr>
          <w:rtl/>
          <w:lang w:bidi="ar-EG"/>
        </w:rPr>
        <w:t>و</w:t>
      </w:r>
      <w:r w:rsidRPr="005546FE">
        <w:rPr>
          <w:rFonts w:hint="cs"/>
          <w:rtl/>
        </w:rPr>
        <w:t>الشبكات المراعية للخدمات في شبكات المستقبل</w:t>
      </w:r>
      <w:r w:rsidRPr="005546FE">
        <w:rPr>
          <w:rFonts w:hint="cs"/>
          <w:rtl/>
          <w:lang w:bidi="ar-EG"/>
        </w:rPr>
        <w:t>.</w:t>
      </w:r>
    </w:p>
    <w:p w:rsidR="008A1B6F" w:rsidRDefault="007637F1" w:rsidP="006F04F4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وهناك أيضاً بنود عمل جارية في إطار لجنة الدراسات </w:t>
      </w:r>
      <w:r>
        <w:rPr>
          <w:rFonts w:eastAsia="SimSun"/>
          <w:lang w:bidi="ar-EG"/>
        </w:rPr>
        <w:t>15</w:t>
      </w:r>
      <w:r>
        <w:rPr>
          <w:rFonts w:eastAsia="SimSun" w:hint="cs"/>
          <w:rtl/>
          <w:lang w:bidi="ar-EG"/>
        </w:rPr>
        <w:t xml:space="preserve"> لقطاع تقييس الاتصالات، المسألتان </w:t>
      </w:r>
      <w:r>
        <w:rPr>
          <w:rFonts w:eastAsia="SimSun"/>
          <w:lang w:bidi="ar-EG"/>
        </w:rPr>
        <w:t>12</w:t>
      </w:r>
      <w:r>
        <w:rPr>
          <w:rFonts w:eastAsia="SimSun" w:hint="cs"/>
          <w:rtl/>
          <w:lang w:bidi="ar-EG"/>
        </w:rPr>
        <w:t xml:space="preserve"> و</w:t>
      </w:r>
      <w:r>
        <w:rPr>
          <w:rFonts w:eastAsia="SimSun"/>
          <w:lang w:bidi="ar-EG"/>
        </w:rPr>
        <w:t>14</w:t>
      </w:r>
      <w:r>
        <w:rPr>
          <w:rFonts w:eastAsia="SimSun" w:hint="cs"/>
          <w:rtl/>
          <w:lang w:bidi="ar-EG"/>
        </w:rPr>
        <w:t xml:space="preserve"> بشأن تطبيق التوصيل الشبكي المعرّف بالبرمجيات على النقل </w:t>
      </w:r>
      <w:r w:rsidR="006F04F4">
        <w:rPr>
          <w:rFonts w:eastAsia="SimSun" w:hint="cs"/>
          <w:rtl/>
          <w:lang w:bidi="ar-EG"/>
        </w:rPr>
        <w:t>وإن كانت غير مبينة</w:t>
      </w:r>
      <w:r>
        <w:rPr>
          <w:rFonts w:eastAsia="SimSun" w:hint="cs"/>
          <w:rtl/>
          <w:lang w:bidi="ar-EG"/>
        </w:rPr>
        <w:t xml:space="preserve"> في عناوين المسائل.</w:t>
      </w:r>
    </w:p>
    <w:p w:rsidR="007637F1" w:rsidRPr="00972E33" w:rsidRDefault="007637F1" w:rsidP="004832A4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وفي الواقع، </w:t>
      </w:r>
      <w:r w:rsidR="00AD61EA">
        <w:rPr>
          <w:rFonts w:eastAsia="SimSun" w:hint="cs"/>
          <w:rtl/>
          <w:lang w:bidi="ar-EG"/>
        </w:rPr>
        <w:t>فإن</w:t>
      </w:r>
      <w:r w:rsidR="002266EA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 xml:space="preserve">الأنشطة الوحيدة التي يدعو إليها القرار </w:t>
      </w:r>
      <w:r>
        <w:rPr>
          <w:rFonts w:eastAsia="SimSun"/>
          <w:lang w:bidi="ar-EG"/>
        </w:rPr>
        <w:t>77</w:t>
      </w:r>
      <w:r>
        <w:rPr>
          <w:rFonts w:eastAsia="SimSun" w:hint="cs"/>
          <w:rtl/>
          <w:lang w:bidi="ar-EG"/>
        </w:rPr>
        <w:t xml:space="preserve"> والتي لم تكن جارية بالفعل </w:t>
      </w:r>
      <w:r w:rsidR="00972E33">
        <w:rPr>
          <w:rFonts w:eastAsia="SimSun" w:hint="cs"/>
          <w:rtl/>
          <w:lang w:bidi="ar-EG"/>
        </w:rPr>
        <w:t>وقت اعتماد</w:t>
      </w:r>
      <w:r w:rsidR="00775556">
        <w:rPr>
          <w:rFonts w:eastAsia="SimSun" w:hint="cs"/>
          <w:rtl/>
          <w:lang w:bidi="ar-EG"/>
        </w:rPr>
        <w:t>ه</w:t>
      </w:r>
      <w:r w:rsidR="00AD61EA">
        <w:rPr>
          <w:rFonts w:eastAsia="SimSun" w:hint="cs"/>
          <w:rtl/>
          <w:lang w:bidi="ar-EG"/>
        </w:rPr>
        <w:t xml:space="preserve">، تتمثل </w:t>
      </w:r>
      <w:r w:rsidR="00972E33">
        <w:rPr>
          <w:rFonts w:eastAsia="SimSun" w:hint="cs"/>
          <w:rtl/>
          <w:lang w:bidi="ar-EG"/>
        </w:rPr>
        <w:t>في الفقرة</w:t>
      </w:r>
      <w:r w:rsidR="004832A4">
        <w:rPr>
          <w:rFonts w:eastAsia="SimSun" w:hint="cs"/>
          <w:rtl/>
          <w:lang w:bidi="ar-EG"/>
        </w:rPr>
        <w:t xml:space="preserve"> </w:t>
      </w:r>
      <w:r w:rsidR="004832A4">
        <w:rPr>
          <w:rFonts w:eastAsia="SimSun"/>
          <w:lang w:bidi="ar-EG"/>
        </w:rPr>
        <w:t>2</w:t>
      </w:r>
      <w:r w:rsidR="004832A4">
        <w:rPr>
          <w:rFonts w:eastAsia="SimSun" w:hint="cs"/>
          <w:rtl/>
          <w:lang w:bidi="ar-EG"/>
        </w:rPr>
        <w:t xml:space="preserve"> من</w:t>
      </w:r>
      <w:r w:rsidR="00972E33">
        <w:rPr>
          <w:rFonts w:eastAsia="SimSun" w:hint="cs"/>
          <w:rtl/>
          <w:lang w:bidi="ar-EG"/>
        </w:rPr>
        <w:t xml:space="preserve"> </w:t>
      </w:r>
      <w:r w:rsidR="004832A4">
        <w:rPr>
          <w:rFonts w:eastAsia="SimSun" w:hint="cs"/>
          <w:i/>
          <w:iCs/>
          <w:rtl/>
          <w:lang w:bidi="ar-EG"/>
        </w:rPr>
        <w:t>تكلف مدير مكتب تقييس الاتصالات</w:t>
      </w:r>
      <w:r w:rsidR="00972E33">
        <w:rPr>
          <w:rFonts w:eastAsia="SimSun" w:hint="cs"/>
          <w:rtl/>
          <w:lang w:bidi="ar-EG"/>
        </w:rPr>
        <w:t xml:space="preserve"> بتنظيم ورشة عمل في </w:t>
      </w:r>
      <w:r w:rsidR="00972E33">
        <w:rPr>
          <w:rFonts w:eastAsia="SimSun"/>
          <w:lang w:bidi="ar-EG"/>
        </w:rPr>
        <w:t>2013</w:t>
      </w:r>
      <w:r w:rsidR="00972E33">
        <w:rPr>
          <w:rFonts w:eastAsia="SimSun" w:hint="cs"/>
          <w:rtl/>
          <w:lang w:bidi="ar-EG"/>
        </w:rPr>
        <w:t xml:space="preserve">. </w:t>
      </w:r>
      <w:r w:rsidR="00E83E78">
        <w:rPr>
          <w:rFonts w:eastAsia="SimSun" w:hint="cs"/>
          <w:rtl/>
          <w:lang w:bidi="ar-EG"/>
        </w:rPr>
        <w:t>وتُعقد</w:t>
      </w:r>
      <w:r w:rsidR="009E4BAB">
        <w:rPr>
          <w:rFonts w:eastAsia="SimSun" w:hint="cs"/>
          <w:rtl/>
          <w:lang w:bidi="ar-EG"/>
        </w:rPr>
        <w:t xml:space="preserve"> ورش العمل بانتظام داخل قطاع تقييس الاتصالات بشأن مواضيع عديدة</w:t>
      </w:r>
      <w:r w:rsidR="000A0BD8">
        <w:rPr>
          <w:rFonts w:eastAsia="SimSun" w:hint="cs"/>
          <w:rtl/>
          <w:lang w:bidi="ar-EG"/>
        </w:rPr>
        <w:t xml:space="preserve"> ذات فائدة تقنية حالياً</w:t>
      </w:r>
      <w:r w:rsidR="00775556">
        <w:rPr>
          <w:rFonts w:eastAsia="SimSun" w:hint="cs"/>
          <w:rtl/>
          <w:lang w:bidi="ar-EG"/>
        </w:rPr>
        <w:t xml:space="preserve">، </w:t>
      </w:r>
      <w:r w:rsidR="00C53DF0">
        <w:rPr>
          <w:rFonts w:eastAsia="SimSun" w:hint="cs"/>
          <w:rtl/>
          <w:lang w:bidi="ar-EG"/>
        </w:rPr>
        <w:t xml:space="preserve">وكان من الممكن </w:t>
      </w:r>
      <w:r w:rsidR="00AD61EA">
        <w:rPr>
          <w:rFonts w:eastAsia="SimSun" w:hint="cs"/>
          <w:rtl/>
          <w:lang w:bidi="ar-EG"/>
        </w:rPr>
        <w:t>القيام</w:t>
      </w:r>
      <w:r w:rsidR="00C53DF0">
        <w:rPr>
          <w:rFonts w:eastAsia="SimSun" w:hint="cs"/>
          <w:rtl/>
          <w:lang w:bidi="ar-EG"/>
        </w:rPr>
        <w:t xml:space="preserve"> بذلك </w:t>
      </w:r>
      <w:r w:rsidR="00BC531D">
        <w:rPr>
          <w:rFonts w:eastAsia="SimSun" w:hint="cs"/>
          <w:rtl/>
          <w:lang w:bidi="ar-EG"/>
        </w:rPr>
        <w:t>حقاً</w:t>
      </w:r>
      <w:r w:rsidR="00C53DF0">
        <w:rPr>
          <w:rFonts w:eastAsia="SimSun" w:hint="cs"/>
          <w:rtl/>
          <w:lang w:bidi="ar-EG"/>
        </w:rPr>
        <w:t xml:space="preserve"> </w:t>
      </w:r>
      <w:r w:rsidR="00BC531D">
        <w:rPr>
          <w:rFonts w:eastAsia="SimSun" w:hint="cs"/>
          <w:rtl/>
          <w:lang w:bidi="ar-EG"/>
        </w:rPr>
        <w:t>بخصوص</w:t>
      </w:r>
      <w:r w:rsidR="009E4BAB">
        <w:rPr>
          <w:rFonts w:eastAsia="SimSun" w:hint="cs"/>
          <w:rtl/>
          <w:lang w:bidi="ar-EG"/>
        </w:rPr>
        <w:t xml:space="preserve"> التوصيل الشبكي المعرّف بالبرمجيات بدون الحاجة إلى قرار </w:t>
      </w:r>
      <w:r w:rsidR="00E83E78">
        <w:rPr>
          <w:rFonts w:eastAsia="SimSun" w:hint="cs"/>
          <w:rtl/>
          <w:lang w:bidi="ar-EG"/>
        </w:rPr>
        <w:t>صادر عن الجمعية</w:t>
      </w:r>
      <w:r w:rsidR="009E4BAB">
        <w:rPr>
          <w:rFonts w:eastAsia="SimSun" w:hint="cs"/>
          <w:rtl/>
          <w:lang w:bidi="ar-EG"/>
        </w:rPr>
        <w:t>.</w:t>
      </w:r>
    </w:p>
    <w:p w:rsidR="0023052E" w:rsidRDefault="0023052E" w:rsidP="0079553D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  <w:bookmarkStart w:id="0" w:name="_GoBack"/>
      <w:bookmarkEnd w:id="0"/>
    </w:p>
    <w:p w:rsidR="00AA2068" w:rsidRDefault="0043576A">
      <w:pPr>
        <w:pStyle w:val="Proposal"/>
      </w:pPr>
      <w:r>
        <w:lastRenderedPageBreak/>
        <w:t>SUP</w:t>
      </w:r>
      <w:r>
        <w:tab/>
        <w:t>USA/48A2/1</w:t>
      </w:r>
    </w:p>
    <w:p w:rsidR="00973933" w:rsidRDefault="0043576A" w:rsidP="00075C86">
      <w:pPr>
        <w:pStyle w:val="ResNo"/>
        <w:spacing w:before="0"/>
        <w:rPr>
          <w:rtl/>
          <w:lang w:bidi="ar-SY"/>
        </w:rPr>
      </w:pPr>
      <w:bookmarkStart w:id="1" w:name="_Toc349551633"/>
      <w:r>
        <w:rPr>
          <w:rFonts w:hint="cs"/>
          <w:rtl/>
        </w:rPr>
        <w:t xml:space="preserve">القـرار </w:t>
      </w:r>
      <w:r w:rsidRPr="00F55343">
        <w:rPr>
          <w:rStyle w:val="href"/>
        </w:rPr>
        <w:t>77</w:t>
      </w:r>
      <w:r>
        <w:rPr>
          <w:rFonts w:hint="cs"/>
          <w:rtl/>
          <w:lang w:bidi="ar-SY"/>
        </w:rPr>
        <w:t xml:space="preserve"> (دبي، </w:t>
      </w:r>
      <w:r>
        <w:rPr>
          <w:lang w:bidi="ar-SY"/>
        </w:rPr>
        <w:t>2012</w:t>
      </w:r>
      <w:r>
        <w:rPr>
          <w:rFonts w:hint="cs"/>
          <w:rtl/>
          <w:lang w:bidi="ar-SY"/>
        </w:rPr>
        <w:t>)</w:t>
      </w:r>
      <w:bookmarkEnd w:id="1"/>
    </w:p>
    <w:p w:rsidR="00973933" w:rsidRPr="007C70C7" w:rsidRDefault="0043576A" w:rsidP="00973933">
      <w:pPr>
        <w:pStyle w:val="Restitle"/>
        <w:rPr>
          <w:rtl/>
        </w:rPr>
      </w:pPr>
      <w:bookmarkStart w:id="2" w:name="_Toc349551634"/>
      <w:r w:rsidRPr="00C77803">
        <w:rPr>
          <w:rFonts w:eastAsia="SimSun" w:hint="cs"/>
          <w:rtl/>
        </w:rPr>
        <w:t>أعمال التقييس</w:t>
      </w:r>
      <w:r w:rsidRPr="00F3087D">
        <w:rPr>
          <w:rFonts w:eastAsia="SimSun" w:hint="cs"/>
          <w:rtl/>
        </w:rPr>
        <w:t xml:space="preserve"> </w:t>
      </w:r>
      <w:r w:rsidRPr="00C77803">
        <w:rPr>
          <w:rFonts w:eastAsia="SimSun" w:hint="cs"/>
          <w:rtl/>
        </w:rPr>
        <w:t>المتعلقة بالتوصيل الشبكي المعرّف بالبرمجيات</w:t>
      </w:r>
      <w:r w:rsidRPr="00C77803">
        <w:rPr>
          <w:rFonts w:eastAsia="SimSun"/>
          <w:rtl/>
        </w:rPr>
        <w:br/>
      </w:r>
      <w:r w:rsidRPr="00C77803">
        <w:rPr>
          <w:rFonts w:eastAsia="SimSun" w:hint="cs"/>
          <w:rtl/>
        </w:rPr>
        <w:t>في قطاع تقييس الاتصالات</w:t>
      </w:r>
      <w:r>
        <w:rPr>
          <w:rFonts w:eastAsia="SimSun" w:hint="cs"/>
          <w:rtl/>
        </w:rPr>
        <w:t xml:space="preserve"> للاتحاد الدولي للاتصالات</w:t>
      </w:r>
      <w:bookmarkEnd w:id="2"/>
    </w:p>
    <w:p w:rsidR="00973933" w:rsidRPr="00CE7508" w:rsidRDefault="0043576A" w:rsidP="00973933">
      <w:pPr>
        <w:pStyle w:val="Resref"/>
        <w:rPr>
          <w:rFonts w:ascii="Times New Roman italic" w:hAnsi="Times New Roman italic"/>
          <w:iCs/>
          <w:rtl/>
          <w:lang w:bidi="ar-EG"/>
        </w:rPr>
      </w:pPr>
      <w:proofErr w:type="gramStart"/>
      <w:r w:rsidRPr="00CE7508">
        <w:rPr>
          <w:rFonts w:ascii="Times New Roman italic" w:hAnsi="Times New Roman italic"/>
          <w:iCs/>
        </w:rPr>
        <w:t>)</w:t>
      </w:r>
      <w:r w:rsidRPr="00CE7508">
        <w:rPr>
          <w:rFonts w:ascii="Times New Roman italic" w:hAnsi="Times New Roman italic" w:hint="cs"/>
          <w:iCs/>
          <w:rtl/>
          <w:lang w:bidi="ar-EG"/>
        </w:rPr>
        <w:t>دبي</w:t>
      </w:r>
      <w:proofErr w:type="gramEnd"/>
      <w:r w:rsidRPr="00CE7508">
        <w:rPr>
          <w:rFonts w:ascii="Times New Roman italic" w:hAnsi="Times New Roman italic" w:hint="cs"/>
          <w:iCs/>
          <w:rtl/>
          <w:lang w:bidi="ar-EG"/>
        </w:rPr>
        <w:t xml:space="preserve">، </w:t>
      </w:r>
      <w:r w:rsidRPr="00CE7508">
        <w:rPr>
          <w:rFonts w:ascii="Times New Roman italic" w:hAnsi="Times New Roman italic"/>
          <w:iCs/>
          <w:lang w:bidi="ar-EG"/>
        </w:rPr>
        <w:t>2012</w:t>
      </w:r>
      <w:r w:rsidRPr="00CE7508">
        <w:rPr>
          <w:rFonts w:ascii="Times New Roman italic" w:hAnsi="Times New Roman italic" w:hint="cs"/>
          <w:iCs/>
          <w:rtl/>
          <w:lang w:bidi="ar-EG"/>
        </w:rPr>
        <w:t>)</w:t>
      </w:r>
    </w:p>
    <w:p w:rsidR="00973933" w:rsidRDefault="0043576A" w:rsidP="00973933">
      <w:pPr>
        <w:pStyle w:val="Normalaftertitle"/>
        <w:rPr>
          <w:rtl/>
          <w:lang w:bidi="ar-EG"/>
        </w:rPr>
      </w:pPr>
      <w:r>
        <w:rPr>
          <w:rFonts w:hint="cs"/>
          <w:rtl/>
        </w:rPr>
        <w:t xml:space="preserve">إن الجمعية العالمية لتقييس الاتصالات (دبي، </w:t>
      </w:r>
      <w:r>
        <w:rPr>
          <w:lang w:bidi="ar-EG"/>
        </w:rPr>
        <w:t>(2012</w:t>
      </w:r>
      <w:r>
        <w:rPr>
          <w:rFonts w:hint="cs"/>
          <w:rtl/>
          <w:lang w:bidi="ar-EG"/>
        </w:rPr>
        <w:t>،</w:t>
      </w:r>
    </w:p>
    <w:p w:rsidR="00AA2068" w:rsidRDefault="0043576A" w:rsidP="00DC6763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C6763">
        <w:rPr>
          <w:rFonts w:hint="cs"/>
          <w:b w:val="0"/>
          <w:bCs w:val="0"/>
          <w:rtl/>
        </w:rPr>
        <w:t>انظر فقرتي الملخص والمقترح في هذه الوثيقة</w:t>
      </w:r>
      <w:r w:rsidR="004832A4">
        <w:rPr>
          <w:rFonts w:hint="cs"/>
          <w:b w:val="0"/>
          <w:bCs w:val="0"/>
          <w:rtl/>
          <w:lang w:bidi="ar-EG"/>
        </w:rPr>
        <w:t>.</w:t>
      </w:r>
    </w:p>
    <w:p w:rsidR="005F53BD" w:rsidRPr="005F53BD" w:rsidRDefault="005F53BD" w:rsidP="005F53BD">
      <w:pPr>
        <w:pStyle w:val="Reasons"/>
        <w:rPr>
          <w:b w:val="0"/>
          <w:bCs w:val="0"/>
          <w:rtl/>
          <w:lang w:bidi="ar-EG"/>
        </w:rPr>
      </w:pPr>
    </w:p>
    <w:p w:rsidR="004832A4" w:rsidRPr="004832A4" w:rsidRDefault="004832A4" w:rsidP="00DF1F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4832A4" w:rsidRPr="004832A4" w:rsidSect="007B2DA4">
      <w:headerReference w:type="default" r:id="rId13"/>
      <w:footerReference w:type="default" r:id="rId14"/>
      <w:footerReference w:type="first" r:id="rId15"/>
      <w:type w:val="continuous"/>
      <w:pgSz w:w="11907" w:h="16834" w:code="9"/>
      <w:pgMar w:top="130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285C4E" w:rsidRDefault="00285C4E" w:rsidP="00285C4E">
    <w:pPr>
      <w:pStyle w:val="Footer"/>
      <w:rPr>
        <w:lang w:val="fr-CH"/>
      </w:rPr>
    </w:pPr>
    <w:r w:rsidRPr="00285C4E">
      <w:rPr>
        <w:rFonts w:cs="Times New Roman"/>
        <w:lang w:val="fr-CH"/>
      </w:rPr>
      <w:t>ITU-T\CONF-T\WTSA16\000\048ADD2</w:t>
    </w:r>
    <w:r>
      <w:rPr>
        <w:rFonts w:cs="Times New Roman"/>
        <w:lang w:val="fr-CH"/>
      </w:rPr>
      <w:t>A</w:t>
    </w:r>
    <w:r w:rsidRPr="00285C4E">
      <w:rPr>
        <w:rFonts w:cs="Times New Roman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285C4E" w:rsidRDefault="00285C4E" w:rsidP="00285C4E">
    <w:pPr>
      <w:pStyle w:val="Footer"/>
      <w:rPr>
        <w:lang w:val="fr-CH"/>
      </w:rPr>
    </w:pPr>
    <w:r w:rsidRPr="00285C4E">
      <w:rPr>
        <w:rFonts w:cs="Times New Roman"/>
        <w:lang w:val="fr-CH"/>
      </w:rPr>
      <w:t>ITU-T\CONF-T\WTSA16\000\048ADD2A.DOC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285C4E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WTSA16/48(Add.2)-A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30E5"/>
    <w:rsid w:val="00006251"/>
    <w:rsid w:val="000124CC"/>
    <w:rsid w:val="00046444"/>
    <w:rsid w:val="0006023B"/>
    <w:rsid w:val="000620EA"/>
    <w:rsid w:val="0008638B"/>
    <w:rsid w:val="00090574"/>
    <w:rsid w:val="00092FC2"/>
    <w:rsid w:val="000A0BD8"/>
    <w:rsid w:val="000A1677"/>
    <w:rsid w:val="000B407F"/>
    <w:rsid w:val="000F0B1C"/>
    <w:rsid w:val="000F1D42"/>
    <w:rsid w:val="000F4D07"/>
    <w:rsid w:val="00102A03"/>
    <w:rsid w:val="001040A3"/>
    <w:rsid w:val="0012584E"/>
    <w:rsid w:val="00173915"/>
    <w:rsid w:val="0020643B"/>
    <w:rsid w:val="002114EF"/>
    <w:rsid w:val="0022345D"/>
    <w:rsid w:val="00225854"/>
    <w:rsid w:val="002266EA"/>
    <w:rsid w:val="0023052E"/>
    <w:rsid w:val="0023283D"/>
    <w:rsid w:val="002441E5"/>
    <w:rsid w:val="00252E0C"/>
    <w:rsid w:val="00261F4B"/>
    <w:rsid w:val="00276881"/>
    <w:rsid w:val="00285C4E"/>
    <w:rsid w:val="002978F4"/>
    <w:rsid w:val="002B028D"/>
    <w:rsid w:val="002B435E"/>
    <w:rsid w:val="002C4DAE"/>
    <w:rsid w:val="002D2C23"/>
    <w:rsid w:val="002E6541"/>
    <w:rsid w:val="002F5560"/>
    <w:rsid w:val="0030486B"/>
    <w:rsid w:val="003231B9"/>
    <w:rsid w:val="003275AC"/>
    <w:rsid w:val="00333D29"/>
    <w:rsid w:val="003409F4"/>
    <w:rsid w:val="00344279"/>
    <w:rsid w:val="00357185"/>
    <w:rsid w:val="003C475F"/>
    <w:rsid w:val="003E4132"/>
    <w:rsid w:val="003F678F"/>
    <w:rsid w:val="0042686F"/>
    <w:rsid w:val="0043576A"/>
    <w:rsid w:val="004367CE"/>
    <w:rsid w:val="00443869"/>
    <w:rsid w:val="004712C6"/>
    <w:rsid w:val="004832A4"/>
    <w:rsid w:val="00497703"/>
    <w:rsid w:val="004E7D9F"/>
    <w:rsid w:val="004F0F06"/>
    <w:rsid w:val="00501E0E"/>
    <w:rsid w:val="005204D7"/>
    <w:rsid w:val="00524A3B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53BD"/>
    <w:rsid w:val="00606660"/>
    <w:rsid w:val="006157A3"/>
    <w:rsid w:val="00620E60"/>
    <w:rsid w:val="0063315A"/>
    <w:rsid w:val="0065591D"/>
    <w:rsid w:val="00662C5A"/>
    <w:rsid w:val="00670AF5"/>
    <w:rsid w:val="006C1556"/>
    <w:rsid w:val="006D52FA"/>
    <w:rsid w:val="006F04F4"/>
    <w:rsid w:val="006F267F"/>
    <w:rsid w:val="006F63F7"/>
    <w:rsid w:val="006F6F03"/>
    <w:rsid w:val="00706D7A"/>
    <w:rsid w:val="00726AEC"/>
    <w:rsid w:val="007331F2"/>
    <w:rsid w:val="007530CA"/>
    <w:rsid w:val="00754274"/>
    <w:rsid w:val="007637F1"/>
    <w:rsid w:val="00775556"/>
    <w:rsid w:val="0079553D"/>
    <w:rsid w:val="007B01CC"/>
    <w:rsid w:val="007B2DA4"/>
    <w:rsid w:val="007E147B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A1B6F"/>
    <w:rsid w:val="008E439C"/>
    <w:rsid w:val="00917694"/>
    <w:rsid w:val="009263CD"/>
    <w:rsid w:val="00930E6D"/>
    <w:rsid w:val="00950E44"/>
    <w:rsid w:val="00970544"/>
    <w:rsid w:val="00972CA2"/>
    <w:rsid w:val="00972E33"/>
    <w:rsid w:val="00982B28"/>
    <w:rsid w:val="00984EA5"/>
    <w:rsid w:val="00992593"/>
    <w:rsid w:val="009C17E1"/>
    <w:rsid w:val="009C35ED"/>
    <w:rsid w:val="009E4BAB"/>
    <w:rsid w:val="009F1C12"/>
    <w:rsid w:val="009F7F04"/>
    <w:rsid w:val="00A25A43"/>
    <w:rsid w:val="00A3295B"/>
    <w:rsid w:val="00A36C58"/>
    <w:rsid w:val="00A42AE5"/>
    <w:rsid w:val="00A52B61"/>
    <w:rsid w:val="00A64820"/>
    <w:rsid w:val="00A71DD6"/>
    <w:rsid w:val="00A723C7"/>
    <w:rsid w:val="00A80E11"/>
    <w:rsid w:val="00A97F94"/>
    <w:rsid w:val="00AA1C99"/>
    <w:rsid w:val="00AA2068"/>
    <w:rsid w:val="00AB1309"/>
    <w:rsid w:val="00AC2C52"/>
    <w:rsid w:val="00AD1503"/>
    <w:rsid w:val="00AD61EA"/>
    <w:rsid w:val="00AE7244"/>
    <w:rsid w:val="00AF3FEE"/>
    <w:rsid w:val="00B02F46"/>
    <w:rsid w:val="00B2000C"/>
    <w:rsid w:val="00B20ADE"/>
    <w:rsid w:val="00B557F9"/>
    <w:rsid w:val="00B62DA8"/>
    <w:rsid w:val="00B66B9A"/>
    <w:rsid w:val="00B82089"/>
    <w:rsid w:val="00B970AE"/>
    <w:rsid w:val="00BA1427"/>
    <w:rsid w:val="00BC531D"/>
    <w:rsid w:val="00BD0AF2"/>
    <w:rsid w:val="00BE49D0"/>
    <w:rsid w:val="00BF2C38"/>
    <w:rsid w:val="00C23331"/>
    <w:rsid w:val="00C265DA"/>
    <w:rsid w:val="00C442F2"/>
    <w:rsid w:val="00C53DF0"/>
    <w:rsid w:val="00C674FE"/>
    <w:rsid w:val="00C7297D"/>
    <w:rsid w:val="00C75633"/>
    <w:rsid w:val="00C8242E"/>
    <w:rsid w:val="00C82615"/>
    <w:rsid w:val="00C867DB"/>
    <w:rsid w:val="00CA12B7"/>
    <w:rsid w:val="00CA2A38"/>
    <w:rsid w:val="00CA50FF"/>
    <w:rsid w:val="00CC3CD2"/>
    <w:rsid w:val="00CC43BE"/>
    <w:rsid w:val="00CD123C"/>
    <w:rsid w:val="00CD2085"/>
    <w:rsid w:val="00CE2EE1"/>
    <w:rsid w:val="00CE7508"/>
    <w:rsid w:val="00CF3FFD"/>
    <w:rsid w:val="00D0494C"/>
    <w:rsid w:val="00D14BEB"/>
    <w:rsid w:val="00D21C89"/>
    <w:rsid w:val="00D44C1D"/>
    <w:rsid w:val="00D45542"/>
    <w:rsid w:val="00D74018"/>
    <w:rsid w:val="00D77D0F"/>
    <w:rsid w:val="00DA1CF0"/>
    <w:rsid w:val="00DB2271"/>
    <w:rsid w:val="00DB5659"/>
    <w:rsid w:val="00DC24B4"/>
    <w:rsid w:val="00DC6763"/>
    <w:rsid w:val="00DD3F27"/>
    <w:rsid w:val="00DD7A05"/>
    <w:rsid w:val="00DF16DC"/>
    <w:rsid w:val="00DF1F6C"/>
    <w:rsid w:val="00DF5361"/>
    <w:rsid w:val="00E009A1"/>
    <w:rsid w:val="00E00D15"/>
    <w:rsid w:val="00E071BE"/>
    <w:rsid w:val="00E07379"/>
    <w:rsid w:val="00E14494"/>
    <w:rsid w:val="00E17033"/>
    <w:rsid w:val="00E2272D"/>
    <w:rsid w:val="00E32189"/>
    <w:rsid w:val="00E45211"/>
    <w:rsid w:val="00E7380C"/>
    <w:rsid w:val="00E74BE7"/>
    <w:rsid w:val="00E83E78"/>
    <w:rsid w:val="00E86CC9"/>
    <w:rsid w:val="00E96624"/>
    <w:rsid w:val="00F126F1"/>
    <w:rsid w:val="00F2106A"/>
    <w:rsid w:val="00F34F8B"/>
    <w:rsid w:val="00F36D8B"/>
    <w:rsid w:val="00F401D0"/>
    <w:rsid w:val="00F45F2B"/>
    <w:rsid w:val="00F46A71"/>
    <w:rsid w:val="00F57AE4"/>
    <w:rsid w:val="00F67150"/>
    <w:rsid w:val="00F80A0B"/>
    <w:rsid w:val="00F84366"/>
    <w:rsid w:val="00F85089"/>
    <w:rsid w:val="00F85564"/>
    <w:rsid w:val="00F86CFA"/>
    <w:rsid w:val="00FA705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meetingdoc.asp?lang=en&amp;parent=T13-TSAG-160718-TD-GEN-053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fd28a1c-ae61-4da3-bec2-2ada24b6f30e">Documents Proposals Manager (DPM)</DPM_x0020_Author>
    <DPM_x0020_File_x0020_name xmlns="0fd28a1c-ae61-4da3-bec2-2ada24b6f30e">T13-WTSA.16-C-0048!A2!MSW-A</DPM_x0020_File_x0020_name>
    <DPM_x0020_Version xmlns="0fd28a1c-ae61-4da3-bec2-2ada24b6f30e">DPM_v2016.9.13.3_prod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fd28a1c-ae61-4da3-bec2-2ada24b6f30e" targetNamespace="http://schemas.microsoft.com/office/2006/metadata/properties" ma:root="true" ma:fieldsID="d41af5c836d734370eb92e7ee5f83852" ns2:_="" ns3:_="">
    <xsd:import namespace="996b2e75-67fd-4955-a3b0-5ab9934cb50b"/>
    <xsd:import namespace="0fd28a1c-ae61-4da3-bec2-2ada24b6f30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28a1c-ae61-4da3-bec2-2ada24b6f30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0fd28a1c-ae61-4da3-bec2-2ada24b6f30e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fd28a1c-ae61-4da3-bec2-2ada24b6f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86A23-0968-4160-8474-4BBAED48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T13-WTSA.16-C-0048!A2!MSW-A</vt:lpstr>
    </vt:vector>
  </TitlesOfParts>
  <Company>International Telecommunication Union (ITU)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T13-WTSA.16-C-0048!A2!MSW-A</dc:title>
  <dc:subject>World Telecommunication Standardization Assembly</dc:subject>
  <dc:creator>Documents Proposals Manager (DPM)</dc:creator>
  <cp:keywords>DPM_v2016.9.13.3_prod</cp:keywords>
  <dc:description>Template used by DPM and CPI for the WTSA-16</dc:description>
  <cp:lastModifiedBy>Clark, Robert</cp:lastModifiedBy>
  <cp:revision>19</cp:revision>
  <cp:lastPrinted>2016-09-16T07:52:00Z</cp:lastPrinted>
  <dcterms:created xsi:type="dcterms:W3CDTF">2016-09-19T14:33:00Z</dcterms:created>
  <dcterms:modified xsi:type="dcterms:W3CDTF">2016-09-21T08:50:00Z</dcterms:modified>
  <cp:category>Conference document</cp:category>
</cp:coreProperties>
</file>