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ayout w:type="fixed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2D1AB7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C26944" w:rsidRDefault="00102A03" w:rsidP="00A25A43">
            <w:pPr>
              <w:spacing w:before="80"/>
              <w:jc w:val="left"/>
              <w:rPr>
                <w:rFonts w:ascii="Verdana Bold" w:hAnsi="Verdana Bold"/>
                <w:b/>
                <w:bCs/>
                <w:sz w:val="20"/>
                <w:szCs w:val="32"/>
                <w:rtl/>
                <w:lang w:bidi="ar-EG"/>
              </w:rPr>
            </w:pPr>
            <w:r w:rsidRPr="00C26944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>الحمامات</w:t>
            </w:r>
            <w:r w:rsidR="0059285F" w:rsidRPr="00C26944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، </w:t>
            </w:r>
            <w:r w:rsidR="00092FC2" w:rsidRPr="00C26944">
              <w:rPr>
                <w:rFonts w:ascii="Verdana Bold" w:hAnsi="Verdana Bold"/>
                <w:b/>
                <w:bCs/>
                <w:sz w:val="20"/>
                <w:szCs w:val="32"/>
                <w:lang w:bidi="ar-SY"/>
              </w:rPr>
              <w:t>25</w:t>
            </w:r>
            <w:r w:rsidR="0059285F" w:rsidRPr="00C26944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 </w:t>
            </w:r>
            <w:r w:rsidR="00092FC2" w:rsidRPr="00C26944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>أكتوبر</w:t>
            </w:r>
            <w:r w:rsidR="00092FC2" w:rsidRPr="00C26944">
              <w:rPr>
                <w:rFonts w:ascii="Verdana Bold" w:hAnsi="Verdana Bold" w:cs="Times New Roman" w:hint="cs"/>
                <w:b/>
                <w:bCs/>
                <w:sz w:val="20"/>
                <w:szCs w:val="32"/>
                <w:rtl/>
                <w:lang w:bidi="ar-EG"/>
              </w:rPr>
              <w:t xml:space="preserve"> </w:t>
            </w:r>
            <w:r w:rsidR="00092FC2" w:rsidRPr="00C26944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- </w:t>
            </w:r>
            <w:r w:rsidR="00092FC2" w:rsidRPr="00C26944">
              <w:rPr>
                <w:rFonts w:ascii="Verdana Bold" w:hAnsi="Verdana Bold"/>
                <w:b/>
                <w:bCs/>
                <w:sz w:val="20"/>
                <w:szCs w:val="32"/>
                <w:lang w:bidi="ar-EG"/>
              </w:rPr>
              <w:t>3</w:t>
            </w:r>
            <w:r w:rsidR="00092FC2" w:rsidRPr="00C26944">
              <w:rPr>
                <w:rFonts w:ascii="Verdana Bold" w:hAnsi="Verdana Bold" w:cs="Times New Roman" w:hint="cs"/>
                <w:b/>
                <w:bCs/>
                <w:sz w:val="20"/>
                <w:szCs w:val="32"/>
                <w:rtl/>
                <w:lang w:bidi="ar-EG"/>
              </w:rPr>
              <w:t xml:space="preserve"> </w:t>
            </w:r>
            <w:r w:rsidR="00092FC2" w:rsidRPr="00C26944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>نوفمبر</w:t>
            </w:r>
            <w:r w:rsidR="0059285F" w:rsidRPr="00C26944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 </w:t>
            </w:r>
            <w:r w:rsidR="00092FC2" w:rsidRPr="00C26944">
              <w:rPr>
                <w:rFonts w:ascii="Verdana Bold" w:hAnsi="Verdana Bold"/>
                <w:b/>
                <w:bCs/>
                <w:sz w:val="20"/>
                <w:szCs w:val="32"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2D1AB7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2D1AB7">
            <w:pPr>
              <w:spacing w:before="0" w:after="40" w:line="300" w:lineRule="exact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2D1AB7">
            <w:pPr>
              <w:spacing w:before="0" w:after="40" w:line="300" w:lineRule="exact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2D1AB7">
            <w:pPr>
              <w:spacing w:before="0" w:after="40" w:line="300" w:lineRule="exact"/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2D1AB7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2D1AB7">
            <w:pPr>
              <w:spacing w:before="0" w:after="40" w:line="30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2D1AB7">
            <w:pPr>
              <w:spacing w:before="0" w:after="40" w:line="30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2D1AB7">
        <w:trPr>
          <w:cantSplit/>
          <w:jc w:val="right"/>
        </w:trPr>
        <w:tc>
          <w:tcPr>
            <w:tcW w:w="3428" w:type="pct"/>
            <w:gridSpan w:val="2"/>
          </w:tcPr>
          <w:p w:rsidR="0022345D" w:rsidRPr="005114FA" w:rsidRDefault="0022345D" w:rsidP="002D1AB7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after="40" w:line="300" w:lineRule="exact"/>
              <w:rPr>
                <w:rFonts w:ascii="Verdana Bold" w:hAnsi="Verdana Bold" w:cs="Traditional Arabic"/>
                <w:bCs/>
                <w:sz w:val="19"/>
                <w:szCs w:val="30"/>
                <w:rtl/>
              </w:rPr>
            </w:pPr>
            <w:r w:rsidRPr="005114FA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5114FA" w:rsidRDefault="0022345D" w:rsidP="002D1AB7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  <w:r w:rsidRPr="005114FA">
              <w:rPr>
                <w:rtl/>
              </w:rPr>
              <w:t xml:space="preserve">الإضافة </w:t>
            </w:r>
            <w:r w:rsidRPr="005114FA">
              <w:t>13</w:t>
            </w:r>
            <w:r w:rsidRPr="005114FA">
              <w:br/>
            </w:r>
            <w:r w:rsidRPr="005114FA">
              <w:rPr>
                <w:rtl/>
              </w:rPr>
              <w:t xml:space="preserve">للوثيقة </w:t>
            </w:r>
            <w:r w:rsidRPr="005114FA">
              <w:t>48-</w:t>
            </w:r>
            <w:r w:rsidR="005114FA" w:rsidRPr="005114FA">
              <w:t>A</w:t>
            </w:r>
          </w:p>
        </w:tc>
      </w:tr>
      <w:tr w:rsidR="0022345D" w:rsidRPr="00E07379" w:rsidTr="002D1AB7">
        <w:trPr>
          <w:cantSplit/>
          <w:jc w:val="right"/>
        </w:trPr>
        <w:tc>
          <w:tcPr>
            <w:tcW w:w="3428" w:type="pct"/>
            <w:gridSpan w:val="2"/>
          </w:tcPr>
          <w:p w:rsidR="0022345D" w:rsidRPr="005114FA" w:rsidRDefault="0022345D" w:rsidP="002D1AB7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5114FA" w:rsidRDefault="0022345D" w:rsidP="002D1AB7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  <w:r w:rsidRPr="005114FA">
              <w:rPr>
                <w:rFonts w:eastAsia="SimSun"/>
              </w:rPr>
              <w:t>6</w:t>
            </w:r>
            <w:r w:rsidRPr="005114FA">
              <w:rPr>
                <w:rFonts w:eastAsia="SimSun"/>
                <w:rtl/>
              </w:rPr>
              <w:t xml:space="preserve"> أكتوبر </w:t>
            </w:r>
            <w:r w:rsidRPr="005114FA">
              <w:rPr>
                <w:rFonts w:eastAsia="SimSun"/>
              </w:rPr>
              <w:t>2016</w:t>
            </w:r>
          </w:p>
        </w:tc>
      </w:tr>
      <w:tr w:rsidR="0022345D" w:rsidRPr="00E07379" w:rsidTr="002D1AB7">
        <w:trPr>
          <w:cantSplit/>
          <w:jc w:val="right"/>
        </w:trPr>
        <w:tc>
          <w:tcPr>
            <w:tcW w:w="3428" w:type="pct"/>
            <w:gridSpan w:val="2"/>
          </w:tcPr>
          <w:p w:rsidR="0022345D" w:rsidRPr="005114FA" w:rsidRDefault="0022345D" w:rsidP="002D1AB7">
            <w:pPr>
              <w:pStyle w:val="Adress"/>
              <w:framePr w:hSpace="0" w:wrap="auto" w:xAlign="left" w:yAlign="inline"/>
              <w:spacing w:before="0" w:after="40" w:line="300" w:lineRule="exact"/>
            </w:pPr>
          </w:p>
        </w:tc>
        <w:tc>
          <w:tcPr>
            <w:tcW w:w="1572" w:type="pct"/>
            <w:gridSpan w:val="2"/>
            <w:vAlign w:val="center"/>
          </w:tcPr>
          <w:p w:rsidR="0022345D" w:rsidRPr="005114FA" w:rsidRDefault="0022345D" w:rsidP="002D1AB7">
            <w:pPr>
              <w:pStyle w:val="Adress"/>
              <w:framePr w:hSpace="0" w:wrap="auto" w:xAlign="left" w:yAlign="inline"/>
              <w:spacing w:before="0" w:after="40" w:line="300" w:lineRule="exact"/>
              <w:rPr>
                <w:rFonts w:eastAsia="SimSun" w:hint="eastAsia"/>
              </w:rPr>
            </w:pPr>
            <w:r w:rsidRPr="005114FA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2D1AB7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2D1AB7">
            <w:pPr>
              <w:spacing w:before="0" w:after="40" w:line="30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2D1AB7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الولايات المتحدة الأمريكية</w:t>
            </w:r>
          </w:p>
        </w:tc>
      </w:tr>
      <w:tr w:rsidR="0022345D" w:rsidRPr="00E07379" w:rsidTr="002D1AB7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6074CE" w:rsidP="00A40A1F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  <w:lang w:bidi="ar-SA"/>
              </w:rPr>
              <w:t>مقترح</w:t>
            </w:r>
            <w:r w:rsidR="005114FA" w:rsidRPr="005114FA">
              <w:rPr>
                <w:rtl/>
                <w:lang w:bidi="ar-SA"/>
              </w:rPr>
              <w:t xml:space="preserve"> </w:t>
            </w:r>
            <w:r w:rsidR="00A40A1F">
              <w:rPr>
                <w:rFonts w:hint="cs"/>
                <w:rtl/>
                <w:lang w:bidi="ar-SA"/>
              </w:rPr>
              <w:t>لإ</w:t>
            </w:r>
            <w:r w:rsidR="005114FA" w:rsidRPr="005114FA">
              <w:rPr>
                <w:rtl/>
                <w:lang w:bidi="ar-SA"/>
              </w:rPr>
              <w:t xml:space="preserve">لغاء القـرار </w:t>
            </w:r>
            <w:r w:rsidR="005114FA">
              <w:rPr>
                <w:lang w:bidi="ar-SA"/>
              </w:rPr>
              <w:t>48</w:t>
            </w:r>
            <w:r w:rsidR="005114FA" w:rsidRPr="005114FA">
              <w:rPr>
                <w:rtl/>
                <w:lang w:bidi="ar-SA"/>
              </w:rPr>
              <w:t xml:space="preserve"> للجمعية العال‍مية لتقييس الاتصالات</w:t>
            </w:r>
            <w:r w:rsidR="005114FA">
              <w:rPr>
                <w:rtl/>
                <w:lang w:bidi="ar-SA"/>
              </w:rPr>
              <w:br/>
            </w:r>
            <w:r w:rsidR="005114FA" w:rsidRPr="005114FA">
              <w:rPr>
                <w:rtl/>
                <w:lang w:bidi="ar-SA"/>
              </w:rPr>
              <w:t>لعام</w:t>
            </w:r>
            <w:r>
              <w:rPr>
                <w:rFonts w:hint="cs"/>
                <w:rtl/>
                <w:lang w:bidi="ar-SA"/>
              </w:rPr>
              <w:t> </w:t>
            </w:r>
            <w:r w:rsidR="005114FA">
              <w:rPr>
                <w:lang w:bidi="ar-SA"/>
              </w:rPr>
              <w:t>2012</w:t>
            </w:r>
            <w:r w:rsidR="005114FA">
              <w:rPr>
                <w:rFonts w:hint="cs"/>
                <w:rtl/>
              </w:rPr>
              <w:t xml:space="preserve"> </w:t>
            </w:r>
            <w:r w:rsidR="005114FA" w:rsidRPr="005114FA">
              <w:t>(WTSA-12)</w:t>
            </w:r>
            <w:r w:rsidR="005114FA">
              <w:rPr>
                <w:rFonts w:hint="cs"/>
                <w:rtl/>
              </w:rPr>
              <w:t xml:space="preserve"> - </w:t>
            </w:r>
            <w:r w:rsidR="005114FA" w:rsidRPr="005114FA">
              <w:rPr>
                <w:rtl/>
                <w:lang w:bidi="ar-SA"/>
              </w:rPr>
              <w:t>أسماء ا</w:t>
            </w:r>
            <w:r w:rsidR="00283836">
              <w:rPr>
                <w:rtl/>
                <w:lang w:bidi="ar-SA"/>
              </w:rPr>
              <w:t>لميادين الدولية (المتعددة اللغا</w:t>
            </w:r>
            <w:r w:rsidR="00283836">
              <w:rPr>
                <w:rFonts w:hint="cs"/>
                <w:rtl/>
                <w:lang w:bidi="ar-SA"/>
              </w:rPr>
              <w:t>ت)</w:t>
            </w:r>
          </w:p>
        </w:tc>
      </w:tr>
      <w:tr w:rsidR="0022345D" w:rsidRPr="00E07379" w:rsidTr="002D1AB7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2D1AB7">
            <w:pPr>
              <w:pStyle w:val="Agendaitem"/>
              <w:spacing w:before="240" w:line="192" w:lineRule="auto"/>
            </w:pPr>
          </w:p>
        </w:tc>
      </w:tr>
      <w:tr w:rsidR="002D1AB7" w:rsidRPr="00E07379" w:rsidTr="002D1AB7">
        <w:trPr>
          <w:cantSplit/>
          <w:jc w:val="right"/>
        </w:trPr>
        <w:tc>
          <w:tcPr>
            <w:tcW w:w="5000" w:type="pct"/>
            <w:gridSpan w:val="4"/>
          </w:tcPr>
          <w:p w:rsidR="002D1AB7" w:rsidRPr="002919E1" w:rsidRDefault="002D1AB7" w:rsidP="002D1AB7">
            <w:pPr>
              <w:pStyle w:val="Agendaitem"/>
              <w:spacing w:line="192" w:lineRule="auto"/>
            </w:pPr>
          </w:p>
        </w:tc>
      </w:tr>
    </w:tbl>
    <w:p w:rsidR="006157A3" w:rsidRDefault="006157A3" w:rsidP="002D1AB7">
      <w:pPr>
        <w:spacing w:before="0"/>
        <w:rPr>
          <w:lang w:bidi="ar-EG"/>
        </w:rPr>
      </w:pPr>
    </w:p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080"/>
        <w:gridCol w:w="1484"/>
      </w:tblGrid>
      <w:tr w:rsidR="006157A3" w:rsidRPr="00E70E87" w:rsidTr="002D1AB7">
        <w:trPr>
          <w:cantSplit/>
          <w:jc w:val="right"/>
        </w:trPr>
        <w:tc>
          <w:tcPr>
            <w:tcW w:w="8080" w:type="dxa"/>
          </w:tcPr>
          <w:p w:rsidR="006157A3" w:rsidRPr="00283836" w:rsidRDefault="005114FA" w:rsidP="003F2929">
            <w:pPr>
              <w:rPr>
                <w:highlight w:val="cyan"/>
                <w:rtl/>
                <w:lang w:bidi="ar-EG"/>
              </w:rPr>
            </w:pPr>
            <w:r w:rsidRPr="005044DC">
              <w:rPr>
                <w:rtl/>
              </w:rPr>
              <w:t xml:space="preserve">تماشياً مع </w:t>
            </w:r>
            <w:r w:rsidRPr="005044DC">
              <w:rPr>
                <w:rFonts w:hint="cs"/>
                <w:rtl/>
              </w:rPr>
              <w:t>ال</w:t>
            </w:r>
            <w:r w:rsidRPr="005044DC">
              <w:rPr>
                <w:rtl/>
              </w:rPr>
              <w:t xml:space="preserve">مبادئ </w:t>
            </w:r>
            <w:r w:rsidRPr="005044DC">
              <w:rPr>
                <w:rFonts w:hint="cs"/>
                <w:rtl/>
              </w:rPr>
              <w:t>ال</w:t>
            </w:r>
            <w:r w:rsidRPr="005044DC">
              <w:rPr>
                <w:rtl/>
              </w:rPr>
              <w:t>توجيهية</w:t>
            </w:r>
            <w:r w:rsidR="005044DC">
              <w:rPr>
                <w:rFonts w:hint="cs"/>
                <w:rtl/>
              </w:rPr>
              <w:t xml:space="preserve"> التي اقترحها</w:t>
            </w:r>
            <w:r w:rsidRPr="005044DC">
              <w:rPr>
                <w:rtl/>
              </w:rPr>
              <w:t xml:space="preserve"> مدير مكتب تقييس الاتصالات</w:t>
            </w:r>
            <w:r w:rsidRPr="005044DC">
              <w:rPr>
                <w:rFonts w:hint="cs"/>
                <w:rtl/>
              </w:rPr>
              <w:t xml:space="preserve"> </w:t>
            </w:r>
            <w:r w:rsidR="00283836" w:rsidRPr="005044DC">
              <w:rPr>
                <w:rFonts w:hint="cs"/>
                <w:rtl/>
              </w:rPr>
              <w:t>بشأن</w:t>
            </w:r>
            <w:r w:rsidRPr="005044DC">
              <w:rPr>
                <w:rtl/>
              </w:rPr>
              <w:t xml:space="preserve"> قرارات ال</w:t>
            </w:r>
            <w:r w:rsidR="005044DC">
              <w:rPr>
                <w:rtl/>
              </w:rPr>
              <w:t>جمعية العالمية لتقييس الاتصالات</w:t>
            </w:r>
            <w:r w:rsidR="005044DC">
              <w:rPr>
                <w:rFonts w:hint="cs"/>
                <w:rtl/>
              </w:rPr>
              <w:t xml:space="preserve"> الواردة</w:t>
            </w:r>
            <w:r w:rsidRPr="005044DC">
              <w:rPr>
                <w:rtl/>
              </w:rPr>
              <w:t xml:space="preserve"> ‏في الوثيقة ‏</w:t>
            </w:r>
            <w:r w:rsidRPr="005044DC">
              <w:t>TD 532</w:t>
            </w:r>
            <w:r w:rsidRPr="005044DC">
              <w:rPr>
                <w:cs/>
              </w:rPr>
              <w:t>‎</w:t>
            </w:r>
            <w:r w:rsidRPr="005044DC">
              <w:rPr>
                <w:rtl/>
              </w:rPr>
              <w:t>‏ للفريق الاستشاري لتقييس الاتصالات</w:t>
            </w:r>
            <w:r w:rsidR="00283836" w:rsidRPr="005044DC">
              <w:rPr>
                <w:rFonts w:hint="cs"/>
                <w:rtl/>
              </w:rPr>
              <w:t xml:space="preserve"> وتقرير مكتب تقييس الاتصالات</w:t>
            </w:r>
            <w:r w:rsidR="003F2929">
              <w:rPr>
                <w:rFonts w:hint="cs"/>
                <w:rtl/>
              </w:rPr>
              <w:t>،</w:t>
            </w:r>
            <w:r w:rsidR="00283836" w:rsidRPr="005044DC">
              <w:rPr>
                <w:rFonts w:hint="cs"/>
                <w:rtl/>
              </w:rPr>
              <w:t xml:space="preserve"> الإصدا</w:t>
            </w:r>
            <w:r w:rsidR="00283836" w:rsidRPr="005044DC">
              <w:rPr>
                <w:rFonts w:hint="eastAsia"/>
                <w:rtl/>
              </w:rPr>
              <w:t>ر</w:t>
            </w:r>
            <w:r w:rsidR="00283836" w:rsidRPr="005044DC">
              <w:rPr>
                <w:rFonts w:hint="cs"/>
                <w:rtl/>
                <w:lang w:bidi="ar-EG"/>
              </w:rPr>
              <w:t xml:space="preserve"> </w:t>
            </w:r>
            <w:r w:rsidR="00A43DC0">
              <w:rPr>
                <w:rFonts w:hint="cs"/>
                <w:rtl/>
                <w:lang w:bidi="ar-EG"/>
              </w:rPr>
              <w:t>السادس</w:t>
            </w:r>
            <w:r w:rsidR="003F2929">
              <w:rPr>
                <w:rFonts w:hint="cs"/>
                <w:rtl/>
                <w:lang w:bidi="ar-EG"/>
              </w:rPr>
              <w:t>،</w:t>
            </w:r>
            <w:r w:rsidR="00283836" w:rsidRPr="005044DC">
              <w:rPr>
                <w:rFonts w:hint="cs"/>
                <w:rtl/>
                <w:lang w:bidi="ar-EG"/>
              </w:rPr>
              <w:t xml:space="preserve"> </w:t>
            </w:r>
            <w:r w:rsidR="00A43DC0">
              <w:rPr>
                <w:rFonts w:hint="cs"/>
                <w:rtl/>
                <w:lang w:bidi="ar-EG"/>
              </w:rPr>
              <w:t>ل</w:t>
            </w:r>
            <w:r w:rsidR="00283836" w:rsidRPr="005044DC">
              <w:rPr>
                <w:rFonts w:hint="cs"/>
                <w:rtl/>
                <w:lang w:bidi="ar-EG"/>
              </w:rPr>
              <w:t xml:space="preserve">خطة </w:t>
            </w:r>
            <w:r w:rsidR="006074CE" w:rsidRPr="005044DC">
              <w:rPr>
                <w:rFonts w:hint="cs"/>
                <w:rtl/>
                <w:lang w:bidi="ar-EG"/>
              </w:rPr>
              <w:t>عمل الجمعية العالمية لتقييس الاتصالات</w:t>
            </w:r>
            <w:r w:rsidR="00283836" w:rsidRPr="005044DC">
              <w:rPr>
                <w:rFonts w:hint="cs"/>
                <w:rtl/>
                <w:lang w:bidi="ar-EG"/>
              </w:rPr>
              <w:t xml:space="preserve"> </w:t>
            </w:r>
            <w:r w:rsidR="00283836" w:rsidRPr="005044DC">
              <w:rPr>
                <w:rtl/>
              </w:rPr>
              <w:t xml:space="preserve">لعام </w:t>
            </w:r>
            <w:r w:rsidR="00283836" w:rsidRPr="005044DC">
              <w:rPr>
                <w:lang w:bidi="ar-EG"/>
              </w:rPr>
              <w:t>2012</w:t>
            </w:r>
            <w:r w:rsidR="00283836" w:rsidRPr="005044DC">
              <w:rPr>
                <w:rFonts w:hint="cs"/>
                <w:rtl/>
              </w:rPr>
              <w:t xml:space="preserve"> </w:t>
            </w:r>
            <w:r w:rsidR="00283836" w:rsidRPr="005044DC">
              <w:rPr>
                <w:lang w:bidi="ar-EG"/>
              </w:rPr>
              <w:t>(WTSA-12)</w:t>
            </w:r>
            <w:r w:rsidR="00283836" w:rsidRPr="005044DC">
              <w:rPr>
                <w:rFonts w:hint="cs"/>
                <w:rtl/>
                <w:lang w:bidi="ar-EG"/>
              </w:rPr>
              <w:t xml:space="preserve">، تقترح الولايات المتحدة إلغاء القرار </w:t>
            </w:r>
            <w:r w:rsidR="00283836" w:rsidRPr="005044DC">
              <w:rPr>
                <w:lang w:bidi="ar-EG"/>
              </w:rPr>
              <w:t>48</w:t>
            </w:r>
            <w:r w:rsidR="00283836" w:rsidRPr="005044DC">
              <w:rPr>
                <w:rFonts w:hint="cs"/>
                <w:rtl/>
                <w:lang w:bidi="ar-EG"/>
              </w:rPr>
              <w:t xml:space="preserve"> </w:t>
            </w:r>
            <w:r w:rsidR="00283836" w:rsidRPr="005044DC">
              <w:rPr>
                <w:rtl/>
              </w:rPr>
              <w:t>للجمعية العال‍مية لتقييس الاتصالات</w:t>
            </w:r>
            <w:r w:rsidR="006074CE" w:rsidRPr="005044DC">
              <w:rPr>
                <w:rFonts w:hint="cs"/>
                <w:rtl/>
              </w:rPr>
              <w:t>.</w:t>
            </w:r>
          </w:p>
        </w:tc>
        <w:tc>
          <w:tcPr>
            <w:tcW w:w="1484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E70E87">
              <w:t>:</w:t>
            </w:r>
          </w:p>
        </w:tc>
      </w:tr>
    </w:tbl>
    <w:p w:rsidR="00283836" w:rsidRDefault="00283836" w:rsidP="00283836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A73C01" w:rsidRPr="00C16C93" w:rsidRDefault="005044DC" w:rsidP="002D1AB7">
      <w:pPr>
        <w:rPr>
          <w:rtl/>
          <w:lang w:bidi="ar-EG"/>
        </w:rPr>
      </w:pPr>
      <w:r w:rsidRPr="002E67F8">
        <w:rPr>
          <w:rFonts w:hint="cs"/>
          <w:rtl/>
          <w:lang w:bidi="ar-EG"/>
        </w:rPr>
        <w:t>اعتُمد</w:t>
      </w:r>
      <w:r w:rsidR="000966FE" w:rsidRPr="002E67F8">
        <w:rPr>
          <w:rFonts w:hint="cs"/>
          <w:rtl/>
          <w:lang w:bidi="ar-EG"/>
        </w:rPr>
        <w:t xml:space="preserve"> </w:t>
      </w:r>
      <w:r w:rsidR="00283836" w:rsidRPr="002E67F8">
        <w:rPr>
          <w:rtl/>
        </w:rPr>
        <w:t xml:space="preserve">القرار </w:t>
      </w:r>
      <w:r w:rsidR="00283836" w:rsidRPr="002E67F8">
        <w:t>48</w:t>
      </w:r>
      <w:r w:rsidR="00283836" w:rsidRPr="002E67F8">
        <w:rPr>
          <w:rtl/>
        </w:rPr>
        <w:t xml:space="preserve"> للجمعية العالمية لتقييس الاتصالات</w:t>
      </w:r>
      <w:r w:rsidRPr="002E67F8">
        <w:rPr>
          <w:rFonts w:hint="cs"/>
          <w:rtl/>
        </w:rPr>
        <w:t xml:space="preserve"> في </w:t>
      </w:r>
      <w:r w:rsidRPr="002E67F8">
        <w:t>2004</w:t>
      </w:r>
      <w:r w:rsidR="00283836" w:rsidRPr="002E67F8">
        <w:rPr>
          <w:rtl/>
        </w:rPr>
        <w:t xml:space="preserve"> </w:t>
      </w:r>
      <w:r w:rsidR="000966FE" w:rsidRPr="002E67F8">
        <w:rPr>
          <w:rFonts w:hint="cs"/>
          <w:rtl/>
        </w:rPr>
        <w:t>وتم تأكيده في الجمعية العا</w:t>
      </w:r>
      <w:r w:rsidR="00A43596" w:rsidRPr="002E67F8">
        <w:rPr>
          <w:rFonts w:hint="cs"/>
          <w:rtl/>
        </w:rPr>
        <w:t>ل</w:t>
      </w:r>
      <w:r w:rsidR="000966FE" w:rsidRPr="002E67F8">
        <w:rPr>
          <w:rFonts w:hint="cs"/>
          <w:rtl/>
        </w:rPr>
        <w:t>م</w:t>
      </w:r>
      <w:r w:rsidR="00A43596" w:rsidRPr="002E67F8">
        <w:rPr>
          <w:rFonts w:hint="cs"/>
          <w:rtl/>
        </w:rPr>
        <w:t>ي</w:t>
      </w:r>
      <w:r w:rsidR="000966FE" w:rsidRPr="002E67F8">
        <w:rPr>
          <w:rFonts w:hint="cs"/>
          <w:rtl/>
        </w:rPr>
        <w:t xml:space="preserve">ة لتقييس الاتصالات </w:t>
      </w:r>
      <w:r w:rsidRPr="002E67F8">
        <w:rPr>
          <w:rFonts w:hint="cs"/>
          <w:rtl/>
        </w:rPr>
        <w:t xml:space="preserve">في </w:t>
      </w:r>
      <w:r w:rsidR="000966FE" w:rsidRPr="002E67F8">
        <w:rPr>
          <w:rFonts w:hint="cs"/>
          <w:rtl/>
        </w:rPr>
        <w:t>عامي </w:t>
      </w:r>
      <w:r w:rsidR="000966FE" w:rsidRPr="002E67F8">
        <w:t>2008</w:t>
      </w:r>
      <w:r w:rsidR="000966FE" w:rsidRPr="002E67F8">
        <w:rPr>
          <w:rFonts w:hint="cs"/>
          <w:rtl/>
          <w:lang w:bidi="ar-EG"/>
        </w:rPr>
        <w:t xml:space="preserve"> و</w:t>
      </w:r>
      <w:r w:rsidR="000966FE" w:rsidRPr="002E67F8">
        <w:rPr>
          <w:lang w:bidi="ar-EG"/>
        </w:rPr>
        <w:t>2012</w:t>
      </w:r>
      <w:r w:rsidR="000966FE" w:rsidRPr="002E67F8">
        <w:rPr>
          <w:rFonts w:hint="cs"/>
          <w:rtl/>
          <w:lang w:bidi="ar-EG"/>
        </w:rPr>
        <w:t xml:space="preserve">. </w:t>
      </w:r>
      <w:r w:rsidRPr="002E67F8">
        <w:rPr>
          <w:rFonts w:hint="cs"/>
          <w:rtl/>
          <w:lang w:bidi="ar-EG"/>
        </w:rPr>
        <w:t xml:space="preserve">ويكلف القرار لجنة الدراسات </w:t>
      </w:r>
      <w:r w:rsidRPr="002E67F8">
        <w:rPr>
          <w:lang w:bidi="ar-EG"/>
        </w:rPr>
        <w:t>16</w:t>
      </w:r>
      <w:r w:rsidRPr="002E67F8">
        <w:rPr>
          <w:rFonts w:hint="cs"/>
          <w:rtl/>
          <w:lang w:bidi="ar-EG"/>
        </w:rPr>
        <w:t xml:space="preserve"> لقطاع تقييس الاتصالات </w:t>
      </w:r>
      <w:r w:rsidR="00A73C01" w:rsidRPr="002E67F8">
        <w:rPr>
          <w:rFonts w:hint="cs"/>
          <w:rtl/>
        </w:rPr>
        <w:t>بمواصلة دراسة أسماء الميادين الدولية (المتعددة اللغات)</w:t>
      </w:r>
      <w:r w:rsidR="0018597E" w:rsidRPr="002E67F8">
        <w:rPr>
          <w:rFonts w:hint="eastAsia"/>
          <w:rtl/>
        </w:rPr>
        <w:t> </w:t>
      </w:r>
      <w:r w:rsidR="00F766A1" w:rsidRPr="002E67F8">
        <w:t>(IDN)</w:t>
      </w:r>
      <w:r w:rsidR="00F766A1" w:rsidRPr="002E67F8">
        <w:rPr>
          <w:rFonts w:hint="cs"/>
          <w:rtl/>
        </w:rPr>
        <w:t xml:space="preserve">، </w:t>
      </w:r>
      <w:r w:rsidR="00A73C01" w:rsidRPr="002E67F8">
        <w:rPr>
          <w:rFonts w:hint="cs"/>
          <w:rtl/>
        </w:rPr>
        <w:t xml:space="preserve">ومواصلة الاتصال والتعاون مع الكيانات الملائمة في هذا المجال، سواء كانت دولية حكومية أو غير حكومية. </w:t>
      </w:r>
      <w:r w:rsidR="003679DA" w:rsidRPr="002E67F8">
        <w:rPr>
          <w:rFonts w:hint="cs"/>
          <w:rtl/>
        </w:rPr>
        <w:t>و</w:t>
      </w:r>
      <w:r w:rsidR="00A73C01" w:rsidRPr="002E67F8">
        <w:rPr>
          <w:rFonts w:hint="cs"/>
          <w:rtl/>
        </w:rPr>
        <w:t>يدعو</w:t>
      </w:r>
      <w:r w:rsidR="003679DA" w:rsidRPr="002E67F8">
        <w:rPr>
          <w:rFonts w:hint="cs"/>
          <w:rtl/>
        </w:rPr>
        <w:t xml:space="preserve"> هذا القرار</w:t>
      </w:r>
      <w:r w:rsidR="00C16C93" w:rsidRPr="002E67F8">
        <w:rPr>
          <w:rFonts w:hint="cs"/>
          <w:rtl/>
        </w:rPr>
        <w:t xml:space="preserve"> أيضاً</w:t>
      </w:r>
      <w:r w:rsidR="00A73C01" w:rsidRPr="002E67F8">
        <w:rPr>
          <w:rFonts w:hint="cs"/>
          <w:rtl/>
        </w:rPr>
        <w:t xml:space="preserve"> الدول الأعضاء إلى المساهمة في هذه الأنشطة. </w:t>
      </w:r>
      <w:r w:rsidR="000221C7" w:rsidRPr="002E67F8">
        <w:rPr>
          <w:rFonts w:hint="cs"/>
          <w:rtl/>
        </w:rPr>
        <w:t>واستعراض</w:t>
      </w:r>
      <w:r w:rsidR="00A73C01" w:rsidRPr="002E67F8">
        <w:rPr>
          <w:rFonts w:hint="cs"/>
          <w:rtl/>
        </w:rPr>
        <w:t xml:space="preserve"> </w:t>
      </w:r>
      <w:r w:rsidR="00A73C01" w:rsidRPr="002E67F8">
        <w:rPr>
          <w:rtl/>
        </w:rPr>
        <w:t>خطة عمل الجمعية العالمية لتقييس الاتصالات لعام</w:t>
      </w:r>
      <w:r w:rsidR="00C16C93" w:rsidRPr="002E67F8">
        <w:rPr>
          <w:rFonts w:hint="cs"/>
          <w:rtl/>
        </w:rPr>
        <w:t> </w:t>
      </w:r>
      <w:r w:rsidR="00A73C01" w:rsidRPr="002E67F8">
        <w:t>2012</w:t>
      </w:r>
      <w:r w:rsidR="00C16C93" w:rsidRPr="002E67F8">
        <w:rPr>
          <w:rFonts w:hint="eastAsia"/>
          <w:rtl/>
        </w:rPr>
        <w:t> </w:t>
      </w:r>
      <w:r w:rsidR="00A73C01" w:rsidRPr="002E67F8">
        <w:t>(WTSA</w:t>
      </w:r>
      <w:r w:rsidR="00C16C93" w:rsidRPr="002E67F8">
        <w:noBreakHyphen/>
      </w:r>
      <w:r w:rsidR="00A73C01" w:rsidRPr="002E67F8">
        <w:t>12)</w:t>
      </w:r>
      <w:r w:rsidR="00CC1247" w:rsidRPr="002E67F8">
        <w:rPr>
          <w:rFonts w:hint="cs"/>
          <w:rtl/>
        </w:rPr>
        <w:t xml:space="preserve">، </w:t>
      </w:r>
      <w:r w:rsidR="00DE21AD" w:rsidRPr="002E67F8">
        <w:rPr>
          <w:rFonts w:hint="cs"/>
          <w:rtl/>
          <w:lang w:bidi="ar-EG"/>
        </w:rPr>
        <w:t>أداة للرصد والتنفيذ يستخدمها مكتب تقييس الاتصالات</w:t>
      </w:r>
      <w:r w:rsidR="000221C7" w:rsidRPr="002E67F8">
        <w:rPr>
          <w:rFonts w:hint="cs"/>
          <w:rtl/>
          <w:lang w:bidi="ar-EG"/>
        </w:rPr>
        <w:t xml:space="preserve"> وت</w:t>
      </w:r>
      <w:r w:rsidR="00CF00E6" w:rsidRPr="002E67F8">
        <w:rPr>
          <w:rFonts w:hint="cs"/>
          <w:rtl/>
          <w:lang w:bidi="ar-EG"/>
        </w:rPr>
        <w:t>تيح تتبع</w:t>
      </w:r>
      <w:r w:rsidR="00DE21AD" w:rsidRPr="002E67F8">
        <w:rPr>
          <w:rFonts w:hint="cs"/>
          <w:rtl/>
          <w:lang w:bidi="ar-EG"/>
        </w:rPr>
        <w:t xml:space="preserve"> بنود العمل والمسؤوليات </w:t>
      </w:r>
      <w:r w:rsidR="00CF00E6" w:rsidRPr="002E67F8">
        <w:rPr>
          <w:rFonts w:hint="cs"/>
          <w:rtl/>
          <w:lang w:bidi="ar-EG"/>
        </w:rPr>
        <w:t>المرتبطة بها</w:t>
      </w:r>
      <w:r w:rsidR="00DE21AD" w:rsidRPr="002E67F8">
        <w:rPr>
          <w:rFonts w:hint="cs"/>
          <w:rtl/>
          <w:lang w:bidi="ar-EG"/>
        </w:rPr>
        <w:t xml:space="preserve"> وآليات التعاون والتقارير والحالة النهائية، </w:t>
      </w:r>
      <w:r w:rsidR="00C16C93" w:rsidRPr="002E67F8">
        <w:rPr>
          <w:rFonts w:hint="cs"/>
          <w:rtl/>
          <w:lang w:bidi="ar-EG"/>
        </w:rPr>
        <w:t>يبين أن</w:t>
      </w:r>
      <w:r w:rsidR="00DE21AD" w:rsidRPr="002E67F8">
        <w:rPr>
          <w:rFonts w:hint="cs"/>
          <w:rtl/>
          <w:lang w:bidi="ar-EG"/>
        </w:rPr>
        <w:t xml:space="preserve"> لجنة الدراسات</w:t>
      </w:r>
      <w:r w:rsidR="002E67F8">
        <w:rPr>
          <w:rFonts w:hint="eastAsia"/>
          <w:rtl/>
        </w:rPr>
        <w:t> </w:t>
      </w:r>
      <w:r w:rsidR="00DE21AD" w:rsidRPr="002E67F8">
        <w:rPr>
          <w:lang w:bidi="ar-EG"/>
        </w:rPr>
        <w:t>16</w:t>
      </w:r>
      <w:r w:rsidR="00DE21AD" w:rsidRPr="002E67F8">
        <w:rPr>
          <w:rFonts w:hint="cs"/>
          <w:rtl/>
          <w:lang w:bidi="ar-EG"/>
        </w:rPr>
        <w:t xml:space="preserve"> </w:t>
      </w:r>
      <w:r w:rsidR="00C16C93" w:rsidRPr="002E67F8">
        <w:rPr>
          <w:rFonts w:hint="cs"/>
          <w:rtl/>
          <w:lang w:bidi="ar-EG"/>
        </w:rPr>
        <w:t>استلمت م</w:t>
      </w:r>
      <w:r w:rsidR="00DE21AD" w:rsidRPr="002E67F8">
        <w:rPr>
          <w:rFonts w:hint="cs"/>
          <w:rtl/>
          <w:lang w:bidi="ar-EG"/>
        </w:rPr>
        <w:t xml:space="preserve">ساهمة واحدة فقط </w:t>
      </w:r>
      <w:r w:rsidR="00CF00E6" w:rsidRPr="002E67F8">
        <w:rPr>
          <w:rFonts w:hint="cs"/>
          <w:rtl/>
          <w:lang w:bidi="ar-EG"/>
        </w:rPr>
        <w:t>مما أدى إلى</w:t>
      </w:r>
      <w:r w:rsidR="00DE21AD" w:rsidRPr="002E67F8">
        <w:rPr>
          <w:rFonts w:hint="cs"/>
          <w:rtl/>
          <w:lang w:bidi="ar-EG"/>
        </w:rPr>
        <w:t xml:space="preserve"> تبادل بيانات الاتصال مع المنظمات الخارجية ذات الصلة</w:t>
      </w:r>
      <w:r w:rsidR="00DE21AD" w:rsidRPr="00C16C93">
        <w:rPr>
          <w:rFonts w:hint="cs"/>
          <w:rtl/>
          <w:lang w:bidi="ar-EG"/>
        </w:rPr>
        <w:t>.</w:t>
      </w:r>
    </w:p>
    <w:p w:rsidR="00A73C01" w:rsidRPr="0070584A" w:rsidRDefault="00593F88" w:rsidP="00D862BE">
      <w:pPr>
        <w:rPr>
          <w:rtl/>
          <w:lang w:bidi="ar-EG"/>
        </w:rPr>
      </w:pPr>
      <w:r w:rsidRPr="00777FA1">
        <w:rPr>
          <w:rFonts w:hint="cs"/>
          <w:rtl/>
        </w:rPr>
        <w:t>وتبعاً</w:t>
      </w:r>
      <w:r w:rsidR="0082367D" w:rsidRPr="00777FA1">
        <w:rPr>
          <w:rFonts w:hint="cs"/>
          <w:rtl/>
        </w:rPr>
        <w:t xml:space="preserve"> </w:t>
      </w:r>
      <w:r w:rsidRPr="00777FA1">
        <w:rPr>
          <w:rFonts w:hint="cs"/>
          <w:rtl/>
        </w:rPr>
        <w:t>ل</w:t>
      </w:r>
      <w:r w:rsidR="0082367D" w:rsidRPr="00777FA1">
        <w:rPr>
          <w:rFonts w:hint="cs"/>
          <w:rtl/>
        </w:rPr>
        <w:t xml:space="preserve">لتعليقات المقدمة وعدم </w:t>
      </w:r>
      <w:r w:rsidR="0037005E" w:rsidRPr="00777FA1">
        <w:rPr>
          <w:rFonts w:hint="cs"/>
          <w:rtl/>
        </w:rPr>
        <w:t>القيام</w:t>
      </w:r>
      <w:r w:rsidR="0082367D" w:rsidRPr="00777FA1">
        <w:rPr>
          <w:rFonts w:hint="cs"/>
          <w:rtl/>
        </w:rPr>
        <w:t xml:space="preserve"> بأ</w:t>
      </w:r>
      <w:r w:rsidR="0037005E" w:rsidRPr="00777FA1">
        <w:rPr>
          <w:rFonts w:hint="cs"/>
          <w:rtl/>
        </w:rPr>
        <w:t>ي</w:t>
      </w:r>
      <w:r w:rsidR="0082367D" w:rsidRPr="00777FA1">
        <w:rPr>
          <w:rFonts w:hint="cs"/>
          <w:rtl/>
        </w:rPr>
        <w:t xml:space="preserve"> نشاط إضافي (لا سيما في فترة الدراسة الحالية)، يمكن اعتبار أن العمل قد أنجز.</w:t>
      </w:r>
      <w:r w:rsidR="000E164A" w:rsidRPr="00777FA1">
        <w:rPr>
          <w:rFonts w:hint="cs"/>
          <w:rtl/>
        </w:rPr>
        <w:t xml:space="preserve"> </w:t>
      </w:r>
      <w:r w:rsidR="000E164A" w:rsidRPr="00B726DF">
        <w:rPr>
          <w:rFonts w:hint="cs"/>
          <w:rtl/>
        </w:rPr>
        <w:t xml:space="preserve">وعلاوة على ذلك، فيما يتعلق بفترة الدراسة </w:t>
      </w:r>
      <w:r w:rsidR="000E164A" w:rsidRPr="00B726DF">
        <w:t>2016-2012</w:t>
      </w:r>
      <w:r w:rsidR="000E164A" w:rsidRPr="00B726DF">
        <w:rPr>
          <w:rFonts w:hint="cs"/>
          <w:rtl/>
          <w:lang w:bidi="ar-EG"/>
        </w:rPr>
        <w:t>، ت</w:t>
      </w:r>
      <w:r w:rsidR="00777FA1" w:rsidRPr="00B726DF">
        <w:rPr>
          <w:rFonts w:hint="cs"/>
          <w:rtl/>
          <w:lang w:bidi="ar-EG"/>
        </w:rPr>
        <w:t>بين</w:t>
      </w:r>
      <w:r w:rsidR="000E164A" w:rsidRPr="00B726DF">
        <w:rPr>
          <w:rFonts w:hint="cs"/>
          <w:rtl/>
          <w:lang w:bidi="ar-EG"/>
        </w:rPr>
        <w:t xml:space="preserve"> خطة العمل أن أهداف القرار </w:t>
      </w:r>
      <w:r w:rsidR="000E164A" w:rsidRPr="00B726DF">
        <w:rPr>
          <w:lang w:bidi="ar-EG"/>
        </w:rPr>
        <w:t>48</w:t>
      </w:r>
      <w:r w:rsidR="000E164A" w:rsidRPr="00B726DF">
        <w:rPr>
          <w:rFonts w:hint="cs"/>
          <w:rtl/>
          <w:lang w:bidi="ar-EG"/>
        </w:rPr>
        <w:t xml:space="preserve"> لم تتحقق</w:t>
      </w:r>
      <w:r w:rsidR="00582861" w:rsidRPr="00B726DF">
        <w:rPr>
          <w:rFonts w:hint="cs"/>
          <w:rtl/>
          <w:lang w:bidi="ar-EG"/>
        </w:rPr>
        <w:t xml:space="preserve">. ومن المرجح </w:t>
      </w:r>
      <w:r w:rsidR="00582861" w:rsidRPr="00B726DF">
        <w:rPr>
          <w:rFonts w:hint="cs"/>
          <w:spacing w:val="-4"/>
          <w:rtl/>
          <w:lang w:bidi="ar-EG"/>
        </w:rPr>
        <w:t xml:space="preserve">أن يكون ذلك بسبب الافتقار إلى مساهمات الدول الأعضاء فيما يتعلق بأسماء الميادين الدولية (المتعددة اللغات). </w:t>
      </w:r>
      <w:r w:rsidR="004F57DD" w:rsidRPr="00B726DF">
        <w:rPr>
          <w:rFonts w:hint="cs"/>
          <w:spacing w:val="-4"/>
          <w:rtl/>
          <w:lang w:bidi="ar-EG"/>
        </w:rPr>
        <w:t>وعلاوة على ذلك،</w:t>
      </w:r>
      <w:r w:rsidR="004F57DD">
        <w:rPr>
          <w:rFonts w:hint="cs"/>
          <w:rtl/>
          <w:lang w:bidi="ar-EG"/>
        </w:rPr>
        <w:t xml:space="preserve"> </w:t>
      </w:r>
      <w:r w:rsidR="00386E0D">
        <w:rPr>
          <w:rFonts w:hint="cs"/>
          <w:rtl/>
          <w:lang w:bidi="ar-EG"/>
        </w:rPr>
        <w:t xml:space="preserve">تشير خطة العمل إلى أنه وفقاً لتعليمات مؤتمر المندوبين المفوضين لعام </w:t>
      </w:r>
      <w:r w:rsidR="00386E0D">
        <w:rPr>
          <w:lang w:bidi="ar-EG"/>
        </w:rPr>
        <w:t>2014</w:t>
      </w:r>
      <w:r w:rsidR="00386E0D">
        <w:rPr>
          <w:rFonts w:hint="cs"/>
          <w:rtl/>
          <w:lang w:bidi="ar-EG"/>
        </w:rPr>
        <w:t xml:space="preserve">، </w:t>
      </w:r>
      <w:r w:rsidR="005E07E6">
        <w:rPr>
          <w:rFonts w:hint="cs"/>
          <w:rtl/>
          <w:lang w:bidi="ar-EG"/>
        </w:rPr>
        <w:t>يقدم مدير مكتب تقييس الاتصالات تقارير سنوياً إلى المجلس بشأن "</w:t>
      </w:r>
      <w:r w:rsidR="00A73C01" w:rsidRPr="00A73C01">
        <w:rPr>
          <w:rtl/>
        </w:rPr>
        <w:t xml:space="preserve">أنشطة الات‍حاد ال‍متصلة بالإنترنت: القرارات </w:t>
      </w:r>
      <w:r w:rsidR="005E07E6">
        <w:t>101</w:t>
      </w:r>
      <w:r w:rsidR="00A73C01" w:rsidRPr="00A73C01">
        <w:rPr>
          <w:rtl/>
        </w:rPr>
        <w:t xml:space="preserve"> و</w:t>
      </w:r>
      <w:r w:rsidR="005E07E6">
        <w:t>102</w:t>
      </w:r>
      <w:r w:rsidR="00A73C01" w:rsidRPr="00A73C01">
        <w:rPr>
          <w:rtl/>
        </w:rPr>
        <w:t xml:space="preserve"> و</w:t>
      </w:r>
      <w:r w:rsidR="005E07E6">
        <w:t>133</w:t>
      </w:r>
      <w:r w:rsidR="00EF0911">
        <w:rPr>
          <w:rFonts w:hint="cs"/>
          <w:rtl/>
        </w:rPr>
        <w:t>"</w:t>
      </w:r>
      <w:r w:rsidR="0070584A">
        <w:rPr>
          <w:rFonts w:hint="cs"/>
          <w:rtl/>
          <w:lang w:bidi="ar-EG"/>
        </w:rPr>
        <w:t>، تشمل، تحديثات تتعلق ب</w:t>
      </w:r>
      <w:r w:rsidR="0070584A">
        <w:rPr>
          <w:color w:val="000000"/>
          <w:rtl/>
        </w:rPr>
        <w:t>أسماء الميادين الق</w:t>
      </w:r>
      <w:r w:rsidR="00987C07">
        <w:rPr>
          <w:rFonts w:hint="cs"/>
          <w:color w:val="000000"/>
          <w:rtl/>
        </w:rPr>
        <w:t>ُ</w:t>
      </w:r>
      <w:r w:rsidR="0070584A">
        <w:rPr>
          <w:color w:val="000000"/>
          <w:rtl/>
        </w:rPr>
        <w:t xml:space="preserve">طرية ذات المستوى </w:t>
      </w:r>
      <w:r w:rsidR="0070584A">
        <w:rPr>
          <w:color w:val="000000"/>
          <w:rtl/>
        </w:rPr>
        <w:lastRenderedPageBreak/>
        <w:t>الأعلى</w:t>
      </w:r>
      <w:r w:rsidR="00D862BE">
        <w:rPr>
          <w:rFonts w:hint="cs"/>
          <w:color w:val="000000"/>
          <w:rtl/>
        </w:rPr>
        <w:t> </w:t>
      </w:r>
      <w:r w:rsidR="0070584A">
        <w:t>(</w:t>
      </w:r>
      <w:proofErr w:type="spellStart"/>
      <w:r w:rsidR="0070584A">
        <w:t>ccTLD</w:t>
      </w:r>
      <w:proofErr w:type="spellEnd"/>
      <w:r w:rsidR="0070584A">
        <w:t>)</w:t>
      </w:r>
      <w:r w:rsidR="00E80D73">
        <w:rPr>
          <w:rFonts w:hint="cs"/>
          <w:rtl/>
          <w:lang w:bidi="ar-EG"/>
        </w:rPr>
        <w:t>، إن وجدت</w:t>
      </w:r>
      <w:r w:rsidR="0070584A">
        <w:rPr>
          <w:rFonts w:hint="cs"/>
          <w:rtl/>
          <w:lang w:bidi="ar-EG"/>
        </w:rPr>
        <w:t>.</w:t>
      </w:r>
      <w:r w:rsidR="00A434DE">
        <w:rPr>
          <w:rFonts w:hint="cs"/>
          <w:rtl/>
          <w:lang w:bidi="ar-EG"/>
        </w:rPr>
        <w:t xml:space="preserve"> و</w:t>
      </w:r>
      <w:r w:rsidR="00E80D73">
        <w:rPr>
          <w:rFonts w:hint="cs"/>
          <w:rtl/>
          <w:lang w:bidi="ar-EG"/>
        </w:rPr>
        <w:t xml:space="preserve">لم </w:t>
      </w:r>
      <w:r w:rsidR="00213197">
        <w:rPr>
          <w:rFonts w:hint="cs"/>
          <w:rtl/>
          <w:lang w:bidi="ar-EG"/>
        </w:rPr>
        <w:t xml:space="preserve">تشمل </w:t>
      </w:r>
      <w:r w:rsidR="00A434DE">
        <w:rPr>
          <w:rFonts w:hint="cs"/>
          <w:rtl/>
          <w:lang w:bidi="ar-EG"/>
        </w:rPr>
        <w:t xml:space="preserve">التقارير السنوية لمدير مكتب تقييس الاتصالات إلى مجلس الاتحاد </w:t>
      </w:r>
      <w:r w:rsidR="00213197">
        <w:rPr>
          <w:rFonts w:hint="cs"/>
          <w:rtl/>
          <w:lang w:bidi="ar-EG"/>
        </w:rPr>
        <w:t xml:space="preserve">إشارات محددة إلى </w:t>
      </w:r>
      <w:r w:rsidR="006C2732">
        <w:rPr>
          <w:rFonts w:hint="cs"/>
          <w:rtl/>
          <w:lang w:bidi="ar-EG"/>
        </w:rPr>
        <w:t>الأعمال الجارية بموجب القرار</w:t>
      </w:r>
      <w:r w:rsidR="00D27659">
        <w:rPr>
          <w:rFonts w:hint="eastAsia"/>
          <w:rtl/>
          <w:lang w:bidi="ar-EG"/>
        </w:rPr>
        <w:t> </w:t>
      </w:r>
      <w:r w:rsidR="006C2732">
        <w:rPr>
          <w:lang w:bidi="ar-EG"/>
        </w:rPr>
        <w:t>48</w:t>
      </w:r>
      <w:r w:rsidR="006C2732">
        <w:rPr>
          <w:rFonts w:hint="cs"/>
          <w:rtl/>
          <w:lang w:bidi="ar-EG"/>
        </w:rPr>
        <w:t>.</w:t>
      </w:r>
    </w:p>
    <w:p w:rsidR="00A73C01" w:rsidRDefault="00006D17" w:rsidP="00A73C01">
      <w:pPr>
        <w:pStyle w:val="Headingb"/>
        <w:rPr>
          <w:rtl/>
        </w:rPr>
      </w:pPr>
      <w:r>
        <w:rPr>
          <w:rFonts w:hint="cs"/>
          <w:rtl/>
        </w:rPr>
        <w:t>ال</w:t>
      </w:r>
      <w:r w:rsidR="00A73C01">
        <w:rPr>
          <w:rFonts w:hint="cs"/>
          <w:rtl/>
        </w:rPr>
        <w:t>مقترح</w:t>
      </w:r>
    </w:p>
    <w:p w:rsidR="00A73C01" w:rsidRPr="0091795C" w:rsidRDefault="0091795C" w:rsidP="00D862BE">
      <w:pPr>
        <w:keepNext/>
        <w:tabs>
          <w:tab w:val="clear" w:pos="1134"/>
        </w:tabs>
        <w:spacing w:line="259" w:lineRule="auto"/>
        <w:jc w:val="left"/>
        <w:rPr>
          <w:lang w:bidi="ar-EG"/>
        </w:rPr>
      </w:pPr>
      <w:r>
        <w:rPr>
          <w:rFonts w:hint="cs"/>
          <w:rtl/>
        </w:rPr>
        <w:t xml:space="preserve">تقترح الولايات المتحدة إلغاء القرار </w:t>
      </w:r>
      <w:r>
        <w:t>48</w:t>
      </w:r>
      <w:r>
        <w:rPr>
          <w:rFonts w:hint="cs"/>
          <w:rtl/>
          <w:lang w:bidi="ar-EG"/>
        </w:rPr>
        <w:t xml:space="preserve"> للأسباب التالية:</w:t>
      </w:r>
    </w:p>
    <w:p w:rsidR="00EF0911" w:rsidRDefault="00EF0911" w:rsidP="00846925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224830">
        <w:rPr>
          <w:rFonts w:hint="cs"/>
          <w:rtl/>
        </w:rPr>
        <w:t xml:space="preserve">أُعد القرار </w:t>
      </w:r>
      <w:r w:rsidR="00224830">
        <w:t>48</w:t>
      </w:r>
      <w:r w:rsidR="00224830">
        <w:rPr>
          <w:rFonts w:hint="cs"/>
          <w:rtl/>
          <w:lang w:bidi="ar-EG"/>
        </w:rPr>
        <w:t xml:space="preserve"> للجمعية العالمية لتقييس الاتصالات قبل إدخال أسماء الميادين الدولية</w:t>
      </w:r>
      <w:r w:rsidR="00FF7577">
        <w:rPr>
          <w:rFonts w:hint="cs"/>
          <w:rtl/>
          <w:lang w:bidi="ar-EG"/>
        </w:rPr>
        <w:t xml:space="preserve"> </w:t>
      </w:r>
      <w:r w:rsidR="00FF7577">
        <w:rPr>
          <w:lang w:bidi="ar-EG"/>
        </w:rPr>
        <w:t>(IDN)</w:t>
      </w:r>
      <w:r w:rsidR="00224830">
        <w:rPr>
          <w:rFonts w:hint="cs"/>
          <w:rtl/>
          <w:lang w:bidi="ar-EG"/>
        </w:rPr>
        <w:t xml:space="preserve"> في نظام أسماء الميادين</w:t>
      </w:r>
      <w:r w:rsidR="00942512">
        <w:rPr>
          <w:rFonts w:hint="eastAsia"/>
          <w:rtl/>
          <w:lang w:bidi="ar-EG"/>
        </w:rPr>
        <w:t> </w:t>
      </w:r>
      <w:r w:rsidR="00224830">
        <w:rPr>
          <w:lang w:bidi="ar-EG"/>
        </w:rPr>
        <w:t>(DNS)</w:t>
      </w:r>
      <w:r w:rsidR="00224830">
        <w:rPr>
          <w:rFonts w:hint="cs"/>
          <w:rtl/>
          <w:lang w:bidi="ar-EG"/>
        </w:rPr>
        <w:t xml:space="preserve">. </w:t>
      </w:r>
      <w:r w:rsidR="00C23569">
        <w:rPr>
          <w:rFonts w:hint="cs"/>
          <w:rtl/>
          <w:lang w:bidi="ar-EG"/>
        </w:rPr>
        <w:t>إن إدخال</w:t>
      </w:r>
      <w:r w:rsidR="00224830">
        <w:rPr>
          <w:rFonts w:hint="cs"/>
          <w:rtl/>
          <w:lang w:bidi="ar-EG"/>
        </w:rPr>
        <w:t xml:space="preserve"> أسماء الميادين الق</w:t>
      </w:r>
      <w:r w:rsidR="00922915">
        <w:rPr>
          <w:rFonts w:hint="cs"/>
          <w:rtl/>
          <w:lang w:bidi="ar-EG"/>
        </w:rPr>
        <w:t>ُ</w:t>
      </w:r>
      <w:r w:rsidR="00224830">
        <w:rPr>
          <w:rFonts w:hint="cs"/>
          <w:rtl/>
          <w:lang w:bidi="ar-EG"/>
        </w:rPr>
        <w:t xml:space="preserve">طرية ذات المستوى الأعلى </w:t>
      </w:r>
      <w:r w:rsidR="00224830">
        <w:t>(</w:t>
      </w:r>
      <w:proofErr w:type="spellStart"/>
      <w:r w:rsidR="00224830">
        <w:t>ccTLD</w:t>
      </w:r>
      <w:proofErr w:type="spellEnd"/>
      <w:r w:rsidR="00224830">
        <w:t>)</w:t>
      </w:r>
      <w:r w:rsidR="00224830">
        <w:rPr>
          <w:rFonts w:hint="cs"/>
          <w:rtl/>
          <w:lang w:bidi="ar-EG"/>
        </w:rPr>
        <w:t xml:space="preserve">، </w:t>
      </w:r>
      <w:r w:rsidR="00942512">
        <w:rPr>
          <w:rFonts w:hint="cs"/>
          <w:rtl/>
          <w:lang w:bidi="ar-EG"/>
        </w:rPr>
        <w:t>ثم تنفيذ أسماء</w:t>
      </w:r>
      <w:r w:rsidR="00224830">
        <w:rPr>
          <w:rFonts w:hint="cs"/>
          <w:rtl/>
          <w:lang w:bidi="ar-EG"/>
        </w:rPr>
        <w:t xml:space="preserve"> الميادين</w:t>
      </w:r>
      <w:r w:rsidR="00942512">
        <w:rPr>
          <w:rFonts w:hint="cs"/>
          <w:rtl/>
          <w:lang w:bidi="ar-EG"/>
        </w:rPr>
        <w:t xml:space="preserve"> العامة الجديدة</w:t>
      </w:r>
      <w:r w:rsidR="00224830">
        <w:rPr>
          <w:rFonts w:hint="cs"/>
          <w:rtl/>
          <w:lang w:bidi="ar-EG"/>
        </w:rPr>
        <w:t xml:space="preserve"> ذات المستوى الأعلى </w:t>
      </w:r>
      <w:r w:rsidR="00224830">
        <w:rPr>
          <w:lang w:bidi="ar-EG"/>
        </w:rPr>
        <w:t>(</w:t>
      </w:r>
      <w:proofErr w:type="spellStart"/>
      <w:r w:rsidR="00224830">
        <w:rPr>
          <w:lang w:bidi="ar-EG"/>
        </w:rPr>
        <w:t>gTLD</w:t>
      </w:r>
      <w:proofErr w:type="spellEnd"/>
      <w:r w:rsidR="00224830">
        <w:rPr>
          <w:lang w:bidi="ar-EG"/>
        </w:rPr>
        <w:t>)</w:t>
      </w:r>
      <w:r w:rsidR="00224830">
        <w:rPr>
          <w:rFonts w:hint="cs"/>
          <w:rtl/>
          <w:lang w:bidi="ar-EG"/>
        </w:rPr>
        <w:t xml:space="preserve"> </w:t>
      </w:r>
      <w:r w:rsidR="00942512">
        <w:rPr>
          <w:rFonts w:hint="cs"/>
          <w:rtl/>
          <w:lang w:bidi="ar-EG"/>
        </w:rPr>
        <w:t>بحروف غير</w:t>
      </w:r>
      <w:r w:rsidR="00FF7577">
        <w:rPr>
          <w:rFonts w:hint="cs"/>
          <w:rtl/>
          <w:lang w:bidi="ar-EG"/>
        </w:rPr>
        <w:t xml:space="preserve"> </w:t>
      </w:r>
      <w:r w:rsidR="00FF7577" w:rsidRPr="00FB5F31">
        <w:rPr>
          <w:lang w:val="fr-FR"/>
        </w:rPr>
        <w:t>ASCII</w:t>
      </w:r>
      <w:r w:rsidR="00FF7577">
        <w:rPr>
          <w:rFonts w:hint="cs"/>
          <w:rtl/>
          <w:lang w:val="fr-FR" w:bidi="ar-EG"/>
        </w:rPr>
        <w:t xml:space="preserve">، معظمها أسماء ميادين دولية، </w:t>
      </w:r>
      <w:r w:rsidR="00937E57">
        <w:rPr>
          <w:rFonts w:hint="cs"/>
          <w:rtl/>
          <w:lang w:val="fr-FR" w:bidi="ar-EG"/>
        </w:rPr>
        <w:t>يسلطان الضوء</w:t>
      </w:r>
      <w:r w:rsidR="00942512">
        <w:rPr>
          <w:rFonts w:hint="cs"/>
          <w:rtl/>
          <w:lang w:val="fr-FR" w:bidi="ar-EG"/>
        </w:rPr>
        <w:t xml:space="preserve"> على</w:t>
      </w:r>
      <w:r w:rsidR="00FF7577">
        <w:rPr>
          <w:rFonts w:hint="cs"/>
          <w:rtl/>
          <w:lang w:val="fr-FR" w:bidi="ar-EG"/>
        </w:rPr>
        <w:t xml:space="preserve"> قدرة عملية إدارة الإنترنت على معالجة </w:t>
      </w:r>
      <w:r w:rsidR="00A73AD5">
        <w:rPr>
          <w:rFonts w:hint="cs"/>
          <w:rtl/>
          <w:lang w:val="fr-FR" w:bidi="ar-EG"/>
        </w:rPr>
        <w:t>تعدد اللغات</w:t>
      </w:r>
      <w:r w:rsidR="00942512">
        <w:rPr>
          <w:rFonts w:hint="cs"/>
          <w:rtl/>
          <w:lang w:val="fr-FR" w:bidi="ar-EG"/>
        </w:rPr>
        <w:t xml:space="preserve"> بشكل شامل</w:t>
      </w:r>
      <w:r w:rsidR="00A73AD5">
        <w:rPr>
          <w:rFonts w:hint="cs"/>
          <w:rtl/>
          <w:lang w:val="fr-FR" w:bidi="ar-EG"/>
        </w:rPr>
        <w:t xml:space="preserve"> </w:t>
      </w:r>
      <w:r w:rsidR="00942512">
        <w:rPr>
          <w:rFonts w:hint="cs"/>
          <w:rtl/>
          <w:lang w:val="fr-FR" w:bidi="ar-EG"/>
        </w:rPr>
        <w:t xml:space="preserve">مما تجاوز في الواقع </w:t>
      </w:r>
      <w:r w:rsidR="000256AC">
        <w:rPr>
          <w:rFonts w:hint="cs"/>
          <w:rtl/>
          <w:lang w:val="fr-FR" w:bidi="ar-EG"/>
        </w:rPr>
        <w:t xml:space="preserve">إطار الأعمال السابقة التي اضطلع بها الاتحاد. وقد عولجت بالفعل الشواغل </w:t>
      </w:r>
      <w:r w:rsidR="00BF5EAD">
        <w:rPr>
          <w:rFonts w:hint="cs"/>
          <w:rtl/>
          <w:lang w:val="fr-FR" w:bidi="ar-EG"/>
        </w:rPr>
        <w:t>المعبر عنها</w:t>
      </w:r>
      <w:r w:rsidR="000256AC">
        <w:rPr>
          <w:rFonts w:hint="cs"/>
          <w:rtl/>
          <w:lang w:val="fr-FR" w:bidi="ar-EG"/>
        </w:rPr>
        <w:t xml:space="preserve"> في القرار </w:t>
      </w:r>
      <w:r w:rsidR="000256AC">
        <w:rPr>
          <w:lang w:bidi="ar-EG"/>
        </w:rPr>
        <w:t>48</w:t>
      </w:r>
      <w:r w:rsidR="000256AC">
        <w:rPr>
          <w:rFonts w:hint="cs"/>
          <w:rtl/>
          <w:lang w:bidi="ar-EG"/>
        </w:rPr>
        <w:t>.</w:t>
      </w:r>
      <w:r w:rsidR="00834E23">
        <w:rPr>
          <w:rFonts w:hint="cs"/>
          <w:rtl/>
          <w:lang w:bidi="ar-EG"/>
        </w:rPr>
        <w:t xml:space="preserve"> وتمكّن </w:t>
      </w:r>
      <w:r w:rsidR="00942512">
        <w:rPr>
          <w:rFonts w:hint="cs"/>
          <w:rtl/>
          <w:lang w:bidi="ar-EG"/>
        </w:rPr>
        <w:t>ال</w:t>
      </w:r>
      <w:r w:rsidR="00834E23">
        <w:rPr>
          <w:rFonts w:hint="cs"/>
          <w:rtl/>
          <w:lang w:bidi="ar-EG"/>
        </w:rPr>
        <w:t xml:space="preserve">عملية </w:t>
      </w:r>
      <w:r w:rsidR="00942512">
        <w:rPr>
          <w:rFonts w:hint="cs"/>
          <w:rtl/>
          <w:lang w:bidi="ar-EG"/>
        </w:rPr>
        <w:t>ال</w:t>
      </w:r>
      <w:r w:rsidR="00834E23">
        <w:rPr>
          <w:rFonts w:hint="cs"/>
          <w:rtl/>
          <w:lang w:bidi="ar-EG"/>
        </w:rPr>
        <w:t>سريع</w:t>
      </w:r>
      <w:r w:rsidR="00942512">
        <w:rPr>
          <w:rFonts w:hint="cs"/>
          <w:rtl/>
          <w:lang w:bidi="ar-EG"/>
        </w:rPr>
        <w:t>ة لأسماء</w:t>
      </w:r>
      <w:r w:rsidR="00834E23">
        <w:rPr>
          <w:rFonts w:hint="cs"/>
          <w:rtl/>
          <w:lang w:bidi="ar-EG"/>
        </w:rPr>
        <w:t xml:space="preserve"> الميادين</w:t>
      </w:r>
      <w:r w:rsidR="000168FA">
        <w:rPr>
          <w:rFonts w:hint="eastAsia"/>
          <w:rtl/>
          <w:lang w:bidi="ar-EG"/>
        </w:rPr>
        <w:t> </w:t>
      </w:r>
      <w:r w:rsidR="00DF70BF">
        <w:rPr>
          <w:rFonts w:hint="cs"/>
          <w:rtl/>
          <w:lang w:bidi="ar-EG"/>
        </w:rPr>
        <w:t>(</w:t>
      </w:r>
      <w:r w:rsidR="00342E99">
        <w:rPr>
          <w:rFonts w:hint="cs"/>
          <w:rtl/>
          <w:lang w:bidi="ar-EG"/>
        </w:rPr>
        <w:t>القائمة</w:t>
      </w:r>
      <w:r w:rsidR="00DF70BF">
        <w:rPr>
          <w:rFonts w:hint="cs"/>
          <w:rtl/>
          <w:lang w:bidi="ar-EG"/>
        </w:rPr>
        <w:t xml:space="preserve"> منذ </w:t>
      </w:r>
      <w:r w:rsidR="00DF70BF">
        <w:rPr>
          <w:lang w:bidi="ar-EG"/>
        </w:rPr>
        <w:t>2009</w:t>
      </w:r>
      <w:r w:rsidR="00DF70BF">
        <w:rPr>
          <w:rFonts w:hint="cs"/>
          <w:rtl/>
          <w:lang w:bidi="ar-EG"/>
        </w:rPr>
        <w:t xml:space="preserve">) </w:t>
      </w:r>
      <w:r w:rsidR="00E7347D">
        <w:rPr>
          <w:rFonts w:hint="cs"/>
          <w:rtl/>
        </w:rPr>
        <w:t>ا</w:t>
      </w:r>
      <w:r w:rsidRPr="00EF0911">
        <w:rPr>
          <w:rtl/>
        </w:rPr>
        <w:t xml:space="preserve">لبلدان والمقاطعات التقدم بطلبات </w:t>
      </w:r>
      <w:r w:rsidR="009A5907">
        <w:rPr>
          <w:rFonts w:hint="cs"/>
          <w:rtl/>
        </w:rPr>
        <w:t xml:space="preserve">إلى </w:t>
      </w:r>
      <w:r w:rsidR="009A5907">
        <w:rPr>
          <w:color w:val="000000"/>
          <w:rtl/>
        </w:rPr>
        <w:t xml:space="preserve">مؤسسة الإنترنت للأسماء والأرقام </w:t>
      </w:r>
      <w:r w:rsidR="009A5907" w:rsidRPr="000168FA">
        <w:rPr>
          <w:color w:val="000000"/>
          <w:spacing w:val="-6"/>
          <w:rtl/>
        </w:rPr>
        <w:t>المخصصة</w:t>
      </w:r>
      <w:r w:rsidR="000168FA" w:rsidRPr="000168FA">
        <w:rPr>
          <w:rFonts w:ascii="Traditional Arabic" w:hAnsi="Traditional Arabic" w:hint="cs"/>
          <w:spacing w:val="-6"/>
          <w:sz w:val="30"/>
          <w:rtl/>
        </w:rPr>
        <w:t> </w:t>
      </w:r>
      <w:r w:rsidR="009A5907" w:rsidRPr="000168FA">
        <w:rPr>
          <w:spacing w:val="-6"/>
        </w:rPr>
        <w:t>(</w:t>
      </w:r>
      <w:r w:rsidRPr="000168FA">
        <w:rPr>
          <w:spacing w:val="-6"/>
        </w:rPr>
        <w:t>ICANN</w:t>
      </w:r>
      <w:r w:rsidR="009A5907" w:rsidRPr="000168FA">
        <w:rPr>
          <w:spacing w:val="-6"/>
        </w:rPr>
        <w:t>)</w:t>
      </w:r>
      <w:r w:rsidR="000168FA" w:rsidRPr="000168FA">
        <w:rPr>
          <w:rFonts w:ascii="Traditional Arabic" w:hAnsi="Traditional Arabic" w:hint="cs"/>
          <w:spacing w:val="-6"/>
          <w:sz w:val="30"/>
          <w:rtl/>
        </w:rPr>
        <w:t xml:space="preserve"> </w:t>
      </w:r>
      <w:r w:rsidRPr="000168FA">
        <w:rPr>
          <w:spacing w:val="-6"/>
          <w:rtl/>
        </w:rPr>
        <w:t>من أجل</w:t>
      </w:r>
      <w:r w:rsidR="00942512" w:rsidRPr="000168FA">
        <w:rPr>
          <w:rFonts w:hint="cs"/>
          <w:spacing w:val="-6"/>
          <w:rtl/>
        </w:rPr>
        <w:t xml:space="preserve"> أسماء</w:t>
      </w:r>
      <w:r w:rsidRPr="000168FA">
        <w:rPr>
          <w:spacing w:val="-6"/>
          <w:rtl/>
        </w:rPr>
        <w:t xml:space="preserve"> ميادين</w:t>
      </w:r>
      <w:r w:rsidR="00942512" w:rsidRPr="000168FA">
        <w:rPr>
          <w:rFonts w:hint="cs"/>
          <w:spacing w:val="-6"/>
          <w:rtl/>
        </w:rPr>
        <w:t>"</w:t>
      </w:r>
      <w:r w:rsidRPr="000168FA">
        <w:rPr>
          <w:spacing w:val="-6"/>
        </w:rPr>
        <w:t xml:space="preserve">IDN </w:t>
      </w:r>
      <w:proofErr w:type="spellStart"/>
      <w:r w:rsidRPr="000168FA">
        <w:rPr>
          <w:spacing w:val="-6"/>
        </w:rPr>
        <w:t>ccTLD</w:t>
      </w:r>
      <w:proofErr w:type="spellEnd"/>
      <w:r w:rsidR="00942512" w:rsidRPr="000168FA">
        <w:rPr>
          <w:rFonts w:hint="cs"/>
          <w:spacing w:val="-6"/>
          <w:rtl/>
        </w:rPr>
        <w:t>"</w:t>
      </w:r>
      <w:r w:rsidR="00BB5FC9" w:rsidRPr="000168FA">
        <w:rPr>
          <w:rFonts w:hint="cs"/>
          <w:spacing w:val="-6"/>
          <w:rtl/>
          <w:lang w:bidi="ar-EG"/>
        </w:rPr>
        <w:t xml:space="preserve"> </w:t>
      </w:r>
      <w:r w:rsidRPr="000168FA">
        <w:rPr>
          <w:spacing w:val="-6"/>
          <w:rtl/>
        </w:rPr>
        <w:t xml:space="preserve">تمثل أسماء بلدانهم أو مقاطعاتهم </w:t>
      </w:r>
      <w:r w:rsidR="00942512" w:rsidRPr="000168FA">
        <w:rPr>
          <w:rFonts w:hint="cs"/>
          <w:spacing w:val="-6"/>
          <w:rtl/>
        </w:rPr>
        <w:t>بحروف غير</w:t>
      </w:r>
      <w:r w:rsidR="005567DB">
        <w:rPr>
          <w:rFonts w:hint="eastAsia"/>
          <w:spacing w:val="-6"/>
          <w:rtl/>
        </w:rPr>
        <w:t> </w:t>
      </w:r>
      <w:r w:rsidRPr="000168FA">
        <w:rPr>
          <w:spacing w:val="-6"/>
        </w:rPr>
        <w:t>US</w:t>
      </w:r>
      <w:r w:rsidR="000168FA" w:rsidRPr="000168FA">
        <w:rPr>
          <w:spacing w:val="-6"/>
        </w:rPr>
        <w:noBreakHyphen/>
      </w:r>
      <w:r w:rsidRPr="000168FA">
        <w:rPr>
          <w:spacing w:val="-6"/>
        </w:rPr>
        <w:t>ASCII</w:t>
      </w:r>
      <w:r w:rsidR="00E7347D" w:rsidRPr="000168FA">
        <w:rPr>
          <w:rFonts w:hint="cs"/>
          <w:spacing w:val="-6"/>
          <w:rtl/>
        </w:rPr>
        <w:t>.</w:t>
      </w:r>
      <w:r w:rsidR="00E7347D">
        <w:rPr>
          <w:rFonts w:hint="cs"/>
          <w:rtl/>
        </w:rPr>
        <w:t xml:space="preserve"> </w:t>
      </w:r>
      <w:r w:rsidR="00456083">
        <w:rPr>
          <w:rFonts w:hint="cs"/>
          <w:rtl/>
          <w:lang w:bidi="ar-EG"/>
        </w:rPr>
        <w:t>ويوجد</w:t>
      </w:r>
      <w:r w:rsidR="00E7347D">
        <w:rPr>
          <w:rFonts w:hint="cs"/>
          <w:rtl/>
        </w:rPr>
        <w:t xml:space="preserve"> حالياً</w:t>
      </w:r>
      <w:r w:rsidR="00942512">
        <w:rPr>
          <w:rFonts w:hint="cs"/>
          <w:rtl/>
        </w:rPr>
        <w:t xml:space="preserve"> </w:t>
      </w:r>
      <w:r w:rsidR="00942512">
        <w:t>29</w:t>
      </w:r>
      <w:r w:rsidR="00942512">
        <w:rPr>
          <w:rFonts w:hint="cs"/>
          <w:rtl/>
          <w:lang w:bidi="ar-EG"/>
        </w:rPr>
        <w:t xml:space="preserve"> اسماً من أسماء</w:t>
      </w:r>
      <w:r w:rsidR="00E7347D">
        <w:rPr>
          <w:rFonts w:hint="cs"/>
          <w:rtl/>
        </w:rPr>
        <w:t xml:space="preserve"> </w:t>
      </w:r>
      <w:r w:rsidR="00942512">
        <w:rPr>
          <w:rFonts w:hint="cs"/>
          <w:rtl/>
          <w:lang w:val="fr-FR"/>
        </w:rPr>
        <w:t>"</w:t>
      </w:r>
      <w:r w:rsidR="00846925" w:rsidRPr="00846925">
        <w:rPr>
          <w:lang w:val="fr-FR"/>
        </w:rPr>
        <w:t xml:space="preserve">IDN </w:t>
      </w:r>
      <w:proofErr w:type="spellStart"/>
      <w:r w:rsidR="00942512" w:rsidRPr="00846925">
        <w:rPr>
          <w:lang w:val="fr-FR"/>
        </w:rPr>
        <w:t>gTLD</w:t>
      </w:r>
      <w:proofErr w:type="spellEnd"/>
      <w:r w:rsidR="00942512">
        <w:rPr>
          <w:rFonts w:hint="cs"/>
          <w:rtl/>
          <w:lang w:val="fr-FR"/>
        </w:rPr>
        <w:t>"</w:t>
      </w:r>
      <w:r w:rsidR="00EB7E63">
        <w:rPr>
          <w:rFonts w:hint="cs"/>
          <w:rtl/>
        </w:rPr>
        <w:t xml:space="preserve"> و</w:t>
      </w:r>
      <w:r w:rsidR="00942512" w:rsidRPr="00FB5F31">
        <w:rPr>
          <w:lang w:val="fr-FR"/>
        </w:rPr>
        <w:t>36</w:t>
      </w:r>
      <w:r w:rsidR="00942512">
        <w:rPr>
          <w:rFonts w:hint="cs"/>
          <w:rtl/>
          <w:lang w:val="fr-FR"/>
        </w:rPr>
        <w:t xml:space="preserve"> اسماً من أسماء"</w:t>
      </w:r>
      <w:r w:rsidR="00846925" w:rsidRPr="00846925">
        <w:rPr>
          <w:lang w:val="fr-FR"/>
        </w:rPr>
        <w:t xml:space="preserve">IDN </w:t>
      </w:r>
      <w:proofErr w:type="spellStart"/>
      <w:r w:rsidR="00FB7A30" w:rsidRPr="00846925">
        <w:rPr>
          <w:lang w:val="fr-FR"/>
        </w:rPr>
        <w:t>ccTLD</w:t>
      </w:r>
      <w:proofErr w:type="spellEnd"/>
      <w:r w:rsidR="00942512">
        <w:rPr>
          <w:rFonts w:hint="cs"/>
          <w:rtl/>
          <w:lang w:val="fr-FR"/>
        </w:rPr>
        <w:t>"</w:t>
      </w:r>
      <w:r w:rsidR="00FB7A30">
        <w:rPr>
          <w:rFonts w:hint="cs"/>
          <w:rtl/>
          <w:lang w:val="fr-FR" w:bidi="ar-EG"/>
        </w:rPr>
        <w:t xml:space="preserve"> </w:t>
      </w:r>
      <w:r w:rsidR="00942512">
        <w:rPr>
          <w:rFonts w:hint="cs"/>
          <w:rtl/>
          <w:lang w:val="fr-FR" w:bidi="ar-EG"/>
        </w:rPr>
        <w:t>على مستوى</w:t>
      </w:r>
      <w:r w:rsidR="00FB7A30">
        <w:rPr>
          <w:rFonts w:hint="cs"/>
          <w:rtl/>
          <w:lang w:val="fr-FR" w:bidi="ar-EG"/>
        </w:rPr>
        <w:t xml:space="preserve"> الجذر </w:t>
      </w:r>
      <w:r w:rsidR="00942512">
        <w:rPr>
          <w:rFonts w:hint="cs"/>
          <w:rtl/>
          <w:lang w:val="fr-FR" w:bidi="ar-EG"/>
        </w:rPr>
        <w:t>وتم</w:t>
      </w:r>
      <w:r w:rsidR="00433E4E">
        <w:rPr>
          <w:rFonts w:hint="cs"/>
          <w:rtl/>
          <w:lang w:val="fr-FR" w:bidi="ar-EG"/>
        </w:rPr>
        <w:t xml:space="preserve"> تقديم</w:t>
      </w:r>
      <w:r w:rsidR="00FB7A30">
        <w:rPr>
          <w:rFonts w:hint="cs"/>
          <w:rtl/>
        </w:rPr>
        <w:t xml:space="preserve"> </w:t>
      </w:r>
      <w:r w:rsidR="00FB7A30">
        <w:rPr>
          <w:lang w:val="fr-FR"/>
        </w:rPr>
        <w:t>116</w:t>
      </w:r>
      <w:r w:rsidR="00F71A02">
        <w:rPr>
          <w:rFonts w:hint="eastAsia"/>
          <w:rtl/>
          <w:lang w:bidi="ar-EG"/>
        </w:rPr>
        <w:t> </w:t>
      </w:r>
      <w:r w:rsidR="00FB7A30">
        <w:rPr>
          <w:rFonts w:hint="cs"/>
          <w:rtl/>
          <w:lang w:bidi="ar-EG"/>
        </w:rPr>
        <w:t>طلباً</w:t>
      </w:r>
      <w:r w:rsidR="00456083">
        <w:rPr>
          <w:rFonts w:hint="cs"/>
          <w:rtl/>
          <w:lang w:bidi="ar-EG"/>
        </w:rPr>
        <w:t xml:space="preserve"> </w:t>
      </w:r>
      <w:r w:rsidR="003E1972">
        <w:rPr>
          <w:rFonts w:hint="cs"/>
          <w:rtl/>
          <w:lang w:bidi="ar-EG"/>
        </w:rPr>
        <w:t>من أجل</w:t>
      </w:r>
      <w:r w:rsidR="00FB7A30">
        <w:rPr>
          <w:rFonts w:hint="cs"/>
          <w:rtl/>
          <w:lang w:bidi="ar-EG"/>
        </w:rPr>
        <w:t xml:space="preserve"> </w:t>
      </w:r>
      <w:r w:rsidR="00456083">
        <w:rPr>
          <w:rFonts w:hint="cs"/>
          <w:rtl/>
          <w:lang w:bidi="ar-EG"/>
        </w:rPr>
        <w:t>أسماء</w:t>
      </w:r>
      <w:r w:rsidR="00FB7A30">
        <w:rPr>
          <w:rFonts w:hint="cs"/>
          <w:rtl/>
          <w:lang w:bidi="ar-EG"/>
        </w:rPr>
        <w:t xml:space="preserve"> </w:t>
      </w:r>
      <w:r w:rsidR="00846925">
        <w:rPr>
          <w:rFonts w:hint="cs"/>
          <w:rtl/>
          <w:lang w:val="fr-FR"/>
        </w:rPr>
        <w:t>"</w:t>
      </w:r>
      <w:r w:rsidR="00846925" w:rsidRPr="00846925">
        <w:rPr>
          <w:lang w:val="fr-FR"/>
        </w:rPr>
        <w:t xml:space="preserve">IDN </w:t>
      </w:r>
      <w:proofErr w:type="spellStart"/>
      <w:r w:rsidR="00846925" w:rsidRPr="00846925">
        <w:rPr>
          <w:lang w:val="fr-FR"/>
        </w:rPr>
        <w:t>gTLD</w:t>
      </w:r>
      <w:proofErr w:type="spellEnd"/>
      <w:r w:rsidR="00846925" w:rsidRPr="00846925">
        <w:rPr>
          <w:rFonts w:hint="cs"/>
          <w:rtl/>
          <w:lang w:val="fr-FR"/>
        </w:rPr>
        <w:t>"</w:t>
      </w:r>
      <w:r w:rsidR="00846925">
        <w:rPr>
          <w:rFonts w:hint="cs"/>
          <w:rtl/>
          <w:lang w:bidi="ar-EG"/>
        </w:rPr>
        <w:t xml:space="preserve"> </w:t>
      </w:r>
      <w:r w:rsidR="00FB7A30">
        <w:rPr>
          <w:rFonts w:hint="cs"/>
          <w:rtl/>
          <w:lang w:bidi="ar-EG"/>
        </w:rPr>
        <w:t xml:space="preserve">جديدة </w:t>
      </w:r>
      <w:r w:rsidR="00433E4E">
        <w:rPr>
          <w:rFonts w:hint="cs"/>
          <w:rtl/>
          <w:lang w:bidi="ar-EG"/>
        </w:rPr>
        <w:t xml:space="preserve">حيث </w:t>
      </w:r>
      <w:r w:rsidR="00AF5BEA">
        <w:rPr>
          <w:rFonts w:hint="cs"/>
          <w:rtl/>
          <w:lang w:bidi="ar-EG"/>
        </w:rPr>
        <w:t>خُصص</w:t>
      </w:r>
      <w:r w:rsidR="00FB7A30">
        <w:rPr>
          <w:rFonts w:hint="cs"/>
          <w:rtl/>
          <w:lang w:bidi="ar-EG"/>
        </w:rPr>
        <w:t xml:space="preserve"> </w:t>
      </w:r>
      <w:r w:rsidR="00FB7A30">
        <w:rPr>
          <w:lang w:bidi="ar-EG"/>
        </w:rPr>
        <w:t>29</w:t>
      </w:r>
      <w:r w:rsidR="00FB7A30">
        <w:rPr>
          <w:rFonts w:hint="cs"/>
          <w:rtl/>
          <w:lang w:bidi="ar-EG"/>
        </w:rPr>
        <w:t xml:space="preserve"> </w:t>
      </w:r>
      <w:r w:rsidR="00433E4E">
        <w:rPr>
          <w:rFonts w:hint="cs"/>
          <w:rtl/>
          <w:lang w:bidi="ar-EG"/>
        </w:rPr>
        <w:t>اسماً</w:t>
      </w:r>
      <w:r w:rsidR="00456083">
        <w:rPr>
          <w:rFonts w:hint="cs"/>
          <w:rtl/>
          <w:lang w:bidi="ar-EG"/>
        </w:rPr>
        <w:t xml:space="preserve"> منها ولا يزال </w:t>
      </w:r>
      <w:r w:rsidR="00FB7A30">
        <w:rPr>
          <w:lang w:bidi="ar-EG"/>
        </w:rPr>
        <w:t>87</w:t>
      </w:r>
      <w:r w:rsidR="00FB7A30">
        <w:rPr>
          <w:rFonts w:hint="cs"/>
          <w:rtl/>
          <w:lang w:bidi="ar-EG"/>
        </w:rPr>
        <w:t xml:space="preserve"> </w:t>
      </w:r>
      <w:r w:rsidR="00433E4E">
        <w:rPr>
          <w:rFonts w:hint="cs"/>
          <w:rtl/>
          <w:lang w:bidi="ar-EG"/>
        </w:rPr>
        <w:t>اسماً</w:t>
      </w:r>
      <w:r w:rsidR="00456083">
        <w:rPr>
          <w:rFonts w:hint="cs"/>
          <w:rtl/>
          <w:lang w:bidi="ar-EG"/>
        </w:rPr>
        <w:t xml:space="preserve"> </w:t>
      </w:r>
      <w:r w:rsidR="00FB7A30">
        <w:rPr>
          <w:rFonts w:hint="cs"/>
          <w:rtl/>
          <w:lang w:bidi="ar-EG"/>
        </w:rPr>
        <w:t>قيد التقييم</w:t>
      </w:r>
      <w:r w:rsidR="005567DB">
        <w:rPr>
          <w:rFonts w:hint="cs"/>
          <w:rtl/>
          <w:lang w:bidi="ar-EG"/>
        </w:rPr>
        <w:t>؛</w:t>
      </w:r>
    </w:p>
    <w:p w:rsidR="00456083" w:rsidRDefault="00456083" w:rsidP="005567DB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D3414A">
        <w:rPr>
          <w:rFonts w:hint="cs"/>
          <w:rtl/>
          <w:lang w:bidi="ar-EG"/>
        </w:rPr>
        <w:t xml:space="preserve">التحليل الذي قام به مدير مكتب تقييس الاتصالات بشأن قرارات الجمعية منذ </w:t>
      </w:r>
      <w:r w:rsidR="00D3414A">
        <w:rPr>
          <w:lang w:bidi="ar-EG"/>
        </w:rPr>
        <w:t>1993</w:t>
      </w:r>
      <w:r w:rsidR="00D3414A">
        <w:rPr>
          <w:rFonts w:hint="cs"/>
          <w:rtl/>
          <w:lang w:bidi="ar-EG"/>
        </w:rPr>
        <w:t xml:space="preserve"> والمبادئ التوجيهية المقترحة فيما يخص إعداد قرارات الجمعية (الوثيقة </w:t>
      </w:r>
      <w:r w:rsidR="00D3414A">
        <w:rPr>
          <w:lang w:bidi="ar-EG"/>
        </w:rPr>
        <w:t>TD 532</w:t>
      </w:r>
      <w:r w:rsidR="00D3414A">
        <w:rPr>
          <w:rFonts w:hint="cs"/>
          <w:rtl/>
          <w:lang w:bidi="ar-EG"/>
        </w:rPr>
        <w:t xml:space="preserve"> للفريق الاستشاري)، يشكك في الحاجة إلى قرارات للجمعية تكرر</w:t>
      </w:r>
      <w:r w:rsidR="000C698F">
        <w:rPr>
          <w:rFonts w:hint="cs"/>
          <w:rtl/>
          <w:lang w:bidi="ar-EG"/>
        </w:rPr>
        <w:t xml:space="preserve"> قرارات</w:t>
      </w:r>
      <w:r w:rsidR="00D3414A">
        <w:rPr>
          <w:rFonts w:hint="cs"/>
          <w:rtl/>
          <w:lang w:bidi="ar-EG"/>
        </w:rPr>
        <w:t xml:space="preserve"> مؤتمر المندوبين المفوضين </w:t>
      </w:r>
      <w:r w:rsidR="000C698F">
        <w:rPr>
          <w:rFonts w:hint="cs"/>
          <w:rtl/>
          <w:lang w:bidi="ar-EG"/>
        </w:rPr>
        <w:t>(</w:t>
      </w:r>
      <w:r w:rsidR="000607CC">
        <w:rPr>
          <w:rFonts w:hint="cs"/>
          <w:rtl/>
          <w:lang w:bidi="ar-EG"/>
        </w:rPr>
        <w:t xml:space="preserve">تعالج </w:t>
      </w:r>
      <w:r w:rsidR="000C698F">
        <w:rPr>
          <w:rFonts w:hint="cs"/>
          <w:rtl/>
          <w:lang w:bidi="ar-EG"/>
        </w:rPr>
        <w:t xml:space="preserve">القرارات </w:t>
      </w:r>
      <w:r w:rsidR="000C698F">
        <w:rPr>
          <w:lang w:bidi="ar-EG"/>
        </w:rPr>
        <w:t>101</w:t>
      </w:r>
      <w:r w:rsidR="000C698F">
        <w:rPr>
          <w:rFonts w:hint="cs"/>
          <w:rtl/>
          <w:lang w:bidi="ar-EG"/>
        </w:rPr>
        <w:t xml:space="preserve"> و</w:t>
      </w:r>
      <w:r w:rsidR="000607CC">
        <w:rPr>
          <w:lang w:bidi="ar-EG"/>
        </w:rPr>
        <w:t>102</w:t>
      </w:r>
      <w:r w:rsidR="000607CC">
        <w:rPr>
          <w:rFonts w:hint="cs"/>
          <w:rtl/>
          <w:lang w:bidi="ar-EG"/>
        </w:rPr>
        <w:t xml:space="preserve"> و</w:t>
      </w:r>
      <w:r w:rsidR="000607CC">
        <w:rPr>
          <w:lang w:bidi="ar-EG"/>
        </w:rPr>
        <w:t>133</w:t>
      </w:r>
      <w:r w:rsidR="000607CC">
        <w:rPr>
          <w:rFonts w:hint="cs"/>
          <w:rtl/>
          <w:lang w:bidi="ar-EG"/>
        </w:rPr>
        <w:t xml:space="preserve"> </w:t>
      </w:r>
      <w:r w:rsidR="00942512">
        <w:rPr>
          <w:rFonts w:hint="cs"/>
          <w:rtl/>
          <w:lang w:bidi="ar-EG"/>
        </w:rPr>
        <w:t>لمؤتمر المندوبين</w:t>
      </w:r>
      <w:r w:rsidR="00033252">
        <w:rPr>
          <w:rFonts w:hint="cs"/>
          <w:rtl/>
          <w:lang w:bidi="ar-EG"/>
        </w:rPr>
        <w:t xml:space="preserve"> المفوضين</w:t>
      </w:r>
      <w:r w:rsidR="00942512">
        <w:rPr>
          <w:rFonts w:hint="cs"/>
          <w:rtl/>
          <w:lang w:bidi="ar-EG"/>
        </w:rPr>
        <w:t xml:space="preserve"> </w:t>
      </w:r>
      <w:r w:rsidR="000607CC">
        <w:rPr>
          <w:rFonts w:hint="cs"/>
          <w:rtl/>
          <w:lang w:bidi="ar-EG"/>
        </w:rPr>
        <w:t xml:space="preserve">نفس المواضيع التي يعالجها القرار </w:t>
      </w:r>
      <w:r w:rsidR="000607CC">
        <w:rPr>
          <w:lang w:bidi="ar-EG"/>
        </w:rPr>
        <w:t>48</w:t>
      </w:r>
      <w:r w:rsidR="000607CC">
        <w:rPr>
          <w:rFonts w:hint="cs"/>
          <w:rtl/>
          <w:lang w:bidi="ar-EG"/>
        </w:rPr>
        <w:t xml:space="preserve"> للجمعية)؛</w:t>
      </w:r>
    </w:p>
    <w:p w:rsidR="000607CC" w:rsidRPr="000E2FEA" w:rsidRDefault="000607CC" w:rsidP="005567DB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F13837">
        <w:rPr>
          <w:rFonts w:hint="cs"/>
          <w:rtl/>
          <w:lang w:bidi="ar-EG"/>
        </w:rPr>
        <w:t xml:space="preserve">وتقرير </w:t>
      </w:r>
      <w:r w:rsidR="000E2FEA">
        <w:rPr>
          <w:rFonts w:hint="cs"/>
          <w:rtl/>
          <w:lang w:bidi="ar-EG"/>
        </w:rPr>
        <w:t>الإصدار السادس لخطة عمل الجمعية</w:t>
      </w:r>
      <w:r w:rsidR="000E2FEA">
        <w:rPr>
          <w:lang w:bidi="ar-EG"/>
        </w:rPr>
        <w:t xml:space="preserve">WTSA-12 </w:t>
      </w:r>
      <w:r w:rsidR="000E2FEA">
        <w:rPr>
          <w:rFonts w:hint="cs"/>
          <w:rtl/>
          <w:lang w:bidi="ar-EG"/>
        </w:rPr>
        <w:t>، (</w:t>
      </w:r>
      <w:r w:rsidR="000E2FEA">
        <w:rPr>
          <w:lang w:bidi="ar-EG"/>
        </w:rPr>
        <w:t>12</w:t>
      </w:r>
      <w:r w:rsidR="000E2FEA">
        <w:rPr>
          <w:rFonts w:hint="cs"/>
          <w:rtl/>
          <w:lang w:bidi="ar-EG"/>
        </w:rPr>
        <w:t xml:space="preserve"> سبتمبر </w:t>
      </w:r>
      <w:r w:rsidR="000E2FEA">
        <w:rPr>
          <w:lang w:bidi="ar-EG"/>
        </w:rPr>
        <w:t>2016</w:t>
      </w:r>
      <w:r w:rsidR="000E2FEA">
        <w:rPr>
          <w:rFonts w:hint="cs"/>
          <w:rtl/>
          <w:lang w:bidi="ar-EG"/>
        </w:rPr>
        <w:t xml:space="preserve">) يشير إلى </w:t>
      </w:r>
      <w:r w:rsidR="00C67032">
        <w:rPr>
          <w:rFonts w:hint="cs"/>
          <w:rtl/>
          <w:lang w:bidi="ar-EG"/>
        </w:rPr>
        <w:t>عدم وجود مساهمات</w:t>
      </w:r>
      <w:r w:rsidR="000E2FEA">
        <w:rPr>
          <w:rFonts w:hint="cs"/>
          <w:rtl/>
          <w:lang w:bidi="ar-EG"/>
        </w:rPr>
        <w:t xml:space="preserve"> من الدول الأعضاء إلى لجنة الدراسات </w:t>
      </w:r>
      <w:r w:rsidR="000E2FEA">
        <w:rPr>
          <w:lang w:bidi="ar-EG"/>
        </w:rPr>
        <w:t>2</w:t>
      </w:r>
      <w:r w:rsidR="000E2FEA">
        <w:rPr>
          <w:rFonts w:hint="cs"/>
          <w:rtl/>
          <w:lang w:bidi="ar-EG"/>
        </w:rPr>
        <w:t xml:space="preserve"> وعدم الوفاء بالأهداف ال</w:t>
      </w:r>
      <w:r w:rsidR="00F13837">
        <w:rPr>
          <w:rFonts w:hint="cs"/>
          <w:rtl/>
          <w:lang w:bidi="ar-EG"/>
        </w:rPr>
        <w:t>مرحلية</w:t>
      </w:r>
      <w:r w:rsidR="000E2FEA">
        <w:rPr>
          <w:rFonts w:hint="cs"/>
          <w:rtl/>
          <w:lang w:bidi="ar-EG"/>
        </w:rPr>
        <w:t>.</w:t>
      </w:r>
    </w:p>
    <w:p w:rsidR="00773F8C" w:rsidRDefault="00C82615" w:rsidP="00A249DC">
      <w:pPr>
        <w:pStyle w:val="Proposal"/>
        <w:rPr>
          <w:rtl/>
        </w:rPr>
      </w:pPr>
      <w:r>
        <w:br w:type="page"/>
      </w:r>
      <w:r w:rsidR="00055C50">
        <w:lastRenderedPageBreak/>
        <w:t>SUP</w:t>
      </w:r>
      <w:r w:rsidR="00055C50">
        <w:tab/>
        <w:t>USA/48A13/1</w:t>
      </w:r>
    </w:p>
    <w:p w:rsidR="00973933" w:rsidRPr="003F0CCC" w:rsidRDefault="00055C50" w:rsidP="00BB5FC9">
      <w:pPr>
        <w:pStyle w:val="ResNo"/>
        <w:rPr>
          <w:rtl/>
        </w:rPr>
      </w:pPr>
      <w:bookmarkStart w:id="0" w:name="_Toc349551583"/>
      <w:r>
        <w:rPr>
          <w:rFonts w:hint="cs"/>
          <w:rtl/>
        </w:rPr>
        <w:t>ال</w:t>
      </w:r>
      <w:r w:rsidRPr="003F0CCC">
        <w:rPr>
          <w:rtl/>
        </w:rPr>
        <w:t>ق</w:t>
      </w:r>
      <w:r>
        <w:rPr>
          <w:rFonts w:hint="cs"/>
          <w:rtl/>
        </w:rPr>
        <w:t>ـ</w:t>
      </w:r>
      <w:r w:rsidRPr="003F0CCC">
        <w:rPr>
          <w:rtl/>
        </w:rPr>
        <w:t xml:space="preserve">رار </w:t>
      </w:r>
      <w:r w:rsidRPr="00516ECD">
        <w:rPr>
          <w:rStyle w:val="href"/>
        </w:rPr>
        <w:t>48</w:t>
      </w:r>
      <w:r w:rsidRPr="0065248C">
        <w:rPr>
          <w:rFonts w:hint="cs"/>
          <w:rtl/>
        </w:rPr>
        <w:t xml:space="preserve"> (المراجَع في دبي، </w:t>
      </w:r>
      <w:r w:rsidRPr="0065248C">
        <w:t>2012</w:t>
      </w:r>
      <w:r w:rsidRPr="0065248C">
        <w:rPr>
          <w:rFonts w:hint="cs"/>
          <w:rtl/>
        </w:rPr>
        <w:t>)</w:t>
      </w:r>
      <w:bookmarkEnd w:id="0"/>
    </w:p>
    <w:p w:rsidR="00973933" w:rsidRPr="00BD0668" w:rsidRDefault="00055C50" w:rsidP="00973933">
      <w:pPr>
        <w:pStyle w:val="Restitle"/>
        <w:rPr>
          <w:rtl/>
        </w:rPr>
      </w:pPr>
      <w:bookmarkStart w:id="1" w:name="_Toc219803543"/>
      <w:bookmarkStart w:id="2" w:name="_Toc349551584"/>
      <w:r>
        <w:rPr>
          <w:rFonts w:hint="cs"/>
          <w:rtl/>
        </w:rPr>
        <w:t>أسماء الميادين الدولية (المتعددة اللغات)</w:t>
      </w:r>
      <w:bookmarkEnd w:id="1"/>
      <w:bookmarkEnd w:id="2"/>
    </w:p>
    <w:p w:rsidR="00973933" w:rsidRPr="00276E2B" w:rsidRDefault="00055C50" w:rsidP="00973933">
      <w:pPr>
        <w:pStyle w:val="Resref"/>
        <w:rPr>
          <w:rFonts w:ascii="Times New Roman italic" w:hAnsi="Times New Roman italic"/>
          <w:iCs/>
          <w:rtl/>
        </w:rPr>
      </w:pPr>
      <w:r w:rsidRPr="00276E2B">
        <w:rPr>
          <w:rFonts w:ascii="Times New Roman italic" w:hAnsi="Times New Roman italic" w:hint="cs"/>
          <w:iCs/>
          <w:rtl/>
        </w:rPr>
        <w:t xml:space="preserve">(فلوريانوبوليس، </w:t>
      </w:r>
      <w:r w:rsidRPr="00276E2B">
        <w:rPr>
          <w:rFonts w:ascii="Times New Roman italic" w:hAnsi="Times New Roman italic"/>
          <w:iCs/>
        </w:rPr>
        <w:t>2004</w:t>
      </w:r>
      <w:r w:rsidRPr="00276E2B">
        <w:rPr>
          <w:rFonts w:ascii="Times New Roman italic" w:hAnsi="Times New Roman italic" w:hint="cs"/>
          <w:iCs/>
          <w:rtl/>
        </w:rPr>
        <w:t xml:space="preserve">؛ جوهانسبرغ، </w:t>
      </w:r>
      <w:r w:rsidRPr="00276E2B">
        <w:rPr>
          <w:rFonts w:ascii="Times New Roman italic" w:hAnsi="Times New Roman italic"/>
          <w:iCs/>
        </w:rPr>
        <w:t>2008</w:t>
      </w:r>
      <w:r w:rsidRPr="00276E2B">
        <w:rPr>
          <w:rFonts w:ascii="Times New Roman italic" w:hAnsi="Times New Roman italic" w:hint="cs"/>
          <w:iCs/>
          <w:rtl/>
        </w:rPr>
        <w:t xml:space="preserve">؛ دبي، </w:t>
      </w:r>
      <w:r w:rsidRPr="00276E2B">
        <w:rPr>
          <w:rFonts w:ascii="Times New Roman italic" w:hAnsi="Times New Roman italic" w:cs="Times New Roman"/>
          <w:iCs/>
        </w:rPr>
        <w:t>2012</w:t>
      </w:r>
      <w:r w:rsidRPr="00276E2B">
        <w:rPr>
          <w:rFonts w:ascii="Times New Roman italic" w:hAnsi="Times New Roman italic" w:hint="cs"/>
          <w:iCs/>
          <w:rtl/>
        </w:rPr>
        <w:t>)</w:t>
      </w:r>
    </w:p>
    <w:p w:rsidR="00973933" w:rsidRPr="00BD0668" w:rsidRDefault="00055C50" w:rsidP="00973933">
      <w:pPr>
        <w:pStyle w:val="Normalaftertitle"/>
        <w:rPr>
          <w:rtl/>
        </w:rPr>
      </w:pPr>
      <w:r w:rsidRPr="00BD0668">
        <w:rPr>
          <w:rFonts w:hint="cs"/>
          <w:rtl/>
        </w:rPr>
        <w:t>إن الجمعية العالمية لتقييس الاتصالات (</w:t>
      </w:r>
      <w:r>
        <w:rPr>
          <w:rFonts w:hint="cs"/>
          <w:rtl/>
        </w:rPr>
        <w:t xml:space="preserve">دبي، </w:t>
      </w:r>
      <w:r>
        <w:t>2012</w:t>
      </w:r>
      <w:r w:rsidRPr="00BD0668">
        <w:rPr>
          <w:rFonts w:hint="cs"/>
          <w:rtl/>
        </w:rPr>
        <w:t>)</w:t>
      </w:r>
      <w:r>
        <w:rPr>
          <w:rFonts w:hint="cs"/>
          <w:rtl/>
        </w:rPr>
        <w:t>،</w:t>
      </w:r>
    </w:p>
    <w:p w:rsidR="00773F8C" w:rsidRDefault="00055C50" w:rsidP="00A20EE9">
      <w:pPr>
        <w:pStyle w:val="Reasons"/>
        <w:rPr>
          <w:b w:val="0"/>
          <w:bCs w:val="0"/>
          <w:rtl/>
          <w:lang w:bidi="ar-EG"/>
        </w:rPr>
      </w:pPr>
      <w:r w:rsidRPr="00175D43">
        <w:rPr>
          <w:rtl/>
        </w:rPr>
        <w:t>الأسباب:</w:t>
      </w:r>
      <w:r w:rsidRPr="00175D43">
        <w:tab/>
      </w:r>
      <w:r w:rsidR="00EF0911" w:rsidRPr="00175D43">
        <w:rPr>
          <w:rFonts w:hint="cs"/>
          <w:b w:val="0"/>
          <w:bCs w:val="0"/>
          <w:rtl/>
        </w:rPr>
        <w:t xml:space="preserve">انظر </w:t>
      </w:r>
      <w:r w:rsidR="000749B5">
        <w:rPr>
          <w:rFonts w:hint="cs"/>
          <w:b w:val="0"/>
          <w:bCs w:val="0"/>
          <w:rtl/>
        </w:rPr>
        <w:t xml:space="preserve">قسمي </w:t>
      </w:r>
      <w:r w:rsidR="00EF0911" w:rsidRPr="00175D43">
        <w:rPr>
          <w:rFonts w:hint="cs"/>
          <w:b w:val="0"/>
          <w:bCs w:val="0"/>
          <w:rtl/>
        </w:rPr>
        <w:t xml:space="preserve">المقدمة </w:t>
      </w:r>
      <w:r w:rsidR="00A20EE9" w:rsidRPr="00175D43">
        <w:rPr>
          <w:rFonts w:hint="cs"/>
          <w:b w:val="0"/>
          <w:bCs w:val="0"/>
          <w:rtl/>
        </w:rPr>
        <w:t>والمقترح في</w:t>
      </w:r>
      <w:r w:rsidR="00EF0911" w:rsidRPr="00175D43">
        <w:rPr>
          <w:rFonts w:hint="cs"/>
          <w:b w:val="0"/>
          <w:bCs w:val="0"/>
          <w:rtl/>
        </w:rPr>
        <w:t xml:space="preserve"> الإضافة </w:t>
      </w:r>
      <w:r w:rsidR="00EF0911" w:rsidRPr="00175D43">
        <w:rPr>
          <w:b w:val="0"/>
          <w:bCs w:val="0"/>
        </w:rPr>
        <w:t>13</w:t>
      </w:r>
      <w:r w:rsidR="00EF0911" w:rsidRPr="00175D43">
        <w:rPr>
          <w:rFonts w:hint="cs"/>
          <w:b w:val="0"/>
          <w:bCs w:val="0"/>
          <w:rtl/>
          <w:lang w:bidi="ar-EG"/>
        </w:rPr>
        <w:t xml:space="preserve"> للوثيقة </w:t>
      </w:r>
      <w:r w:rsidR="00EF0911" w:rsidRPr="00175D43">
        <w:rPr>
          <w:b w:val="0"/>
          <w:bCs w:val="0"/>
          <w:lang w:bidi="ar-EG"/>
        </w:rPr>
        <w:t>48</w:t>
      </w:r>
      <w:r w:rsidR="00EF0911" w:rsidRPr="00175D43">
        <w:rPr>
          <w:rFonts w:hint="cs"/>
          <w:b w:val="0"/>
          <w:bCs w:val="0"/>
          <w:rtl/>
          <w:lang w:bidi="ar-EG"/>
        </w:rPr>
        <w:t>.</w:t>
      </w:r>
    </w:p>
    <w:p w:rsidR="00616912" w:rsidRPr="00616912" w:rsidRDefault="00616912" w:rsidP="00616912">
      <w:pPr>
        <w:pStyle w:val="Reasons"/>
        <w:rPr>
          <w:rtl/>
          <w:lang w:bidi="ar-EG"/>
        </w:rPr>
      </w:pPr>
      <w:bookmarkStart w:id="3" w:name="_GoBack"/>
      <w:bookmarkEnd w:id="3"/>
    </w:p>
    <w:p w:rsidR="00E8356B" w:rsidRPr="00E8356B" w:rsidRDefault="00E8356B" w:rsidP="00E8356B">
      <w:pPr>
        <w:spacing w:before="600"/>
        <w:jc w:val="center"/>
      </w:pPr>
      <w:r>
        <w:rPr>
          <w:rtl/>
        </w:rPr>
        <w:t>___________</w:t>
      </w:r>
    </w:p>
    <w:sectPr w:rsidR="00E8356B" w:rsidRPr="00E8356B">
      <w:headerReference w:type="default" r:id="rId12"/>
      <w:footerReference w:type="default" r:id="rId13"/>
      <w:footerReference w:type="first" r:id="rId14"/>
      <w:type w:val="continuous"/>
      <w:pgSz w:w="11907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055C50" w:rsidRDefault="00E07379" w:rsidP="00A37094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055C50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C26944">
      <w:rPr>
        <w:rFonts w:cs="Times New Roman"/>
        <w:noProof/>
        <w:sz w:val="16"/>
        <w:szCs w:val="16"/>
        <w:lang w:val="fr-CH"/>
      </w:rPr>
      <w:t>P:\ARA\ITU-T\CONF-T\WTSA16\000\048ADD13A.docx</w:t>
    </w:r>
    <w:r w:rsidRPr="00E07379">
      <w:rPr>
        <w:rFonts w:cs="Times New Roman"/>
        <w:sz w:val="16"/>
        <w:szCs w:val="16"/>
      </w:rPr>
      <w:fldChar w:fldCharType="end"/>
    </w:r>
    <w:r w:rsidR="00A37094">
      <w:rPr>
        <w:rFonts w:cs="Times New Roman"/>
        <w:sz w:val="16"/>
        <w:szCs w:val="16"/>
        <w:lang w:val="fr-CH"/>
      </w:rPr>
      <w:t>   </w:t>
    </w:r>
    <w:r w:rsidR="00EA7583" w:rsidRPr="006074CE">
      <w:rPr>
        <w:rFonts w:cs="Times New Roman"/>
        <w:sz w:val="16"/>
        <w:szCs w:val="16"/>
        <w:lang w:val="fr-CH"/>
      </w:rPr>
      <w:t>(406136)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6074CE" w:rsidRDefault="0022345D" w:rsidP="00A37094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6074CE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A37094">
      <w:rPr>
        <w:noProof/>
        <w:szCs w:val="12"/>
        <w:lang w:val="fr-CH"/>
      </w:rPr>
      <w:t>P:\ARA\ITU-T\CONF-T\WTSA16\000\048ADD13A.docx</w:t>
    </w:r>
    <w:r w:rsidRPr="0022345D">
      <w:rPr>
        <w:szCs w:val="12"/>
      </w:rPr>
      <w:fldChar w:fldCharType="end"/>
    </w:r>
    <w:r w:rsidR="00A37094">
      <w:rPr>
        <w:szCs w:val="12"/>
        <w:lang w:val="fr-CH"/>
      </w:rPr>
      <w:t>   </w:t>
    </w:r>
    <w:r w:rsidR="00EA7583" w:rsidRPr="006074CE">
      <w:rPr>
        <w:szCs w:val="12"/>
        <w:lang w:val="fr-CH"/>
      </w:rPr>
      <w:t>(406136)</w:t>
    </w:r>
  </w:p>
  <w:p w:rsidR="00E07379" w:rsidRPr="006074CE" w:rsidRDefault="00E07379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9DC" w:rsidRDefault="0022345D" w:rsidP="00A249DC">
    <w:pPr>
      <w:bidi w:val="0"/>
      <w:spacing w:before="0" w:line="240" w:lineRule="auto"/>
      <w:jc w:val="center"/>
      <w:rPr>
        <w:rStyle w:val="PageNumber"/>
        <w:sz w:val="18"/>
        <w:szCs w:val="18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616912">
      <w:rPr>
        <w:rStyle w:val="PageNumber"/>
        <w:noProof/>
        <w:sz w:val="18"/>
        <w:szCs w:val="18"/>
      </w:rPr>
      <w:t>3</w:t>
    </w:r>
    <w:r w:rsidRPr="005D6C0D">
      <w:rPr>
        <w:rStyle w:val="PageNumber"/>
        <w:sz w:val="18"/>
        <w:szCs w:val="18"/>
      </w:rPr>
      <w:fldChar w:fldCharType="end"/>
    </w:r>
  </w:p>
  <w:p w:rsidR="0022345D" w:rsidRPr="005D6C0D" w:rsidRDefault="005D6C0D" w:rsidP="00A249DC">
    <w:pPr>
      <w:bidi w:val="0"/>
      <w:spacing w:before="0" w:line="240" w:lineRule="auto"/>
      <w:jc w:val="center"/>
      <w:rPr>
        <w:rStyle w:val="PageNumber"/>
        <w:sz w:val="16"/>
        <w:szCs w:val="16"/>
      </w:rPr>
    </w:pPr>
    <w:r w:rsidRPr="005D6C0D">
      <w:rPr>
        <w:sz w:val="18"/>
        <w:szCs w:val="24"/>
      </w:rPr>
      <w:t>WTSA16/48(Add.13)-A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06D17"/>
    <w:rsid w:val="000124CC"/>
    <w:rsid w:val="000168FA"/>
    <w:rsid w:val="000221C7"/>
    <w:rsid w:val="000256AC"/>
    <w:rsid w:val="00033252"/>
    <w:rsid w:val="00046444"/>
    <w:rsid w:val="00050AB2"/>
    <w:rsid w:val="00055C50"/>
    <w:rsid w:val="0006023B"/>
    <w:rsid w:val="000607CC"/>
    <w:rsid w:val="000619AC"/>
    <w:rsid w:val="000749B5"/>
    <w:rsid w:val="0008638B"/>
    <w:rsid w:val="00090574"/>
    <w:rsid w:val="00092FC2"/>
    <w:rsid w:val="000966FE"/>
    <w:rsid w:val="000A1677"/>
    <w:rsid w:val="000B407F"/>
    <w:rsid w:val="000C698F"/>
    <w:rsid w:val="000E164A"/>
    <w:rsid w:val="000E2FEA"/>
    <w:rsid w:val="000F0B1C"/>
    <w:rsid w:val="000F1D42"/>
    <w:rsid w:val="000F4D07"/>
    <w:rsid w:val="00102A03"/>
    <w:rsid w:val="001040A3"/>
    <w:rsid w:val="00117D40"/>
    <w:rsid w:val="00173915"/>
    <w:rsid w:val="00175D43"/>
    <w:rsid w:val="0018597E"/>
    <w:rsid w:val="001E3B5C"/>
    <w:rsid w:val="00213197"/>
    <w:rsid w:val="0022345D"/>
    <w:rsid w:val="00224830"/>
    <w:rsid w:val="00225854"/>
    <w:rsid w:val="0023283D"/>
    <w:rsid w:val="00252E0C"/>
    <w:rsid w:val="00276881"/>
    <w:rsid w:val="00276E2B"/>
    <w:rsid w:val="00283836"/>
    <w:rsid w:val="002978F4"/>
    <w:rsid w:val="002B028D"/>
    <w:rsid w:val="002B435E"/>
    <w:rsid w:val="002C4DAE"/>
    <w:rsid w:val="002D1AA0"/>
    <w:rsid w:val="002D1AB7"/>
    <w:rsid w:val="002E6541"/>
    <w:rsid w:val="002E67F8"/>
    <w:rsid w:val="002F1AF7"/>
    <w:rsid w:val="002F5560"/>
    <w:rsid w:val="0030486B"/>
    <w:rsid w:val="003231B9"/>
    <w:rsid w:val="00323BC2"/>
    <w:rsid w:val="003275AC"/>
    <w:rsid w:val="00333D29"/>
    <w:rsid w:val="003409F4"/>
    <w:rsid w:val="00342E99"/>
    <w:rsid w:val="00357185"/>
    <w:rsid w:val="00360FE3"/>
    <w:rsid w:val="00363F48"/>
    <w:rsid w:val="003679DA"/>
    <w:rsid w:val="0037005E"/>
    <w:rsid w:val="00373B87"/>
    <w:rsid w:val="0038030D"/>
    <w:rsid w:val="00386E0D"/>
    <w:rsid w:val="003C3D04"/>
    <w:rsid w:val="003C475F"/>
    <w:rsid w:val="003E1972"/>
    <w:rsid w:val="003E4132"/>
    <w:rsid w:val="003F2929"/>
    <w:rsid w:val="003F678F"/>
    <w:rsid w:val="0042686F"/>
    <w:rsid w:val="00433E4E"/>
    <w:rsid w:val="004367CE"/>
    <w:rsid w:val="00443869"/>
    <w:rsid w:val="00456083"/>
    <w:rsid w:val="00464A40"/>
    <w:rsid w:val="004712C6"/>
    <w:rsid w:val="00495E5E"/>
    <w:rsid w:val="00497703"/>
    <w:rsid w:val="004F0F06"/>
    <w:rsid w:val="004F19BD"/>
    <w:rsid w:val="004F57DD"/>
    <w:rsid w:val="00501E0E"/>
    <w:rsid w:val="005044DC"/>
    <w:rsid w:val="005114FA"/>
    <w:rsid w:val="005204D7"/>
    <w:rsid w:val="00552BC5"/>
    <w:rsid w:val="0055516A"/>
    <w:rsid w:val="005567DB"/>
    <w:rsid w:val="0056374C"/>
    <w:rsid w:val="0056614F"/>
    <w:rsid w:val="005733C2"/>
    <w:rsid w:val="0057656F"/>
    <w:rsid w:val="00576731"/>
    <w:rsid w:val="00582861"/>
    <w:rsid w:val="0059285F"/>
    <w:rsid w:val="00593F88"/>
    <w:rsid w:val="005A24B1"/>
    <w:rsid w:val="005B1B44"/>
    <w:rsid w:val="005B7B8A"/>
    <w:rsid w:val="005D6476"/>
    <w:rsid w:val="005D6C0D"/>
    <w:rsid w:val="005E07E6"/>
    <w:rsid w:val="005E5283"/>
    <w:rsid w:val="005E58F5"/>
    <w:rsid w:val="00606660"/>
    <w:rsid w:val="006074CE"/>
    <w:rsid w:val="006157A3"/>
    <w:rsid w:val="00616912"/>
    <w:rsid w:val="00620E60"/>
    <w:rsid w:val="0063315A"/>
    <w:rsid w:val="0065591D"/>
    <w:rsid w:val="00662C5A"/>
    <w:rsid w:val="00670AF5"/>
    <w:rsid w:val="00677C08"/>
    <w:rsid w:val="00683D9B"/>
    <w:rsid w:val="006C1556"/>
    <w:rsid w:val="006C2732"/>
    <w:rsid w:val="006F267F"/>
    <w:rsid w:val="006F63F7"/>
    <w:rsid w:val="006F6F03"/>
    <w:rsid w:val="0070584A"/>
    <w:rsid w:val="00706D7A"/>
    <w:rsid w:val="00726AEC"/>
    <w:rsid w:val="007530CA"/>
    <w:rsid w:val="00773F8C"/>
    <w:rsid w:val="00777FA1"/>
    <w:rsid w:val="0079553D"/>
    <w:rsid w:val="007B01CC"/>
    <w:rsid w:val="007F646C"/>
    <w:rsid w:val="007F72C3"/>
    <w:rsid w:val="00801FCD"/>
    <w:rsid w:val="00803D7E"/>
    <w:rsid w:val="00803F08"/>
    <w:rsid w:val="008235CD"/>
    <w:rsid w:val="0082367D"/>
    <w:rsid w:val="00823A07"/>
    <w:rsid w:val="00834E23"/>
    <w:rsid w:val="00835FEC"/>
    <w:rsid w:val="00846925"/>
    <w:rsid w:val="008513CB"/>
    <w:rsid w:val="00874D9C"/>
    <w:rsid w:val="008A1810"/>
    <w:rsid w:val="008E27F9"/>
    <w:rsid w:val="00917694"/>
    <w:rsid w:val="0091795C"/>
    <w:rsid w:val="00922915"/>
    <w:rsid w:val="009263CD"/>
    <w:rsid w:val="00930E6D"/>
    <w:rsid w:val="00937E57"/>
    <w:rsid w:val="00942512"/>
    <w:rsid w:val="00955D75"/>
    <w:rsid w:val="00963BB2"/>
    <w:rsid w:val="00972CA2"/>
    <w:rsid w:val="00982B28"/>
    <w:rsid w:val="00984EA5"/>
    <w:rsid w:val="00987C07"/>
    <w:rsid w:val="00992593"/>
    <w:rsid w:val="009A20DD"/>
    <w:rsid w:val="009A5907"/>
    <w:rsid w:val="009C17E1"/>
    <w:rsid w:val="009C35ED"/>
    <w:rsid w:val="009F1C12"/>
    <w:rsid w:val="00A20EE9"/>
    <w:rsid w:val="00A249DC"/>
    <w:rsid w:val="00A25A43"/>
    <w:rsid w:val="00A3295B"/>
    <w:rsid w:val="00A37094"/>
    <w:rsid w:val="00A40A1F"/>
    <w:rsid w:val="00A42AE5"/>
    <w:rsid w:val="00A434DE"/>
    <w:rsid w:val="00A43596"/>
    <w:rsid w:val="00A43DC0"/>
    <w:rsid w:val="00A52B61"/>
    <w:rsid w:val="00A64820"/>
    <w:rsid w:val="00A64A84"/>
    <w:rsid w:val="00A71DD6"/>
    <w:rsid w:val="00A723C7"/>
    <w:rsid w:val="00A73AD5"/>
    <w:rsid w:val="00A73C01"/>
    <w:rsid w:val="00A80E11"/>
    <w:rsid w:val="00A97F94"/>
    <w:rsid w:val="00AB1309"/>
    <w:rsid w:val="00AC2C52"/>
    <w:rsid w:val="00AD1503"/>
    <w:rsid w:val="00AE7244"/>
    <w:rsid w:val="00AF3FEE"/>
    <w:rsid w:val="00AF5BEA"/>
    <w:rsid w:val="00B02F46"/>
    <w:rsid w:val="00B2000C"/>
    <w:rsid w:val="00B20ADE"/>
    <w:rsid w:val="00B66B9A"/>
    <w:rsid w:val="00B726DF"/>
    <w:rsid w:val="00B82089"/>
    <w:rsid w:val="00B970AE"/>
    <w:rsid w:val="00BA1427"/>
    <w:rsid w:val="00BB5FC9"/>
    <w:rsid w:val="00BE49D0"/>
    <w:rsid w:val="00BF2C38"/>
    <w:rsid w:val="00BF5EAD"/>
    <w:rsid w:val="00C16C93"/>
    <w:rsid w:val="00C23331"/>
    <w:rsid w:val="00C23569"/>
    <w:rsid w:val="00C265DA"/>
    <w:rsid w:val="00C26944"/>
    <w:rsid w:val="00C442F2"/>
    <w:rsid w:val="00C67032"/>
    <w:rsid w:val="00C674FE"/>
    <w:rsid w:val="00C7297D"/>
    <w:rsid w:val="00C75633"/>
    <w:rsid w:val="00C8242E"/>
    <w:rsid w:val="00C82615"/>
    <w:rsid w:val="00C867DB"/>
    <w:rsid w:val="00CA2A38"/>
    <w:rsid w:val="00CA50FF"/>
    <w:rsid w:val="00CC1247"/>
    <w:rsid w:val="00CC3CD2"/>
    <w:rsid w:val="00CC43BE"/>
    <w:rsid w:val="00CD123C"/>
    <w:rsid w:val="00CD2085"/>
    <w:rsid w:val="00CE2EE1"/>
    <w:rsid w:val="00CF00E6"/>
    <w:rsid w:val="00CF3FFD"/>
    <w:rsid w:val="00D0494C"/>
    <w:rsid w:val="00D14BEB"/>
    <w:rsid w:val="00D21C89"/>
    <w:rsid w:val="00D27659"/>
    <w:rsid w:val="00D3414A"/>
    <w:rsid w:val="00D45542"/>
    <w:rsid w:val="00D77D0F"/>
    <w:rsid w:val="00D862BE"/>
    <w:rsid w:val="00DA1CF0"/>
    <w:rsid w:val="00DA417B"/>
    <w:rsid w:val="00DB2271"/>
    <w:rsid w:val="00DB5659"/>
    <w:rsid w:val="00DC24B4"/>
    <w:rsid w:val="00DD7A05"/>
    <w:rsid w:val="00DE21AD"/>
    <w:rsid w:val="00DF16DC"/>
    <w:rsid w:val="00DF5361"/>
    <w:rsid w:val="00DF70BF"/>
    <w:rsid w:val="00E009A1"/>
    <w:rsid w:val="00E00D15"/>
    <w:rsid w:val="00E071BE"/>
    <w:rsid w:val="00E07379"/>
    <w:rsid w:val="00E14494"/>
    <w:rsid w:val="00E17033"/>
    <w:rsid w:val="00E32189"/>
    <w:rsid w:val="00E45211"/>
    <w:rsid w:val="00E7347D"/>
    <w:rsid w:val="00E7380C"/>
    <w:rsid w:val="00E74BE7"/>
    <w:rsid w:val="00E80D73"/>
    <w:rsid w:val="00E8356B"/>
    <w:rsid w:val="00E86CC9"/>
    <w:rsid w:val="00E96624"/>
    <w:rsid w:val="00EA7583"/>
    <w:rsid w:val="00EB7E63"/>
    <w:rsid w:val="00EF0911"/>
    <w:rsid w:val="00F126F1"/>
    <w:rsid w:val="00F13837"/>
    <w:rsid w:val="00F2106A"/>
    <w:rsid w:val="00F2589D"/>
    <w:rsid w:val="00F36D8B"/>
    <w:rsid w:val="00F401D0"/>
    <w:rsid w:val="00F45F2B"/>
    <w:rsid w:val="00F57AE4"/>
    <w:rsid w:val="00F67150"/>
    <w:rsid w:val="00F71A02"/>
    <w:rsid w:val="00F766A1"/>
    <w:rsid w:val="00F84366"/>
    <w:rsid w:val="00F85089"/>
    <w:rsid w:val="00F85564"/>
    <w:rsid w:val="00F86CFA"/>
    <w:rsid w:val="00FB7A30"/>
    <w:rsid w:val="00FD58BD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97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7db8604-13df-4c09-9d31-f969a626a164" targetNamespace="http://schemas.microsoft.com/office/2006/metadata/properties" ma:root="true" ma:fieldsID="d41af5c836d734370eb92e7ee5f83852" ns2:_="" ns3:_="">
    <xsd:import namespace="996b2e75-67fd-4955-a3b0-5ab9934cb50b"/>
    <xsd:import namespace="c7db8604-13df-4c09-9d31-f969a626a16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b8604-13df-4c09-9d31-f969a626a16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7db8604-13df-4c09-9d31-f969a626a164">Documents Proposals Manager (DPM)</DPM_x0020_Author>
    <DPM_x0020_File_x0020_name xmlns="c7db8604-13df-4c09-9d31-f969a626a164">T13-WTSA.16-C-0048!A13!MSW-A</DPM_x0020_File_x0020_name>
    <DPM_x0020_Version xmlns="c7db8604-13df-4c09-9d31-f969a626a164">DPM_v2016.10.7.1_prod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7db8604-13df-4c09-9d31-f969a626a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dcmitype/"/>
    <ds:schemaRef ds:uri="c7db8604-13df-4c09-9d31-f969a626a164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996b2e75-67fd-4955-a3b0-5ab9934cb50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B81E62D-DFC0-4200-902E-CEDDDDA3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T13-WTSA.16-C-0048!A13!MSW-A</vt:lpstr>
    </vt:vector>
  </TitlesOfParts>
  <Company>International Telecommunication Union (ITU)</Company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T13-WTSA.16-C-0048!A13!MSW-A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Awad, Samy</cp:lastModifiedBy>
  <cp:revision>35</cp:revision>
  <cp:lastPrinted>2016-10-20T11:22:00Z</cp:lastPrinted>
  <dcterms:created xsi:type="dcterms:W3CDTF">2016-10-20T13:05:00Z</dcterms:created>
  <dcterms:modified xsi:type="dcterms:W3CDTF">2016-10-20T15:51:00Z</dcterms:modified>
  <cp:category>Conference document</cp:category>
</cp:coreProperties>
</file>