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CB654B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CB654B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CB654B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CB654B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CB654B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CB654B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CB654B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CB654B">
            <w:pPr>
              <w:spacing w:before="0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CB654B">
            <w:pPr>
              <w:spacing w:before="0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CB654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636124" w:rsidRDefault="0022345D" w:rsidP="00CB654B">
            <w:pPr>
              <w:pStyle w:val="Adress"/>
              <w:framePr w:hSpace="0" w:wrap="auto" w:xAlign="left" w:yAlign="inline"/>
              <w:spacing w:line="192" w:lineRule="auto"/>
              <w:rPr>
                <w:rtl/>
              </w:rPr>
            </w:pPr>
            <w:r w:rsidRPr="00636124">
              <w:rPr>
                <w:rtl/>
              </w:rPr>
              <w:t xml:space="preserve">الإضافة </w:t>
            </w:r>
            <w:r w:rsidRPr="00636124">
              <w:t>12</w:t>
            </w:r>
            <w:r w:rsidRPr="00636124">
              <w:br/>
            </w:r>
            <w:r w:rsidRPr="00636124">
              <w:rPr>
                <w:rtl/>
              </w:rPr>
              <w:t xml:space="preserve">للوثيقة </w:t>
            </w:r>
            <w:r w:rsidRPr="00636124">
              <w:t>48-</w:t>
            </w:r>
            <w:r w:rsidR="00636124" w:rsidRPr="00636124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CB654B">
            <w:pPr>
              <w:pStyle w:val="Adress"/>
              <w:framePr w:hSpace="0" w:wrap="auto" w:xAlign="left" w:yAlign="inline"/>
              <w:spacing w:line="192" w:lineRule="auto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636124" w:rsidRDefault="0022345D" w:rsidP="00CB654B">
            <w:pPr>
              <w:pStyle w:val="Adress"/>
              <w:framePr w:hSpace="0" w:wrap="auto" w:xAlign="left" w:yAlign="inline"/>
              <w:spacing w:line="192" w:lineRule="auto"/>
              <w:rPr>
                <w:rtl/>
              </w:rPr>
            </w:pPr>
            <w:r w:rsidRPr="00636124">
              <w:rPr>
                <w:rFonts w:eastAsia="SimSun"/>
              </w:rPr>
              <w:t>6</w:t>
            </w:r>
            <w:r w:rsidRPr="00636124">
              <w:rPr>
                <w:rFonts w:eastAsia="SimSun"/>
                <w:rtl/>
              </w:rPr>
              <w:t xml:space="preserve"> أكتوبر </w:t>
            </w:r>
            <w:r w:rsidRPr="00636124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CB654B">
            <w:pPr>
              <w:pStyle w:val="Adress"/>
              <w:framePr w:hSpace="0" w:wrap="auto" w:xAlign="left" w:yAlign="inline"/>
              <w:spacing w:line="192" w:lineRule="auto"/>
            </w:pPr>
          </w:p>
        </w:tc>
        <w:tc>
          <w:tcPr>
            <w:tcW w:w="1572" w:type="pct"/>
            <w:gridSpan w:val="2"/>
            <w:vAlign w:val="center"/>
          </w:tcPr>
          <w:p w:rsidR="0022345D" w:rsidRPr="00636124" w:rsidRDefault="0022345D" w:rsidP="00CB654B">
            <w:pPr>
              <w:pStyle w:val="Adress"/>
              <w:framePr w:hSpace="0" w:wrap="auto" w:xAlign="left" w:yAlign="inline"/>
              <w:spacing w:line="192" w:lineRule="auto"/>
              <w:rPr>
                <w:rFonts w:eastAsia="SimSun" w:hint="eastAsia"/>
              </w:rPr>
            </w:pPr>
            <w:r w:rsidRPr="0063612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CB654B">
            <w:pPr>
              <w:spacing w:before="0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CB654B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CB654B" w:rsidP="00CB654B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color w:val="000000"/>
                <w:spacing w:val="-4"/>
                <w:w w:val="110"/>
                <w:rtl/>
              </w:rPr>
              <w:t>مقترح</w:t>
            </w:r>
            <w:r w:rsidR="006E1462" w:rsidRPr="008C4D30">
              <w:rPr>
                <w:color w:val="000000"/>
                <w:spacing w:val="-4"/>
                <w:w w:val="110"/>
                <w:rtl/>
              </w:rPr>
              <w:t xml:space="preserve"> </w:t>
            </w:r>
            <w:r>
              <w:rPr>
                <w:rFonts w:hint="cs"/>
                <w:color w:val="000000"/>
                <w:spacing w:val="-4"/>
                <w:w w:val="110"/>
                <w:rtl/>
              </w:rPr>
              <w:t>ل</w:t>
            </w:r>
            <w:r w:rsidR="006E1462" w:rsidRPr="008C4D30">
              <w:rPr>
                <w:color w:val="000000"/>
                <w:spacing w:val="-4"/>
                <w:w w:val="110"/>
                <w:rtl/>
              </w:rPr>
              <w:t>إلغاء القـرار</w:t>
            </w:r>
            <w:r>
              <w:rPr>
                <w:rFonts w:hint="cs"/>
                <w:color w:val="000000"/>
                <w:spacing w:val="-4"/>
                <w:w w:val="110"/>
                <w:rtl/>
              </w:rPr>
              <w:t> </w:t>
            </w:r>
            <w:r w:rsidR="006E1462" w:rsidRPr="008C4D30">
              <w:rPr>
                <w:spacing w:val="-4"/>
                <w:w w:val="110"/>
                <w:lang w:bidi="ar-SA"/>
              </w:rPr>
              <w:t>47</w:t>
            </w:r>
            <w:r w:rsidR="006E1462"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 للجمعية </w:t>
            </w:r>
            <w:r>
              <w:rPr>
                <w:rFonts w:hint="cs"/>
                <w:spacing w:val="-4"/>
                <w:w w:val="110"/>
                <w:rtl/>
                <w:lang w:bidi="ar-SA"/>
              </w:rPr>
              <w:t>العالمية</w:t>
            </w:r>
            <w:r w:rsidR="006E1462"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 لتقييس الاتصالات</w:t>
            </w:r>
            <w:r>
              <w:rPr>
                <w:rFonts w:hint="cs"/>
                <w:spacing w:val="-4"/>
                <w:w w:val="110"/>
                <w:rtl/>
              </w:rPr>
              <w:t xml:space="preserve"> </w:t>
            </w:r>
            <w:r w:rsidR="006E1462" w:rsidRPr="00615AA2">
              <w:rPr>
                <w:rFonts w:hint="cs"/>
                <w:spacing w:val="-4"/>
                <w:w w:val="110"/>
                <w:rtl/>
                <w:lang w:bidi="ar-SA"/>
              </w:rPr>
              <w:t>لعام</w:t>
            </w:r>
            <w:r w:rsidR="006E1462" w:rsidRPr="00615AA2"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="006E1462" w:rsidRPr="00615AA2">
              <w:rPr>
                <w:spacing w:val="-4"/>
                <w:w w:val="110"/>
                <w:lang w:bidi="ar-SA"/>
              </w:rPr>
              <w:t>2012</w:t>
            </w:r>
            <w:r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="006E1462" w:rsidRPr="00615AA2">
              <w:rPr>
                <w:spacing w:val="-4"/>
                <w:w w:val="110"/>
                <w:lang w:bidi="ar-SA"/>
              </w:rPr>
              <w:t>(WTSA</w:t>
            </w:r>
            <w:r>
              <w:rPr>
                <w:spacing w:val="-4"/>
                <w:w w:val="110"/>
                <w:lang w:bidi="ar-SA"/>
              </w:rPr>
              <w:noBreakHyphen/>
            </w:r>
            <w:r w:rsidR="006E1462" w:rsidRPr="00615AA2">
              <w:rPr>
                <w:spacing w:val="-4"/>
                <w:w w:val="110"/>
                <w:lang w:bidi="ar-SA"/>
              </w:rPr>
              <w:t>12)</w:t>
            </w:r>
            <w:r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="006E1462">
              <w:rPr>
                <w:rFonts w:hint="cs"/>
                <w:spacing w:val="-4"/>
                <w:w w:val="110"/>
                <w:rtl/>
                <w:lang w:bidi="ar-SA"/>
              </w:rPr>
              <w:t>-</w:t>
            </w:r>
            <w:r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="006E1462">
              <w:rPr>
                <w:rFonts w:hint="cs"/>
                <w:rtl/>
              </w:rPr>
              <w:t>أسماء ميادين المستوى الأعلى للرمز الق</w:t>
            </w:r>
            <w:r w:rsidR="008C4D30">
              <w:rPr>
                <w:rFonts w:hint="cs"/>
                <w:rtl/>
              </w:rPr>
              <w:t>ُ</w:t>
            </w:r>
            <w:r w:rsidR="006E1462">
              <w:rPr>
                <w:rFonts w:hint="cs"/>
                <w:rtl/>
              </w:rPr>
              <w:t>طري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CB654B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CB654B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252800" w:rsidTr="00193AD1">
        <w:trPr>
          <w:cantSplit/>
          <w:jc w:val="right"/>
        </w:trPr>
        <w:tc>
          <w:tcPr>
            <w:tcW w:w="8505" w:type="dxa"/>
          </w:tcPr>
          <w:p w:rsidR="00D42A45" w:rsidRPr="00AB6714" w:rsidRDefault="00AA459D" w:rsidP="000B04DF">
            <w:pPr>
              <w:rPr>
                <w:spacing w:val="-2"/>
              </w:rPr>
            </w:pPr>
            <w:r w:rsidRPr="00AB6714">
              <w:rPr>
                <w:spacing w:val="-2"/>
                <w:rtl/>
              </w:rPr>
              <w:t xml:space="preserve">تماشياً مع </w:t>
            </w:r>
            <w:r w:rsidRPr="00AB6714">
              <w:rPr>
                <w:rFonts w:hint="cs"/>
                <w:spacing w:val="-2"/>
                <w:rtl/>
              </w:rPr>
              <w:t>ال</w:t>
            </w:r>
            <w:r w:rsidRPr="00AB6714">
              <w:rPr>
                <w:spacing w:val="-2"/>
                <w:rtl/>
              </w:rPr>
              <w:t xml:space="preserve">مبادئ </w:t>
            </w:r>
            <w:r w:rsidRPr="00AB6714">
              <w:rPr>
                <w:rFonts w:hint="cs"/>
                <w:spacing w:val="-2"/>
                <w:rtl/>
              </w:rPr>
              <w:t>ال</w:t>
            </w:r>
            <w:r w:rsidRPr="00AB6714">
              <w:rPr>
                <w:spacing w:val="-2"/>
                <w:rtl/>
              </w:rPr>
              <w:t>توجيهية</w:t>
            </w:r>
            <w:r w:rsidRPr="00AB6714">
              <w:rPr>
                <w:rFonts w:hint="cs"/>
                <w:spacing w:val="-2"/>
                <w:rtl/>
              </w:rPr>
              <w:t xml:space="preserve"> التي اقترحها</w:t>
            </w:r>
            <w:r w:rsidRPr="00AB6714">
              <w:rPr>
                <w:spacing w:val="-2"/>
                <w:rtl/>
              </w:rPr>
              <w:t xml:space="preserve"> مدير مكتب تقييس الاتصالات</w:t>
            </w:r>
            <w:r w:rsidRPr="00AB6714">
              <w:rPr>
                <w:rFonts w:hint="cs"/>
                <w:spacing w:val="-2"/>
                <w:rtl/>
              </w:rPr>
              <w:t xml:space="preserve"> بشأن</w:t>
            </w:r>
            <w:r w:rsidRPr="00AB6714">
              <w:rPr>
                <w:spacing w:val="-2"/>
                <w:rtl/>
              </w:rPr>
              <w:t xml:space="preserve"> قرارات الجمعية العالمية لتقييس الاتصالات</w:t>
            </w:r>
            <w:r w:rsidRPr="00AB6714">
              <w:rPr>
                <w:rFonts w:hint="cs"/>
                <w:spacing w:val="-2"/>
                <w:rtl/>
              </w:rPr>
              <w:t xml:space="preserve"> </w:t>
            </w:r>
            <w:r w:rsidR="00C365DF" w:rsidRPr="00AB6714">
              <w:rPr>
                <w:rFonts w:hint="cs"/>
                <w:spacing w:val="-2"/>
                <w:rtl/>
              </w:rPr>
              <w:t>و</w:t>
            </w:r>
            <w:r w:rsidRPr="00AB6714">
              <w:rPr>
                <w:rFonts w:hint="cs"/>
                <w:spacing w:val="-2"/>
                <w:rtl/>
              </w:rPr>
              <w:t>الواردة</w:t>
            </w:r>
            <w:r w:rsidRPr="00AB6714">
              <w:rPr>
                <w:spacing w:val="-2"/>
                <w:rtl/>
              </w:rPr>
              <w:t xml:space="preserve"> ‏في</w:t>
            </w:r>
            <w:r w:rsidR="000B04DF" w:rsidRPr="00AB6714">
              <w:rPr>
                <w:rFonts w:hint="cs"/>
                <w:spacing w:val="-2"/>
                <w:rtl/>
              </w:rPr>
              <w:t> </w:t>
            </w:r>
            <w:r w:rsidRPr="00AB6714">
              <w:rPr>
                <w:spacing w:val="-2"/>
                <w:rtl/>
              </w:rPr>
              <w:t>الوثيقة</w:t>
            </w:r>
            <w:r w:rsidR="000B04DF" w:rsidRPr="00AB6714">
              <w:rPr>
                <w:rFonts w:hint="cs"/>
                <w:spacing w:val="-2"/>
                <w:rtl/>
              </w:rPr>
              <w:t> </w:t>
            </w:r>
            <w:r w:rsidRPr="00AB6714">
              <w:rPr>
                <w:spacing w:val="-2"/>
                <w:rtl/>
              </w:rPr>
              <w:t>‏</w:t>
            </w:r>
            <w:r w:rsidRPr="00AB6714">
              <w:rPr>
                <w:spacing w:val="-2"/>
              </w:rPr>
              <w:t>TD</w:t>
            </w:r>
            <w:r w:rsidR="000B04DF" w:rsidRPr="00AB6714">
              <w:rPr>
                <w:spacing w:val="-2"/>
              </w:rPr>
              <w:t> </w:t>
            </w:r>
            <w:r w:rsidRPr="00AB6714">
              <w:rPr>
                <w:spacing w:val="-2"/>
              </w:rPr>
              <w:t>532</w:t>
            </w:r>
            <w:r w:rsidRPr="00AB6714">
              <w:rPr>
                <w:spacing w:val="-2"/>
                <w:cs/>
              </w:rPr>
              <w:t>‎</w:t>
            </w:r>
            <w:r w:rsidRPr="00AB6714">
              <w:rPr>
                <w:spacing w:val="-2"/>
                <w:rtl/>
              </w:rPr>
              <w:t>‏ للفريق الاستشاري لتقييس الاتصالات</w:t>
            </w:r>
            <w:r w:rsidR="00D1317B" w:rsidRPr="00AB6714">
              <w:rPr>
                <w:rFonts w:hint="cs"/>
                <w:spacing w:val="-2"/>
                <w:rtl/>
              </w:rPr>
              <w:t xml:space="preserve">، </w:t>
            </w:r>
            <w:r w:rsidR="007A61A5" w:rsidRPr="00AB6714">
              <w:rPr>
                <w:rFonts w:hint="cs"/>
                <w:spacing w:val="-2"/>
                <w:rtl/>
              </w:rPr>
              <w:t>ونظراً</w:t>
            </w:r>
            <w:r w:rsidR="00D1317B" w:rsidRPr="00AB6714">
              <w:rPr>
                <w:rFonts w:hint="cs"/>
                <w:spacing w:val="-2"/>
                <w:rtl/>
              </w:rPr>
              <w:t xml:space="preserve"> </w:t>
            </w:r>
            <w:r w:rsidR="007A61A5" w:rsidRPr="00AB6714">
              <w:rPr>
                <w:rFonts w:hint="cs"/>
                <w:spacing w:val="-2"/>
                <w:rtl/>
              </w:rPr>
              <w:t>ل</w:t>
            </w:r>
            <w:r w:rsidR="00D1317B" w:rsidRPr="00AB6714">
              <w:rPr>
                <w:rFonts w:hint="cs"/>
                <w:spacing w:val="-2"/>
                <w:rtl/>
              </w:rPr>
              <w:t xml:space="preserve">عدم التبليغ عن أي طلبات من الدول الأعضاء </w:t>
            </w:r>
            <w:r w:rsidR="00F4429C" w:rsidRPr="00AB6714">
              <w:rPr>
                <w:rFonts w:hint="cs"/>
                <w:spacing w:val="-2"/>
                <w:rtl/>
              </w:rPr>
              <w:t xml:space="preserve">إلى مكتب تقييس الاتصالات لاتخاذ </w:t>
            </w:r>
            <w:r w:rsidR="00D1317B" w:rsidRPr="00AB6714">
              <w:rPr>
                <w:rFonts w:hint="cs"/>
                <w:spacing w:val="-2"/>
                <w:rtl/>
              </w:rPr>
              <w:t>تدابير، و</w:t>
            </w:r>
            <w:r w:rsidR="007A61A5" w:rsidRPr="00AB6714">
              <w:rPr>
                <w:rFonts w:hint="cs"/>
                <w:spacing w:val="-2"/>
                <w:rtl/>
              </w:rPr>
              <w:t>ل</w:t>
            </w:r>
            <w:r w:rsidR="00D1317B" w:rsidRPr="00AB6714">
              <w:rPr>
                <w:rFonts w:hint="cs"/>
                <w:spacing w:val="-2"/>
                <w:rtl/>
              </w:rPr>
              <w:t>استمرار وجود القرار</w:t>
            </w:r>
            <w:r w:rsidR="000B04DF" w:rsidRPr="00AB6714">
              <w:rPr>
                <w:rFonts w:hint="eastAsia"/>
                <w:spacing w:val="-2"/>
                <w:rtl/>
              </w:rPr>
              <w:t> </w:t>
            </w:r>
            <w:r w:rsidR="00D1317B" w:rsidRPr="00AB6714">
              <w:rPr>
                <w:spacing w:val="-2"/>
                <w:lang w:val="fr-CH"/>
              </w:rPr>
              <w:t>102</w:t>
            </w:r>
            <w:r w:rsidR="00D1317B" w:rsidRPr="00AB6714">
              <w:rPr>
                <w:rFonts w:eastAsiaTheme="minorEastAsia" w:hint="cs"/>
                <w:spacing w:val="-2"/>
                <w:rtl/>
                <w:lang w:val="es-ES_tradnl" w:eastAsia="zh-CN" w:bidi="ar-EG"/>
              </w:rPr>
              <w:t xml:space="preserve"> لمؤتمر المندوبين المفوضين، ترى الولايات المتحدة الأمريكية أن القرار</w:t>
            </w:r>
            <w:r w:rsidR="000B04DF" w:rsidRPr="00AB6714">
              <w:rPr>
                <w:rFonts w:eastAsiaTheme="minorEastAsia" w:hint="eastAsia"/>
                <w:spacing w:val="-2"/>
                <w:rtl/>
                <w:lang w:val="es-ES_tradnl" w:eastAsia="zh-CN" w:bidi="ar-EG"/>
              </w:rPr>
              <w:t> </w:t>
            </w:r>
            <w:r w:rsidR="00D1317B" w:rsidRPr="00AB6714">
              <w:rPr>
                <w:rFonts w:eastAsiaTheme="minorEastAsia"/>
                <w:spacing w:val="-2"/>
                <w:lang w:val="fr-CH" w:eastAsia="zh-CN" w:bidi="ar-EG"/>
              </w:rPr>
              <w:t>47</w:t>
            </w:r>
            <w:r w:rsidR="00D1317B" w:rsidRPr="00AB6714">
              <w:rPr>
                <w:rFonts w:eastAsiaTheme="minorEastAsia" w:hint="cs"/>
                <w:spacing w:val="-2"/>
                <w:rtl/>
                <w:lang w:val="fr-CH" w:eastAsia="zh-CN" w:bidi="ar-EG"/>
              </w:rPr>
              <w:t xml:space="preserve"> لل</w:t>
            </w:r>
            <w:r w:rsidR="00D1317B" w:rsidRPr="00AB6714">
              <w:rPr>
                <w:rFonts w:eastAsiaTheme="minorEastAsia" w:hint="cs"/>
                <w:spacing w:val="-2"/>
                <w:rtl/>
                <w:lang w:val="es-ES_tradnl" w:eastAsia="zh-CN" w:bidi="ar-EG"/>
              </w:rPr>
              <w:t>جمعية العالمية لتقييس الاتصالات لم</w:t>
            </w:r>
            <w:r w:rsidR="000B04DF" w:rsidRPr="00AB6714">
              <w:rPr>
                <w:rFonts w:eastAsiaTheme="minorEastAsia" w:hint="eastAsia"/>
                <w:spacing w:val="-2"/>
                <w:rtl/>
                <w:lang w:val="es-ES_tradnl" w:eastAsia="zh-CN" w:bidi="ar-EG"/>
              </w:rPr>
              <w:t> </w:t>
            </w:r>
            <w:r w:rsidR="00D1317B" w:rsidRPr="00AB6714">
              <w:rPr>
                <w:rFonts w:eastAsiaTheme="minorEastAsia" w:hint="cs"/>
                <w:spacing w:val="-2"/>
                <w:rtl/>
                <w:lang w:val="es-ES_tradnl" w:eastAsia="zh-CN" w:bidi="ar-EG"/>
              </w:rPr>
              <w:t>يعد ضرورياً.</w:t>
            </w:r>
          </w:p>
        </w:tc>
        <w:tc>
          <w:tcPr>
            <w:tcW w:w="1058" w:type="dxa"/>
          </w:tcPr>
          <w:p w:rsidR="006157A3" w:rsidRPr="00252800" w:rsidRDefault="006157A3" w:rsidP="00CB654B">
            <w:r w:rsidRPr="00252800">
              <w:rPr>
                <w:rFonts w:ascii="Times New Roman Bold" w:hAnsi="Times New Roman Bold"/>
                <w:b/>
                <w:bCs/>
                <w:rtl/>
                <w:lang w:bidi="ar-EG"/>
              </w:rPr>
              <w:t>الملخص</w:t>
            </w:r>
            <w:r w:rsidRPr="00252800">
              <w:t>:</w:t>
            </w:r>
          </w:p>
        </w:tc>
      </w:tr>
    </w:tbl>
    <w:p w:rsidR="00C9483F" w:rsidRPr="00252800" w:rsidRDefault="00B2608D" w:rsidP="00CB654B">
      <w:pPr>
        <w:pStyle w:val="Headingb"/>
        <w:rPr>
          <w:rtl/>
        </w:rPr>
      </w:pPr>
      <w:r w:rsidRPr="00252800">
        <w:rPr>
          <w:rFonts w:hint="cs"/>
          <w:rtl/>
        </w:rPr>
        <w:t>مقدمة</w:t>
      </w:r>
    </w:p>
    <w:p w:rsidR="00D7364B" w:rsidRPr="00252800" w:rsidRDefault="00AA459D" w:rsidP="0084740E">
      <w:pPr>
        <w:rPr>
          <w:rtl/>
          <w:lang w:bidi="ar-EG"/>
        </w:rPr>
      </w:pPr>
      <w:r w:rsidRPr="00252800">
        <w:rPr>
          <w:rFonts w:hint="cs"/>
          <w:rtl/>
          <w:lang w:bidi="ar-EG"/>
        </w:rPr>
        <w:t xml:space="preserve">اعتُمد </w:t>
      </w:r>
      <w:r w:rsidRPr="00252800">
        <w:rPr>
          <w:rtl/>
        </w:rPr>
        <w:t>القرار</w:t>
      </w:r>
      <w:r w:rsidR="00C365DF">
        <w:rPr>
          <w:rFonts w:hint="cs"/>
          <w:rtl/>
        </w:rPr>
        <w:t> </w:t>
      </w:r>
      <w:r w:rsidRPr="00252800">
        <w:t>47</w:t>
      </w:r>
      <w:r w:rsidRPr="00252800">
        <w:rPr>
          <w:rtl/>
        </w:rPr>
        <w:t xml:space="preserve"> للجمعية العالمية لتقييس الاتصالات</w:t>
      </w:r>
      <w:r w:rsidRPr="00252800">
        <w:rPr>
          <w:rFonts w:hint="cs"/>
          <w:rtl/>
        </w:rPr>
        <w:t xml:space="preserve"> في</w:t>
      </w:r>
      <w:r w:rsidR="00C365DF">
        <w:rPr>
          <w:rFonts w:hint="eastAsia"/>
          <w:rtl/>
        </w:rPr>
        <w:t> </w:t>
      </w:r>
      <w:r w:rsidRPr="00252800">
        <w:t>2004</w:t>
      </w:r>
      <w:r w:rsidRPr="00252800">
        <w:rPr>
          <w:rtl/>
        </w:rPr>
        <w:t xml:space="preserve"> </w:t>
      </w:r>
      <w:r w:rsidRPr="00252800">
        <w:rPr>
          <w:rFonts w:hint="cs"/>
          <w:rtl/>
        </w:rPr>
        <w:t>وتم تأكيده في</w:t>
      </w:r>
      <w:r w:rsidR="00C365DF">
        <w:rPr>
          <w:rFonts w:hint="eastAsia"/>
          <w:rtl/>
        </w:rPr>
        <w:t> </w:t>
      </w:r>
      <w:r w:rsidRPr="00252800">
        <w:rPr>
          <w:rFonts w:hint="cs"/>
          <w:rtl/>
        </w:rPr>
        <w:t>الجمعية العالمية لتقييس الاتصالات في</w:t>
      </w:r>
      <w:r w:rsidR="00C365DF">
        <w:rPr>
          <w:rFonts w:hint="eastAsia"/>
          <w:rtl/>
        </w:rPr>
        <w:t> </w:t>
      </w:r>
      <w:r w:rsidRPr="00252800">
        <w:rPr>
          <w:rFonts w:hint="cs"/>
          <w:rtl/>
        </w:rPr>
        <w:t>عامي </w:t>
      </w:r>
      <w:r w:rsidRPr="00252800">
        <w:t>2008</w:t>
      </w:r>
      <w:r w:rsidRPr="00252800">
        <w:rPr>
          <w:rFonts w:hint="cs"/>
          <w:rtl/>
          <w:lang w:bidi="ar-EG"/>
        </w:rPr>
        <w:t xml:space="preserve"> و</w:t>
      </w:r>
      <w:r w:rsidRPr="00252800">
        <w:rPr>
          <w:lang w:bidi="ar-EG"/>
        </w:rPr>
        <w:t>2012</w:t>
      </w:r>
      <w:r w:rsidRPr="00252800">
        <w:rPr>
          <w:rFonts w:hint="cs"/>
          <w:rtl/>
          <w:lang w:bidi="ar-EG"/>
        </w:rPr>
        <w:t>. ويكلف القرار لجنة الدراسات</w:t>
      </w:r>
      <w:r w:rsidR="00C365DF">
        <w:rPr>
          <w:rFonts w:hint="eastAsia"/>
          <w:rtl/>
          <w:lang w:bidi="ar-EG"/>
        </w:rPr>
        <w:t> </w:t>
      </w:r>
      <w:r w:rsidRPr="00252800">
        <w:rPr>
          <w:lang w:bidi="ar-EG"/>
        </w:rPr>
        <w:t>2</w:t>
      </w:r>
      <w:r w:rsidRPr="00252800">
        <w:rPr>
          <w:rFonts w:hint="cs"/>
          <w:rtl/>
          <w:lang w:bidi="ar-EG"/>
        </w:rPr>
        <w:t xml:space="preserve"> لقطاع تقييس الاتصالات </w:t>
      </w:r>
      <w:r w:rsidRPr="00252800">
        <w:rPr>
          <w:rFonts w:hint="cs"/>
          <w:rtl/>
        </w:rPr>
        <w:t>بمواصلة</w:t>
      </w:r>
      <w:r w:rsidR="00AB705E" w:rsidRPr="00252800">
        <w:rPr>
          <w:rFonts w:hint="cs"/>
          <w:rtl/>
        </w:rPr>
        <w:t xml:space="preserve"> الدراسات من أجل استعراض خبرات الدول الأعضاء المتصلة بميادين المستوى الأعلى للرمز القُطري، والعمل </w:t>
      </w:r>
      <w:r w:rsidR="00F4429C">
        <w:rPr>
          <w:rFonts w:hint="cs"/>
          <w:rtl/>
        </w:rPr>
        <w:t xml:space="preserve">معها ومع </w:t>
      </w:r>
      <w:r w:rsidR="00AB705E" w:rsidRPr="00252800">
        <w:rPr>
          <w:rFonts w:hint="cs"/>
          <w:rtl/>
        </w:rPr>
        <w:t>أعضاء القطاعات، مع مراعاة أنشطة الكيانات ا</w:t>
      </w:r>
      <w:r w:rsidR="00C365DF">
        <w:rPr>
          <w:rFonts w:hint="cs"/>
          <w:rtl/>
        </w:rPr>
        <w:t>لمختصة الأخرى. ويدعو هذا القرار</w:t>
      </w:r>
      <w:r w:rsidR="00AB705E" w:rsidRPr="00252800">
        <w:rPr>
          <w:rFonts w:hint="cs"/>
          <w:rtl/>
        </w:rPr>
        <w:t xml:space="preserve"> أيضاً الدول الأعضاء إلى المساهمة في</w:t>
      </w:r>
      <w:r w:rsidR="00C365DF">
        <w:rPr>
          <w:rFonts w:hint="eastAsia"/>
          <w:rtl/>
        </w:rPr>
        <w:t> </w:t>
      </w:r>
      <w:r w:rsidR="00AB705E" w:rsidRPr="00252800">
        <w:rPr>
          <w:rFonts w:hint="cs"/>
          <w:rtl/>
        </w:rPr>
        <w:t xml:space="preserve">هذه الدراسات. ويتبيِّن من </w:t>
      </w:r>
      <w:r w:rsidR="003172A8" w:rsidRPr="00252800">
        <w:rPr>
          <w:rFonts w:hint="cs"/>
          <w:rtl/>
        </w:rPr>
        <w:t xml:space="preserve">استعراض </w:t>
      </w:r>
      <w:r w:rsidR="003172A8" w:rsidRPr="00252800">
        <w:rPr>
          <w:rtl/>
        </w:rPr>
        <w:t>خطة عمل الجمعية العالمية لتقييس الاتصالات لعام</w:t>
      </w:r>
      <w:r w:rsidR="003172A8" w:rsidRPr="00252800">
        <w:rPr>
          <w:rFonts w:hint="cs"/>
          <w:rtl/>
        </w:rPr>
        <w:t> </w:t>
      </w:r>
      <w:r w:rsidR="003172A8" w:rsidRPr="00252800">
        <w:t>2012</w:t>
      </w:r>
      <w:r w:rsidR="003172A8" w:rsidRPr="00252800">
        <w:rPr>
          <w:rFonts w:hint="eastAsia"/>
          <w:rtl/>
        </w:rPr>
        <w:t> </w:t>
      </w:r>
      <w:r w:rsidR="003172A8" w:rsidRPr="00252800">
        <w:t>(WTSA</w:t>
      </w:r>
      <w:r w:rsidR="003172A8" w:rsidRPr="00252800">
        <w:noBreakHyphen/>
        <w:t>12)</w:t>
      </w:r>
      <w:r w:rsidR="003172A8" w:rsidRPr="00252800">
        <w:rPr>
          <w:rFonts w:hint="cs"/>
          <w:rtl/>
        </w:rPr>
        <w:t>،</w:t>
      </w:r>
      <w:r w:rsidR="007A61A5">
        <w:rPr>
          <w:rFonts w:hint="cs"/>
          <w:rtl/>
        </w:rPr>
        <w:t xml:space="preserve"> وهي</w:t>
      </w:r>
      <w:r w:rsidR="003172A8" w:rsidRPr="00252800">
        <w:rPr>
          <w:rFonts w:hint="cs"/>
          <w:rtl/>
        </w:rPr>
        <w:t xml:space="preserve"> </w:t>
      </w:r>
      <w:r w:rsidR="003172A8" w:rsidRPr="00252800">
        <w:rPr>
          <w:rFonts w:hint="cs"/>
          <w:rtl/>
          <w:lang w:bidi="ar-EG"/>
        </w:rPr>
        <w:t>أداة للرصد والتنفيذ يستخدمها مكتب تقييس الاتصالات وت</w:t>
      </w:r>
      <w:r w:rsidR="00C365DF">
        <w:rPr>
          <w:rFonts w:hint="cs"/>
          <w:rtl/>
          <w:lang w:bidi="ar-EG"/>
        </w:rPr>
        <w:t>ُ</w:t>
      </w:r>
      <w:r w:rsidR="003172A8" w:rsidRPr="00252800">
        <w:rPr>
          <w:rFonts w:hint="cs"/>
          <w:rtl/>
          <w:lang w:bidi="ar-EG"/>
        </w:rPr>
        <w:t>تيح تتبع بنود العمل والمسؤوليات المرتبطة بها وآليات التعاون والتقارير والحالة النهائية، أن لجنة الدراسات</w:t>
      </w:r>
      <w:r w:rsidR="003172A8" w:rsidRPr="00252800">
        <w:rPr>
          <w:rFonts w:hint="eastAsia"/>
          <w:rtl/>
        </w:rPr>
        <w:t> </w:t>
      </w:r>
      <w:r w:rsidR="00AB705E" w:rsidRPr="00252800">
        <w:rPr>
          <w:lang w:bidi="ar-EG"/>
        </w:rPr>
        <w:t>2</w:t>
      </w:r>
      <w:r w:rsidR="003172A8" w:rsidRPr="00252800">
        <w:rPr>
          <w:rFonts w:hint="cs"/>
          <w:rtl/>
          <w:lang w:bidi="ar-EG"/>
        </w:rPr>
        <w:t xml:space="preserve"> </w:t>
      </w:r>
      <w:r w:rsidR="00AB705E" w:rsidRPr="00252800">
        <w:rPr>
          <w:rFonts w:eastAsiaTheme="minorEastAsia" w:hint="cs"/>
          <w:rtl/>
          <w:lang w:val="ru-RU" w:eastAsia="zh-CN" w:bidi="ar-EG"/>
        </w:rPr>
        <w:t>لقطاع تقييس الاتصالات لم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AB705E" w:rsidRPr="00252800">
        <w:rPr>
          <w:rFonts w:eastAsiaTheme="minorEastAsia" w:hint="cs"/>
          <w:rtl/>
          <w:lang w:val="ru-RU" w:eastAsia="zh-CN" w:bidi="ar-EG"/>
        </w:rPr>
        <w:t>تتخذ أي تدابير خلال السنوات الأربع الماضية. وفضلاً عن ذلك، وفيما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AB705E" w:rsidRPr="00252800">
        <w:rPr>
          <w:rFonts w:eastAsiaTheme="minorEastAsia" w:hint="cs"/>
          <w:rtl/>
          <w:lang w:val="ru-RU" w:eastAsia="zh-CN" w:bidi="ar-EG"/>
        </w:rPr>
        <w:t>يخص فترة الدراسة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AB705E" w:rsidRPr="00252800">
        <w:rPr>
          <w:rFonts w:eastAsiaTheme="minorEastAsia"/>
          <w:lang w:val="fr-CH" w:eastAsia="zh-CN" w:bidi="ar-EG"/>
        </w:rPr>
        <w:t>2012</w:t>
      </w:r>
      <w:r w:rsidR="00AB705E" w:rsidRPr="00252800">
        <w:rPr>
          <w:rFonts w:eastAsiaTheme="minorEastAsia" w:hint="cs"/>
          <w:rtl/>
          <w:lang w:val="ru-RU" w:eastAsia="zh-CN" w:bidi="ar-EG"/>
        </w:rPr>
        <w:t>-</w:t>
      </w:r>
      <w:r w:rsidR="00AB705E" w:rsidRPr="00252800">
        <w:rPr>
          <w:rFonts w:eastAsiaTheme="minorEastAsia"/>
          <w:lang w:val="fr-CH" w:eastAsia="zh-CN" w:bidi="ar-EG"/>
        </w:rPr>
        <w:t>2016</w:t>
      </w:r>
      <w:r w:rsidR="00AB705E" w:rsidRPr="00252800">
        <w:rPr>
          <w:rFonts w:eastAsiaTheme="minorEastAsia" w:hint="cs"/>
          <w:rtl/>
          <w:lang w:val="ru-RU" w:eastAsia="zh-CN" w:bidi="ar-EG"/>
        </w:rPr>
        <w:t xml:space="preserve">، </w:t>
      </w:r>
      <w:r w:rsidR="00D7364B" w:rsidRPr="00252800">
        <w:rPr>
          <w:rFonts w:eastAsiaTheme="minorEastAsia" w:hint="cs"/>
          <w:rtl/>
          <w:lang w:val="ru-RU" w:eastAsia="zh-CN" w:bidi="ar-EG"/>
        </w:rPr>
        <w:t xml:space="preserve">تبيِّن </w:t>
      </w:r>
      <w:r w:rsidR="00AB705E" w:rsidRPr="00252800">
        <w:rPr>
          <w:rFonts w:eastAsiaTheme="minorEastAsia" w:hint="cs"/>
          <w:rtl/>
          <w:lang w:val="ru-RU" w:eastAsia="zh-CN" w:bidi="ar-EG"/>
        </w:rPr>
        <w:t xml:space="preserve">خطة العمل </w:t>
      </w:r>
      <w:r w:rsidR="00D7364B" w:rsidRPr="00252800">
        <w:rPr>
          <w:rFonts w:eastAsiaTheme="minorEastAsia" w:hint="cs"/>
          <w:rtl/>
          <w:lang w:val="ru-RU" w:eastAsia="zh-CN" w:bidi="ar-EG"/>
        </w:rPr>
        <w:t>أن أهداف القرار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D7364B" w:rsidRPr="00252800">
        <w:rPr>
          <w:rFonts w:eastAsiaTheme="minorEastAsia"/>
          <w:lang w:val="fr-CH" w:eastAsia="zh-CN" w:bidi="ar-EG"/>
        </w:rPr>
        <w:t>47</w:t>
      </w:r>
      <w:r w:rsidR="0035659A">
        <w:rPr>
          <w:rFonts w:eastAsiaTheme="minorEastAsia" w:hint="cs"/>
          <w:rtl/>
          <w:lang w:val="ru-RU" w:eastAsia="zh-CN" w:bidi="ar-EG"/>
        </w:rPr>
        <w:t xml:space="preserve"> لم</w:t>
      </w:r>
      <w:r w:rsidR="0035659A">
        <w:rPr>
          <w:rFonts w:eastAsiaTheme="minorEastAsia" w:hint="eastAsia"/>
          <w:rtl/>
          <w:lang w:val="ru-RU" w:eastAsia="zh-CN" w:bidi="ar-EG"/>
        </w:rPr>
        <w:t> </w:t>
      </w:r>
      <w:r w:rsidR="00D7364B" w:rsidRPr="00252800">
        <w:rPr>
          <w:rFonts w:eastAsiaTheme="minorEastAsia" w:hint="cs"/>
          <w:rtl/>
          <w:lang w:val="ru-RU" w:eastAsia="zh-CN" w:bidi="ar-EG"/>
        </w:rPr>
        <w:t>تتحقق. وعلى الأرجح أن يكون ذلك بسبب الافتقار إلى مساهمات الدول الأعضاء فيما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D7364B" w:rsidRPr="00252800">
        <w:rPr>
          <w:rFonts w:eastAsiaTheme="minorEastAsia" w:hint="cs"/>
          <w:rtl/>
          <w:lang w:val="ru-RU" w:eastAsia="zh-CN" w:bidi="ar-EG"/>
        </w:rPr>
        <w:t xml:space="preserve">يخص خبراتها المتصلة </w:t>
      </w:r>
      <w:r w:rsidR="00D7364B" w:rsidRPr="00252800">
        <w:rPr>
          <w:rFonts w:hint="cs"/>
          <w:rtl/>
        </w:rPr>
        <w:t xml:space="preserve">بميادين المستوى الأعلى للرمز القُطري. </w:t>
      </w:r>
      <w:r w:rsidR="00D7364B" w:rsidRPr="00252800">
        <w:rPr>
          <w:rFonts w:hint="cs"/>
          <w:spacing w:val="-4"/>
          <w:rtl/>
          <w:lang w:bidi="ar-EG"/>
        </w:rPr>
        <w:t>وعلاوةً على ذلك،</w:t>
      </w:r>
      <w:r w:rsidR="00D7364B" w:rsidRPr="00252800">
        <w:rPr>
          <w:rFonts w:hint="cs"/>
          <w:rtl/>
          <w:lang w:bidi="ar-EG"/>
        </w:rPr>
        <w:t xml:space="preserve"> تشير خطة العمل إلى أنه وفقاً لتعليمات مؤتمر المندوبين المفوضين لعام</w:t>
      </w:r>
      <w:r w:rsidR="00C365DF">
        <w:rPr>
          <w:rFonts w:hint="eastAsia"/>
          <w:rtl/>
          <w:lang w:bidi="ar-EG"/>
        </w:rPr>
        <w:t> </w:t>
      </w:r>
      <w:r w:rsidR="00D7364B" w:rsidRPr="00252800">
        <w:rPr>
          <w:lang w:bidi="ar-EG"/>
        </w:rPr>
        <w:t>2014</w:t>
      </w:r>
      <w:r w:rsidR="00D7364B" w:rsidRPr="00252800">
        <w:rPr>
          <w:rFonts w:hint="cs"/>
          <w:rtl/>
          <w:lang w:bidi="ar-EG"/>
        </w:rPr>
        <w:t>، يقد</w:t>
      </w:r>
      <w:r w:rsidR="00C365DF">
        <w:rPr>
          <w:rFonts w:hint="cs"/>
          <w:rtl/>
          <w:lang w:bidi="ar-EG"/>
        </w:rPr>
        <w:t>ّ</w:t>
      </w:r>
      <w:r w:rsidR="00D7364B" w:rsidRPr="00252800">
        <w:rPr>
          <w:rFonts w:hint="cs"/>
          <w:rtl/>
          <w:lang w:bidi="ar-EG"/>
        </w:rPr>
        <w:t>م مدير مكتب تقييس الاتصالات تقارير سنوياً إلى المجلس بشأن "</w:t>
      </w:r>
      <w:r w:rsidR="00D7364B" w:rsidRPr="00252800">
        <w:rPr>
          <w:rtl/>
        </w:rPr>
        <w:t xml:space="preserve">أنشطة الات‍حاد ال‍متصلة بالإنترنت: القرارات </w:t>
      </w:r>
      <w:r w:rsidR="00D7364B" w:rsidRPr="00252800">
        <w:t>101</w:t>
      </w:r>
      <w:r w:rsidR="00D7364B" w:rsidRPr="00252800">
        <w:rPr>
          <w:rtl/>
        </w:rPr>
        <w:t xml:space="preserve"> و</w:t>
      </w:r>
      <w:r w:rsidR="00D7364B" w:rsidRPr="00252800">
        <w:t>102</w:t>
      </w:r>
      <w:r w:rsidR="00D7364B" w:rsidRPr="00252800">
        <w:rPr>
          <w:rtl/>
        </w:rPr>
        <w:t xml:space="preserve"> و</w:t>
      </w:r>
      <w:r w:rsidR="00D7364B" w:rsidRPr="00252800">
        <w:t>133</w:t>
      </w:r>
      <w:r w:rsidR="00D7364B" w:rsidRPr="00252800">
        <w:rPr>
          <w:rFonts w:hint="cs"/>
          <w:rtl/>
        </w:rPr>
        <w:t>"</w:t>
      </w:r>
      <w:r w:rsidR="00D7364B" w:rsidRPr="00252800">
        <w:rPr>
          <w:rFonts w:hint="cs"/>
          <w:rtl/>
          <w:lang w:bidi="ar-EG"/>
        </w:rPr>
        <w:t>، تشمل، تحديثات تتعل</w:t>
      </w:r>
      <w:r w:rsidR="00C365DF">
        <w:rPr>
          <w:rFonts w:hint="cs"/>
          <w:rtl/>
          <w:lang w:bidi="ar-EG"/>
        </w:rPr>
        <w:t>ّ</w:t>
      </w:r>
      <w:r w:rsidR="00D7364B" w:rsidRPr="00252800">
        <w:rPr>
          <w:rFonts w:hint="cs"/>
          <w:rtl/>
          <w:lang w:bidi="ar-EG"/>
        </w:rPr>
        <w:t>ق ب</w:t>
      </w:r>
      <w:r w:rsidR="00D7364B" w:rsidRPr="00252800">
        <w:rPr>
          <w:color w:val="000000"/>
          <w:rtl/>
        </w:rPr>
        <w:t>الميادين ذات المستوى الأعلى</w:t>
      </w:r>
      <w:r w:rsidR="0084740E">
        <w:rPr>
          <w:rFonts w:hint="cs"/>
          <w:color w:val="000000"/>
          <w:rtl/>
        </w:rPr>
        <w:t xml:space="preserve"> للرمز القُطري</w:t>
      </w:r>
      <w:r w:rsidR="00D7364B" w:rsidRPr="00252800">
        <w:rPr>
          <w:rFonts w:hint="cs"/>
          <w:rtl/>
          <w:lang w:bidi="ar-EG"/>
        </w:rPr>
        <w:t>، إن وجدت. ولم</w:t>
      </w:r>
      <w:r w:rsidR="00C365DF">
        <w:rPr>
          <w:rFonts w:hint="eastAsia"/>
          <w:rtl/>
          <w:lang w:bidi="ar-EG"/>
        </w:rPr>
        <w:t> </w:t>
      </w:r>
      <w:r w:rsidR="00D7364B" w:rsidRPr="00252800">
        <w:rPr>
          <w:rFonts w:hint="cs"/>
          <w:rtl/>
          <w:lang w:bidi="ar-EG"/>
        </w:rPr>
        <w:t>تشمل التقارير السنوية لمدير مكتب تقييس الاتصالات إلى مجلس الاتحاد إشارات محددة إلى الأعمال الجارية بموجب القرار</w:t>
      </w:r>
      <w:r w:rsidR="00D7364B" w:rsidRPr="00252800">
        <w:rPr>
          <w:rFonts w:hint="eastAsia"/>
          <w:rtl/>
          <w:lang w:bidi="ar-EG"/>
        </w:rPr>
        <w:t> </w:t>
      </w:r>
      <w:r w:rsidR="00D7364B" w:rsidRPr="00252800">
        <w:rPr>
          <w:lang w:bidi="ar-EG"/>
        </w:rPr>
        <w:t>47</w:t>
      </w:r>
      <w:r w:rsidR="00D7364B" w:rsidRPr="00252800">
        <w:rPr>
          <w:rFonts w:hint="cs"/>
          <w:rtl/>
          <w:lang w:bidi="ar-EG"/>
        </w:rPr>
        <w:t>.</w:t>
      </w:r>
    </w:p>
    <w:p w:rsidR="00EA2D3D" w:rsidRDefault="007C0349" w:rsidP="00CB654B">
      <w:pPr>
        <w:pStyle w:val="Headingb"/>
        <w:rPr>
          <w:rtl/>
        </w:rPr>
      </w:pPr>
      <w:r w:rsidRPr="00252800">
        <w:rPr>
          <w:rFonts w:hint="cs"/>
          <w:rtl/>
        </w:rPr>
        <w:lastRenderedPageBreak/>
        <w:t>المقترح</w:t>
      </w:r>
    </w:p>
    <w:p w:rsidR="003172A8" w:rsidRDefault="003172A8" w:rsidP="00A82DBC">
      <w:pPr>
        <w:rPr>
          <w:rtl/>
        </w:rPr>
      </w:pPr>
      <w:r>
        <w:rPr>
          <w:rFonts w:hint="cs"/>
          <w:rtl/>
        </w:rPr>
        <w:t>تقترح الولايات المتحدة إلغاء القرار</w:t>
      </w:r>
      <w:r w:rsidR="00A82DBC">
        <w:rPr>
          <w:rFonts w:hint="eastAsia"/>
          <w:rtl/>
        </w:rPr>
        <w:t> </w:t>
      </w:r>
      <w:r>
        <w:t>47</w:t>
      </w:r>
      <w:r>
        <w:rPr>
          <w:rFonts w:hint="cs"/>
          <w:rtl/>
          <w:lang w:bidi="ar-EG"/>
        </w:rPr>
        <w:t xml:space="preserve"> للأسباب التالية:</w:t>
      </w:r>
    </w:p>
    <w:p w:rsidR="003172A8" w:rsidRPr="00D7364B" w:rsidRDefault="003172A8" w:rsidP="007A3CFB">
      <w:pPr>
        <w:pStyle w:val="enumlev1"/>
        <w:rPr>
          <w:rFonts w:eastAsiaTheme="minorEastAsia"/>
          <w:rtl/>
          <w:lang w:val="ru-RU" w:eastAsia="zh-CN"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D7364B">
        <w:rPr>
          <w:rFonts w:eastAsiaTheme="minorEastAsia" w:hint="cs"/>
          <w:rtl/>
          <w:lang w:val="ru-RU" w:eastAsia="zh-CN" w:bidi="ar-EG"/>
        </w:rPr>
        <w:t>المشاكل التي كانت قائمة في</w:t>
      </w:r>
      <w:r w:rsidR="007A3CFB">
        <w:rPr>
          <w:rFonts w:eastAsiaTheme="minorEastAsia" w:hint="eastAsia"/>
          <w:rtl/>
          <w:lang w:val="ru-RU" w:eastAsia="zh-CN" w:bidi="ar-EG"/>
        </w:rPr>
        <w:t> </w:t>
      </w:r>
      <w:r w:rsidR="00D7364B">
        <w:rPr>
          <w:rFonts w:eastAsiaTheme="minorEastAsia" w:hint="cs"/>
          <w:rtl/>
          <w:lang w:val="ru-RU" w:eastAsia="zh-CN" w:bidi="ar-EG"/>
        </w:rPr>
        <w:t xml:space="preserve">السابق </w:t>
      </w:r>
      <w:r w:rsidR="00F4429C">
        <w:rPr>
          <w:rFonts w:eastAsiaTheme="minorEastAsia" w:hint="cs"/>
          <w:rtl/>
          <w:lang w:val="ru-RU" w:eastAsia="zh-CN" w:bidi="ar-EG"/>
        </w:rPr>
        <w:t>والمتصلة</w:t>
      </w:r>
      <w:r w:rsidR="00D7364B">
        <w:rPr>
          <w:rFonts w:eastAsiaTheme="minorEastAsia" w:hint="cs"/>
          <w:rtl/>
          <w:lang w:val="ru-RU" w:eastAsia="zh-CN" w:bidi="ar-EG"/>
        </w:rPr>
        <w:t xml:space="preserve"> </w:t>
      </w:r>
      <w:r w:rsidR="00F4429C">
        <w:rPr>
          <w:rFonts w:eastAsiaTheme="minorEastAsia" w:hint="cs"/>
          <w:rtl/>
          <w:lang w:val="ru-RU" w:eastAsia="zh-CN" w:bidi="ar-EG"/>
        </w:rPr>
        <w:t>بميادين المست</w:t>
      </w:r>
      <w:r w:rsidR="00D7364B">
        <w:rPr>
          <w:rFonts w:eastAsiaTheme="minorEastAsia" w:hint="cs"/>
          <w:rtl/>
          <w:lang w:val="ru-RU" w:eastAsia="zh-CN" w:bidi="ar-EG"/>
        </w:rPr>
        <w:t xml:space="preserve">وى الأعلى للرمز القُطري </w:t>
      </w:r>
      <w:r w:rsidR="002E5B37">
        <w:rPr>
          <w:rFonts w:eastAsiaTheme="minorEastAsia" w:hint="cs"/>
          <w:rtl/>
          <w:lang w:val="ru-RU" w:eastAsia="zh-CN" w:bidi="ar-EG"/>
        </w:rPr>
        <w:t>لم</w:t>
      </w:r>
      <w:r w:rsidR="007A3CFB">
        <w:rPr>
          <w:rFonts w:eastAsiaTheme="minorEastAsia" w:hint="eastAsia"/>
          <w:rtl/>
          <w:lang w:val="ru-RU" w:eastAsia="zh-CN" w:bidi="ar-EG"/>
        </w:rPr>
        <w:t> </w:t>
      </w:r>
      <w:r w:rsidR="002E5B37">
        <w:rPr>
          <w:rFonts w:eastAsiaTheme="minorEastAsia" w:hint="cs"/>
          <w:rtl/>
          <w:lang w:val="ru-RU" w:eastAsia="zh-CN" w:bidi="ar-EG"/>
        </w:rPr>
        <w:t xml:space="preserve">تعد </w:t>
      </w:r>
      <w:r w:rsidR="00D7364B">
        <w:rPr>
          <w:rFonts w:eastAsiaTheme="minorEastAsia" w:hint="cs"/>
          <w:rtl/>
          <w:lang w:val="ru-RU" w:eastAsia="zh-CN" w:bidi="ar-EG"/>
        </w:rPr>
        <w:t>قائمة اليوم. وفي</w:t>
      </w:r>
      <w:r w:rsidR="007A3CFB">
        <w:rPr>
          <w:rFonts w:eastAsiaTheme="minorEastAsia" w:hint="eastAsia"/>
          <w:rtl/>
          <w:lang w:val="ru-RU" w:eastAsia="zh-CN" w:bidi="ar-EG"/>
        </w:rPr>
        <w:t> </w:t>
      </w:r>
      <w:r w:rsidR="00D7364B">
        <w:rPr>
          <w:rFonts w:eastAsiaTheme="minorEastAsia" w:hint="cs"/>
          <w:rtl/>
          <w:lang w:val="ru-RU" w:eastAsia="zh-CN" w:bidi="ar-EG"/>
        </w:rPr>
        <w:t xml:space="preserve">معظم الحالات، أعدّت الحكومات الوطنية سياسات </w:t>
      </w:r>
      <w:r w:rsidR="00C365DF">
        <w:rPr>
          <w:rFonts w:eastAsiaTheme="minorEastAsia" w:hint="cs"/>
          <w:rtl/>
          <w:lang w:val="ru-RU" w:eastAsia="zh-CN" w:bidi="ar-EG"/>
        </w:rPr>
        <w:t>لإدارة ميادين</w:t>
      </w:r>
      <w:r w:rsidR="002E5B37">
        <w:rPr>
          <w:rFonts w:eastAsiaTheme="minorEastAsia" w:hint="cs"/>
          <w:rtl/>
          <w:lang w:val="ru-RU" w:eastAsia="zh-CN" w:bidi="ar-EG"/>
        </w:rPr>
        <w:t xml:space="preserve"> المستوى الأعلى للرمز القُطري يت</w:t>
      </w:r>
      <w:r w:rsidR="00F4429C">
        <w:rPr>
          <w:rFonts w:eastAsiaTheme="minorEastAsia" w:hint="cs"/>
          <w:rtl/>
          <w:lang w:val="ru-RU" w:eastAsia="zh-CN" w:bidi="ar-EG"/>
        </w:rPr>
        <w:t>ِّ</w:t>
      </w:r>
      <w:r w:rsidR="002E5B37">
        <w:rPr>
          <w:rFonts w:eastAsiaTheme="minorEastAsia" w:hint="cs"/>
          <w:rtl/>
          <w:lang w:val="ru-RU" w:eastAsia="zh-CN" w:bidi="ar-EG"/>
        </w:rPr>
        <w:t xml:space="preserve">بعها الآن المديرون والمشغلون. إن الافتقار إلى مساهمات </w:t>
      </w:r>
      <w:r w:rsidR="00F4429C">
        <w:rPr>
          <w:rFonts w:eastAsiaTheme="minorEastAsia" w:hint="cs"/>
          <w:rtl/>
          <w:lang w:val="ru-RU" w:eastAsia="zh-CN" w:bidi="ar-EG"/>
        </w:rPr>
        <w:t>إلى لجنة الدراسات</w:t>
      </w:r>
      <w:r w:rsidR="007A3CFB">
        <w:rPr>
          <w:rFonts w:eastAsiaTheme="minorEastAsia" w:hint="eastAsia"/>
          <w:rtl/>
          <w:lang w:val="ru-RU" w:eastAsia="zh-CN" w:bidi="ar-EG"/>
        </w:rPr>
        <w:t> </w:t>
      </w:r>
      <w:r w:rsidR="00F4429C">
        <w:rPr>
          <w:rFonts w:eastAsiaTheme="minorEastAsia"/>
          <w:lang w:val="fr-CH" w:eastAsia="zh-CN" w:bidi="ar-EG"/>
        </w:rPr>
        <w:t>2</w:t>
      </w:r>
      <w:r w:rsidR="00F4429C">
        <w:rPr>
          <w:rFonts w:eastAsiaTheme="minorEastAsia" w:hint="cs"/>
          <w:rtl/>
          <w:lang w:val="fr-CH" w:eastAsia="zh-CN" w:bidi="ar-EG"/>
        </w:rPr>
        <w:t xml:space="preserve"> </w:t>
      </w:r>
      <w:r w:rsidR="002E5B37">
        <w:rPr>
          <w:rFonts w:eastAsiaTheme="minorEastAsia" w:hint="cs"/>
          <w:rtl/>
          <w:lang w:val="fr-CH" w:eastAsia="zh-CN" w:bidi="ar-EG"/>
        </w:rPr>
        <w:t>تتناول</w:t>
      </w:r>
      <w:r w:rsidR="002E5B37">
        <w:rPr>
          <w:rFonts w:eastAsiaTheme="minorEastAsia" w:hint="cs"/>
          <w:rtl/>
          <w:lang w:val="ru-RU" w:eastAsia="zh-CN" w:bidi="ar-EG"/>
        </w:rPr>
        <w:t xml:space="preserve"> القرار</w:t>
      </w:r>
      <w:r w:rsidR="007A3CFB">
        <w:rPr>
          <w:rFonts w:eastAsiaTheme="minorEastAsia" w:hint="eastAsia"/>
          <w:rtl/>
          <w:lang w:val="ru-RU" w:eastAsia="zh-CN" w:bidi="ar-EG"/>
        </w:rPr>
        <w:t> </w:t>
      </w:r>
      <w:r w:rsidR="002E5B37">
        <w:rPr>
          <w:rFonts w:eastAsiaTheme="minorEastAsia"/>
          <w:lang w:val="fr-CH" w:eastAsia="zh-CN" w:bidi="ar-EG"/>
        </w:rPr>
        <w:t>47</w:t>
      </w:r>
      <w:r w:rsidR="002E5B37">
        <w:rPr>
          <w:rFonts w:eastAsiaTheme="minorEastAsia" w:hint="cs"/>
          <w:rtl/>
          <w:lang w:val="ru-RU" w:eastAsia="zh-CN" w:bidi="ar-EG"/>
        </w:rPr>
        <w:t xml:space="preserve"> يبيِّن بوضوح أنه </w:t>
      </w:r>
      <w:r w:rsidR="00C365DF">
        <w:rPr>
          <w:rFonts w:eastAsiaTheme="minorEastAsia" w:hint="cs"/>
          <w:rtl/>
          <w:lang w:val="ru-RU" w:eastAsia="zh-CN" w:bidi="ar-EG"/>
        </w:rPr>
        <w:t>لم</w:t>
      </w:r>
      <w:r w:rsidR="00C365DF">
        <w:rPr>
          <w:rFonts w:eastAsiaTheme="minorEastAsia" w:hint="eastAsia"/>
          <w:rtl/>
          <w:lang w:val="ru-RU" w:eastAsia="zh-CN" w:bidi="ar-EG"/>
        </w:rPr>
        <w:t> </w:t>
      </w:r>
      <w:r w:rsidR="00C365DF">
        <w:rPr>
          <w:rFonts w:eastAsiaTheme="minorEastAsia" w:hint="cs"/>
          <w:rtl/>
          <w:lang w:val="ru-RU" w:eastAsia="zh-CN" w:bidi="ar-EG"/>
        </w:rPr>
        <w:t>تعُد</w:t>
      </w:r>
      <w:r w:rsidR="00A60DD7">
        <w:rPr>
          <w:rFonts w:eastAsiaTheme="minorEastAsia" w:hint="cs"/>
          <w:rtl/>
          <w:lang w:val="ru-RU" w:eastAsia="zh-CN" w:bidi="ar-EG"/>
        </w:rPr>
        <w:t xml:space="preserve"> هناك حاجة لهذا</w:t>
      </w:r>
      <w:r w:rsidR="00A60DD7">
        <w:rPr>
          <w:rFonts w:eastAsiaTheme="minorEastAsia" w:hint="eastAsia"/>
          <w:rtl/>
          <w:lang w:val="ru-RU" w:eastAsia="zh-CN" w:bidi="ar-EG"/>
        </w:rPr>
        <w:t> </w:t>
      </w:r>
      <w:r w:rsidR="007A3CFB">
        <w:rPr>
          <w:rFonts w:eastAsiaTheme="minorEastAsia" w:hint="cs"/>
          <w:rtl/>
          <w:lang w:val="ru-RU" w:eastAsia="zh-CN" w:bidi="ar-EG"/>
        </w:rPr>
        <w:t>القرار.</w:t>
      </w:r>
    </w:p>
    <w:p w:rsidR="003172A8" w:rsidRDefault="003172A8" w:rsidP="001B7F8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التحليل الذي قام به مدير مكتب تقييس الاتصالات بشأن قرارات الجمعية منذ </w:t>
      </w:r>
      <w:r>
        <w:rPr>
          <w:lang w:bidi="ar-EG"/>
        </w:rPr>
        <w:t>1993</w:t>
      </w:r>
      <w:r>
        <w:rPr>
          <w:rFonts w:hint="cs"/>
          <w:rtl/>
          <w:lang w:bidi="ar-EG"/>
        </w:rPr>
        <w:t xml:space="preserve"> والمبادئ التوجيهية المقترحة فيما</w:t>
      </w:r>
      <w:r w:rsidR="001B7F8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يخص إعداد قرارات الجمعية (الوثيقة</w:t>
      </w:r>
      <w:r w:rsidR="001B7F87">
        <w:rPr>
          <w:rFonts w:hint="eastAsia"/>
          <w:rtl/>
          <w:lang w:bidi="ar-EG"/>
        </w:rPr>
        <w:t> </w:t>
      </w:r>
      <w:r>
        <w:rPr>
          <w:lang w:bidi="ar-EG"/>
        </w:rPr>
        <w:t>TD 532</w:t>
      </w:r>
      <w:r>
        <w:rPr>
          <w:rFonts w:hint="cs"/>
          <w:rtl/>
          <w:lang w:bidi="ar-EG"/>
        </w:rPr>
        <w:t xml:space="preserve"> للفريق الاستشاري)، يشكك في</w:t>
      </w:r>
      <w:r w:rsidR="001B7F8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الحاجة إلى قرارات للجمعية تكرر قرارات مؤتمر المندوبين المفوضين (تعالج القرارات </w:t>
      </w:r>
      <w:r>
        <w:rPr>
          <w:lang w:bidi="ar-EG"/>
        </w:rPr>
        <w:t>101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102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133</w:t>
      </w:r>
      <w:r>
        <w:rPr>
          <w:rFonts w:hint="cs"/>
          <w:rtl/>
          <w:lang w:bidi="ar-EG"/>
        </w:rPr>
        <w:t xml:space="preserve"> لمؤتمر المندوبين المفوضين نفس المواضيع التي يعالجها القرار</w:t>
      </w:r>
      <w:r w:rsidR="001B7F87">
        <w:rPr>
          <w:rFonts w:hint="eastAsia"/>
          <w:rtl/>
          <w:lang w:bidi="ar-EG"/>
        </w:rPr>
        <w:t> </w:t>
      </w:r>
      <w:r>
        <w:rPr>
          <w:lang w:bidi="ar-EG"/>
        </w:rPr>
        <w:t>4</w:t>
      </w:r>
      <w:r w:rsidR="002E5B37">
        <w:rPr>
          <w:lang w:bidi="ar-EG"/>
        </w:rPr>
        <w:t>7</w:t>
      </w:r>
      <w:r>
        <w:rPr>
          <w:rFonts w:hint="cs"/>
          <w:rtl/>
          <w:lang w:bidi="ar-EG"/>
        </w:rPr>
        <w:t xml:space="preserve"> للجمعية)؛</w:t>
      </w:r>
    </w:p>
    <w:p w:rsidR="003172A8" w:rsidRDefault="003172A8" w:rsidP="00A82DBC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وتقرير الإصدار السادس لخطة عمل الجمعية</w:t>
      </w:r>
      <w:r w:rsidR="001B7F87">
        <w:rPr>
          <w:rFonts w:hint="eastAsia"/>
          <w:rtl/>
          <w:lang w:bidi="ar-EG"/>
        </w:rPr>
        <w:t> </w:t>
      </w:r>
      <w:r>
        <w:rPr>
          <w:lang w:bidi="ar-EG"/>
        </w:rPr>
        <w:t>WTSA</w:t>
      </w:r>
      <w:r w:rsidR="00A82DBC">
        <w:rPr>
          <w:lang w:bidi="ar-EG"/>
        </w:rPr>
        <w:noBreakHyphen/>
      </w:r>
      <w:r>
        <w:rPr>
          <w:lang w:bidi="ar-EG"/>
        </w:rPr>
        <w:t>12</w:t>
      </w:r>
      <w:r w:rsidR="00A82DB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12</w:t>
      </w:r>
      <w:r w:rsidR="001B7F8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سبتمبر</w:t>
      </w:r>
      <w:r w:rsidR="001B7F87">
        <w:rPr>
          <w:rFonts w:hint="eastAsia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 يشير إلى عدم وجود مساهمات من الدول الأعضاء إلى لجنة الدراسات</w:t>
      </w:r>
      <w:r w:rsidR="001B7F87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وعدم الوفاء بالأهداف المرحلية.</w:t>
      </w:r>
    </w:p>
    <w:p w:rsidR="0022345D" w:rsidRPr="00930E6D" w:rsidRDefault="00C82615" w:rsidP="00CB654B">
      <w:pPr>
        <w:rPr>
          <w:rtl/>
        </w:rPr>
      </w:pPr>
      <w:r>
        <w:br w:type="page"/>
      </w:r>
    </w:p>
    <w:p w:rsidR="000661D9" w:rsidRDefault="00C739BB" w:rsidP="00CB654B">
      <w:pPr>
        <w:pStyle w:val="Proposal"/>
      </w:pPr>
      <w:r>
        <w:lastRenderedPageBreak/>
        <w:t>SUP</w:t>
      </w:r>
      <w:r>
        <w:tab/>
        <w:t>USA/48A12/1</w:t>
      </w:r>
    </w:p>
    <w:p w:rsidR="00973933" w:rsidRPr="00CA631B" w:rsidRDefault="00C739BB" w:rsidP="001B7F87">
      <w:pPr>
        <w:pStyle w:val="ResNo"/>
        <w:rPr>
          <w:rtl/>
        </w:rPr>
      </w:pPr>
      <w:bookmarkStart w:id="0" w:name="_Toc349551581"/>
      <w:r w:rsidRPr="00CA631B">
        <w:rPr>
          <w:rFonts w:hint="cs"/>
          <w:rtl/>
        </w:rPr>
        <w:t>ال</w:t>
      </w:r>
      <w:r w:rsidRPr="00CA631B">
        <w:rPr>
          <w:rtl/>
        </w:rPr>
        <w:t>ق</w:t>
      </w:r>
      <w:r w:rsidRPr="00CA631B">
        <w:rPr>
          <w:rFonts w:hint="cs"/>
          <w:rtl/>
        </w:rPr>
        <w:t>ـ</w:t>
      </w:r>
      <w:r w:rsidRPr="00CA631B">
        <w:rPr>
          <w:rtl/>
        </w:rPr>
        <w:t xml:space="preserve">رار </w:t>
      </w:r>
      <w:r w:rsidRPr="00516ECD">
        <w:rPr>
          <w:rStyle w:val="href"/>
        </w:rPr>
        <w:t>47</w:t>
      </w:r>
      <w:r w:rsidRPr="006C44FA">
        <w:rPr>
          <w:rFonts w:hint="cs"/>
          <w:rtl/>
        </w:rPr>
        <w:t xml:space="preserve"> (المراجَع في دبي، </w:t>
      </w:r>
      <w:r w:rsidRPr="006C44FA">
        <w:t>2012</w:t>
      </w:r>
      <w:r w:rsidRPr="006C44FA">
        <w:rPr>
          <w:rFonts w:hint="cs"/>
          <w:rtl/>
        </w:rPr>
        <w:t>)</w:t>
      </w:r>
      <w:bookmarkEnd w:id="0"/>
    </w:p>
    <w:p w:rsidR="00973933" w:rsidRDefault="00C739BB" w:rsidP="001B7F87">
      <w:pPr>
        <w:pStyle w:val="Restitle"/>
        <w:rPr>
          <w:rtl/>
        </w:rPr>
      </w:pPr>
      <w:bookmarkStart w:id="1" w:name="_Toc219803542"/>
      <w:bookmarkStart w:id="2" w:name="_Toc349551582"/>
      <w:r>
        <w:rPr>
          <w:rFonts w:hint="cs"/>
          <w:rtl/>
        </w:rPr>
        <w:t>أسماء ميادين المستوى الأعلى للرمز ال</w:t>
      </w:r>
      <w:r w:rsidR="008C4D30">
        <w:rPr>
          <w:rFonts w:hint="cs"/>
          <w:rtl/>
        </w:rPr>
        <w:t>قُطري</w:t>
      </w:r>
      <w:bookmarkEnd w:id="1"/>
      <w:bookmarkEnd w:id="2"/>
    </w:p>
    <w:p w:rsidR="00973933" w:rsidRDefault="00C739BB" w:rsidP="00CB654B">
      <w:pPr>
        <w:pStyle w:val="Resref"/>
        <w:rPr>
          <w:rtl/>
        </w:rPr>
      </w:pPr>
      <w:r w:rsidRPr="003172A8">
        <w:rPr>
          <w:rFonts w:hint="cs"/>
          <w:i w:val="0"/>
          <w:iCs/>
          <w:rtl/>
        </w:rPr>
        <w:t>(فلوريانوبوليس،</w:t>
      </w:r>
      <w:r w:rsidRPr="00CA2858">
        <w:rPr>
          <w:rFonts w:hint="cs"/>
          <w:rtl/>
        </w:rPr>
        <w:t xml:space="preserve"> </w:t>
      </w:r>
      <w:r>
        <w:t>2004</w:t>
      </w:r>
      <w:r>
        <w:rPr>
          <w:rFonts w:hint="cs"/>
          <w:rtl/>
        </w:rPr>
        <w:t xml:space="preserve">؛ </w:t>
      </w:r>
      <w:r w:rsidRPr="003172A8">
        <w:rPr>
          <w:rFonts w:hint="cs"/>
          <w:i w:val="0"/>
          <w:iCs/>
          <w:rtl/>
        </w:rPr>
        <w:t>جوهانسبرغ،</w:t>
      </w:r>
      <w:r>
        <w:rPr>
          <w:rFonts w:hint="cs"/>
          <w:rtl/>
        </w:rPr>
        <w:t xml:space="preserve"> </w:t>
      </w:r>
      <w:r>
        <w:t>2008</w:t>
      </w:r>
      <w:r w:rsidRPr="003172A8">
        <w:rPr>
          <w:rFonts w:hint="cs"/>
          <w:i w:val="0"/>
          <w:iCs/>
          <w:rtl/>
        </w:rPr>
        <w:t>؛ دبي،</w:t>
      </w:r>
      <w:r>
        <w:rPr>
          <w:rFonts w:hint="cs"/>
          <w:rtl/>
        </w:rPr>
        <w:t xml:space="preserve"> </w:t>
      </w:r>
      <w:r w:rsidRPr="00715B3B">
        <w:t>2012</w:t>
      </w:r>
      <w:r w:rsidRPr="00CA2858">
        <w:rPr>
          <w:rFonts w:hint="cs"/>
          <w:rtl/>
        </w:rPr>
        <w:t>)</w:t>
      </w:r>
    </w:p>
    <w:p w:rsidR="00973933" w:rsidRDefault="001B7F87" w:rsidP="001B7F87">
      <w:pPr>
        <w:pStyle w:val="Normalaftertitle"/>
        <w:rPr>
          <w:rtl/>
        </w:rPr>
      </w:pPr>
      <w:r>
        <w:rPr>
          <w:rFonts w:hint="cs"/>
          <w:rtl/>
        </w:rPr>
        <w:t xml:space="preserve">إن </w:t>
      </w:r>
      <w:r w:rsidR="00C739BB">
        <w:rPr>
          <w:rFonts w:hint="cs"/>
          <w:rtl/>
        </w:rPr>
        <w:t xml:space="preserve">الجمعية العالمية </w:t>
      </w:r>
      <w:r w:rsidR="00C739BB" w:rsidRPr="001B7F87">
        <w:rPr>
          <w:rFonts w:hint="cs"/>
          <w:rtl/>
        </w:rPr>
        <w:t>لتقييس</w:t>
      </w:r>
      <w:r w:rsidR="00C739BB">
        <w:rPr>
          <w:rFonts w:hint="cs"/>
          <w:rtl/>
        </w:rPr>
        <w:t xml:space="preserve"> الاتصالات (دبي، </w:t>
      </w:r>
      <w:r w:rsidR="00C739BB">
        <w:t>2012</w:t>
      </w:r>
      <w:r w:rsidR="00C739BB">
        <w:rPr>
          <w:rFonts w:hint="cs"/>
          <w:rtl/>
        </w:rPr>
        <w:t>)،</w:t>
      </w:r>
    </w:p>
    <w:p w:rsidR="000661D9" w:rsidRDefault="00C739BB" w:rsidP="001B7F87">
      <w:pPr>
        <w:pStyle w:val="Reasons"/>
        <w:rPr>
          <w:rFonts w:eastAsiaTheme="minorEastAsia"/>
          <w:b w:val="0"/>
          <w:bCs w:val="0"/>
          <w:szCs w:val="22"/>
          <w:rtl/>
        </w:rPr>
      </w:pPr>
      <w:r w:rsidRPr="003172A8">
        <w:rPr>
          <w:rtl/>
        </w:rPr>
        <w:t>الأسباب:</w:t>
      </w:r>
      <w:r w:rsidRPr="003172A8">
        <w:tab/>
      </w:r>
      <w:r w:rsidR="002E5B37" w:rsidRPr="001B7F87">
        <w:rPr>
          <w:rFonts w:hint="cs"/>
          <w:b w:val="0"/>
          <w:bCs w:val="0"/>
          <w:rtl/>
        </w:rPr>
        <w:t>انظر فقرتي المقد</w:t>
      </w:r>
      <w:r w:rsidR="007A61A5" w:rsidRPr="001B7F87">
        <w:rPr>
          <w:rFonts w:hint="cs"/>
          <w:b w:val="0"/>
          <w:bCs w:val="0"/>
          <w:rtl/>
        </w:rPr>
        <w:t>ِّ</w:t>
      </w:r>
      <w:r w:rsidR="002E5B37" w:rsidRPr="001B7F87">
        <w:rPr>
          <w:rFonts w:hint="cs"/>
          <w:b w:val="0"/>
          <w:bCs w:val="0"/>
          <w:rtl/>
        </w:rPr>
        <w:t>مة والمقترح الواردتين في</w:t>
      </w:r>
      <w:r w:rsidR="001B7F87">
        <w:rPr>
          <w:rFonts w:hint="eastAsia"/>
          <w:b w:val="0"/>
          <w:bCs w:val="0"/>
          <w:rtl/>
        </w:rPr>
        <w:t> </w:t>
      </w:r>
      <w:r w:rsidR="002E5B37" w:rsidRPr="001B7F87">
        <w:rPr>
          <w:rFonts w:hint="cs"/>
          <w:b w:val="0"/>
          <w:bCs w:val="0"/>
          <w:rtl/>
        </w:rPr>
        <w:t>الإضافة</w:t>
      </w:r>
      <w:r w:rsidR="001B7F87">
        <w:rPr>
          <w:rFonts w:hint="eastAsia"/>
          <w:b w:val="0"/>
          <w:bCs w:val="0"/>
          <w:rtl/>
        </w:rPr>
        <w:t> </w:t>
      </w:r>
      <w:r w:rsidR="002E5B37" w:rsidRPr="001B7F87">
        <w:rPr>
          <w:b w:val="0"/>
          <w:bCs w:val="0"/>
          <w:lang w:val="fr-CH"/>
        </w:rPr>
        <w:t>12</w:t>
      </w:r>
      <w:r w:rsidR="007A61A5" w:rsidRPr="001B7F87">
        <w:rPr>
          <w:rFonts w:eastAsiaTheme="minorEastAsia" w:hint="cs"/>
          <w:b w:val="0"/>
          <w:bCs w:val="0"/>
          <w:rtl/>
          <w:lang w:val="ru-RU" w:eastAsia="zh-CN" w:bidi="ar-EG"/>
        </w:rPr>
        <w:t xml:space="preserve"> ل</w:t>
      </w:r>
      <w:r w:rsidR="002E5B37" w:rsidRPr="001B7F87">
        <w:rPr>
          <w:rFonts w:eastAsiaTheme="minorEastAsia" w:hint="cs"/>
          <w:b w:val="0"/>
          <w:bCs w:val="0"/>
          <w:rtl/>
          <w:lang w:val="ru-RU" w:eastAsia="zh-CN" w:bidi="ar-EG"/>
        </w:rPr>
        <w:t>لوثيقة</w:t>
      </w:r>
      <w:r w:rsidR="001B7F87">
        <w:rPr>
          <w:rFonts w:eastAsiaTheme="minorEastAsia" w:hint="eastAsia"/>
          <w:b w:val="0"/>
          <w:bCs w:val="0"/>
          <w:rtl/>
          <w:lang w:val="ru-RU" w:eastAsia="zh-CN" w:bidi="ar-EG"/>
        </w:rPr>
        <w:t> </w:t>
      </w:r>
      <w:r w:rsidR="002E5B37" w:rsidRPr="001B7F87">
        <w:rPr>
          <w:rFonts w:eastAsiaTheme="minorEastAsia"/>
          <w:b w:val="0"/>
          <w:bCs w:val="0"/>
          <w:lang w:val="fr-CH" w:eastAsia="zh-CN" w:bidi="ar-EG"/>
        </w:rPr>
        <w:t>48</w:t>
      </w:r>
      <w:r w:rsidR="002E5B37" w:rsidRPr="001B7F87">
        <w:rPr>
          <w:rFonts w:eastAsiaTheme="minorEastAsia" w:hint="cs"/>
          <w:b w:val="0"/>
          <w:bCs w:val="0"/>
          <w:rtl/>
          <w:lang w:val="ru-RU" w:eastAsia="zh-CN" w:bidi="ar-EG"/>
        </w:rPr>
        <w:t>.</w:t>
      </w:r>
    </w:p>
    <w:p w:rsidR="00F13459" w:rsidRPr="00F13459" w:rsidRDefault="00F13459" w:rsidP="00F13459">
      <w:pPr>
        <w:pStyle w:val="Reasons"/>
        <w:rPr>
          <w:rFonts w:eastAsiaTheme="minorEastAsia"/>
          <w:rtl/>
        </w:rPr>
      </w:pPr>
      <w:bookmarkStart w:id="3" w:name="_GoBack"/>
      <w:bookmarkEnd w:id="3"/>
    </w:p>
    <w:p w:rsidR="005F4029" w:rsidRPr="005F4029" w:rsidRDefault="005F4029" w:rsidP="00CB654B">
      <w:pPr>
        <w:spacing w:before="600"/>
        <w:jc w:val="center"/>
      </w:pPr>
      <w:r>
        <w:rPr>
          <w:rFonts w:hint="cs"/>
          <w:rtl/>
        </w:rPr>
        <w:t>___________</w:t>
      </w:r>
    </w:p>
    <w:sectPr w:rsidR="005F4029" w:rsidRPr="005F4029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C739BB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C739B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B654B">
      <w:rPr>
        <w:rFonts w:cs="Times New Roman"/>
        <w:noProof/>
        <w:sz w:val="16"/>
        <w:szCs w:val="16"/>
        <w:lang w:val="fr-CH"/>
      </w:rPr>
      <w:t>P:\ARA\ITU-T\CONF-T\WTSA16\000\048ADD12A.docx</w:t>
    </w:r>
    <w:r w:rsidRPr="00E07379">
      <w:rPr>
        <w:rFonts w:cs="Times New Roman"/>
        <w:sz w:val="16"/>
        <w:szCs w:val="16"/>
      </w:rPr>
      <w:fldChar w:fldCharType="end"/>
    </w:r>
    <w:r w:rsidR="00636124" w:rsidRPr="00C739BB">
      <w:rPr>
        <w:rFonts w:cs="Times New Roman"/>
        <w:sz w:val="16"/>
        <w:szCs w:val="16"/>
        <w:lang w:val="fr-CH"/>
      </w:rPr>
      <w:t>   (406134)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636124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636124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CB654B">
      <w:rPr>
        <w:noProof/>
        <w:szCs w:val="12"/>
        <w:lang w:val="fr-CH"/>
      </w:rPr>
      <w:t>P:\ARA\ITU-T\CONF-T\WTSA16\000\048ADD12A.docx</w:t>
    </w:r>
    <w:r w:rsidRPr="0022345D">
      <w:rPr>
        <w:szCs w:val="12"/>
      </w:rPr>
      <w:fldChar w:fldCharType="end"/>
    </w:r>
    <w:r w:rsidR="00636124" w:rsidRPr="00636124">
      <w:rPr>
        <w:szCs w:val="12"/>
        <w:lang w:val="fr-CH"/>
      </w:rPr>
      <w:t>   (</w:t>
    </w:r>
    <w:r w:rsidR="00636124">
      <w:rPr>
        <w:szCs w:val="12"/>
        <w:lang w:val="fr-CH"/>
      </w:rPr>
      <w:t>406134</w:t>
    </w:r>
    <w:r w:rsidR="00636124" w:rsidRPr="00636124">
      <w:rPr>
        <w:szCs w:val="12"/>
        <w:lang w:val="fr-CH"/>
      </w:rPr>
      <w:t>)</w:t>
    </w:r>
  </w:p>
  <w:p w:rsidR="00E07379" w:rsidRPr="00636124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13459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WTSA16/48(Add.12)-A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1C9A"/>
    <w:rsid w:val="00046444"/>
    <w:rsid w:val="0006023B"/>
    <w:rsid w:val="00064FD5"/>
    <w:rsid w:val="000661D9"/>
    <w:rsid w:val="0008638B"/>
    <w:rsid w:val="00090574"/>
    <w:rsid w:val="00092FC2"/>
    <w:rsid w:val="000A1677"/>
    <w:rsid w:val="000B04DF"/>
    <w:rsid w:val="000B407F"/>
    <w:rsid w:val="000F0B1C"/>
    <w:rsid w:val="000F1D42"/>
    <w:rsid w:val="000F4D07"/>
    <w:rsid w:val="00102A03"/>
    <w:rsid w:val="001040A3"/>
    <w:rsid w:val="00173915"/>
    <w:rsid w:val="001B7F87"/>
    <w:rsid w:val="001E1F69"/>
    <w:rsid w:val="0022345D"/>
    <w:rsid w:val="00225854"/>
    <w:rsid w:val="0023283D"/>
    <w:rsid w:val="00252800"/>
    <w:rsid w:val="00252E0C"/>
    <w:rsid w:val="00276881"/>
    <w:rsid w:val="0029626A"/>
    <w:rsid w:val="002978F4"/>
    <w:rsid w:val="002A2488"/>
    <w:rsid w:val="002B028D"/>
    <w:rsid w:val="002B435E"/>
    <w:rsid w:val="002C4DAE"/>
    <w:rsid w:val="002E5B37"/>
    <w:rsid w:val="002E6541"/>
    <w:rsid w:val="002F5560"/>
    <w:rsid w:val="0030486B"/>
    <w:rsid w:val="003172A8"/>
    <w:rsid w:val="003231B9"/>
    <w:rsid w:val="003275AC"/>
    <w:rsid w:val="00333D29"/>
    <w:rsid w:val="003409F4"/>
    <w:rsid w:val="0035659A"/>
    <w:rsid w:val="00357185"/>
    <w:rsid w:val="003B1E65"/>
    <w:rsid w:val="003C475F"/>
    <w:rsid w:val="003E4132"/>
    <w:rsid w:val="003F678F"/>
    <w:rsid w:val="0042686F"/>
    <w:rsid w:val="004367CE"/>
    <w:rsid w:val="00443869"/>
    <w:rsid w:val="004712C6"/>
    <w:rsid w:val="00497703"/>
    <w:rsid w:val="004C3D1E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4029"/>
    <w:rsid w:val="00606660"/>
    <w:rsid w:val="006157A3"/>
    <w:rsid w:val="00620E60"/>
    <w:rsid w:val="0063315A"/>
    <w:rsid w:val="00636124"/>
    <w:rsid w:val="0065591D"/>
    <w:rsid w:val="00662C5A"/>
    <w:rsid w:val="00670AF5"/>
    <w:rsid w:val="00694026"/>
    <w:rsid w:val="006C1556"/>
    <w:rsid w:val="006E1462"/>
    <w:rsid w:val="006F267F"/>
    <w:rsid w:val="006F63F7"/>
    <w:rsid w:val="006F6F03"/>
    <w:rsid w:val="00706D7A"/>
    <w:rsid w:val="00726AEC"/>
    <w:rsid w:val="007530CA"/>
    <w:rsid w:val="00757DE6"/>
    <w:rsid w:val="00791968"/>
    <w:rsid w:val="0079553D"/>
    <w:rsid w:val="007A3CFB"/>
    <w:rsid w:val="007A529C"/>
    <w:rsid w:val="007A61A5"/>
    <w:rsid w:val="007B01CC"/>
    <w:rsid w:val="007C0349"/>
    <w:rsid w:val="007F646C"/>
    <w:rsid w:val="00801FCD"/>
    <w:rsid w:val="0080389F"/>
    <w:rsid w:val="00803D7E"/>
    <w:rsid w:val="00803F08"/>
    <w:rsid w:val="008235CD"/>
    <w:rsid w:val="00823A07"/>
    <w:rsid w:val="00835FEC"/>
    <w:rsid w:val="0084740E"/>
    <w:rsid w:val="008513CB"/>
    <w:rsid w:val="00874D9C"/>
    <w:rsid w:val="008A1810"/>
    <w:rsid w:val="008C4D3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1D73"/>
    <w:rsid w:val="009F1C12"/>
    <w:rsid w:val="00A25A43"/>
    <w:rsid w:val="00A3295B"/>
    <w:rsid w:val="00A42AE5"/>
    <w:rsid w:val="00A52B61"/>
    <w:rsid w:val="00A60DD7"/>
    <w:rsid w:val="00A64820"/>
    <w:rsid w:val="00A71DD6"/>
    <w:rsid w:val="00A723C7"/>
    <w:rsid w:val="00A80E11"/>
    <w:rsid w:val="00A82DBC"/>
    <w:rsid w:val="00A97F94"/>
    <w:rsid w:val="00AA459D"/>
    <w:rsid w:val="00AB1309"/>
    <w:rsid w:val="00AB6714"/>
    <w:rsid w:val="00AB705E"/>
    <w:rsid w:val="00AC2C52"/>
    <w:rsid w:val="00AD1503"/>
    <w:rsid w:val="00AE44FD"/>
    <w:rsid w:val="00AE7244"/>
    <w:rsid w:val="00AF3FEE"/>
    <w:rsid w:val="00AF5154"/>
    <w:rsid w:val="00B02F46"/>
    <w:rsid w:val="00B2000C"/>
    <w:rsid w:val="00B20ADE"/>
    <w:rsid w:val="00B2608D"/>
    <w:rsid w:val="00B40639"/>
    <w:rsid w:val="00B66B9A"/>
    <w:rsid w:val="00B82089"/>
    <w:rsid w:val="00B970AE"/>
    <w:rsid w:val="00BA1427"/>
    <w:rsid w:val="00BE49D0"/>
    <w:rsid w:val="00BF2C38"/>
    <w:rsid w:val="00C23331"/>
    <w:rsid w:val="00C265DA"/>
    <w:rsid w:val="00C365DF"/>
    <w:rsid w:val="00C442F2"/>
    <w:rsid w:val="00C674FE"/>
    <w:rsid w:val="00C7297D"/>
    <w:rsid w:val="00C739BB"/>
    <w:rsid w:val="00C75633"/>
    <w:rsid w:val="00C8242E"/>
    <w:rsid w:val="00C82615"/>
    <w:rsid w:val="00C867DB"/>
    <w:rsid w:val="00C9483F"/>
    <w:rsid w:val="00CA2A38"/>
    <w:rsid w:val="00CA50FF"/>
    <w:rsid w:val="00CB654B"/>
    <w:rsid w:val="00CC3CD2"/>
    <w:rsid w:val="00CC43BE"/>
    <w:rsid w:val="00CD123C"/>
    <w:rsid w:val="00CD2085"/>
    <w:rsid w:val="00CE2EE1"/>
    <w:rsid w:val="00CE52CE"/>
    <w:rsid w:val="00CF3FFD"/>
    <w:rsid w:val="00D0494C"/>
    <w:rsid w:val="00D1317B"/>
    <w:rsid w:val="00D14BEB"/>
    <w:rsid w:val="00D21C89"/>
    <w:rsid w:val="00D42A45"/>
    <w:rsid w:val="00D45542"/>
    <w:rsid w:val="00D7364B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EA2D3D"/>
    <w:rsid w:val="00F126F1"/>
    <w:rsid w:val="00F13459"/>
    <w:rsid w:val="00F2106A"/>
    <w:rsid w:val="00F36D8B"/>
    <w:rsid w:val="00F401D0"/>
    <w:rsid w:val="00F4429C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styleId="NoSpacing">
    <w:name w:val="No Spacing"/>
    <w:uiPriority w:val="1"/>
    <w:rsid w:val="00CB654B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598338-ec4d-4c6f-a4e9-2015493876f7">Documents Proposals Manager (DPM)</DPM_x0020_Author>
    <DPM_x0020_File_x0020_name xmlns="17598338-ec4d-4c6f-a4e9-2015493876f7">T13-WTSA.16-C-0048!A12!MSW-A</DPM_x0020_File_x0020_name>
    <DPM_x0020_Version xmlns="17598338-ec4d-4c6f-a4e9-2015493876f7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598338-ec4d-4c6f-a4e9-2015493876f7" targetNamespace="http://schemas.microsoft.com/office/2006/metadata/properties" ma:root="true" ma:fieldsID="d41af5c836d734370eb92e7ee5f83852" ns2:_="" ns3:_="">
    <xsd:import namespace="996b2e75-67fd-4955-a3b0-5ab9934cb50b"/>
    <xsd:import namespace="17598338-ec4d-4c6f-a4e9-2015493876f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8338-ec4d-4c6f-a4e9-2015493876f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17598338-ec4d-4c6f-a4e9-2015493876f7"/>
    <ds:schemaRef ds:uri="http://schemas.microsoft.com/office/2006/documentManagement/typ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598338-ec4d-4c6f-a4e9-201549387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EAC19-8478-46B0-A59B-B89C1EE6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T13-WTSA.16-C-0048!A12!MSW-A</vt:lpstr>
    </vt:vector>
  </TitlesOfParts>
  <Company>International Telecommunication Union (ITU)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T13-WTSA.16-C-0048!A12!MSW-A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14</cp:revision>
  <cp:lastPrinted>2016-10-21T10:01:00Z</cp:lastPrinted>
  <dcterms:created xsi:type="dcterms:W3CDTF">2016-10-24T07:48:00Z</dcterms:created>
  <dcterms:modified xsi:type="dcterms:W3CDTF">2016-10-24T09:15:00Z</dcterms:modified>
  <cp:category>Conference document</cp:category>
</cp:coreProperties>
</file>