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85538B" w:rsidP="004B520A">
            <w:pPr>
              <w:pStyle w:val="Committee"/>
              <w:framePr w:hSpace="0" w:wrap="auto" w:hAnchor="text" w:yAlign="inline"/>
            </w:pPr>
            <w:r>
              <w:t>SESIÓN PLENARIA</w:t>
            </w:r>
          </w:p>
        </w:tc>
        <w:tc>
          <w:tcPr>
            <w:tcW w:w="3198" w:type="dxa"/>
            <w:gridSpan w:val="2"/>
          </w:tcPr>
          <w:p w:rsidR="00E83D45" w:rsidRPr="0085538B" w:rsidRDefault="0000544B" w:rsidP="00154B8B">
            <w:pPr>
              <w:spacing w:before="0"/>
              <w:ind w:left="-57"/>
              <w:rPr>
                <w:rFonts w:ascii="Verdana" w:hAnsi="Verdana" w:cs="Times New Roman Bold"/>
                <w:b/>
                <w:bCs/>
                <w:sz w:val="20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0"/>
                <w:lang w:val="en-GB" w:eastAsia="zh-CN"/>
              </w:rPr>
              <w:t>Addéndum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0"/>
                <w:lang w:val="en-GB" w:eastAsia="zh-CN"/>
              </w:rPr>
              <w:t xml:space="preserve"> 10</w:t>
            </w:r>
            <w:r w:rsidR="0085538B" w:rsidRPr="0085538B">
              <w:rPr>
                <w:rFonts w:ascii="Verdana" w:hAnsi="Verdana" w:cs="Times New Roman Bold"/>
                <w:b/>
                <w:bCs/>
                <w:sz w:val="20"/>
                <w:lang w:val="en-GB" w:eastAsia="zh-CN"/>
              </w:rPr>
              <w:t xml:space="preserve"> al</w:t>
            </w:r>
            <w:r w:rsidR="00154B8B">
              <w:rPr>
                <w:rFonts w:ascii="Verdana" w:hAnsi="Verdana" w:cs="Times New Roman Bold"/>
                <w:b/>
                <w:bCs/>
                <w:sz w:val="20"/>
                <w:lang w:val="en-GB" w:eastAsia="zh-CN"/>
              </w:rPr>
              <w:br/>
            </w:r>
            <w:r w:rsidR="0085538B" w:rsidRPr="0019445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Documento</w:t>
            </w:r>
            <w:r w:rsidR="0085538B" w:rsidRPr="0085538B">
              <w:rPr>
                <w:rFonts w:ascii="Verdana" w:hAnsi="Verdana" w:cs="Times New Roman Bold"/>
                <w:b/>
                <w:bCs/>
                <w:sz w:val="20"/>
                <w:lang w:val="en-GB" w:eastAsia="zh-CN"/>
              </w:rPr>
              <w:t xml:space="preserve"> 48-</w:t>
            </w:r>
            <w:r w:rsidR="0085538B">
              <w:rPr>
                <w:rFonts w:ascii="Verdana" w:hAnsi="Verdana" w:cs="Times New Roman Bold"/>
                <w:b/>
                <w:bCs/>
                <w:sz w:val="20"/>
                <w:lang w:val="en-GB" w:eastAsia="zh-CN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85538B" w:rsidP="008A5DD0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</w:rPr>
            </w:pPr>
            <w:r w:rsidRPr="00E50013">
              <w:rPr>
                <w:rFonts w:ascii="Verdana" w:hAnsi="Verdana" w:cs="Times New Roman Bold"/>
                <w:b/>
                <w:bCs/>
                <w:sz w:val="20"/>
              </w:rPr>
              <w:t xml:space="preserve">6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de octubre de</w:t>
            </w:r>
            <w:r w:rsidRPr="00E50013">
              <w:rPr>
                <w:rFonts w:ascii="Verdana" w:hAnsi="Verdana" w:cs="Times New Roman Bold"/>
                <w:b/>
                <w:bCs/>
                <w:sz w:val="20"/>
              </w:rPr>
              <w:t xml:space="preserve">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85538B" w:rsidRDefault="0085538B" w:rsidP="008A5DD0">
            <w:pPr>
              <w:spacing w:before="0"/>
              <w:ind w:left="-57"/>
              <w:rPr>
                <w:rFonts w:ascii="Verdana" w:hAnsi="Verdana"/>
                <w:b/>
                <w:sz w:val="20"/>
                <w:lang w:val="en-US"/>
              </w:rPr>
            </w:pPr>
            <w:r w:rsidRPr="0085538B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Pr="0019445B">
              <w:rPr>
                <w:rFonts w:ascii="Verdana" w:hAnsi="Verdana"/>
                <w:b/>
                <w:sz w:val="20"/>
              </w:rPr>
              <w:t>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85538B" w:rsidP="004B520A">
            <w:pPr>
              <w:pStyle w:val="Source"/>
            </w:pPr>
            <w:r w:rsidRPr="00A84469">
              <w:t>Estados Unidos de América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290833" w:rsidRPr="00290833" w:rsidRDefault="00C534A1" w:rsidP="00FE0E87">
            <w:pPr>
              <w:pStyle w:val="Title1"/>
            </w:pPr>
            <w:r w:rsidRPr="00154B8B">
              <w:t>opiniones sobre el doc. 40</w:t>
            </w:r>
            <w:r w:rsidR="0085538B" w:rsidRPr="00154B8B">
              <w:t xml:space="preserve"> de la amnt-16</w:t>
            </w:r>
            <w:r w:rsidR="00290833" w:rsidRPr="00154B8B">
              <w:t xml:space="preserve"> – </w:t>
            </w:r>
            <w:r w:rsidR="00154B8B" w:rsidRPr="00154B8B">
              <w:br/>
            </w:r>
            <w:r w:rsidR="00290833" w:rsidRPr="00154B8B">
              <w:t>Recom</w:t>
            </w:r>
            <w:r w:rsidR="0085538B" w:rsidRPr="00154B8B">
              <w:t>enda</w:t>
            </w:r>
            <w:r w:rsidR="00290833" w:rsidRPr="00154B8B">
              <w:t>CIÓN UIT</w:t>
            </w:r>
            <w:r w:rsidR="00290833" w:rsidRPr="00154B8B">
              <w:noBreakHyphen/>
            </w:r>
            <w:r w:rsidR="0085538B" w:rsidRPr="00154B8B">
              <w:t xml:space="preserve">T D.261 (principios de la definición del mercado y la identificación de operadores con </w:t>
            </w:r>
            <w:r w:rsidR="00154B8B" w:rsidRPr="00154B8B">
              <w:br/>
            </w:r>
            <w:r w:rsidR="0085538B" w:rsidRPr="00154B8B">
              <w:t>peso significativo en el mercado (PSM)</w:t>
            </w:r>
            <w:r w:rsidR="00FE0E87">
              <w:t>)</w:t>
            </w:r>
          </w:p>
        </w:tc>
      </w:tr>
      <w:tr w:rsidR="00FE0E87" w:rsidTr="004B520A">
        <w:trPr>
          <w:cantSplit/>
        </w:trPr>
        <w:tc>
          <w:tcPr>
            <w:tcW w:w="9811" w:type="dxa"/>
            <w:gridSpan w:val="4"/>
          </w:tcPr>
          <w:p w:rsidR="00FE0E87" w:rsidRPr="00154B8B" w:rsidRDefault="00FE0E87" w:rsidP="00FE0E87">
            <w:pPr>
              <w:pStyle w:val="Title2"/>
            </w:pPr>
          </w:p>
        </w:tc>
      </w:tr>
    </w:tbl>
    <w:p w:rsidR="00FE0E87" w:rsidRDefault="00FE0E87"/>
    <w:tbl>
      <w:tblPr>
        <w:tblW w:w="5089" w:type="pct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85538B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85538B" w:rsidRDefault="00290833" w:rsidP="0081679A">
                <w:pPr>
                  <w:rPr>
                    <w:color w:val="000000" w:themeColor="text1"/>
                  </w:rPr>
                </w:pPr>
                <w:r>
                  <w:t>Estados Unidos no respalda</w:t>
                </w:r>
                <w:r w:rsidR="00C534A1">
                  <w:t xml:space="preserve"> la aprobación del proyecto de </w:t>
                </w:r>
                <w:r w:rsidR="0081679A">
                  <w:t xml:space="preserve">nueva </w:t>
                </w:r>
                <w:r w:rsidR="00C534A1">
                  <w:t>Recomendación UIT-T D</w:t>
                </w:r>
                <w:r w:rsidR="00C534A1" w:rsidRPr="0085538B">
                  <w:t>.261 (</w:t>
                </w:r>
                <w:r w:rsidR="00C534A1">
                  <w:t>P</w:t>
                </w:r>
                <w:r w:rsidR="00C534A1" w:rsidRPr="0085538B">
                  <w:t>rincipios de la definición del mercado y la identificación de operadores con peso si</w:t>
                </w:r>
                <w:r w:rsidR="00FE0E87">
                  <w:t>gnificativo en el mercado (PSM))</w:t>
                </w:r>
                <w:r w:rsidR="00C534A1" w:rsidRPr="0085538B">
                  <w:t xml:space="preserve"> </w:t>
                </w:r>
                <w:r w:rsidR="00C534A1">
                  <w:t>contenido en el Documento 40 de la AMNT-16</w:t>
                </w:r>
                <w:r w:rsidR="00C534A1" w:rsidRPr="0085538B">
                  <w:t>.</w:t>
                </w:r>
              </w:p>
            </w:tc>
          </w:sdtContent>
        </w:sdt>
      </w:tr>
    </w:tbl>
    <w:p w:rsidR="00C534A1" w:rsidRPr="0084257A" w:rsidRDefault="00E42489" w:rsidP="00154B8B">
      <w:pPr>
        <w:pStyle w:val="Headingb"/>
      </w:pPr>
      <w:r w:rsidRPr="0084257A">
        <w:t>Introducció</w:t>
      </w:r>
      <w:r w:rsidR="00C534A1" w:rsidRPr="0084257A">
        <w:t>n</w:t>
      </w:r>
    </w:p>
    <w:p w:rsidR="00C534A1" w:rsidRPr="00E50013" w:rsidRDefault="00C534A1" w:rsidP="00154B8B">
      <w:r>
        <w:t>El Documento 40</w:t>
      </w:r>
      <w:r w:rsidR="0081679A">
        <w:t xml:space="preserve"> de la AMNT-16 contiene el</w:t>
      </w:r>
      <w:r w:rsidRPr="00A84469">
        <w:t xml:space="preserve"> proyecto de</w:t>
      </w:r>
      <w:r w:rsidR="00D74AC9">
        <w:t xml:space="preserve"> nueva </w:t>
      </w:r>
      <w:r w:rsidRPr="00A84469">
        <w:t>Recomendación UIT</w:t>
      </w:r>
      <w:r w:rsidRPr="00A84469">
        <w:noBreakHyphen/>
        <w:t>T </w:t>
      </w:r>
      <w:r>
        <w:t>D</w:t>
      </w:r>
      <w:r w:rsidRPr="0085538B">
        <w:t xml:space="preserve">.261 </w:t>
      </w:r>
      <w:r w:rsidRPr="00C534A1">
        <w:t xml:space="preserve">(Principios de la definición del mercado y la identificación de operadores con peso significativo en el mercado (PSM)) </w:t>
      </w:r>
      <w:r w:rsidRPr="00A84469">
        <w:t>presentado por la Comisión de Estudio 3</w:t>
      </w:r>
      <w:r w:rsidRPr="00C534A1">
        <w:t xml:space="preserve">. </w:t>
      </w:r>
      <w:r w:rsidR="00D74AC9">
        <w:t xml:space="preserve">Como </w:t>
      </w:r>
      <w:r w:rsidR="008C3764" w:rsidRPr="00A84469">
        <w:t xml:space="preserve">Estados Unidos </w:t>
      </w:r>
      <w:r w:rsidR="00D74AC9">
        <w:t>explicó</w:t>
      </w:r>
      <w:r w:rsidR="008C3764" w:rsidRPr="00A84469">
        <w:t xml:space="preserve"> en su respuesta a la Circular TSB 209, </w:t>
      </w:r>
      <w:r w:rsidR="00D74AC9">
        <w:t xml:space="preserve">contemplada </w:t>
      </w:r>
      <w:r w:rsidR="008C3764" w:rsidRPr="00A84469">
        <w:t xml:space="preserve">en el Documento 49 de la AMNT-16, </w:t>
      </w:r>
      <w:r w:rsidR="00547119">
        <w:t>l</w:t>
      </w:r>
      <w:r w:rsidR="00D74AC9">
        <w:t xml:space="preserve">a nueva </w:t>
      </w:r>
      <w:r w:rsidR="008C3764" w:rsidRPr="00A84469">
        <w:t xml:space="preserve">Recomendación </w:t>
      </w:r>
      <w:r w:rsidR="00D74AC9">
        <w:t xml:space="preserve">propuesta </w:t>
      </w:r>
      <w:r w:rsidR="008C3764" w:rsidRPr="00A84469">
        <w:t xml:space="preserve">fue </w:t>
      </w:r>
      <w:r w:rsidR="00D74AC9">
        <w:t>determinada po</w:t>
      </w:r>
      <w:r w:rsidR="008C3764" w:rsidRPr="00A84469">
        <w:t xml:space="preserve">r la Comisión de Estudio </w:t>
      </w:r>
      <w:r w:rsidR="008C3764" w:rsidRPr="008C3764">
        <w:t>3</w:t>
      </w:r>
      <w:r w:rsidR="00D74AC9">
        <w:t xml:space="preserve"> tras una serie de irregularidades y errores de procedimiento. </w:t>
      </w:r>
      <w:r w:rsidR="00244E84">
        <w:t xml:space="preserve">En consecuencia, Estados Unidos estima que dicho documento carece de la estabilidad y madurez necesarias. Por otra parte, </w:t>
      </w:r>
      <w:r w:rsidR="008C3764" w:rsidRPr="00A84469">
        <w:t xml:space="preserve">el proyecto de </w:t>
      </w:r>
      <w:r w:rsidR="00244E84">
        <w:t>Re</w:t>
      </w:r>
      <w:r w:rsidR="008C3764" w:rsidRPr="00A84469">
        <w:t>comendaci</w:t>
      </w:r>
      <w:r w:rsidR="008C3764">
        <w:t>ón que figura en el Documento 40</w:t>
      </w:r>
      <w:r w:rsidR="008C3764" w:rsidRPr="00A84469">
        <w:t xml:space="preserve"> adolece de vicios de fondo</w:t>
      </w:r>
      <w:r w:rsidRPr="00E50013">
        <w:t>.</w:t>
      </w:r>
    </w:p>
    <w:p w:rsidR="00C534A1" w:rsidRPr="00AF6EBE" w:rsidRDefault="00154B8B" w:rsidP="00D74AC9">
      <w:pPr>
        <w:pStyle w:val="Headingb"/>
        <w:rPr>
          <w:rFonts w:ascii="Times New Roman Bold" w:hAnsi="Times New Roman Bold" w:cs="Times New Roman Bold"/>
        </w:rPr>
      </w:pPr>
      <w:r>
        <w:t>Análisis</w:t>
      </w:r>
    </w:p>
    <w:p w:rsidR="00244E84" w:rsidRPr="00244E84" w:rsidRDefault="00244E84" w:rsidP="00FE0E87">
      <w:r w:rsidRPr="00244E84">
        <w:t>Durante la reunión en que la Comisi</w:t>
      </w:r>
      <w:r>
        <w:t>ón de Estudio 3 examinó ese proyecto de Recomendación,</w:t>
      </w:r>
      <w:r w:rsidR="0081679A">
        <w:t xml:space="preserve"> no fue examinada adecuadamente</w:t>
      </w:r>
      <w:r>
        <w:t xml:space="preserve"> la información facilitada por el UIT-D </w:t>
      </w:r>
      <w:r w:rsidR="0081679A">
        <w:t xml:space="preserve">en la </w:t>
      </w:r>
      <w:r>
        <w:t xml:space="preserve">que </w:t>
      </w:r>
      <w:r w:rsidR="0081679A">
        <w:t xml:space="preserve">se </w:t>
      </w:r>
      <w:r>
        <w:t xml:space="preserve">indicaba que, sin una Recomendación UIT-T, </w:t>
      </w:r>
      <w:r w:rsidR="0019445B">
        <w:t>"</w:t>
      </w:r>
      <w:r>
        <w:t>ha sido adoptado en todo el mundo desde 2002</w:t>
      </w:r>
      <w:r w:rsidR="0019445B">
        <w:t>"</w:t>
      </w:r>
      <w:r>
        <w:t xml:space="preserve"> un marco PSM para evaluar</w:t>
      </w:r>
      <w:r w:rsidR="002F125E">
        <w:t xml:space="preserve"> la competencia en los mercados</w:t>
      </w:r>
      <w:r>
        <w:t xml:space="preserve">. </w:t>
      </w:r>
      <w:r w:rsidR="0046490B">
        <w:t xml:space="preserve">Además, la Comisión de Estudio 3 no revisó ni examinó las amplias orientaciones prácticas sobre la medición de la competencia contenidas en el Conjunto de herramientas de reglamentación de las TIC del UIT-D. Por ejemplo, en la </w:t>
      </w:r>
      <w:r w:rsidR="00ED3875">
        <w:t xml:space="preserve">Sección </w:t>
      </w:r>
      <w:r w:rsidR="0046490B">
        <w:t>2.2 del Conjunto de herramientas se explica el propósito de la medición de la co</w:t>
      </w:r>
      <w:r w:rsidR="00D3149C">
        <w:t>mpetencia en los mer</w:t>
      </w:r>
      <w:r w:rsidR="0046490B">
        <w:t xml:space="preserve">cados y las posibles soluciones que podrían aplicarse </w:t>
      </w:r>
      <w:r w:rsidR="002F125E">
        <w:t>ante</w:t>
      </w:r>
      <w:r w:rsidR="0046490B">
        <w:t xml:space="preserve"> medidas que no respeta</w:t>
      </w:r>
      <w:r w:rsidR="00D3149C">
        <w:t>se</w:t>
      </w:r>
      <w:r w:rsidR="0046490B">
        <w:t xml:space="preserve">n las reglas de la </w:t>
      </w:r>
      <w:r w:rsidR="0046490B">
        <w:lastRenderedPageBreak/>
        <w:t xml:space="preserve">competencia. Esas soluciones quizá no tengan repercusiones para los organismos reguladores de las </w:t>
      </w:r>
      <w:r w:rsidR="0019445B">
        <w:t>telecomunicaciones</w:t>
      </w:r>
      <w:r w:rsidR="0046490B">
        <w:t xml:space="preserve"> pero, en cualquier caso, serán decisiones adoptadas a escala nacional. </w:t>
      </w:r>
      <w:r w:rsidR="00CE03D9">
        <w:t xml:space="preserve">La </w:t>
      </w:r>
      <w:r w:rsidR="0046490B">
        <w:t xml:space="preserve">Recomendación propuesta </w:t>
      </w:r>
      <w:r w:rsidR="00CE03D9">
        <w:t xml:space="preserve">no </w:t>
      </w:r>
      <w:r w:rsidR="0046490B">
        <w:t>se ha coordinado</w:t>
      </w:r>
      <w:r w:rsidR="00CE03D9">
        <w:t xml:space="preserve"> en ningún momento </w:t>
      </w:r>
      <w:r w:rsidR="0046490B">
        <w:t xml:space="preserve">con </w:t>
      </w:r>
      <w:r w:rsidR="00CE03D9">
        <w:t xml:space="preserve">una organización pertinente, más particularmente, con el UIT-D. En ese sentido, podría considerarse a lo sumo una duplicación de la labor realizada por el UIT-D contraria a </w:t>
      </w:r>
      <w:r w:rsidR="0019445B">
        <w:t>numerosas Resoluciones, al Plan</w:t>
      </w:r>
      <w:r w:rsidR="00FE0E87">
        <w:t xml:space="preserve"> </w:t>
      </w:r>
      <w:r w:rsidR="00CE03D9">
        <w:t>Estratégico</w:t>
      </w:r>
      <w:r w:rsidR="002F125E">
        <w:t xml:space="preserve"> y</w:t>
      </w:r>
      <w:r w:rsidR="00CE03D9">
        <w:t xml:space="preserve"> a los Textos fundamentales de la UIT</w:t>
      </w:r>
      <w:r w:rsidR="002F125E">
        <w:t xml:space="preserve">, </w:t>
      </w:r>
      <w:r w:rsidR="00CE03D9">
        <w:t>como el número 215 del Convenio y la Resolución 191 (</w:t>
      </w:r>
      <w:proofErr w:type="spellStart"/>
      <w:r w:rsidR="00CE03D9">
        <w:t>Busán</w:t>
      </w:r>
      <w:proofErr w:type="spellEnd"/>
      <w:r w:rsidR="00CE03D9">
        <w:t>, 2014)</w:t>
      </w:r>
      <w:r w:rsidR="002F125E">
        <w:t>,</w:t>
      </w:r>
      <w:r w:rsidR="002F125E" w:rsidRPr="002F125E">
        <w:t xml:space="preserve"> </w:t>
      </w:r>
      <w:r w:rsidR="002F125E">
        <w:t>que piden evitar la duplicación de tareas</w:t>
      </w:r>
      <w:r w:rsidR="00CE03D9">
        <w:t>.</w:t>
      </w:r>
    </w:p>
    <w:p w:rsidR="00AF6EBE" w:rsidRPr="00AF6EBE" w:rsidRDefault="00AF6EBE" w:rsidP="00154B8B">
      <w:pPr>
        <w:rPr>
          <w:szCs w:val="24"/>
        </w:rPr>
      </w:pPr>
      <w:r>
        <w:t>Por otra parte, e</w:t>
      </w:r>
      <w:r w:rsidR="008C3764" w:rsidRPr="00A84469">
        <w:t>l proyecto de Recomendación es, en el mejor de los casos, una norma nacional, y no una norma técnica internacional en materia de telecomunicaciones, como se exige en el Plan Estratégico del UIT-T</w:t>
      </w:r>
      <w:r w:rsidR="00C534A1" w:rsidRPr="008C3764">
        <w:rPr>
          <w:szCs w:val="24"/>
        </w:rPr>
        <w:t xml:space="preserve">. </w:t>
      </w:r>
      <w:r w:rsidRPr="00AF6EBE">
        <w:rPr>
          <w:szCs w:val="24"/>
        </w:rPr>
        <w:t xml:space="preserve">Aunque Estados Unidos promueve la convergencia </w:t>
      </w:r>
      <w:r w:rsidR="00B021AE">
        <w:rPr>
          <w:szCs w:val="24"/>
        </w:rPr>
        <w:t>de</w:t>
      </w:r>
      <w:r>
        <w:rPr>
          <w:szCs w:val="24"/>
        </w:rPr>
        <w:t xml:space="preserve"> enfoques sólidos en materia de ley</w:t>
      </w:r>
      <w:r w:rsidR="00792F8B">
        <w:rPr>
          <w:szCs w:val="24"/>
        </w:rPr>
        <w:t>es</w:t>
      </w:r>
      <w:r>
        <w:rPr>
          <w:szCs w:val="24"/>
        </w:rPr>
        <w:t xml:space="preserve"> de la competencia, los datos del UIT-D indican con claridad que la manera en que se aplica el PSM </w:t>
      </w:r>
      <w:r w:rsidR="0019445B">
        <w:rPr>
          <w:szCs w:val="24"/>
        </w:rPr>
        <w:t>"</w:t>
      </w:r>
      <w:r>
        <w:rPr>
          <w:szCs w:val="24"/>
        </w:rPr>
        <w:t>varía notablemente y pone de manifiesto que cada país tiene sus particularidades al definir el PSM</w:t>
      </w:r>
      <w:r w:rsidR="0019445B">
        <w:rPr>
          <w:szCs w:val="24"/>
        </w:rPr>
        <w:t>"</w:t>
      </w:r>
      <w:r>
        <w:rPr>
          <w:szCs w:val="24"/>
        </w:rPr>
        <w:t>. S</w:t>
      </w:r>
      <w:r w:rsidR="00792F8B">
        <w:rPr>
          <w:szCs w:val="24"/>
        </w:rPr>
        <w:t>e confirma por tanto que una Recomendación internacional con criterio único para ese tipo de decisión de carácter plenamente nacional, no es adecuada.</w:t>
      </w:r>
    </w:p>
    <w:p w:rsidR="00C534A1" w:rsidRPr="00B021AE" w:rsidRDefault="008C3764" w:rsidP="00154B8B">
      <w:pPr>
        <w:rPr>
          <w:bCs/>
        </w:rPr>
      </w:pPr>
      <w:r w:rsidRPr="00A84469">
        <w:rPr>
          <w:rFonts w:eastAsiaTheme="minorHAnsi"/>
        </w:rPr>
        <w:t xml:space="preserve">Por </w:t>
      </w:r>
      <w:r w:rsidR="00B021AE">
        <w:rPr>
          <w:rFonts w:eastAsiaTheme="minorHAnsi"/>
        </w:rPr>
        <w:t>consiguiente</w:t>
      </w:r>
      <w:r w:rsidRPr="00A84469">
        <w:rPr>
          <w:rFonts w:eastAsiaTheme="minorHAnsi"/>
        </w:rPr>
        <w:t xml:space="preserve">, este proyecto de Recomendación es contrario a lo dispuesto en el Plan Estratégico del UIT-T, que estipula, en su objetivo </w:t>
      </w:r>
      <w:r w:rsidRPr="00A84469">
        <w:t xml:space="preserve">T1, que el Sector de Normalización de la UIT debe </w:t>
      </w:r>
      <w:r w:rsidR="0019445B">
        <w:t>"</w:t>
      </w:r>
      <w:r w:rsidRPr="00A84469">
        <w:t>[d]</w:t>
      </w:r>
      <w:proofErr w:type="spellStart"/>
      <w:r w:rsidRPr="00A84469">
        <w:t>esarrollar</w:t>
      </w:r>
      <w:proofErr w:type="spellEnd"/>
      <w:r w:rsidRPr="00A84469">
        <w:t xml:space="preserve"> normas internacionales no discriminatorias (Recomendaciones UIT-T) de manera oportuna, y fomentar la </w:t>
      </w:r>
      <w:proofErr w:type="spellStart"/>
      <w:r w:rsidRPr="00A84469">
        <w:t>interoperatividad</w:t>
      </w:r>
      <w:proofErr w:type="spellEnd"/>
      <w:r w:rsidRPr="00A84469">
        <w:t xml:space="preserve"> y una mejor calidad de funcionamiento de equipos, redes, servicios y aplicaciones</w:t>
      </w:r>
      <w:r w:rsidR="0019445B">
        <w:rPr>
          <w:bCs/>
        </w:rPr>
        <w:t>"</w:t>
      </w:r>
      <w:r w:rsidRPr="00A84469">
        <w:rPr>
          <w:bCs/>
        </w:rPr>
        <w:t xml:space="preserve"> (</w:t>
      </w:r>
      <w:r w:rsidR="00B021AE">
        <w:rPr>
          <w:bCs/>
        </w:rPr>
        <w:t>comillas añadidas</w:t>
      </w:r>
      <w:r w:rsidRPr="00A84469">
        <w:rPr>
          <w:bCs/>
        </w:rPr>
        <w:t>). Asimismo, el número 193 del Convenio establece que las Comisiones de Estudio del UIT</w:t>
      </w:r>
      <w:r w:rsidRPr="00A84469">
        <w:t>-T estudia</w:t>
      </w:r>
      <w:r w:rsidR="0071067E">
        <w:t>rá</w:t>
      </w:r>
      <w:r w:rsidRPr="00A84469">
        <w:t xml:space="preserve">n </w:t>
      </w:r>
      <w:r w:rsidR="0019445B">
        <w:t>"</w:t>
      </w:r>
      <w:r w:rsidRPr="00A84469">
        <w:t>cuestiones técnicas, de explotación y de tarificación</w:t>
      </w:r>
      <w:r w:rsidR="0019445B">
        <w:t>"</w:t>
      </w:r>
      <w:r w:rsidRPr="00A84469">
        <w:t xml:space="preserve"> </w:t>
      </w:r>
      <w:r w:rsidR="0071067E">
        <w:t xml:space="preserve">y </w:t>
      </w:r>
      <w:r w:rsidRPr="00A84469">
        <w:t>formula</w:t>
      </w:r>
      <w:r w:rsidR="0071067E">
        <w:t>rán</w:t>
      </w:r>
      <w:r w:rsidRPr="00A84469">
        <w:t xml:space="preserve"> </w:t>
      </w:r>
      <w:r w:rsidR="0019445B">
        <w:t>"</w:t>
      </w:r>
      <w:r w:rsidRPr="00A84469">
        <w:t>recomendaciones sobre las mismas con miras a la normalización de las telecomunicaciones en el plano mundial</w:t>
      </w:r>
      <w:r w:rsidR="0019445B">
        <w:t>"</w:t>
      </w:r>
      <w:r w:rsidRPr="00A84469">
        <w:t xml:space="preserve"> (</w:t>
      </w:r>
      <w:r w:rsidR="00B021AE">
        <w:t xml:space="preserve">comillas </w:t>
      </w:r>
      <w:r w:rsidRPr="00A84469">
        <w:t>añadid</w:t>
      </w:r>
      <w:r w:rsidR="00B021AE">
        <w:t>as</w:t>
      </w:r>
      <w:r w:rsidRPr="00A84469">
        <w:t>).</w:t>
      </w:r>
      <w:r w:rsidR="00C534A1" w:rsidRPr="008C3764">
        <w:t xml:space="preserve"> </w:t>
      </w:r>
      <w:r w:rsidR="0071067E" w:rsidRPr="0071067E">
        <w:t xml:space="preserve">Esta </w:t>
      </w:r>
      <w:r w:rsidR="00C534A1" w:rsidRPr="0071067E">
        <w:t>Recomenda</w:t>
      </w:r>
      <w:r w:rsidR="0071067E" w:rsidRPr="0071067E">
        <w:t xml:space="preserve">ción no facilita la </w:t>
      </w:r>
      <w:proofErr w:type="spellStart"/>
      <w:r w:rsidR="0071067E" w:rsidRPr="0071067E">
        <w:t>interoperativ</w:t>
      </w:r>
      <w:r w:rsidR="0071067E">
        <w:t>id</w:t>
      </w:r>
      <w:r w:rsidR="0071067E" w:rsidRPr="0071067E">
        <w:t>ad</w:t>
      </w:r>
      <w:proofErr w:type="spellEnd"/>
      <w:r w:rsidR="0071067E" w:rsidRPr="0071067E">
        <w:t xml:space="preserve"> o normalización de las teleco</w:t>
      </w:r>
      <w:r w:rsidR="00C534A1" w:rsidRPr="0071067E">
        <w:t>munica</w:t>
      </w:r>
      <w:r w:rsidR="0071067E">
        <w:t>ciones</w:t>
      </w:r>
      <w:r w:rsidR="00C534A1" w:rsidRPr="0071067E">
        <w:t xml:space="preserve">. </w:t>
      </w:r>
      <w:r w:rsidR="0071067E">
        <w:t xml:space="preserve">En cambio, la </w:t>
      </w:r>
      <w:r w:rsidRPr="00A84469">
        <w:t>Recomendación nacional</w:t>
      </w:r>
      <w:r w:rsidR="0071067E">
        <w:t xml:space="preserve"> propuesta </w:t>
      </w:r>
      <w:r w:rsidRPr="00A84469">
        <w:t>trata asuntos sujetos a los derechos soberanos de los Estados Miembros y es contrari</w:t>
      </w:r>
      <w:r w:rsidR="0071067E">
        <w:t>a</w:t>
      </w:r>
      <w:r w:rsidRPr="00A84469">
        <w:t xml:space="preserve"> al Plan Estratégico del UIT-T y al Convenio de la UIT</w:t>
      </w:r>
      <w:r w:rsidR="00C534A1" w:rsidRPr="008C3764">
        <w:t>.</w:t>
      </w:r>
    </w:p>
    <w:p w:rsidR="0086752A" w:rsidRDefault="0086752A" w:rsidP="0086752A">
      <w:pPr>
        <w:rPr>
          <w:szCs w:val="24"/>
        </w:rPr>
      </w:pPr>
      <w:r w:rsidRPr="0086752A">
        <w:rPr>
          <w:szCs w:val="24"/>
        </w:rPr>
        <w:t>Por último, el proyecto de nueva Recomendaci</w:t>
      </w:r>
      <w:r>
        <w:rPr>
          <w:szCs w:val="24"/>
        </w:rPr>
        <w:t>ón en cuestión no corresponde a la esfera de acción de la Comisión de Estudio 3, que intenta sin autorización ampliar su mandato para incluir cuestiones sobre la polít</w:t>
      </w:r>
      <w:r w:rsidR="00FE0E87">
        <w:rPr>
          <w:szCs w:val="24"/>
        </w:rPr>
        <w:t>ica nacional de la competencia.</w:t>
      </w:r>
    </w:p>
    <w:p w:rsidR="009F17A8" w:rsidRDefault="009F17A8" w:rsidP="009F17A8">
      <w:pPr>
        <w:pStyle w:val="Proposal"/>
      </w:pPr>
      <w:r>
        <w:tab/>
        <w:t>USA/48A10/1</w:t>
      </w:r>
    </w:p>
    <w:p w:rsidR="00C534A1" w:rsidRPr="00E50013" w:rsidRDefault="008C3764" w:rsidP="00290833">
      <w:pPr>
        <w:pStyle w:val="Headingb"/>
        <w:rPr>
          <w:rFonts w:ascii="Times New Roman Bold" w:hAnsi="Times New Roman Bold" w:cs="Times New Roman Bold"/>
        </w:rPr>
      </w:pPr>
      <w:r w:rsidRPr="00A84469">
        <w:t>Propuesta</w:t>
      </w:r>
    </w:p>
    <w:p w:rsidR="00B07178" w:rsidRPr="008C3764" w:rsidRDefault="008C3764" w:rsidP="00154B8B">
      <w:r w:rsidRPr="00A84469">
        <w:t>Por los motivos antes mencionados, no debería aprobarse el proyecto de</w:t>
      </w:r>
      <w:r w:rsidR="00486D3A">
        <w:t xml:space="preserve"> nueva</w:t>
      </w:r>
      <w:r w:rsidR="0019445B">
        <w:t xml:space="preserve"> Recomendación </w:t>
      </w:r>
      <w:r w:rsidRPr="00A84469">
        <w:t>UIT</w:t>
      </w:r>
      <w:r>
        <w:t>-T D.26</w:t>
      </w:r>
      <w:r w:rsidRPr="00A84469">
        <w:t>1 contenido en el Documento</w:t>
      </w:r>
      <w:r>
        <w:t xml:space="preserve"> 40</w:t>
      </w:r>
      <w:r w:rsidRPr="00A84469">
        <w:t>.</w:t>
      </w:r>
    </w:p>
    <w:p w:rsidR="008C3764" w:rsidRDefault="008C3764" w:rsidP="00290833">
      <w:pPr>
        <w:pStyle w:val="Reasons"/>
      </w:pPr>
      <w:bookmarkStart w:id="0" w:name="_GoBack"/>
      <w:bookmarkEnd w:id="0"/>
    </w:p>
    <w:p w:rsidR="008C3764" w:rsidRDefault="008C3764" w:rsidP="00290833">
      <w:pPr>
        <w:jc w:val="center"/>
      </w:pPr>
      <w:r>
        <w:t>______________</w:t>
      </w:r>
    </w:p>
    <w:sectPr w:rsidR="008C376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8B" w:rsidRDefault="0085538B">
      <w:r>
        <w:separator/>
      </w:r>
    </w:p>
  </w:endnote>
  <w:endnote w:type="continuationSeparator" w:id="0">
    <w:p w:rsidR="0085538B" w:rsidRDefault="0085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8074E" w:rsidRDefault="0077084A">
    <w:pPr>
      <w:ind w:right="360"/>
      <w:rPr>
        <w:lang w:val="en-US"/>
      </w:rPr>
    </w:pPr>
    <w:r>
      <w:fldChar w:fldCharType="begin"/>
    </w:r>
    <w:r w:rsidRPr="0068074E">
      <w:rPr>
        <w:lang w:val="en-US"/>
      </w:rPr>
      <w:instrText xml:space="preserve"> FILENAME \p  \* MERGEFORMAT </w:instrText>
    </w:r>
    <w:r>
      <w:fldChar w:fldCharType="separate"/>
    </w:r>
    <w:r w:rsidR="0068074E">
      <w:rPr>
        <w:noProof/>
        <w:lang w:val="en-US"/>
      </w:rPr>
      <w:t>P:\TRAD\S\ITU-T\CONF-T\WTSA16\000\048ADD10S_montaje.docx</w:t>
    </w:r>
    <w:r>
      <w:fldChar w:fldCharType="end"/>
    </w:r>
    <w:r w:rsidRPr="0068074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17A8">
      <w:rPr>
        <w:noProof/>
      </w:rPr>
      <w:t>12.10.16</w:t>
    </w:r>
    <w:r>
      <w:fldChar w:fldCharType="end"/>
    </w:r>
    <w:r w:rsidRPr="0068074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074E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87" w:rsidRPr="00FE0E87" w:rsidRDefault="00FE0E87" w:rsidP="00FE0E87">
    <w:pPr>
      <w:pStyle w:val="Footer"/>
      <w:rPr>
        <w:lang w:val="fr-CH"/>
      </w:rPr>
    </w:pPr>
    <w:r>
      <w:fldChar w:fldCharType="begin"/>
    </w:r>
    <w:r w:rsidRPr="00FE0E87">
      <w:rPr>
        <w:lang w:val="fr-CH"/>
      </w:rPr>
      <w:instrText xml:space="preserve"> FILENAME \p  \* MERGEFORMAT </w:instrText>
    </w:r>
    <w:r>
      <w:fldChar w:fldCharType="separate"/>
    </w:r>
    <w:r w:rsidRPr="00FE0E87">
      <w:rPr>
        <w:lang w:val="fr-CH"/>
      </w:rPr>
      <w:t>P:\ESP\ITU-T\CONF-T\WTSA16\000\048ADD10S.docx</w:t>
    </w:r>
    <w:r>
      <w:fldChar w:fldCharType="end"/>
    </w:r>
    <w:r>
      <w:rPr>
        <w:lang w:val="fr-CH"/>
      </w:rPr>
      <w:t xml:space="preserve"> (406130)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87" w:rsidRPr="00FE0E87" w:rsidRDefault="00FE0E87" w:rsidP="00FE0E87">
    <w:pPr>
      <w:pStyle w:val="Footer"/>
      <w:rPr>
        <w:lang w:val="fr-CH"/>
      </w:rPr>
    </w:pPr>
    <w:r>
      <w:fldChar w:fldCharType="begin"/>
    </w:r>
    <w:r w:rsidRPr="00FE0E87">
      <w:rPr>
        <w:lang w:val="fr-CH"/>
      </w:rPr>
      <w:instrText xml:space="preserve"> FILENAME \p  \* MERGEFORMAT </w:instrText>
    </w:r>
    <w:r>
      <w:fldChar w:fldCharType="separate"/>
    </w:r>
    <w:r w:rsidRPr="00FE0E87">
      <w:rPr>
        <w:lang w:val="fr-CH"/>
      </w:rPr>
      <w:t>P:\ESP\ITU-T\CONF-T\WTSA16\000\048ADD10S.docx</w:t>
    </w:r>
    <w:r>
      <w:fldChar w:fldCharType="end"/>
    </w:r>
    <w:r>
      <w:rPr>
        <w:lang w:val="fr-CH"/>
      </w:rPr>
      <w:t xml:space="preserve"> (406130)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8B" w:rsidRDefault="0085538B">
      <w:r>
        <w:rPr>
          <w:b/>
        </w:rPr>
        <w:t>_______________</w:t>
      </w:r>
    </w:p>
  </w:footnote>
  <w:footnote w:type="continuationSeparator" w:id="0">
    <w:p w:rsidR="0085538B" w:rsidRDefault="0085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F17A8">
      <w:rPr>
        <w:noProof/>
      </w:rPr>
      <w:t>2</w:t>
    </w:r>
    <w:r>
      <w:fldChar w:fldCharType="end"/>
    </w:r>
  </w:p>
  <w:p w:rsidR="00E83D45" w:rsidRPr="008C3764" w:rsidRDefault="00566BEE" w:rsidP="008C3764">
    <w:pPr>
      <w:pStyle w:val="Header"/>
      <w:rPr>
        <w:lang w:val="fr-CH"/>
      </w:rPr>
    </w:pPr>
    <w:r w:rsidRPr="008C3764">
      <w:rPr>
        <w:lang w:val="fr-CH"/>
      </w:rPr>
      <w:t>AMNT</w:t>
    </w:r>
    <w:r w:rsidR="008C3764" w:rsidRPr="008C3764">
      <w:rPr>
        <w:lang w:val="fr-CH"/>
      </w:rPr>
      <w:t>16/48(Add.</w:t>
    </w:r>
    <w:r w:rsidR="001D74DB">
      <w:rPr>
        <w:lang w:val="fr-CH"/>
      </w:rPr>
      <w:t>10</w:t>
    </w:r>
    <w:r w:rsidR="008C3764">
      <w:rPr>
        <w:lang w:val="fr-CH"/>
      </w:rPr>
      <w:t>)</w:t>
    </w:r>
    <w:r w:rsidR="00E83D45" w:rsidRPr="008C3764">
      <w:rPr>
        <w:lang w:val="fr-CH"/>
      </w:rPr>
      <w:t>-</w:t>
    </w:r>
    <w:r w:rsidR="008C3764">
      <w:rPr>
        <w:lang w:val="fr-CH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544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12940"/>
    <w:rsid w:val="00120191"/>
    <w:rsid w:val="00121170"/>
    <w:rsid w:val="00123CC5"/>
    <w:rsid w:val="0015142D"/>
    <w:rsid w:val="00154B8B"/>
    <w:rsid w:val="001616DC"/>
    <w:rsid w:val="00163962"/>
    <w:rsid w:val="00191A97"/>
    <w:rsid w:val="0019445B"/>
    <w:rsid w:val="001A083F"/>
    <w:rsid w:val="001C41FA"/>
    <w:rsid w:val="001D380F"/>
    <w:rsid w:val="001D74DB"/>
    <w:rsid w:val="001E2B52"/>
    <w:rsid w:val="001E3F27"/>
    <w:rsid w:val="001F20F0"/>
    <w:rsid w:val="0021371A"/>
    <w:rsid w:val="002337D9"/>
    <w:rsid w:val="00236D2A"/>
    <w:rsid w:val="00244E84"/>
    <w:rsid w:val="00255F12"/>
    <w:rsid w:val="00262C09"/>
    <w:rsid w:val="00263815"/>
    <w:rsid w:val="0028017B"/>
    <w:rsid w:val="00286495"/>
    <w:rsid w:val="00290833"/>
    <w:rsid w:val="002A791F"/>
    <w:rsid w:val="002C1B26"/>
    <w:rsid w:val="002C79B8"/>
    <w:rsid w:val="002E701F"/>
    <w:rsid w:val="002F125E"/>
    <w:rsid w:val="003039CA"/>
    <w:rsid w:val="003237B0"/>
    <w:rsid w:val="003248A9"/>
    <w:rsid w:val="00324FFA"/>
    <w:rsid w:val="0032680B"/>
    <w:rsid w:val="00363A65"/>
    <w:rsid w:val="00377EC9"/>
    <w:rsid w:val="003A5445"/>
    <w:rsid w:val="003B1E8C"/>
    <w:rsid w:val="003C2508"/>
    <w:rsid w:val="003D0AA3"/>
    <w:rsid w:val="004104AC"/>
    <w:rsid w:val="00454553"/>
    <w:rsid w:val="0046490B"/>
    <w:rsid w:val="00476FB2"/>
    <w:rsid w:val="00486D3A"/>
    <w:rsid w:val="004B124A"/>
    <w:rsid w:val="004B520A"/>
    <w:rsid w:val="004C3636"/>
    <w:rsid w:val="004C3A5A"/>
    <w:rsid w:val="00523269"/>
    <w:rsid w:val="00532097"/>
    <w:rsid w:val="00547119"/>
    <w:rsid w:val="00566BEE"/>
    <w:rsid w:val="0058350F"/>
    <w:rsid w:val="005A374D"/>
    <w:rsid w:val="005D5734"/>
    <w:rsid w:val="005E782D"/>
    <w:rsid w:val="005F2605"/>
    <w:rsid w:val="00662039"/>
    <w:rsid w:val="00662BA0"/>
    <w:rsid w:val="0068074E"/>
    <w:rsid w:val="00681766"/>
    <w:rsid w:val="00692AAE"/>
    <w:rsid w:val="006B0F54"/>
    <w:rsid w:val="006D2B4C"/>
    <w:rsid w:val="006D6E67"/>
    <w:rsid w:val="006E0078"/>
    <w:rsid w:val="006E1A13"/>
    <w:rsid w:val="006E76B9"/>
    <w:rsid w:val="00701C20"/>
    <w:rsid w:val="00702F3D"/>
    <w:rsid w:val="0070518E"/>
    <w:rsid w:val="0071067E"/>
    <w:rsid w:val="00734034"/>
    <w:rsid w:val="007354E9"/>
    <w:rsid w:val="00765578"/>
    <w:rsid w:val="0077084A"/>
    <w:rsid w:val="00786250"/>
    <w:rsid w:val="00790506"/>
    <w:rsid w:val="00792F8B"/>
    <w:rsid w:val="007952C7"/>
    <w:rsid w:val="007C2317"/>
    <w:rsid w:val="007C39FA"/>
    <w:rsid w:val="007D330A"/>
    <w:rsid w:val="007E667F"/>
    <w:rsid w:val="0081679A"/>
    <w:rsid w:val="0084257A"/>
    <w:rsid w:val="0085538B"/>
    <w:rsid w:val="00866AE6"/>
    <w:rsid w:val="00866BBD"/>
    <w:rsid w:val="0086752A"/>
    <w:rsid w:val="00873B75"/>
    <w:rsid w:val="008750A8"/>
    <w:rsid w:val="008A5DD0"/>
    <w:rsid w:val="008C3764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17A8"/>
    <w:rsid w:val="009F6A67"/>
    <w:rsid w:val="00A049AE"/>
    <w:rsid w:val="00A118DB"/>
    <w:rsid w:val="00A24AC0"/>
    <w:rsid w:val="00A4450C"/>
    <w:rsid w:val="00AA5E6C"/>
    <w:rsid w:val="00AB4E90"/>
    <w:rsid w:val="00AE5677"/>
    <w:rsid w:val="00AE658F"/>
    <w:rsid w:val="00AF2F78"/>
    <w:rsid w:val="00AF6EBE"/>
    <w:rsid w:val="00B021AE"/>
    <w:rsid w:val="00B07178"/>
    <w:rsid w:val="00B1727C"/>
    <w:rsid w:val="00B173B3"/>
    <w:rsid w:val="00B257B2"/>
    <w:rsid w:val="00B51263"/>
    <w:rsid w:val="00B52D55"/>
    <w:rsid w:val="00B61807"/>
    <w:rsid w:val="00B627DD"/>
    <w:rsid w:val="00B65BE8"/>
    <w:rsid w:val="00B75455"/>
    <w:rsid w:val="00B8288C"/>
    <w:rsid w:val="00BD5FE4"/>
    <w:rsid w:val="00BE2E80"/>
    <w:rsid w:val="00BE5EDD"/>
    <w:rsid w:val="00BE6A1F"/>
    <w:rsid w:val="00C126C4"/>
    <w:rsid w:val="00C534A1"/>
    <w:rsid w:val="00C614DC"/>
    <w:rsid w:val="00C63EB5"/>
    <w:rsid w:val="00C858D0"/>
    <w:rsid w:val="00CA1F40"/>
    <w:rsid w:val="00CB35C9"/>
    <w:rsid w:val="00CC01E0"/>
    <w:rsid w:val="00CD5FEE"/>
    <w:rsid w:val="00CD663E"/>
    <w:rsid w:val="00CE03D9"/>
    <w:rsid w:val="00CE60D2"/>
    <w:rsid w:val="00D0288A"/>
    <w:rsid w:val="00D3149C"/>
    <w:rsid w:val="00D56781"/>
    <w:rsid w:val="00D72A5D"/>
    <w:rsid w:val="00D74AC9"/>
    <w:rsid w:val="00DC629B"/>
    <w:rsid w:val="00E05BFF"/>
    <w:rsid w:val="00E21778"/>
    <w:rsid w:val="00E262F1"/>
    <w:rsid w:val="00E32BEE"/>
    <w:rsid w:val="00E42489"/>
    <w:rsid w:val="00E47B44"/>
    <w:rsid w:val="00E71D14"/>
    <w:rsid w:val="00E8097C"/>
    <w:rsid w:val="00E83D45"/>
    <w:rsid w:val="00E94A4A"/>
    <w:rsid w:val="00ED3875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4C8F"/>
    <w:rsid w:val="00FD5C8C"/>
    <w:rsid w:val="00FE0E87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C53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  <w:rsid w:val="00F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D69B-AA2D-40FB-9AC9-925728F0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4886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Callejon, Miguel</dc:creator>
  <dc:description>Template used by DPM and CPI for the WTSA-16</dc:description>
  <cp:lastModifiedBy>Murphy, Margaret</cp:lastModifiedBy>
  <cp:revision>10</cp:revision>
  <cp:lastPrinted>2016-10-10T12:37:00Z</cp:lastPrinted>
  <dcterms:created xsi:type="dcterms:W3CDTF">2016-10-12T12:03:00Z</dcterms:created>
  <dcterms:modified xsi:type="dcterms:W3CDTF">2016-10-17T13:31:00Z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