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4A0" w:firstRow="1" w:lastRow="0" w:firstColumn="1" w:lastColumn="0" w:noHBand="0" w:noVBand="1"/>
      </w:tblPr>
      <w:tblGrid>
        <w:gridCol w:w="1382"/>
        <w:gridCol w:w="5422"/>
        <w:gridCol w:w="567"/>
        <w:gridCol w:w="2440"/>
      </w:tblGrid>
      <w:tr w:rsidR="00582B12" w:rsidTr="00582B12">
        <w:trPr>
          <w:cantSplit/>
        </w:trPr>
        <w:tc>
          <w:tcPr>
            <w:tcW w:w="1382" w:type="dxa"/>
            <w:vAlign w:val="center"/>
            <w:hideMark/>
          </w:tcPr>
          <w:p w:rsidR="00582B12" w:rsidRDefault="009C0851" w:rsidP="004A07F9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6A4B6C6" wp14:editId="48048007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  <w:hideMark/>
          </w:tcPr>
          <w:p w:rsidR="00582B12" w:rsidRDefault="00582B12" w:rsidP="004A07F9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>
              <w:rPr>
                <w:rFonts w:ascii="Verdana" w:hAnsi="Verdana" w:cs="Times New Roman Bold"/>
                <w:b/>
                <w:bCs/>
                <w:szCs w:val="24"/>
                <w:lang w:val="fr-CH" w:eastAsia="fr-FR"/>
              </w:rPr>
              <w:t xml:space="preserve">Assemblée mondiale de normalisation </w:t>
            </w:r>
            <w:r>
              <w:rPr>
                <w:rFonts w:ascii="Verdana" w:hAnsi="Verdana" w:cs="Times New Roman Bold"/>
                <w:b/>
                <w:bCs/>
                <w:szCs w:val="24"/>
                <w:lang w:val="fr-CH" w:eastAsia="fr-FR"/>
              </w:rPr>
              <w:br/>
              <w:t>des télécommunications (AMNT-16)</w:t>
            </w:r>
            <w:r>
              <w:rPr>
                <w:rFonts w:ascii="Verdana" w:hAnsi="Verdana" w:cs="Times New Roman Bold"/>
                <w:b/>
                <w:bCs/>
                <w:sz w:val="22"/>
                <w:szCs w:val="22"/>
                <w:lang w:val="fr-CH" w:eastAsia="fr-FR"/>
              </w:rPr>
              <w:br/>
            </w:r>
            <w:r>
              <w:rPr>
                <w:rFonts w:ascii="Verdana" w:hAnsi="Verdana" w:cs="Times New Roman Bold"/>
                <w:b/>
                <w:bCs/>
                <w:sz w:val="18"/>
                <w:szCs w:val="18"/>
                <w:lang w:val="fr-CH" w:eastAsia="fr-FR"/>
              </w:rPr>
              <w:t>Hammamet, 25 octobre - 3 novembre 2016</w:t>
            </w:r>
          </w:p>
        </w:tc>
        <w:tc>
          <w:tcPr>
            <w:tcW w:w="2440" w:type="dxa"/>
            <w:vAlign w:val="center"/>
            <w:hideMark/>
          </w:tcPr>
          <w:p w:rsidR="00582B12" w:rsidRDefault="009C0851" w:rsidP="004A07F9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F9DD3E2" wp14:editId="34D64697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B12" w:rsidTr="00582B12">
        <w:trPr>
          <w:cantSplit/>
        </w:trPr>
        <w:tc>
          <w:tcPr>
            <w:tcW w:w="68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2B12" w:rsidRDefault="00582B12" w:rsidP="004A07F9">
            <w:pPr>
              <w:spacing w:before="0"/>
            </w:pPr>
          </w:p>
        </w:tc>
        <w:tc>
          <w:tcPr>
            <w:tcW w:w="30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2B12" w:rsidRDefault="00582B12" w:rsidP="004A07F9">
            <w:pPr>
              <w:spacing w:before="0"/>
            </w:pPr>
          </w:p>
        </w:tc>
      </w:tr>
      <w:tr w:rsidR="00582B12" w:rsidTr="00582B12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82B12" w:rsidRDefault="00582B12" w:rsidP="004A07F9">
            <w:pPr>
              <w:spacing w:before="0"/>
            </w:pPr>
          </w:p>
        </w:tc>
        <w:tc>
          <w:tcPr>
            <w:tcW w:w="3007" w:type="dxa"/>
            <w:gridSpan w:val="2"/>
          </w:tcPr>
          <w:p w:rsidR="00582B12" w:rsidRDefault="00582B12" w:rsidP="004A07F9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82B12" w:rsidTr="00582B12">
        <w:trPr>
          <w:cantSplit/>
        </w:trPr>
        <w:tc>
          <w:tcPr>
            <w:tcW w:w="6804" w:type="dxa"/>
            <w:gridSpan w:val="2"/>
            <w:hideMark/>
          </w:tcPr>
          <w:p w:rsidR="00582B12" w:rsidRDefault="00582B12" w:rsidP="004A07F9">
            <w:pPr>
              <w:spacing w:before="0"/>
            </w:pPr>
            <w:r>
              <w:rPr>
                <w:rFonts w:ascii="Verdana" w:hAnsi="Verdana"/>
                <w:b/>
                <w:sz w:val="20"/>
                <w:lang w:val="en-US" w:eastAsia="fr-FR"/>
              </w:rPr>
              <w:t>SÉANCE PLÉNIÈRE</w:t>
            </w:r>
          </w:p>
        </w:tc>
        <w:tc>
          <w:tcPr>
            <w:tcW w:w="3007" w:type="dxa"/>
            <w:gridSpan w:val="2"/>
            <w:hideMark/>
          </w:tcPr>
          <w:p w:rsidR="00582B12" w:rsidRDefault="00582B12" w:rsidP="004A07F9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 w:eastAsia="fr-FR"/>
              </w:rPr>
              <w:t>Addendum 10 au</w:t>
            </w:r>
            <w:r>
              <w:rPr>
                <w:rFonts w:ascii="Verdana" w:hAnsi="Verdana"/>
                <w:b/>
                <w:sz w:val="20"/>
                <w:lang w:val="en-US" w:eastAsia="fr-FR"/>
              </w:rPr>
              <w:br/>
              <w:t>Document 48-F</w:t>
            </w:r>
          </w:p>
        </w:tc>
      </w:tr>
      <w:tr w:rsidR="00582B12" w:rsidTr="00582B12">
        <w:trPr>
          <w:cantSplit/>
        </w:trPr>
        <w:tc>
          <w:tcPr>
            <w:tcW w:w="6804" w:type="dxa"/>
            <w:gridSpan w:val="2"/>
          </w:tcPr>
          <w:p w:rsidR="00582B12" w:rsidRDefault="00582B12" w:rsidP="004A07F9">
            <w:pPr>
              <w:spacing w:before="0"/>
            </w:pPr>
          </w:p>
        </w:tc>
        <w:tc>
          <w:tcPr>
            <w:tcW w:w="3007" w:type="dxa"/>
            <w:gridSpan w:val="2"/>
            <w:hideMark/>
          </w:tcPr>
          <w:p w:rsidR="00582B12" w:rsidRDefault="00582B12" w:rsidP="004A07F9">
            <w:pPr>
              <w:spacing w:before="0"/>
            </w:pPr>
            <w:r>
              <w:rPr>
                <w:rFonts w:ascii="Verdana" w:hAnsi="Verdana"/>
                <w:b/>
                <w:sz w:val="20"/>
                <w:lang w:val="en-US" w:eastAsia="fr-FR"/>
              </w:rPr>
              <w:t xml:space="preserve">6 </w:t>
            </w:r>
            <w:proofErr w:type="spellStart"/>
            <w:r>
              <w:rPr>
                <w:rFonts w:ascii="Verdana" w:hAnsi="Verdana"/>
                <w:b/>
                <w:sz w:val="20"/>
                <w:lang w:val="en-US" w:eastAsia="fr-FR"/>
              </w:rPr>
              <w:t>octobre</w:t>
            </w:r>
            <w:proofErr w:type="spellEnd"/>
            <w:r>
              <w:rPr>
                <w:rFonts w:ascii="Verdana" w:hAnsi="Verdana"/>
                <w:b/>
                <w:sz w:val="20"/>
                <w:lang w:val="en-US" w:eastAsia="fr-FR"/>
              </w:rPr>
              <w:t xml:space="preserve"> 2016</w:t>
            </w:r>
          </w:p>
        </w:tc>
      </w:tr>
      <w:tr w:rsidR="00582B12" w:rsidTr="00582B12">
        <w:trPr>
          <w:cantSplit/>
        </w:trPr>
        <w:tc>
          <w:tcPr>
            <w:tcW w:w="6804" w:type="dxa"/>
            <w:gridSpan w:val="2"/>
          </w:tcPr>
          <w:p w:rsidR="00582B12" w:rsidRDefault="00582B12" w:rsidP="004A07F9">
            <w:pPr>
              <w:spacing w:before="0"/>
            </w:pPr>
          </w:p>
        </w:tc>
        <w:tc>
          <w:tcPr>
            <w:tcW w:w="3007" w:type="dxa"/>
            <w:gridSpan w:val="2"/>
            <w:hideMark/>
          </w:tcPr>
          <w:p w:rsidR="00582B12" w:rsidRDefault="00582B12" w:rsidP="004A07F9">
            <w:pPr>
              <w:spacing w:before="0"/>
            </w:pPr>
            <w:r>
              <w:rPr>
                <w:rFonts w:ascii="Verdana" w:hAnsi="Verdana"/>
                <w:b/>
                <w:sz w:val="20"/>
                <w:lang w:val="en-US" w:eastAsia="fr-FR"/>
              </w:rPr>
              <w:t xml:space="preserve">Original: </w:t>
            </w:r>
            <w:proofErr w:type="spellStart"/>
            <w:r>
              <w:rPr>
                <w:rFonts w:ascii="Verdana" w:hAnsi="Verdana"/>
                <w:b/>
                <w:sz w:val="20"/>
                <w:lang w:val="en-US" w:eastAsia="fr-FR"/>
              </w:rPr>
              <w:t>anglais</w:t>
            </w:r>
            <w:proofErr w:type="spellEnd"/>
          </w:p>
        </w:tc>
      </w:tr>
      <w:tr w:rsidR="00582B12" w:rsidTr="00582B12">
        <w:trPr>
          <w:cantSplit/>
        </w:trPr>
        <w:tc>
          <w:tcPr>
            <w:tcW w:w="9811" w:type="dxa"/>
            <w:gridSpan w:val="4"/>
          </w:tcPr>
          <w:p w:rsidR="00582B12" w:rsidRDefault="00582B12" w:rsidP="004A07F9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82B12" w:rsidTr="00582B12">
        <w:trPr>
          <w:cantSplit/>
        </w:trPr>
        <w:tc>
          <w:tcPr>
            <w:tcW w:w="9811" w:type="dxa"/>
            <w:gridSpan w:val="4"/>
            <w:hideMark/>
          </w:tcPr>
          <w:p w:rsidR="00582B12" w:rsidRDefault="00582B12" w:rsidP="004A07F9">
            <w:pPr>
              <w:pStyle w:val="Source"/>
            </w:pPr>
            <w:proofErr w:type="spellStart"/>
            <w:r>
              <w:rPr>
                <w:lang w:val="en-US" w:eastAsia="fr-FR"/>
              </w:rPr>
              <w:t>Etats</w:t>
            </w:r>
            <w:proofErr w:type="spellEnd"/>
            <w:r>
              <w:rPr>
                <w:lang w:val="en-US" w:eastAsia="fr-FR"/>
              </w:rPr>
              <w:t xml:space="preserve">-Unis </w:t>
            </w:r>
            <w:proofErr w:type="spellStart"/>
            <w:r>
              <w:rPr>
                <w:lang w:val="en-US" w:eastAsia="fr-FR"/>
              </w:rPr>
              <w:t>d'Amérique</w:t>
            </w:r>
            <w:proofErr w:type="spellEnd"/>
          </w:p>
        </w:tc>
      </w:tr>
      <w:tr w:rsidR="00582B12" w:rsidRPr="00CD481F" w:rsidTr="00582B12">
        <w:trPr>
          <w:cantSplit/>
        </w:trPr>
        <w:tc>
          <w:tcPr>
            <w:tcW w:w="9811" w:type="dxa"/>
            <w:gridSpan w:val="4"/>
            <w:hideMark/>
          </w:tcPr>
          <w:p w:rsidR="00582B12" w:rsidRDefault="00582B12" w:rsidP="004A07F9">
            <w:pPr>
              <w:pStyle w:val="Title1"/>
              <w:rPr>
                <w:lang w:val="fr-CH"/>
              </w:rPr>
            </w:pPr>
            <w:r>
              <w:rPr>
                <w:lang w:val="fr-CH" w:eastAsia="fr-FR"/>
              </w:rPr>
              <w:t>Point de vue sur le document 40 de l'AMNT-16 – RecommAndation UIT-T D.261 (</w:t>
            </w:r>
            <w:r>
              <w:rPr>
                <w:color w:val="000000"/>
                <w:lang w:val="fr-FR" w:eastAsia="fr-FR"/>
              </w:rPr>
              <w:t>principes réglementaires à appliquer dans la définition des marchés et l'identification des opérateurs en position de force sur un marché</w:t>
            </w:r>
            <w:r w:rsidR="00CC5894">
              <w:rPr>
                <w:lang w:val="fr-FR"/>
              </w:rPr>
              <w:t xml:space="preserve"> </w:t>
            </w:r>
            <w:r w:rsidR="00CC5894" w:rsidRPr="00CC5894">
              <w:rPr>
                <w:lang w:val="fr-FR"/>
              </w:rPr>
              <w:t>–</w:t>
            </w:r>
            <w:r w:rsidR="00CC5894">
              <w:rPr>
                <w:lang w:val="fr-FR"/>
              </w:rPr>
              <w:t xml:space="preserve"> SMP</w:t>
            </w:r>
            <w:r>
              <w:rPr>
                <w:lang w:val="fr-CH" w:eastAsia="fr-FR"/>
              </w:rPr>
              <w:t>)</w:t>
            </w:r>
          </w:p>
        </w:tc>
      </w:tr>
      <w:tr w:rsidR="00582B12" w:rsidRPr="00CD481F" w:rsidTr="00582B12">
        <w:trPr>
          <w:cantSplit/>
        </w:trPr>
        <w:tc>
          <w:tcPr>
            <w:tcW w:w="9811" w:type="dxa"/>
            <w:gridSpan w:val="4"/>
          </w:tcPr>
          <w:p w:rsidR="00582B12" w:rsidRDefault="00582B12" w:rsidP="00062246">
            <w:pPr>
              <w:pStyle w:val="Title2"/>
              <w:spacing w:before="120"/>
              <w:rPr>
                <w:lang w:val="fr-CH"/>
              </w:rPr>
            </w:pPr>
          </w:p>
        </w:tc>
      </w:tr>
      <w:tr w:rsidR="00582B12" w:rsidRPr="00CD481F" w:rsidTr="00582B12">
        <w:trPr>
          <w:cantSplit/>
        </w:trPr>
        <w:tc>
          <w:tcPr>
            <w:tcW w:w="9811" w:type="dxa"/>
            <w:gridSpan w:val="4"/>
          </w:tcPr>
          <w:p w:rsidR="00582B12" w:rsidRDefault="00582B12" w:rsidP="004A07F9">
            <w:pPr>
              <w:pStyle w:val="Agendaitem"/>
              <w:rPr>
                <w:lang w:val="fr-CH"/>
              </w:rPr>
            </w:pPr>
          </w:p>
        </w:tc>
      </w:tr>
    </w:tbl>
    <w:p w:rsidR="00582B12" w:rsidRDefault="00582B12" w:rsidP="004A07F9">
      <w:pPr>
        <w:rPr>
          <w:lang w:val="fr-CH"/>
        </w:rPr>
      </w:pPr>
    </w:p>
    <w:tbl>
      <w:tblPr>
        <w:tblW w:w="5050" w:type="pct"/>
        <w:tblLayout w:type="fixed"/>
        <w:tblLook w:val="04A0" w:firstRow="1" w:lastRow="0" w:firstColumn="1" w:lastColumn="0" w:noHBand="0" w:noVBand="1"/>
      </w:tblPr>
      <w:tblGrid>
        <w:gridCol w:w="1898"/>
        <w:gridCol w:w="7837"/>
      </w:tblGrid>
      <w:tr w:rsidR="00582B12" w:rsidRPr="00CD481F" w:rsidTr="00582B12">
        <w:trPr>
          <w:cantSplit/>
        </w:trPr>
        <w:tc>
          <w:tcPr>
            <w:tcW w:w="1912" w:type="dxa"/>
            <w:hideMark/>
          </w:tcPr>
          <w:p w:rsidR="00582B12" w:rsidRDefault="00582B12" w:rsidP="004A07F9">
            <w:r>
              <w:rPr>
                <w:b/>
                <w:bCs/>
                <w:lang w:eastAsia="fr-FR"/>
              </w:rPr>
              <w:t>Résumé:</w:t>
            </w:r>
          </w:p>
        </w:tc>
        <w:sdt>
          <w:sdtPr>
            <w:rPr>
              <w:lang w:val="fr-FR"/>
            </w:rPr>
            <w:alias w:val="Abstract"/>
            <w:tag w:val="Abstract"/>
            <w:id w:val="-939903723"/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7899" w:type="dxa"/>
                <w:hideMark/>
              </w:tcPr>
              <w:p w:rsidR="00582B12" w:rsidRDefault="00CC5894" w:rsidP="00CC5894">
                <w:pPr>
                  <w:rPr>
                    <w:lang w:val="fr-FR" w:eastAsia="fr-FR"/>
                  </w:rPr>
                </w:pPr>
                <w:r>
                  <w:rPr>
                    <w:lang w:val="fr-FR"/>
                  </w:rPr>
                  <w:t xml:space="preserve">Les </w:t>
                </w:r>
                <w:proofErr w:type="spellStart"/>
                <w:r>
                  <w:rPr>
                    <w:lang w:val="fr-FR"/>
                  </w:rPr>
                  <w:t>Etats-Unis</w:t>
                </w:r>
                <w:proofErr w:type="spellEnd"/>
                <w:r>
                  <w:rPr>
                    <w:lang w:val="fr-FR"/>
                  </w:rPr>
                  <w:t xml:space="preserve"> ne sont pas favorables à l'approbation du projet de nouvelle Recommandation UIT-T D.261 (Principes réglementaires à appliquer dans la définition des marchés et l'identification des opérateurs en position de force sur un marché </w:t>
                </w:r>
                <w:r w:rsidRPr="00C22B07">
                  <w:rPr>
                    <w:lang w:val="fr-FR"/>
                  </w:rPr>
                  <w:t>–</w:t>
                </w:r>
                <w:r>
                  <w:rPr>
                    <w:lang w:val="fr-FR"/>
                  </w:rPr>
                  <w:t xml:space="preserve"> SMP) faisant l'objet du Document 40 de l'AMNT-16.</w:t>
                </w:r>
              </w:p>
            </w:tc>
          </w:sdtContent>
        </w:sdt>
      </w:tr>
    </w:tbl>
    <w:p w:rsidR="00582B12" w:rsidRPr="00582B12" w:rsidRDefault="00582B12" w:rsidP="004A07F9">
      <w:pPr>
        <w:pStyle w:val="Headingb"/>
        <w:rPr>
          <w:lang w:val="fr-FR"/>
        </w:rPr>
      </w:pPr>
      <w:r w:rsidRPr="00582B12">
        <w:rPr>
          <w:lang w:val="fr-FR"/>
        </w:rPr>
        <w:t>Introduction</w:t>
      </w:r>
    </w:p>
    <w:p w:rsidR="00582B12" w:rsidRDefault="00582B12" w:rsidP="007A2ECE">
      <w:pPr>
        <w:rPr>
          <w:lang w:val="fr-FR"/>
        </w:rPr>
      </w:pPr>
      <w:r>
        <w:rPr>
          <w:lang w:val="fr-FR"/>
        </w:rPr>
        <w:t>Le Document 40 de l</w:t>
      </w:r>
      <w:r w:rsidR="004A07F9">
        <w:rPr>
          <w:lang w:val="fr-FR"/>
        </w:rPr>
        <w:t>'</w:t>
      </w:r>
      <w:r>
        <w:rPr>
          <w:lang w:val="fr-FR"/>
        </w:rPr>
        <w:t>AMNT-16 contient un projet de nouvelle Recommandation</w:t>
      </w:r>
      <w:r w:rsidR="004A07F9">
        <w:rPr>
          <w:lang w:val="fr-FR"/>
        </w:rPr>
        <w:t xml:space="preserve"> </w:t>
      </w:r>
      <w:r>
        <w:rPr>
          <w:lang w:val="fr-FR"/>
        </w:rPr>
        <w:t>UIT-T D.261 (Principes réglementaires à appliquer dans la définition des marchés et l'identification des opérateurs en position de force sur un marché</w:t>
      </w:r>
      <w:r w:rsidR="004A07F9">
        <w:rPr>
          <w:lang w:val="fr-FR"/>
        </w:rPr>
        <w:t xml:space="preserve"> </w:t>
      </w:r>
      <w:r w:rsidR="00CC5894" w:rsidRPr="00CC5894">
        <w:rPr>
          <w:lang w:val="fr-FR"/>
        </w:rPr>
        <w:t>–</w:t>
      </w:r>
      <w:r>
        <w:rPr>
          <w:lang w:val="fr-FR"/>
        </w:rPr>
        <w:t xml:space="preserve"> SMP) soumis par la Commission d</w:t>
      </w:r>
      <w:r w:rsidR="004A07F9">
        <w:rPr>
          <w:lang w:val="fr-FR"/>
        </w:rPr>
        <w:t>'</w:t>
      </w:r>
      <w:r>
        <w:rPr>
          <w:lang w:val="fr-FR"/>
        </w:rPr>
        <w:t>études 3</w:t>
      </w:r>
      <w:r w:rsidR="00BC22A8">
        <w:rPr>
          <w:lang w:val="fr-FR"/>
        </w:rPr>
        <w:t>.</w:t>
      </w:r>
      <w:r w:rsidR="004A07F9">
        <w:rPr>
          <w:lang w:val="fr-FR"/>
        </w:rPr>
        <w:t xml:space="preserve"> </w:t>
      </w:r>
      <w:r>
        <w:rPr>
          <w:lang w:val="fr-FR"/>
        </w:rPr>
        <w:t xml:space="preserve">Comme les </w:t>
      </w:r>
      <w:proofErr w:type="spellStart"/>
      <w:r>
        <w:rPr>
          <w:lang w:val="fr-FR"/>
        </w:rPr>
        <w:t>Etats-Unis</w:t>
      </w:r>
      <w:proofErr w:type="spellEnd"/>
      <w:r>
        <w:rPr>
          <w:lang w:val="fr-FR"/>
        </w:rPr>
        <w:t xml:space="preserve"> l</w:t>
      </w:r>
      <w:r w:rsidR="004A07F9">
        <w:rPr>
          <w:lang w:val="fr-FR"/>
        </w:rPr>
        <w:t>'</w:t>
      </w:r>
      <w:r>
        <w:rPr>
          <w:lang w:val="fr-FR"/>
        </w:rPr>
        <w:t>ont expliqué en réponse à la Circulaire 209</w:t>
      </w:r>
      <w:r w:rsidR="004A07F9">
        <w:rPr>
          <w:lang w:val="fr-FR"/>
        </w:rPr>
        <w:t xml:space="preserve"> </w:t>
      </w:r>
      <w:r>
        <w:rPr>
          <w:lang w:val="fr-FR"/>
        </w:rPr>
        <w:t>du TSB (Document 49 de l</w:t>
      </w:r>
      <w:r w:rsidR="004A07F9">
        <w:rPr>
          <w:lang w:val="fr-FR"/>
        </w:rPr>
        <w:t>'</w:t>
      </w:r>
      <w:r>
        <w:rPr>
          <w:lang w:val="fr-FR"/>
        </w:rPr>
        <w:t>AMNT-16), cette proposition de nouvelle Recommandation a été déterminée par la Commission d</w:t>
      </w:r>
      <w:r w:rsidR="004A07F9">
        <w:rPr>
          <w:lang w:val="fr-FR"/>
        </w:rPr>
        <w:t>'</w:t>
      </w:r>
      <w:r w:rsidR="007A2ECE">
        <w:rPr>
          <w:lang w:val="fr-FR"/>
        </w:rPr>
        <w:t xml:space="preserve">études 3, à la suite de plusieurs irrégularités et </w:t>
      </w:r>
      <w:r>
        <w:rPr>
          <w:lang w:val="fr-FR"/>
        </w:rPr>
        <w:t>erreurs de procédure.</w:t>
      </w:r>
      <w:r w:rsidR="004A07F9">
        <w:rPr>
          <w:lang w:val="fr-FR"/>
        </w:rPr>
        <w:t xml:space="preserve"> </w:t>
      </w:r>
      <w:r>
        <w:rPr>
          <w:lang w:val="fr-FR"/>
        </w:rPr>
        <w:t xml:space="preserve">En conséquence, les </w:t>
      </w:r>
      <w:proofErr w:type="spellStart"/>
      <w:r>
        <w:rPr>
          <w:lang w:val="fr-FR"/>
        </w:rPr>
        <w:t>Etats-Unis</w:t>
      </w:r>
      <w:proofErr w:type="spellEnd"/>
      <w:r>
        <w:rPr>
          <w:lang w:val="fr-FR"/>
        </w:rPr>
        <w:t xml:space="preserve"> ont estimé que ce document n</w:t>
      </w:r>
      <w:r w:rsidR="004A07F9">
        <w:rPr>
          <w:lang w:val="fr-FR"/>
        </w:rPr>
        <w:t>'</w:t>
      </w:r>
      <w:r>
        <w:rPr>
          <w:lang w:val="fr-FR"/>
        </w:rPr>
        <w:t>était ni stable, ni suffisamment abouti. Enfin et surtout, le projet de Recommandation reproduit dans le Document 40</w:t>
      </w:r>
      <w:r w:rsidR="004A07F9">
        <w:rPr>
          <w:lang w:val="fr-FR"/>
        </w:rPr>
        <w:t xml:space="preserve"> </w:t>
      </w:r>
      <w:r>
        <w:rPr>
          <w:lang w:val="fr-FR"/>
        </w:rPr>
        <w:t>est erroné quant au fond.</w:t>
      </w:r>
      <w:r w:rsidR="004A07F9">
        <w:rPr>
          <w:lang w:val="fr-FR"/>
        </w:rPr>
        <w:t xml:space="preserve"> </w:t>
      </w:r>
    </w:p>
    <w:p w:rsidR="00582B12" w:rsidRDefault="00582B12" w:rsidP="004A07F9">
      <w:pPr>
        <w:pStyle w:val="Headingb"/>
        <w:rPr>
          <w:lang w:val="fr-FR"/>
        </w:rPr>
      </w:pPr>
      <w:r>
        <w:rPr>
          <w:lang w:val="fr-FR"/>
        </w:rPr>
        <w:t xml:space="preserve">Examen </w:t>
      </w:r>
    </w:p>
    <w:p w:rsidR="00582B12" w:rsidRDefault="00582B12" w:rsidP="00BC22A8">
      <w:pPr>
        <w:rPr>
          <w:szCs w:val="24"/>
          <w:lang w:val="fr-FR"/>
        </w:rPr>
      </w:pPr>
      <w:r>
        <w:rPr>
          <w:lang w:val="fr-FR"/>
        </w:rPr>
        <w:t>Lors de la réunion de la Commission d</w:t>
      </w:r>
      <w:r w:rsidR="004A07F9">
        <w:rPr>
          <w:lang w:val="fr-FR"/>
        </w:rPr>
        <w:t>'</w:t>
      </w:r>
      <w:r>
        <w:rPr>
          <w:lang w:val="fr-FR"/>
        </w:rPr>
        <w:t>études 3 consacrée à l'examen de ce projet de Recommandation, les renseignements</w:t>
      </w:r>
      <w:r>
        <w:rPr>
          <w:szCs w:val="24"/>
          <w:lang w:val="fr-FR"/>
        </w:rPr>
        <w:t xml:space="preserve"> de l</w:t>
      </w:r>
      <w:r w:rsidR="004A07F9">
        <w:rPr>
          <w:szCs w:val="24"/>
          <w:lang w:val="fr-FR"/>
        </w:rPr>
        <w:t>'</w:t>
      </w:r>
      <w:r>
        <w:rPr>
          <w:szCs w:val="24"/>
          <w:lang w:val="fr-FR"/>
        </w:rPr>
        <w:t>UIT-D</w:t>
      </w:r>
      <w:r>
        <w:rPr>
          <w:lang w:val="fr-FR"/>
        </w:rPr>
        <w:t xml:space="preserve"> démontrant que, sans</w:t>
      </w:r>
      <w:r w:rsidR="004A07F9">
        <w:rPr>
          <w:lang w:val="fr-FR"/>
        </w:rPr>
        <w:t xml:space="preserve"> </w:t>
      </w:r>
      <w:r>
        <w:rPr>
          <w:lang w:val="fr-FR"/>
        </w:rPr>
        <w:t>Recommandation de</w:t>
      </w:r>
      <w:r>
        <w:rPr>
          <w:szCs w:val="24"/>
          <w:lang w:val="fr-FR"/>
        </w:rPr>
        <w:t xml:space="preserve"> l</w:t>
      </w:r>
      <w:r w:rsidR="004A07F9">
        <w:rPr>
          <w:szCs w:val="24"/>
          <w:lang w:val="fr-FR"/>
        </w:rPr>
        <w:t>'</w:t>
      </w:r>
      <w:r>
        <w:rPr>
          <w:szCs w:val="24"/>
          <w:lang w:val="fr-FR"/>
        </w:rPr>
        <w:t>UIT</w:t>
      </w:r>
      <w:r w:rsidR="00BC22A8">
        <w:rPr>
          <w:szCs w:val="24"/>
          <w:lang w:val="fr-FR"/>
        </w:rPr>
        <w:noBreakHyphen/>
      </w:r>
      <w:r>
        <w:rPr>
          <w:szCs w:val="24"/>
          <w:lang w:val="fr-FR"/>
        </w:rPr>
        <w:t>T</w:t>
      </w:r>
      <w:r w:rsidR="004A07F9">
        <w:rPr>
          <w:lang w:val="fr-FR"/>
        </w:rPr>
        <w:t>,</w:t>
      </w:r>
      <w:r>
        <w:rPr>
          <w:lang w:val="fr-FR"/>
        </w:rPr>
        <w:t xml:space="preserve"> un cadre</w:t>
      </w:r>
      <w:r>
        <w:rPr>
          <w:szCs w:val="24"/>
          <w:lang w:val="fr-FR"/>
        </w:rPr>
        <w:t xml:space="preserve"> applicable à la position de force sur le marché (SMP) permettant de mesurer la concurrence sur les marchés</w:t>
      </w:r>
      <w:r w:rsidR="004A07F9">
        <w:rPr>
          <w:szCs w:val="24"/>
          <w:lang w:val="fr-FR"/>
        </w:rPr>
        <w:t xml:space="preserve"> </w:t>
      </w:r>
      <w:r w:rsidR="00EF0C51">
        <w:rPr>
          <w:szCs w:val="24"/>
          <w:lang w:val="fr-FR"/>
        </w:rPr>
        <w:t>"</w:t>
      </w:r>
      <w:r>
        <w:rPr>
          <w:szCs w:val="24"/>
          <w:lang w:val="fr-FR"/>
        </w:rPr>
        <w:t>a</w:t>
      </w:r>
      <w:r w:rsidR="004A07F9">
        <w:rPr>
          <w:szCs w:val="24"/>
          <w:lang w:val="fr-FR"/>
        </w:rPr>
        <w:t xml:space="preserve"> </w:t>
      </w:r>
      <w:r>
        <w:rPr>
          <w:szCs w:val="24"/>
          <w:lang w:val="fr-FR"/>
        </w:rPr>
        <w:t>été adopté dans le monde entier dès 2002</w:t>
      </w:r>
      <w:r w:rsidR="00EF0C51">
        <w:rPr>
          <w:szCs w:val="24"/>
          <w:lang w:val="fr-FR"/>
        </w:rPr>
        <w:t>"</w:t>
      </w:r>
      <w:r w:rsidR="00EF0C51">
        <w:rPr>
          <w:lang w:val="fr-FR"/>
        </w:rPr>
        <w:t xml:space="preserve">, </w:t>
      </w:r>
      <w:r>
        <w:rPr>
          <w:lang w:val="fr-FR"/>
        </w:rPr>
        <w:t>n</w:t>
      </w:r>
      <w:r w:rsidR="004A07F9">
        <w:rPr>
          <w:lang w:val="fr-FR"/>
        </w:rPr>
        <w:t>'</w:t>
      </w:r>
      <w:r>
        <w:rPr>
          <w:lang w:val="fr-FR"/>
        </w:rPr>
        <w:t>ont pas été suffisamment pris en considération. De même, la Commission d</w:t>
      </w:r>
      <w:r w:rsidR="004A07F9">
        <w:rPr>
          <w:lang w:val="fr-FR"/>
        </w:rPr>
        <w:t>'</w:t>
      </w:r>
      <w:r>
        <w:rPr>
          <w:lang w:val="fr-FR"/>
        </w:rPr>
        <w:t>études 3</w:t>
      </w:r>
      <w:r w:rsidR="004A07F9">
        <w:rPr>
          <w:lang w:val="fr-FR"/>
        </w:rPr>
        <w:t xml:space="preserve"> </w:t>
      </w:r>
      <w:r>
        <w:rPr>
          <w:lang w:val="fr-FR"/>
        </w:rPr>
        <w:t>n</w:t>
      </w:r>
      <w:r w:rsidR="004A07F9">
        <w:rPr>
          <w:lang w:val="fr-FR"/>
        </w:rPr>
        <w:t>'</w:t>
      </w:r>
      <w:r w:rsidR="00EF0C51">
        <w:rPr>
          <w:lang w:val="fr-FR"/>
        </w:rPr>
        <w:t>a ni</w:t>
      </w:r>
      <w:r>
        <w:rPr>
          <w:lang w:val="fr-FR"/>
        </w:rPr>
        <w:t xml:space="preserve"> examiné, ni pris en considération</w:t>
      </w:r>
      <w:r w:rsidR="004A07F9">
        <w:rPr>
          <w:lang w:val="fr-FR"/>
        </w:rPr>
        <w:t xml:space="preserve"> </w:t>
      </w:r>
      <w:r>
        <w:rPr>
          <w:lang w:val="fr-FR"/>
        </w:rPr>
        <w:t>les indications pratiques détaillées sur la mesure de la concurrence</w:t>
      </w:r>
      <w:r>
        <w:rPr>
          <w:szCs w:val="24"/>
          <w:lang w:val="fr-FR"/>
        </w:rPr>
        <w:t xml:space="preserve"> qui </w:t>
      </w:r>
      <w:r w:rsidR="00EF0C51">
        <w:rPr>
          <w:szCs w:val="24"/>
          <w:lang w:val="fr-FR"/>
        </w:rPr>
        <w:t>étaient fournies</w:t>
      </w:r>
      <w:r>
        <w:rPr>
          <w:szCs w:val="24"/>
          <w:lang w:val="fr-FR"/>
        </w:rPr>
        <w:t xml:space="preserve"> dans le </w:t>
      </w:r>
      <w:r>
        <w:rPr>
          <w:lang w:val="fr-FR"/>
        </w:rPr>
        <w:t>Kit pratique sur la réglementation des TIC de l</w:t>
      </w:r>
      <w:r w:rsidR="004A07F9">
        <w:rPr>
          <w:lang w:val="fr-FR"/>
        </w:rPr>
        <w:t>'</w:t>
      </w:r>
      <w:r>
        <w:rPr>
          <w:bCs/>
          <w:szCs w:val="24"/>
          <w:lang w:val="fr-FR"/>
        </w:rPr>
        <w:t>UIT-D</w:t>
      </w:r>
      <w:r>
        <w:rPr>
          <w:szCs w:val="24"/>
          <w:lang w:val="fr-FR"/>
        </w:rPr>
        <w:t>. Ainsi, le paragraphe 2.2</w:t>
      </w:r>
      <w:r w:rsidR="004A07F9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du </w:t>
      </w:r>
      <w:r>
        <w:rPr>
          <w:lang w:val="fr-FR"/>
        </w:rPr>
        <w:lastRenderedPageBreak/>
        <w:t>Kit pratique</w:t>
      </w:r>
      <w:r w:rsidR="004A07F9">
        <w:rPr>
          <w:lang w:val="fr-FR"/>
        </w:rPr>
        <w:t xml:space="preserve"> </w:t>
      </w:r>
      <w:r>
        <w:rPr>
          <w:lang w:val="fr-FR"/>
        </w:rPr>
        <w:t>indique l</w:t>
      </w:r>
      <w:r w:rsidR="004A07F9">
        <w:rPr>
          <w:lang w:val="fr-FR"/>
        </w:rPr>
        <w:t>'</w:t>
      </w:r>
      <w:r>
        <w:rPr>
          <w:lang w:val="fr-FR"/>
        </w:rPr>
        <w:t xml:space="preserve">objectif de la mesure de la concurrence sur les marchés et expose les mesures qui </w:t>
      </w:r>
      <w:r w:rsidR="00EF0C51">
        <w:rPr>
          <w:lang w:val="fr-FR"/>
        </w:rPr>
        <w:t>pourraient être prises au cas où</w:t>
      </w:r>
      <w:r>
        <w:rPr>
          <w:lang w:val="fr-FR"/>
        </w:rPr>
        <w:t xml:space="preserve"> des pratiques anticoncurrentielles seraient mises en évidence. Il se peut que ces mesures n</w:t>
      </w:r>
      <w:r w:rsidR="004A07F9">
        <w:rPr>
          <w:lang w:val="fr-FR"/>
        </w:rPr>
        <w:t>'</w:t>
      </w:r>
      <w:r>
        <w:rPr>
          <w:lang w:val="fr-FR"/>
        </w:rPr>
        <w:t>aient aucune incidence pour les régulateurs de</w:t>
      </w:r>
      <w:r w:rsidR="00EF0C51">
        <w:rPr>
          <w:lang w:val="fr-FR"/>
        </w:rPr>
        <w:t>s</w:t>
      </w:r>
      <w:r>
        <w:rPr>
          <w:lang w:val="fr-FR"/>
        </w:rPr>
        <w:t xml:space="preserve"> télécommunication</w:t>
      </w:r>
      <w:r w:rsidR="00EF0C51">
        <w:rPr>
          <w:lang w:val="fr-FR"/>
        </w:rPr>
        <w:t>s</w:t>
      </w:r>
      <w:r>
        <w:rPr>
          <w:lang w:val="fr-FR"/>
        </w:rPr>
        <w:t>, mais en tout état de cause, il s</w:t>
      </w:r>
      <w:r w:rsidR="004A07F9">
        <w:rPr>
          <w:lang w:val="fr-FR"/>
        </w:rPr>
        <w:t>'</w:t>
      </w:r>
      <w:r>
        <w:rPr>
          <w:lang w:val="fr-FR"/>
        </w:rPr>
        <w:t xml:space="preserve">agira de décisions </w:t>
      </w:r>
      <w:r w:rsidR="00EF0C51">
        <w:rPr>
          <w:lang w:val="fr-FR"/>
        </w:rPr>
        <w:t xml:space="preserve">à l'échelle </w:t>
      </w:r>
      <w:r>
        <w:rPr>
          <w:lang w:val="fr-FR"/>
        </w:rPr>
        <w:t xml:space="preserve">nationale.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aucun moment, ce projet de Recommandation n</w:t>
      </w:r>
      <w:r w:rsidR="004A07F9">
        <w:rPr>
          <w:lang w:val="fr-FR"/>
        </w:rPr>
        <w:t>'</w:t>
      </w:r>
      <w:r>
        <w:rPr>
          <w:lang w:val="fr-FR"/>
        </w:rPr>
        <w:t>a été transmis aux organisations compétentes, et tout particulièrement à</w:t>
      </w:r>
      <w:r w:rsidR="004A07F9">
        <w:rPr>
          <w:lang w:val="fr-FR"/>
        </w:rPr>
        <w:t xml:space="preserve"> </w:t>
      </w:r>
      <w:r>
        <w:rPr>
          <w:lang w:val="fr-FR"/>
        </w:rPr>
        <w:t>l</w:t>
      </w:r>
      <w:r w:rsidR="004A07F9">
        <w:rPr>
          <w:lang w:val="fr-FR"/>
        </w:rPr>
        <w:t>'</w:t>
      </w:r>
      <w:r>
        <w:rPr>
          <w:lang w:val="fr-FR"/>
        </w:rPr>
        <w:t>UIT</w:t>
      </w:r>
      <w:r w:rsidR="00EF0C51">
        <w:rPr>
          <w:lang w:val="fr-FR"/>
        </w:rPr>
        <w:noBreakHyphen/>
      </w:r>
      <w:r>
        <w:rPr>
          <w:lang w:val="fr-FR"/>
        </w:rPr>
        <w:t>D.</w:t>
      </w:r>
      <w:r w:rsidR="004A07F9">
        <w:rPr>
          <w:lang w:val="fr-FR"/>
        </w:rPr>
        <w:t xml:space="preserve">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ce titre, il fait dans le meilleur des cas double emploi avec les travaux actuellement menés par l</w:t>
      </w:r>
      <w:r w:rsidR="004A07F9">
        <w:rPr>
          <w:lang w:val="fr-FR"/>
        </w:rPr>
        <w:t>'</w:t>
      </w:r>
      <w:r>
        <w:rPr>
          <w:lang w:val="fr-FR"/>
        </w:rPr>
        <w:t xml:space="preserve">UIT-D, ce qui est contraire à de nombreuses Résolutions </w:t>
      </w:r>
      <w:r w:rsidR="00EF0C51">
        <w:rPr>
          <w:lang w:val="fr-FR"/>
        </w:rPr>
        <w:t>et</w:t>
      </w:r>
      <w:r>
        <w:rPr>
          <w:lang w:val="fr-FR"/>
        </w:rPr>
        <w:t xml:space="preserve"> au Plan stratégique de l</w:t>
      </w:r>
      <w:r w:rsidR="004A07F9">
        <w:rPr>
          <w:lang w:val="fr-FR"/>
        </w:rPr>
        <w:t>'</w:t>
      </w:r>
      <w:r w:rsidR="00EF0C51">
        <w:rPr>
          <w:lang w:val="fr-FR"/>
        </w:rPr>
        <w:t>UIT ainsi qu'</w:t>
      </w:r>
      <w:r>
        <w:rPr>
          <w:lang w:val="fr-FR"/>
        </w:rPr>
        <w:t>aux instruments fondamentaux de l</w:t>
      </w:r>
      <w:r w:rsidR="004A07F9">
        <w:rPr>
          <w:lang w:val="fr-FR"/>
        </w:rPr>
        <w:t>'</w:t>
      </w:r>
      <w:r>
        <w:rPr>
          <w:lang w:val="fr-FR"/>
        </w:rPr>
        <w:t>Union, par exemple au numéro 215 de la Convention et à la Résolution 191 (Busan, 2014) de la Conférence de plénipotentiaires</w:t>
      </w:r>
      <w:r w:rsidR="004A07F9">
        <w:rPr>
          <w:lang w:val="fr-FR"/>
        </w:rPr>
        <w:t>,</w:t>
      </w:r>
      <w:r>
        <w:rPr>
          <w:lang w:val="fr-FR"/>
        </w:rPr>
        <w:t xml:space="preserve"> qui disposent qu</w:t>
      </w:r>
      <w:r w:rsidR="004A07F9">
        <w:rPr>
          <w:lang w:val="fr-FR"/>
        </w:rPr>
        <w:t>'</w:t>
      </w:r>
      <w:r>
        <w:rPr>
          <w:lang w:val="fr-FR"/>
        </w:rPr>
        <w:t xml:space="preserve">il faut éviter tout chevauchement des activités. </w:t>
      </w:r>
    </w:p>
    <w:p w:rsidR="00582B12" w:rsidRDefault="00EF0C51" w:rsidP="00EF0C51">
      <w:pPr>
        <w:rPr>
          <w:szCs w:val="24"/>
          <w:lang w:val="fr-FR"/>
        </w:rPr>
      </w:pPr>
      <w:r>
        <w:rPr>
          <w:lang w:val="fr-CH"/>
        </w:rPr>
        <w:t>En outre, c</w:t>
      </w:r>
      <w:r w:rsidR="00582B12">
        <w:rPr>
          <w:lang w:val="fr-CH"/>
        </w:rPr>
        <w:t>e projet de Recommandation constitue</w:t>
      </w:r>
      <w:r w:rsidR="004A07F9">
        <w:rPr>
          <w:lang w:val="fr-CH"/>
        </w:rPr>
        <w:t xml:space="preserve"> </w:t>
      </w:r>
      <w:r w:rsidR="00582B12">
        <w:rPr>
          <w:lang w:val="fr-CH"/>
        </w:rPr>
        <w:t>au mieux une norme nationale, et ne saurait être une norme internationale technique de télécommunication, comme cela est prescrit dans le Plan straté</w:t>
      </w:r>
      <w:r w:rsidR="00BC22A8">
        <w:rPr>
          <w:lang w:val="fr-CH"/>
        </w:rPr>
        <w:t xml:space="preserve">gique de l'UIT-T. Bien que les </w:t>
      </w:r>
      <w:proofErr w:type="spellStart"/>
      <w:r w:rsidR="00BC22A8">
        <w:rPr>
          <w:lang w:val="fr-CH"/>
        </w:rPr>
        <w:t>E</w:t>
      </w:r>
      <w:r w:rsidR="00582B12">
        <w:rPr>
          <w:lang w:val="fr-CH"/>
        </w:rPr>
        <w:t>tats-Unis</w:t>
      </w:r>
      <w:proofErr w:type="spellEnd"/>
      <w:r w:rsidR="00582B12">
        <w:rPr>
          <w:lang w:val="fr-CH"/>
        </w:rPr>
        <w:t xml:space="preserve"> encouragent la convergence d</w:t>
      </w:r>
      <w:r w:rsidR="004A07F9">
        <w:rPr>
          <w:lang w:val="fr-CH"/>
        </w:rPr>
        <w:t>'</w:t>
      </w:r>
      <w:r w:rsidR="00582B12">
        <w:rPr>
          <w:lang w:val="fr-CH"/>
        </w:rPr>
        <w:t>approches rationnelles en matière de législation sur la concurrence, il ressort clairement des données de l</w:t>
      </w:r>
      <w:r w:rsidR="004A07F9">
        <w:rPr>
          <w:lang w:val="fr-CH"/>
        </w:rPr>
        <w:t>'</w:t>
      </w:r>
      <w:r w:rsidR="007A2ECE">
        <w:rPr>
          <w:lang w:val="fr-CH"/>
        </w:rPr>
        <w:t>UIT</w:t>
      </w:r>
      <w:r w:rsidR="007A2ECE">
        <w:rPr>
          <w:lang w:val="fr-CH"/>
        </w:rPr>
        <w:noBreakHyphen/>
      </w:r>
      <w:r w:rsidR="00582B12">
        <w:rPr>
          <w:lang w:val="fr-CH"/>
        </w:rPr>
        <w:t>D</w:t>
      </w:r>
      <w:r w:rsidR="004A07F9">
        <w:rPr>
          <w:lang w:val="fr-CH"/>
        </w:rPr>
        <w:t xml:space="preserve"> </w:t>
      </w:r>
      <w:r w:rsidR="00582B12">
        <w:rPr>
          <w:lang w:val="fr-CH"/>
        </w:rPr>
        <w:t xml:space="preserve">que la manière dont la notion de position de force sur le marché est appliquée </w:t>
      </w:r>
      <w:r w:rsidR="007A2ECE">
        <w:rPr>
          <w:lang w:val="fr-CH"/>
        </w:rPr>
        <w:t>"</w:t>
      </w:r>
      <w:r w:rsidR="00582B12">
        <w:rPr>
          <w:lang w:val="fr-CH"/>
        </w:rPr>
        <w:t xml:space="preserve">varie énormément, ce qui démontre que chaque pays a sa propre méthode pour définir la </w:t>
      </w:r>
      <w:r w:rsidR="007A2ECE">
        <w:rPr>
          <w:lang w:val="fr-CH"/>
        </w:rPr>
        <w:t>position de force sur le marché"</w:t>
      </w:r>
      <w:r w:rsidR="007A2ECE">
        <w:rPr>
          <w:szCs w:val="24"/>
          <w:lang w:val="fr-FR"/>
        </w:rPr>
        <w:t>.</w:t>
      </w:r>
      <w:r w:rsidR="00582B12" w:rsidRPr="00582B12">
        <w:rPr>
          <w:szCs w:val="24"/>
          <w:lang w:val="fr-FR"/>
        </w:rPr>
        <w:t xml:space="preserve"> </w:t>
      </w:r>
      <w:r w:rsidR="00582B12">
        <w:rPr>
          <w:szCs w:val="24"/>
          <w:lang w:val="fr-FR"/>
        </w:rPr>
        <w:t>Par conséquent, cela confirme qu</w:t>
      </w:r>
      <w:r w:rsidR="004A07F9">
        <w:rPr>
          <w:szCs w:val="24"/>
          <w:lang w:val="fr-FR"/>
        </w:rPr>
        <w:t>'</w:t>
      </w:r>
      <w:r w:rsidR="00582B12">
        <w:rPr>
          <w:szCs w:val="24"/>
          <w:lang w:val="fr-FR"/>
        </w:rPr>
        <w:t>une Recommandation internationale uniforme pour une décision de ce type, qui a un caractère exclusivement national et</w:t>
      </w:r>
      <w:r w:rsidR="004A07F9">
        <w:rPr>
          <w:szCs w:val="24"/>
          <w:lang w:val="fr-FR"/>
        </w:rPr>
        <w:t xml:space="preserve"> </w:t>
      </w:r>
      <w:r w:rsidR="00582B12">
        <w:rPr>
          <w:szCs w:val="24"/>
          <w:lang w:val="fr-FR"/>
        </w:rPr>
        <w:t>constitue une décision souveraine, n</w:t>
      </w:r>
      <w:r w:rsidR="004A07F9">
        <w:rPr>
          <w:szCs w:val="24"/>
          <w:lang w:val="fr-FR"/>
        </w:rPr>
        <w:t>'</w:t>
      </w:r>
      <w:r w:rsidR="00582B12">
        <w:rPr>
          <w:szCs w:val="24"/>
          <w:lang w:val="fr-FR"/>
        </w:rPr>
        <w:t>est pas appropriée.</w:t>
      </w:r>
    </w:p>
    <w:p w:rsidR="00582B12" w:rsidRDefault="00582B12" w:rsidP="004A07F9">
      <w:pPr>
        <w:rPr>
          <w:lang w:val="fr-CH"/>
        </w:rPr>
      </w:pPr>
      <w:r>
        <w:rPr>
          <w:lang w:val="fr-CH"/>
        </w:rPr>
        <w:t>Ce projet de Recommandation va donc à l'encontre des dispositions du Plan stratégique de l'UIT-T, qui stipule, conformément à l'objectif T1, que l'UIT-T doit "[é]</w:t>
      </w:r>
      <w:proofErr w:type="spellStart"/>
      <w:r>
        <w:rPr>
          <w:lang w:val="fr-CH"/>
        </w:rPr>
        <w:t>laborer</w:t>
      </w:r>
      <w:proofErr w:type="spellEnd"/>
      <w:r>
        <w:rPr>
          <w:lang w:val="fr-CH"/>
        </w:rPr>
        <w:t xml:space="preserve"> dans les meilleurs délais des normes internationales non discriminatoires (Recommandations UIT-T) et promouvoir l'interopérabilité et l'amélioration de la qualité de fonctionnement des équipements, des réseaux, des services et des applications" (non souligné dans le texte). De même, conformément au</w:t>
      </w:r>
      <w:r w:rsidR="004A07F9">
        <w:rPr>
          <w:lang w:val="fr-CH"/>
        </w:rPr>
        <w:t xml:space="preserve"> </w:t>
      </w:r>
      <w:r>
        <w:rPr>
          <w:lang w:val="fr-CH"/>
        </w:rPr>
        <w:t>numéro 193 de la Convention</w:t>
      </w:r>
      <w:r w:rsidR="004A07F9">
        <w:rPr>
          <w:lang w:val="fr-CH"/>
        </w:rPr>
        <w:t xml:space="preserve">, </w:t>
      </w:r>
      <w:r>
        <w:rPr>
          <w:lang w:val="fr-CH"/>
        </w:rPr>
        <w:t>les commissions d'études de l'UIT-T sont chargées d'étudier "les questions techniques, d'exploitation et de tarification" pour "rédiger des recommandations à ce sujet en vue de la normalisation universelle des télécommunications" (non souligné dans le texte). Cette Recommandation ne favorise pas l</w:t>
      </w:r>
      <w:r w:rsidR="004A07F9">
        <w:rPr>
          <w:lang w:val="fr-CH"/>
        </w:rPr>
        <w:t>'</w:t>
      </w:r>
      <w:r>
        <w:rPr>
          <w:lang w:val="fr-CH"/>
        </w:rPr>
        <w:t>interopérabilité ou la normalisation des télécommunications.</w:t>
      </w:r>
      <w:r w:rsidR="004A07F9">
        <w:rPr>
          <w:lang w:val="fr-CH"/>
        </w:rPr>
        <w:t xml:space="preserve"> </w:t>
      </w:r>
      <w:r>
        <w:rPr>
          <w:lang w:val="fr-FR"/>
        </w:rPr>
        <w:t>En revanche, cette</w:t>
      </w:r>
      <w:r w:rsidR="004A07F9">
        <w:rPr>
          <w:lang w:val="fr-CH"/>
        </w:rPr>
        <w:t xml:space="preserve"> </w:t>
      </w:r>
      <w:r>
        <w:rPr>
          <w:lang w:val="fr-CH"/>
        </w:rPr>
        <w:t>Recommandation nationale proposée traite de questions qui</w:t>
      </w:r>
      <w:r>
        <w:rPr>
          <w:rFonts w:eastAsia="Times New Roman"/>
          <w:lang w:val="fr-CH"/>
        </w:rPr>
        <w:t xml:space="preserve"> relèvent des droits souverains des </w:t>
      </w:r>
      <w:proofErr w:type="spellStart"/>
      <w:r>
        <w:rPr>
          <w:rFonts w:eastAsia="Times New Roman"/>
          <w:lang w:val="fr-CH"/>
        </w:rPr>
        <w:t>Etats</w:t>
      </w:r>
      <w:proofErr w:type="spellEnd"/>
      <w:r>
        <w:rPr>
          <w:rFonts w:eastAsia="Times New Roman"/>
          <w:lang w:val="fr-CH"/>
        </w:rPr>
        <w:t xml:space="preserve"> Membres et est contraire au Plan stratégique de l'UIT</w:t>
      </w:r>
      <w:r w:rsidR="00EF0C51">
        <w:rPr>
          <w:rFonts w:eastAsia="Times New Roman"/>
          <w:lang w:val="fr-CH"/>
        </w:rPr>
        <w:noBreakHyphen/>
        <w:t>T</w:t>
      </w:r>
      <w:r>
        <w:rPr>
          <w:rFonts w:eastAsia="Times New Roman"/>
          <w:lang w:val="fr-CH"/>
        </w:rPr>
        <w:t xml:space="preserve"> ainsi qu'à la Convention de l'UIT.</w:t>
      </w:r>
    </w:p>
    <w:p w:rsidR="00582B12" w:rsidRDefault="00582B12" w:rsidP="00EF0C51">
      <w:pPr>
        <w:rPr>
          <w:lang w:val="fr-FR"/>
        </w:rPr>
      </w:pPr>
      <w:r>
        <w:rPr>
          <w:lang w:val="fr-FR"/>
        </w:rPr>
        <w:t>Enfin, ce projet de nouvelle Recommandation ne relève pas de la compétence de la Commission d</w:t>
      </w:r>
      <w:r w:rsidR="004A07F9">
        <w:rPr>
          <w:lang w:val="fr-FR"/>
        </w:rPr>
        <w:t>'</w:t>
      </w:r>
      <w:r>
        <w:rPr>
          <w:lang w:val="fr-FR"/>
        </w:rPr>
        <w:t xml:space="preserve">études 3 et vise à élargir le mandat de cette </w:t>
      </w:r>
      <w:r w:rsidR="00EF0C51">
        <w:rPr>
          <w:lang w:val="fr-FR"/>
        </w:rPr>
        <w:t>dernière</w:t>
      </w:r>
      <w:r>
        <w:rPr>
          <w:lang w:val="fr-FR"/>
        </w:rPr>
        <w:t>,</w:t>
      </w:r>
      <w:r w:rsidR="004A07F9">
        <w:rPr>
          <w:lang w:val="fr-FR"/>
        </w:rPr>
        <w:t xml:space="preserve"> </w:t>
      </w:r>
      <w:r>
        <w:rPr>
          <w:lang w:val="fr-FR"/>
        </w:rPr>
        <w:t>pour qu</w:t>
      </w:r>
      <w:r w:rsidR="004A07F9">
        <w:rPr>
          <w:lang w:val="fr-FR"/>
        </w:rPr>
        <w:t>'</w:t>
      </w:r>
      <w:r>
        <w:rPr>
          <w:lang w:val="fr-FR"/>
        </w:rPr>
        <w:t>il porte également sur les questions de politique nationale en matière de concurrence.</w:t>
      </w:r>
      <w:r w:rsidR="004A07F9">
        <w:rPr>
          <w:lang w:val="fr-FR"/>
        </w:rPr>
        <w:t xml:space="preserve"> </w:t>
      </w:r>
    </w:p>
    <w:p w:rsidR="00CD481F" w:rsidRDefault="00CD481F" w:rsidP="00CD481F">
      <w:pPr>
        <w:pStyle w:val="Proposal"/>
      </w:pPr>
      <w:r>
        <w:tab/>
        <w:t>USA/48A10/1</w:t>
      </w:r>
    </w:p>
    <w:p w:rsidR="00582B12" w:rsidRDefault="00582B12" w:rsidP="004A07F9">
      <w:pPr>
        <w:pStyle w:val="Headingb"/>
      </w:pPr>
      <w:r>
        <w:t>Proposition</w:t>
      </w:r>
    </w:p>
    <w:p w:rsidR="00582B12" w:rsidRDefault="00582B12" w:rsidP="004A07F9">
      <w:pPr>
        <w:rPr>
          <w:lang w:val="fr-CH"/>
        </w:rPr>
      </w:pPr>
      <w:r>
        <w:rPr>
          <w:lang w:val="fr-CH"/>
        </w:rPr>
        <w:t>Pour toutes les raisons invoquées ci-dessus, le projet de nouvelle Recommandation</w:t>
      </w:r>
      <w:r w:rsidR="004A07F9">
        <w:rPr>
          <w:lang w:val="fr-CH"/>
        </w:rPr>
        <w:t xml:space="preserve"> </w:t>
      </w:r>
      <w:r>
        <w:rPr>
          <w:lang w:val="fr-CH"/>
        </w:rPr>
        <w:t>UIT-T D.261 figurant dans le Document 40 ne devrait pas être approuvé.</w:t>
      </w:r>
    </w:p>
    <w:p w:rsidR="00582B12" w:rsidRDefault="00582B12" w:rsidP="004A07F9">
      <w:pPr>
        <w:pStyle w:val="Reasons"/>
        <w:rPr>
          <w:lang w:val="fr-CH"/>
        </w:rPr>
      </w:pPr>
      <w:bookmarkStart w:id="0" w:name="_GoBack"/>
      <w:bookmarkEnd w:id="0"/>
    </w:p>
    <w:p w:rsidR="00400C4B" w:rsidRPr="00EF0C51" w:rsidRDefault="00582B12" w:rsidP="00EF0C51">
      <w:pPr>
        <w:jc w:val="center"/>
      </w:pPr>
      <w:r>
        <w:t>______________</w:t>
      </w:r>
    </w:p>
    <w:sectPr w:rsidR="00400C4B" w:rsidRPr="00EF0C51" w:rsidSect="0039169B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A9A" w:rsidRDefault="00B42A9A">
      <w:r>
        <w:separator/>
      </w:r>
    </w:p>
  </w:endnote>
  <w:endnote w:type="continuationSeparator" w:id="0">
    <w:p w:rsidR="00B42A9A" w:rsidRDefault="00B4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9C0851" w:rsidRDefault="00E45D05">
    <w:pPr>
      <w:ind w:right="360"/>
      <w:rPr>
        <w:lang w:val="fr-CH"/>
      </w:rPr>
    </w:pPr>
    <w:r>
      <w:fldChar w:fldCharType="begin"/>
    </w:r>
    <w:r w:rsidRPr="009C0851">
      <w:rPr>
        <w:lang w:val="fr-CH"/>
      </w:rPr>
      <w:instrText xml:space="preserve"> FILENAME \p  \* MERGEFORMAT </w:instrText>
    </w:r>
    <w:r>
      <w:fldChar w:fldCharType="separate"/>
    </w:r>
    <w:r w:rsidR="00062246">
      <w:rPr>
        <w:noProof/>
        <w:lang w:val="fr-CH"/>
      </w:rPr>
      <w:t>P:\FRA\ITU-T\CONF-T\WTSA16\000\048ADD10F.docx</w:t>
    </w:r>
    <w:r>
      <w:fldChar w:fldCharType="end"/>
    </w:r>
    <w:r w:rsidRPr="009C0851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D481F">
      <w:rPr>
        <w:noProof/>
      </w:rPr>
      <w:t>14.10.16</w:t>
    </w:r>
    <w:r>
      <w:fldChar w:fldCharType="end"/>
    </w:r>
    <w:r w:rsidRPr="009C0851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2246">
      <w:rPr>
        <w:noProof/>
      </w:rPr>
      <w:t>14.10.16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FB" w:rsidRPr="00F749FB" w:rsidRDefault="00F749FB" w:rsidP="00F749FB">
    <w:pPr>
      <w:pStyle w:val="Footer"/>
      <w:rPr>
        <w:lang w:val="fr-CH"/>
      </w:rPr>
    </w:pPr>
    <w:r>
      <w:fldChar w:fldCharType="begin"/>
    </w:r>
    <w:r w:rsidRPr="00F749FB">
      <w:rPr>
        <w:lang w:val="fr-CH"/>
      </w:rPr>
      <w:instrText xml:space="preserve"> FILENAME \p  \* MERGEFORMAT </w:instrText>
    </w:r>
    <w:r>
      <w:fldChar w:fldCharType="separate"/>
    </w:r>
    <w:r w:rsidR="00062246">
      <w:rPr>
        <w:lang w:val="fr-CH"/>
      </w:rPr>
      <w:t>P:\FRA\ITU-T\CONF-T\WTSA16\000\048ADD10F.docx</w:t>
    </w:r>
    <w:r>
      <w:fldChar w:fldCharType="end"/>
    </w:r>
    <w:r w:rsidRPr="00F749FB">
      <w:rPr>
        <w:lang w:val="fr-CH"/>
      </w:rPr>
      <w:t xml:space="preserve"> (406130)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F749FB" w:rsidRDefault="00987C1F" w:rsidP="00526703">
    <w:pPr>
      <w:pStyle w:val="Footer"/>
      <w:rPr>
        <w:lang w:val="fr-CH"/>
      </w:rPr>
    </w:pPr>
    <w:r>
      <w:fldChar w:fldCharType="begin"/>
    </w:r>
    <w:r w:rsidRPr="00F749FB">
      <w:rPr>
        <w:lang w:val="fr-CH"/>
      </w:rPr>
      <w:instrText xml:space="preserve"> FILENAME \p  \* MERGEFORMAT </w:instrText>
    </w:r>
    <w:r>
      <w:fldChar w:fldCharType="separate"/>
    </w:r>
    <w:r w:rsidR="00062246">
      <w:rPr>
        <w:lang w:val="fr-CH"/>
      </w:rPr>
      <w:t>P:\FRA\ITU-T\CONF-T\WTSA16\000\048ADD10F.docx</w:t>
    </w:r>
    <w:r>
      <w:fldChar w:fldCharType="end"/>
    </w:r>
    <w:r w:rsidR="00F749FB" w:rsidRPr="00F749FB">
      <w:rPr>
        <w:lang w:val="fr-CH"/>
      </w:rPr>
      <w:t xml:space="preserve"> (406130)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A9A" w:rsidRDefault="00B42A9A">
      <w:r>
        <w:rPr>
          <w:b/>
        </w:rPr>
        <w:t>_______________</w:t>
      </w:r>
    </w:p>
  </w:footnote>
  <w:footnote w:type="continuationSeparator" w:id="0">
    <w:p w:rsidR="00B42A9A" w:rsidRDefault="00B4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D481F">
      <w:rPr>
        <w:noProof/>
      </w:rPr>
      <w:t>2</w:t>
    </w:r>
    <w:r>
      <w:fldChar w:fldCharType="end"/>
    </w:r>
  </w:p>
  <w:p w:rsidR="00987C1F" w:rsidRDefault="00E07AF5" w:rsidP="00240959">
    <w:pPr>
      <w:pStyle w:val="Header"/>
    </w:pPr>
    <w:r>
      <w:t>AMNT16</w:t>
    </w:r>
    <w:r w:rsidR="00240959">
      <w:t>/48(Add.10)-</w:t>
    </w:r>
    <w:r w:rsidR="00240959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03CB5C1-3AE1-4AA7-9B17-BFE96DC0B74E}"/>
    <w:docVar w:name="dgnword-eventsink" w:val="606044608"/>
  </w:docVars>
  <w:rsids>
    <w:rsidRoot w:val="00B31EF6"/>
    <w:rsid w:val="000032AD"/>
    <w:rsid w:val="000041EA"/>
    <w:rsid w:val="00022A29"/>
    <w:rsid w:val="000355FD"/>
    <w:rsid w:val="00051E39"/>
    <w:rsid w:val="00062246"/>
    <w:rsid w:val="00077239"/>
    <w:rsid w:val="00086491"/>
    <w:rsid w:val="00091346"/>
    <w:rsid w:val="0009706C"/>
    <w:rsid w:val="000A14AF"/>
    <w:rsid w:val="000F73FF"/>
    <w:rsid w:val="00114CF7"/>
    <w:rsid w:val="00123B68"/>
    <w:rsid w:val="00126F2E"/>
    <w:rsid w:val="00146F6F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2009EA"/>
    <w:rsid w:val="00202CA0"/>
    <w:rsid w:val="00216B6D"/>
    <w:rsid w:val="00240959"/>
    <w:rsid w:val="00250AF4"/>
    <w:rsid w:val="00271316"/>
    <w:rsid w:val="002B2A75"/>
    <w:rsid w:val="002C0CD7"/>
    <w:rsid w:val="002D58BE"/>
    <w:rsid w:val="002E210D"/>
    <w:rsid w:val="003236A6"/>
    <w:rsid w:val="00332C56"/>
    <w:rsid w:val="00345A52"/>
    <w:rsid w:val="00377BD3"/>
    <w:rsid w:val="003832C0"/>
    <w:rsid w:val="00384088"/>
    <w:rsid w:val="00387C80"/>
    <w:rsid w:val="0039169B"/>
    <w:rsid w:val="003A7F8C"/>
    <w:rsid w:val="003B532E"/>
    <w:rsid w:val="003D0F8B"/>
    <w:rsid w:val="00400C4B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07F9"/>
    <w:rsid w:val="004A26C4"/>
    <w:rsid w:val="004B13CB"/>
    <w:rsid w:val="004D5D5C"/>
    <w:rsid w:val="004E42A3"/>
    <w:rsid w:val="0050139F"/>
    <w:rsid w:val="00526703"/>
    <w:rsid w:val="00530525"/>
    <w:rsid w:val="0055140B"/>
    <w:rsid w:val="00582B12"/>
    <w:rsid w:val="00595780"/>
    <w:rsid w:val="005964AB"/>
    <w:rsid w:val="005C099A"/>
    <w:rsid w:val="005C31A5"/>
    <w:rsid w:val="005C3BBE"/>
    <w:rsid w:val="005E10C9"/>
    <w:rsid w:val="005E61DD"/>
    <w:rsid w:val="006023DF"/>
    <w:rsid w:val="00657DE0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2EA0"/>
    <w:rsid w:val="006F580E"/>
    <w:rsid w:val="007149F9"/>
    <w:rsid w:val="00733A30"/>
    <w:rsid w:val="00745AEE"/>
    <w:rsid w:val="00750F10"/>
    <w:rsid w:val="007742CA"/>
    <w:rsid w:val="00790D70"/>
    <w:rsid w:val="007A2ECE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43F2"/>
    <w:rsid w:val="008B52A8"/>
    <w:rsid w:val="008B6CFF"/>
    <w:rsid w:val="008C27E9"/>
    <w:rsid w:val="008C6BAA"/>
    <w:rsid w:val="0092425C"/>
    <w:rsid w:val="009274B4"/>
    <w:rsid w:val="00932E92"/>
    <w:rsid w:val="00934EA2"/>
    <w:rsid w:val="00940614"/>
    <w:rsid w:val="00944A5C"/>
    <w:rsid w:val="00952A66"/>
    <w:rsid w:val="00957670"/>
    <w:rsid w:val="00987C1F"/>
    <w:rsid w:val="009C0851"/>
    <w:rsid w:val="009C3191"/>
    <w:rsid w:val="009C56E5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95054"/>
    <w:rsid w:val="00AA0B18"/>
    <w:rsid w:val="00AA666F"/>
    <w:rsid w:val="00AB5A50"/>
    <w:rsid w:val="00AB7C5F"/>
    <w:rsid w:val="00B03534"/>
    <w:rsid w:val="00B31EF6"/>
    <w:rsid w:val="00B42A9A"/>
    <w:rsid w:val="00B639E9"/>
    <w:rsid w:val="00B817CD"/>
    <w:rsid w:val="00B94AD0"/>
    <w:rsid w:val="00BA5265"/>
    <w:rsid w:val="00BB3A95"/>
    <w:rsid w:val="00BB6D50"/>
    <w:rsid w:val="00BC22A8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7C68"/>
    <w:rsid w:val="00CA1A47"/>
    <w:rsid w:val="00CC247A"/>
    <w:rsid w:val="00CC5894"/>
    <w:rsid w:val="00CD481F"/>
    <w:rsid w:val="00CE388F"/>
    <w:rsid w:val="00CE5E47"/>
    <w:rsid w:val="00CF020F"/>
    <w:rsid w:val="00CF1E9D"/>
    <w:rsid w:val="00CF2B5B"/>
    <w:rsid w:val="00D14CE0"/>
    <w:rsid w:val="00D51623"/>
    <w:rsid w:val="00D54009"/>
    <w:rsid w:val="00D5651D"/>
    <w:rsid w:val="00D57A34"/>
    <w:rsid w:val="00D6112A"/>
    <w:rsid w:val="00D74898"/>
    <w:rsid w:val="00D801ED"/>
    <w:rsid w:val="00D936BC"/>
    <w:rsid w:val="00D96530"/>
    <w:rsid w:val="00DD44AF"/>
    <w:rsid w:val="00DE2AC3"/>
    <w:rsid w:val="00DE5692"/>
    <w:rsid w:val="00E03C94"/>
    <w:rsid w:val="00E07AF5"/>
    <w:rsid w:val="00E11197"/>
    <w:rsid w:val="00E14E2A"/>
    <w:rsid w:val="00E26226"/>
    <w:rsid w:val="00E45D05"/>
    <w:rsid w:val="00E55816"/>
    <w:rsid w:val="00E55AEF"/>
    <w:rsid w:val="00E84ED7"/>
    <w:rsid w:val="00E917FD"/>
    <w:rsid w:val="00E976C1"/>
    <w:rsid w:val="00EA12E5"/>
    <w:rsid w:val="00EB55C6"/>
    <w:rsid w:val="00EF0033"/>
    <w:rsid w:val="00EF0C51"/>
    <w:rsid w:val="00EF2B09"/>
    <w:rsid w:val="00F02766"/>
    <w:rsid w:val="00F05BD4"/>
    <w:rsid w:val="00F22A33"/>
    <w:rsid w:val="00F6155B"/>
    <w:rsid w:val="00F65C19"/>
    <w:rsid w:val="00F7356B"/>
    <w:rsid w:val="00F749FB"/>
    <w:rsid w:val="00F776DF"/>
    <w:rsid w:val="00F840C7"/>
    <w:rsid w:val="00FA60F6"/>
    <w:rsid w:val="00FD2546"/>
    <w:rsid w:val="00FD772E"/>
    <w:rsid w:val="00FE192C"/>
    <w:rsid w:val="00FE4E19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4F08-1EB1-49F9-941F-42AF0720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799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Raffourt, Laurence</dc:creator>
  <dc:description>Template used by DPM and CPI for the WTSA-16</dc:description>
  <cp:lastModifiedBy>Murphy, Margaret</cp:lastModifiedBy>
  <cp:revision>12</cp:revision>
  <cp:lastPrinted>2016-10-14T07:48:00Z</cp:lastPrinted>
  <dcterms:created xsi:type="dcterms:W3CDTF">2016-10-14T07:37:00Z</dcterms:created>
  <dcterms:modified xsi:type="dcterms:W3CDTF">2016-10-17T13:31:00Z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