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961"/>
        <w:gridCol w:w="1134"/>
        <w:gridCol w:w="2126"/>
      </w:tblGrid>
      <w:tr w:rsidR="00261604" w:rsidRPr="002D1488" w:rsidTr="00190D8B">
        <w:trPr>
          <w:cantSplit/>
        </w:trPr>
        <w:tc>
          <w:tcPr>
            <w:tcW w:w="1560" w:type="dxa"/>
          </w:tcPr>
          <w:p w:rsidR="00261604" w:rsidRPr="002D1488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2D1488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2D1488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2D1488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Pr="002D1488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2D1488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2D1488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2D1488" w:rsidRDefault="00261604" w:rsidP="00190D8B">
            <w:pPr>
              <w:spacing w:line="240" w:lineRule="atLeast"/>
              <w:jc w:val="right"/>
            </w:pPr>
            <w:r w:rsidRPr="002D1488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2D1488" w:rsidTr="00145933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:rsidR="00D15F4D" w:rsidRPr="002D1488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:rsidR="00D15F4D" w:rsidRPr="002D1488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2D1488" w:rsidTr="00145933">
        <w:trPr>
          <w:cantSplit/>
        </w:trPr>
        <w:tc>
          <w:tcPr>
            <w:tcW w:w="6521" w:type="dxa"/>
            <w:gridSpan w:val="2"/>
          </w:tcPr>
          <w:p w:rsidR="00E11080" w:rsidRPr="002D1488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2D1488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:rsidR="00E11080" w:rsidRPr="002D1488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D1488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</w:t>
            </w:r>
            <w:r w:rsidRPr="002D1488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48-R</w:t>
            </w:r>
          </w:p>
        </w:tc>
      </w:tr>
      <w:tr w:rsidR="00E11080" w:rsidRPr="002D1488" w:rsidTr="00145933">
        <w:trPr>
          <w:cantSplit/>
        </w:trPr>
        <w:tc>
          <w:tcPr>
            <w:tcW w:w="6521" w:type="dxa"/>
            <w:gridSpan w:val="2"/>
          </w:tcPr>
          <w:p w:rsidR="00E11080" w:rsidRPr="002D1488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:rsidR="00E11080" w:rsidRPr="002D1488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D1488">
              <w:rPr>
                <w:rFonts w:ascii="Verdana" w:hAnsi="Verdana"/>
                <w:b/>
                <w:bCs/>
                <w:sz w:val="18"/>
                <w:szCs w:val="18"/>
              </w:rPr>
              <w:t>13 сентября 2016 года</w:t>
            </w:r>
          </w:p>
        </w:tc>
      </w:tr>
      <w:tr w:rsidR="00E11080" w:rsidRPr="002D1488" w:rsidTr="00145933">
        <w:trPr>
          <w:cantSplit/>
        </w:trPr>
        <w:tc>
          <w:tcPr>
            <w:tcW w:w="6521" w:type="dxa"/>
            <w:gridSpan w:val="2"/>
          </w:tcPr>
          <w:p w:rsidR="00E11080" w:rsidRPr="002D1488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:rsidR="00E11080" w:rsidRPr="002D1488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D1488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2D1488" w:rsidTr="00190D8B">
        <w:trPr>
          <w:cantSplit/>
        </w:trPr>
        <w:tc>
          <w:tcPr>
            <w:tcW w:w="9781" w:type="dxa"/>
            <w:gridSpan w:val="4"/>
          </w:tcPr>
          <w:p w:rsidR="00E11080" w:rsidRPr="002D1488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2D1488" w:rsidTr="00190D8B">
        <w:trPr>
          <w:cantSplit/>
        </w:trPr>
        <w:tc>
          <w:tcPr>
            <w:tcW w:w="9781" w:type="dxa"/>
            <w:gridSpan w:val="4"/>
          </w:tcPr>
          <w:p w:rsidR="00E11080" w:rsidRPr="002D1488" w:rsidRDefault="00E11080" w:rsidP="00CA140A">
            <w:pPr>
              <w:pStyle w:val="Source"/>
            </w:pPr>
            <w:r w:rsidRPr="002D1488">
              <w:t>Соединенные Штаты Америки</w:t>
            </w:r>
          </w:p>
        </w:tc>
      </w:tr>
      <w:tr w:rsidR="00E11080" w:rsidRPr="002D1488" w:rsidTr="00190D8B">
        <w:trPr>
          <w:cantSplit/>
        </w:trPr>
        <w:tc>
          <w:tcPr>
            <w:tcW w:w="9781" w:type="dxa"/>
            <w:gridSpan w:val="4"/>
          </w:tcPr>
          <w:p w:rsidR="00E11080" w:rsidRPr="002D1488" w:rsidRDefault="007C7EDE" w:rsidP="007C7EDE">
            <w:pPr>
              <w:pStyle w:val="Title1"/>
            </w:pPr>
            <w:r w:rsidRPr="002D1488">
              <w:t xml:space="preserve">ПРЕДЛАГАЕМОЕ ИСКЛЮЧЕНИЕ РЕЗОЛЮЦИИ 66 </w:t>
            </w:r>
            <w:r w:rsidR="00145933" w:rsidRPr="002D1488">
              <w:t>ВАСЭ</w:t>
            </w:r>
            <w:r w:rsidR="00E11080" w:rsidRPr="002D1488">
              <w:t xml:space="preserve">-12 </w:t>
            </w:r>
            <w:r w:rsidRPr="002D1488">
              <w:t>"</w:t>
            </w:r>
            <w:r w:rsidR="00145933" w:rsidRPr="002D1488">
              <w:t>Наблюдение за развитием технологий в Бюро стандартизации электросвязи</w:t>
            </w:r>
            <w:r w:rsidRPr="002D1488">
              <w:t>"</w:t>
            </w:r>
          </w:p>
        </w:tc>
      </w:tr>
      <w:tr w:rsidR="00E11080" w:rsidRPr="002D1488" w:rsidTr="00190D8B">
        <w:trPr>
          <w:cantSplit/>
        </w:trPr>
        <w:tc>
          <w:tcPr>
            <w:tcW w:w="9781" w:type="dxa"/>
            <w:gridSpan w:val="4"/>
          </w:tcPr>
          <w:p w:rsidR="00E11080" w:rsidRPr="002D1488" w:rsidRDefault="00E11080" w:rsidP="00190D8B">
            <w:pPr>
              <w:pStyle w:val="Title2"/>
            </w:pPr>
          </w:p>
        </w:tc>
      </w:tr>
      <w:tr w:rsidR="00E11080" w:rsidRPr="002D1488" w:rsidTr="00190D8B">
        <w:trPr>
          <w:cantSplit/>
        </w:trPr>
        <w:tc>
          <w:tcPr>
            <w:tcW w:w="9781" w:type="dxa"/>
            <w:gridSpan w:val="4"/>
          </w:tcPr>
          <w:p w:rsidR="00E11080" w:rsidRPr="002D1488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2D1488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2D1488" w:rsidTr="00193AD1">
        <w:trPr>
          <w:cantSplit/>
        </w:trPr>
        <w:tc>
          <w:tcPr>
            <w:tcW w:w="1560" w:type="dxa"/>
          </w:tcPr>
          <w:p w:rsidR="001434F1" w:rsidRPr="002D1488" w:rsidRDefault="001434F1" w:rsidP="00193AD1">
            <w:r w:rsidRPr="002D1488">
              <w:rPr>
                <w:b/>
                <w:bCs/>
                <w:szCs w:val="22"/>
              </w:rPr>
              <w:t>Резюме</w:t>
            </w:r>
            <w:r w:rsidRPr="002D1488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2D1488" w:rsidRDefault="006D52AC" w:rsidP="006D52AC">
                <w:r w:rsidRPr="002D1488">
                  <w:t xml:space="preserve">Соединенные Штаты предлагают исключить Резолюцию 66, с тем чтобы использовать ресурсы БСЭ непосредственно для поддержки деятельности в области стандартизации, определяемой и выполняемой членами. </w:t>
                </w:r>
              </w:p>
            </w:tc>
          </w:sdtContent>
        </w:sdt>
      </w:tr>
    </w:tbl>
    <w:p w:rsidR="00145933" w:rsidRPr="002D1488" w:rsidRDefault="006D52AC" w:rsidP="00CA140A">
      <w:pPr>
        <w:pStyle w:val="Headingb"/>
        <w:rPr>
          <w:lang w:val="ru-RU"/>
        </w:rPr>
      </w:pPr>
      <w:r w:rsidRPr="002D1488">
        <w:rPr>
          <w:lang w:val="ru-RU"/>
        </w:rPr>
        <w:t>Введение</w:t>
      </w:r>
    </w:p>
    <w:p w:rsidR="00BB20DD" w:rsidRPr="002D1488" w:rsidRDefault="00111F3C" w:rsidP="00CB0EEF">
      <w:r w:rsidRPr="002D1488">
        <w:t>В Резолюции 66 Директору БСЭ поручается обеспечивать проведение в рамках БСЭ деятельности, называемой наблюдением за развитием технологий, для обзора новых технологий, которые можно было бы включить в новую деятельность по стандартизации в МСЭ, и определения способов включения этих новых технологий в программу работы Сектора стандартизации электросвязи МСЭ (МСЭ-Т)</w:t>
      </w:r>
      <w:r w:rsidR="00E62AF1" w:rsidRPr="002D1488">
        <w:t xml:space="preserve">. На веб-страницах МСЭ указано, что </w:t>
      </w:r>
      <w:r w:rsidR="00BB20DD" w:rsidRPr="002D1488">
        <w:t>"Отчеты о наблюдении за технологиями</w:t>
      </w:r>
      <w:r w:rsidR="00E62AF1" w:rsidRPr="002D1488">
        <w:t xml:space="preserve"> предназначены для</w:t>
      </w:r>
      <w:r w:rsidR="00BB20DD" w:rsidRPr="002D1488">
        <w:t xml:space="preserve"> </w:t>
      </w:r>
      <w:r w:rsidR="00E62AF1" w:rsidRPr="002D1488">
        <w:t>осуществления</w:t>
      </w:r>
      <w:r w:rsidR="00BB20DD" w:rsidRPr="002D1488">
        <w:t xml:space="preserve"> актуальн</w:t>
      </w:r>
      <w:r w:rsidR="00E62AF1" w:rsidRPr="002D1488">
        <w:t>ой</w:t>
      </w:r>
      <w:r w:rsidR="00BB20DD" w:rsidRPr="002D1488">
        <w:t xml:space="preserve"> оценк</w:t>
      </w:r>
      <w:r w:rsidR="00E62AF1" w:rsidRPr="002D1488">
        <w:t>и</w:t>
      </w:r>
      <w:r w:rsidR="00BB20DD" w:rsidRPr="002D1488">
        <w:t xml:space="preserve"> новых технологий на языке, доступном для неспециалистов".</w:t>
      </w:r>
    </w:p>
    <w:p w:rsidR="00BB20DD" w:rsidRPr="002D1488" w:rsidRDefault="00FF5BE7" w:rsidP="000861A8">
      <w:r w:rsidRPr="002D1488">
        <w:t xml:space="preserve">Определять способы включения новых технологий в программу работы МСЭ-Т – задача членов, так как именно члены несут ответственность и обладают полномочиями направлять </w:t>
      </w:r>
      <w:r w:rsidR="008A51D4" w:rsidRPr="002D1488">
        <w:t xml:space="preserve">ресурсы, </w:t>
      </w:r>
      <w:r w:rsidRPr="002D1488">
        <w:t>соответствующие их потребност</w:t>
      </w:r>
      <w:r w:rsidR="008A51D4" w:rsidRPr="002D1488">
        <w:t>ям</w:t>
      </w:r>
      <w:r w:rsidRPr="002D1488">
        <w:t xml:space="preserve">, </w:t>
      </w:r>
      <w:r w:rsidR="000861A8" w:rsidRPr="002D1488">
        <w:t>на продвижение</w:t>
      </w:r>
      <w:r w:rsidRPr="002D1488">
        <w:t xml:space="preserve"> исследовани</w:t>
      </w:r>
      <w:r w:rsidR="000861A8" w:rsidRPr="002D1488">
        <w:t>й</w:t>
      </w:r>
      <w:r w:rsidRPr="002D1488">
        <w:t>, включенны</w:t>
      </w:r>
      <w:r w:rsidR="000861A8" w:rsidRPr="002D1488">
        <w:t>х</w:t>
      </w:r>
      <w:r w:rsidRPr="002D1488">
        <w:t xml:space="preserve"> в программу работы</w:t>
      </w:r>
      <w:r w:rsidR="00BB20DD" w:rsidRPr="002D1488">
        <w:t xml:space="preserve">. </w:t>
      </w:r>
      <w:r w:rsidR="008F3C0A" w:rsidRPr="002D1488">
        <w:t xml:space="preserve">Как показало прошедшее </w:t>
      </w:r>
      <w:r w:rsidR="000861A8" w:rsidRPr="002D1488">
        <w:t xml:space="preserve">в КГСЭ </w:t>
      </w:r>
      <w:r w:rsidR="008F3C0A" w:rsidRPr="002D1488">
        <w:t>обсуждение методов работы, с</w:t>
      </w:r>
      <w:r w:rsidRPr="002D1488">
        <w:t>уществует множество способов, с помощью которых можно начать новую работу в МСЭ-Т</w:t>
      </w:r>
      <w:r w:rsidR="00BB20DD" w:rsidRPr="002D1488">
        <w:t xml:space="preserve">. </w:t>
      </w:r>
      <w:r w:rsidR="00384D8A" w:rsidRPr="002D1488">
        <w:t>Именно поэтому БСЭ нет необходимости определять возможные новые направления деятельности в области стандартизации</w:t>
      </w:r>
      <w:r w:rsidR="00BB20DD" w:rsidRPr="002D1488">
        <w:t>.</w:t>
      </w:r>
    </w:p>
    <w:p w:rsidR="00BB20DD" w:rsidRPr="002D1488" w:rsidRDefault="00174601" w:rsidP="002C5A3C">
      <w:r w:rsidRPr="002D1488">
        <w:t>Следует отметить, что Генеральный секретарь говори</w:t>
      </w:r>
      <w:r w:rsidR="00903EC5" w:rsidRPr="002D1488">
        <w:t>т</w:t>
      </w:r>
      <w:r w:rsidRPr="002D1488">
        <w:t xml:space="preserve"> о желании создать журнал МСЭ, в котором освеща</w:t>
      </w:r>
      <w:r w:rsidR="001A265A" w:rsidRPr="002D1488">
        <w:t>лись бы</w:t>
      </w:r>
      <w:r w:rsidRPr="002D1488">
        <w:t xml:space="preserve"> различные представляющие интерес темы на языке, доступном для неспециалистов, </w:t>
      </w:r>
      <w:r w:rsidR="00D428F9" w:rsidRPr="002D1488">
        <w:t>в целях популяризации</w:t>
      </w:r>
      <w:r w:rsidRPr="002D1488">
        <w:t xml:space="preserve"> деятельности МСЭ.</w:t>
      </w:r>
      <w:r w:rsidR="00BB20DD" w:rsidRPr="002D1488">
        <w:t xml:space="preserve"> </w:t>
      </w:r>
      <w:r w:rsidR="001A265A" w:rsidRPr="002D1488">
        <w:t>Кроме того, уже существует большое число публикаций</w:t>
      </w:r>
      <w:r w:rsidR="00903EC5" w:rsidRPr="002D1488">
        <w:t>, многие из них доступны бесплатно или лишь по номинальной стоимости, которые служат для удовлетворения потребност</w:t>
      </w:r>
      <w:r w:rsidR="00FC53CA" w:rsidRPr="002D1488">
        <w:t>ей</w:t>
      </w:r>
      <w:r w:rsidR="00903EC5" w:rsidRPr="002D1488">
        <w:t xml:space="preserve"> </w:t>
      </w:r>
      <w:r w:rsidR="00FC53CA" w:rsidRPr="002D1488">
        <w:t>широкой</w:t>
      </w:r>
      <w:r w:rsidR="00903EC5" w:rsidRPr="002D1488">
        <w:t xml:space="preserve"> аудитории</w:t>
      </w:r>
      <w:r w:rsidR="00FC53CA" w:rsidRPr="002D1488">
        <w:t xml:space="preserve">, интересующейся тематикой МСЭ. Эти публикации и журналы доступны по всему миру и часто уже дают толчок </w:t>
      </w:r>
      <w:r w:rsidR="002C5A3C" w:rsidRPr="002D1488">
        <w:t>организации</w:t>
      </w:r>
      <w:r w:rsidR="00FC53CA" w:rsidRPr="002D1488">
        <w:t xml:space="preserve"> новых исследований и Вопросов в рамках программы работы МСЭ-Т</w:t>
      </w:r>
      <w:r w:rsidR="00BB20DD" w:rsidRPr="002D1488">
        <w:t xml:space="preserve">. </w:t>
      </w:r>
    </w:p>
    <w:p w:rsidR="00BB20DD" w:rsidRPr="002D1488" w:rsidRDefault="002C5A3C" w:rsidP="008A51D4">
      <w:r w:rsidRPr="002D1488">
        <w:lastRenderedPageBreak/>
        <w:t xml:space="preserve">Следует отметить также, что с 2014 года </w:t>
      </w:r>
      <w:r w:rsidR="008A51D4" w:rsidRPr="002D1488">
        <w:t xml:space="preserve">не было опубликовано ни одного </w:t>
      </w:r>
      <w:r w:rsidRPr="002D1488">
        <w:t>отчет</w:t>
      </w:r>
      <w:r w:rsidR="008A51D4" w:rsidRPr="002D1488">
        <w:t>а</w:t>
      </w:r>
      <w:r w:rsidRPr="002D1488">
        <w:t xml:space="preserve"> о наблюдении за развитием технологий</w:t>
      </w:r>
      <w:r w:rsidR="00BB20DD" w:rsidRPr="002D1488">
        <w:t xml:space="preserve">. </w:t>
      </w:r>
      <w:r w:rsidR="008A51D4" w:rsidRPr="002D1488">
        <w:t>Для членов выгодно, чтобы ресурсы БСЭ использовались непосредственно для поддержки деятельности в области стандартизации, определяемой и выполняемой членами</w:t>
      </w:r>
      <w:r w:rsidR="00BB20DD" w:rsidRPr="002D1488">
        <w:t>.</w:t>
      </w:r>
    </w:p>
    <w:p w:rsidR="00BB20DD" w:rsidRPr="002D1488" w:rsidRDefault="008A51D4" w:rsidP="00CA140A">
      <w:pPr>
        <w:pStyle w:val="Headingb"/>
        <w:rPr>
          <w:lang w:val="ru-RU"/>
        </w:rPr>
      </w:pPr>
      <w:r w:rsidRPr="002D1488">
        <w:rPr>
          <w:lang w:val="ru-RU"/>
        </w:rPr>
        <w:t>Предложение</w:t>
      </w:r>
    </w:p>
    <w:p w:rsidR="00CB0EEF" w:rsidRPr="002D1488" w:rsidRDefault="008A51D4" w:rsidP="008A51D4">
      <w:r w:rsidRPr="002D1488">
        <w:t>Соединенные Штаты предлагают исключить Резолюцию 66</w:t>
      </w:r>
      <w:r w:rsidR="00BB20DD" w:rsidRPr="002D1488">
        <w:t>.</w:t>
      </w:r>
      <w:r w:rsidR="00CA140A" w:rsidRPr="002D1488">
        <w:t xml:space="preserve"> </w:t>
      </w:r>
    </w:p>
    <w:p w:rsidR="0092220F" w:rsidRPr="002D1488" w:rsidRDefault="0092220F" w:rsidP="008A51D4">
      <w:pPr>
        <w:rPr>
          <w:rFonts w:ascii="TimesNewRoman" w:hAnsi="TimesNewRoman" w:cs="TimesNewRoman"/>
          <w:szCs w:val="22"/>
          <w:lang w:eastAsia="zh-CN"/>
        </w:rPr>
      </w:pPr>
      <w:r w:rsidRPr="002D1488">
        <w:br w:type="page"/>
      </w:r>
      <w:bookmarkStart w:id="0" w:name="_GoBack"/>
      <w:bookmarkEnd w:id="0"/>
    </w:p>
    <w:p w:rsidR="00115A93" w:rsidRPr="002D1488" w:rsidRDefault="00CA140A">
      <w:pPr>
        <w:pStyle w:val="Proposal"/>
      </w:pPr>
      <w:r w:rsidRPr="002D1488">
        <w:lastRenderedPageBreak/>
        <w:t>SUP</w:t>
      </w:r>
      <w:r w:rsidRPr="002D1488">
        <w:tab/>
        <w:t>USA/48A1/1</w:t>
      </w:r>
    </w:p>
    <w:p w:rsidR="001C7B7E" w:rsidRPr="002D1488" w:rsidRDefault="00CA140A" w:rsidP="002D1488">
      <w:pPr>
        <w:pStyle w:val="ResNo"/>
      </w:pPr>
      <w:r w:rsidRPr="002D1488">
        <w:t xml:space="preserve">РЕЗОЛЮЦИЯ </w:t>
      </w:r>
      <w:r w:rsidRPr="002D1488">
        <w:rPr>
          <w:rStyle w:val="href"/>
          <w:caps w:val="0"/>
        </w:rPr>
        <w:t>66</w:t>
      </w:r>
      <w:r w:rsidRPr="002D1488">
        <w:t xml:space="preserve"> (ПЕРЕСМ. ДУБАЙ, 2012 Г.)</w:t>
      </w:r>
    </w:p>
    <w:p w:rsidR="001C7B7E" w:rsidRPr="002D1488" w:rsidRDefault="00CA140A" w:rsidP="001C7B7E">
      <w:pPr>
        <w:pStyle w:val="Restitle"/>
      </w:pPr>
      <w:bookmarkStart w:id="1" w:name="_Toc349120798"/>
      <w:r w:rsidRPr="002D1488">
        <w:t>Наблюдение за развитием технологий</w:t>
      </w:r>
      <w:r w:rsidRPr="002D1488">
        <w:rPr>
          <w:rFonts w:asciiTheme="minorHAnsi" w:hAnsiTheme="minorHAnsi"/>
        </w:rPr>
        <w:t xml:space="preserve"> </w:t>
      </w:r>
      <w:r w:rsidRPr="002D1488">
        <w:t>в Бюро стандартизации электросвязи</w:t>
      </w:r>
      <w:bookmarkEnd w:id="1"/>
    </w:p>
    <w:p w:rsidR="001C7B7E" w:rsidRPr="002D1488" w:rsidRDefault="00CA140A" w:rsidP="001C7B7E">
      <w:pPr>
        <w:pStyle w:val="Resref"/>
        <w:rPr>
          <w:i/>
          <w:iCs/>
        </w:rPr>
      </w:pPr>
      <w:r w:rsidRPr="002D1488">
        <w:rPr>
          <w:i/>
          <w:iCs/>
        </w:rPr>
        <w:t>(Йоханнесбург, 2008 г.; Дубай, 2012 г.)</w:t>
      </w:r>
    </w:p>
    <w:p w:rsidR="001C7B7E" w:rsidRPr="002D1488" w:rsidRDefault="00CA140A" w:rsidP="001C7B7E">
      <w:pPr>
        <w:pStyle w:val="Normalaftertitle"/>
      </w:pPr>
      <w:r w:rsidRPr="002D1488">
        <w:t>Всемирная ассамблея по стандартизации электросвязи (Дубай, 2012 г.),</w:t>
      </w:r>
    </w:p>
    <w:p w:rsidR="00115A93" w:rsidRPr="002D1488" w:rsidRDefault="00CA140A" w:rsidP="008A5D3B">
      <w:pPr>
        <w:pStyle w:val="Reasons"/>
      </w:pPr>
      <w:r w:rsidRPr="002D1488">
        <w:rPr>
          <w:b/>
        </w:rPr>
        <w:t>Основания</w:t>
      </w:r>
      <w:r w:rsidRPr="002D1488">
        <w:rPr>
          <w:bCs/>
        </w:rPr>
        <w:t>:</w:t>
      </w:r>
      <w:r w:rsidRPr="002D1488">
        <w:tab/>
      </w:r>
      <w:r w:rsidR="002D1488" w:rsidRPr="002D1488">
        <w:t>См</w:t>
      </w:r>
      <w:r w:rsidR="008A5D3B" w:rsidRPr="002D1488">
        <w:t>. раздел "Введение" настоящего документа</w:t>
      </w:r>
      <w:r w:rsidR="00BB20DD" w:rsidRPr="002D1488">
        <w:t>.</w:t>
      </w:r>
    </w:p>
    <w:p w:rsidR="00BB20DD" w:rsidRPr="002D1488" w:rsidRDefault="00BB20DD" w:rsidP="00CA140A">
      <w:pPr>
        <w:spacing w:before="720"/>
        <w:jc w:val="center"/>
      </w:pPr>
      <w:r w:rsidRPr="002D1488">
        <w:t>______________</w:t>
      </w:r>
    </w:p>
    <w:sectPr w:rsidR="00BB20DD" w:rsidRPr="002D1488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2E3" w:rsidRDefault="007772E3">
      <w:r>
        <w:separator/>
      </w:r>
    </w:p>
  </w:endnote>
  <w:endnote w:type="continuationSeparator" w:id="0">
    <w:p w:rsidR="007772E3" w:rsidRDefault="0077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61604">
      <w:rPr>
        <w:noProof/>
        <w:lang w:val="fr-FR"/>
      </w:rPr>
      <w:t>P:\RUS\ITU-T\CONF-T\WTSA16\395105R.docx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A730D">
      <w:rPr>
        <w:noProof/>
      </w:rPr>
      <w:t>15.09.16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61604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BA730D" w:rsidRDefault="00BA730D" w:rsidP="00BA730D">
    <w:pPr>
      <w:pStyle w:val="Footer"/>
      <w:rPr>
        <w:lang w:val="fr-CH"/>
      </w:rPr>
    </w:pPr>
    <w:r w:rsidRPr="00BA730D">
      <w:rPr>
        <w:lang w:val="fr-CH"/>
      </w:rPr>
      <w:t>ITU-T\CONF-T\WTSA16\000\048ADD1</w:t>
    </w:r>
    <w:r>
      <w:rPr>
        <w:lang w:val="fr-CH"/>
      </w:rPr>
      <w:t>R</w:t>
    </w:r>
    <w:r w:rsidRPr="00BA730D">
      <w:rPr>
        <w:lang w:val="fr-CH"/>
      </w:rPr>
      <w:t>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BA730D" w:rsidRDefault="00BA730D" w:rsidP="00BA730D">
    <w:pPr>
      <w:pStyle w:val="Footer"/>
      <w:rPr>
        <w:lang w:val="fr-CH"/>
      </w:rPr>
    </w:pPr>
    <w:r w:rsidRPr="00BA730D">
      <w:rPr>
        <w:lang w:val="fr-CH"/>
      </w:rPr>
      <w:t>ITU-T\CONF-T\WTSA16\000\048ADD1R.DOC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2E3" w:rsidRDefault="007772E3">
      <w:r>
        <w:rPr>
          <w:b/>
        </w:rPr>
        <w:t>_______________</w:t>
      </w:r>
    </w:p>
  </w:footnote>
  <w:footnote w:type="continuationSeparator" w:id="0">
    <w:p w:rsidR="007772E3" w:rsidRDefault="00777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BA730D">
      <w:rPr>
        <w:noProof/>
      </w:rPr>
      <w:t>3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r>
      <w:t>WTSA16/48(Add.1)-R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535B"/>
    <w:rsid w:val="00053BC0"/>
    <w:rsid w:val="000769B8"/>
    <w:rsid w:val="000861A8"/>
    <w:rsid w:val="00095D3D"/>
    <w:rsid w:val="000A0EF3"/>
    <w:rsid w:val="000A6C0E"/>
    <w:rsid w:val="000D63A2"/>
    <w:rsid w:val="000F33D8"/>
    <w:rsid w:val="000F39B4"/>
    <w:rsid w:val="00111F3C"/>
    <w:rsid w:val="00113D0B"/>
    <w:rsid w:val="00115A93"/>
    <w:rsid w:val="00117069"/>
    <w:rsid w:val="00117EF2"/>
    <w:rsid w:val="001226EC"/>
    <w:rsid w:val="00123B68"/>
    <w:rsid w:val="00124C09"/>
    <w:rsid w:val="00126F2E"/>
    <w:rsid w:val="001434F1"/>
    <w:rsid w:val="00145933"/>
    <w:rsid w:val="001521AE"/>
    <w:rsid w:val="00155C24"/>
    <w:rsid w:val="001630C0"/>
    <w:rsid w:val="00174601"/>
    <w:rsid w:val="00190D8B"/>
    <w:rsid w:val="001A265A"/>
    <w:rsid w:val="001A5585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C5A3C"/>
    <w:rsid w:val="002D1488"/>
    <w:rsid w:val="002E533D"/>
    <w:rsid w:val="00300F84"/>
    <w:rsid w:val="00344EB8"/>
    <w:rsid w:val="00346BEC"/>
    <w:rsid w:val="00384D8A"/>
    <w:rsid w:val="003C583C"/>
    <w:rsid w:val="003F0078"/>
    <w:rsid w:val="0040677A"/>
    <w:rsid w:val="00412A42"/>
    <w:rsid w:val="00432FFB"/>
    <w:rsid w:val="00434A7C"/>
    <w:rsid w:val="0045143A"/>
    <w:rsid w:val="00496734"/>
    <w:rsid w:val="004A58F4"/>
    <w:rsid w:val="004C47ED"/>
    <w:rsid w:val="004C557F"/>
    <w:rsid w:val="004D3C26"/>
    <w:rsid w:val="004E7FB3"/>
    <w:rsid w:val="0051315E"/>
    <w:rsid w:val="00514E1F"/>
    <w:rsid w:val="005305D5"/>
    <w:rsid w:val="00540D1E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20DD7"/>
    <w:rsid w:val="0062556C"/>
    <w:rsid w:val="00657DE0"/>
    <w:rsid w:val="00665A95"/>
    <w:rsid w:val="00687F04"/>
    <w:rsid w:val="00687F81"/>
    <w:rsid w:val="00692C06"/>
    <w:rsid w:val="006A281B"/>
    <w:rsid w:val="006A6E9B"/>
    <w:rsid w:val="006D52AC"/>
    <w:rsid w:val="006D60C3"/>
    <w:rsid w:val="007036B6"/>
    <w:rsid w:val="00730A90"/>
    <w:rsid w:val="00763F4F"/>
    <w:rsid w:val="00775720"/>
    <w:rsid w:val="007772E3"/>
    <w:rsid w:val="00777F17"/>
    <w:rsid w:val="00794694"/>
    <w:rsid w:val="007A08B5"/>
    <w:rsid w:val="007A7F49"/>
    <w:rsid w:val="007C7EDE"/>
    <w:rsid w:val="007F1E3A"/>
    <w:rsid w:val="00811633"/>
    <w:rsid w:val="00812452"/>
    <w:rsid w:val="00872232"/>
    <w:rsid w:val="00872FC8"/>
    <w:rsid w:val="008A16DC"/>
    <w:rsid w:val="008A51D4"/>
    <w:rsid w:val="008A5D3B"/>
    <w:rsid w:val="008B07D5"/>
    <w:rsid w:val="008B43F2"/>
    <w:rsid w:val="008C3257"/>
    <w:rsid w:val="008F3C0A"/>
    <w:rsid w:val="00903EC5"/>
    <w:rsid w:val="009119CC"/>
    <w:rsid w:val="00917C0A"/>
    <w:rsid w:val="0092220F"/>
    <w:rsid w:val="00922CD0"/>
    <w:rsid w:val="00941A02"/>
    <w:rsid w:val="0097126C"/>
    <w:rsid w:val="009825E6"/>
    <w:rsid w:val="009860A5"/>
    <w:rsid w:val="00993F0B"/>
    <w:rsid w:val="009B5CC2"/>
    <w:rsid w:val="009D5334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468A6"/>
    <w:rsid w:val="00B53202"/>
    <w:rsid w:val="00B74600"/>
    <w:rsid w:val="00B74D17"/>
    <w:rsid w:val="00BA13A4"/>
    <w:rsid w:val="00BA1AA1"/>
    <w:rsid w:val="00BA35DC"/>
    <w:rsid w:val="00BA730D"/>
    <w:rsid w:val="00BB20DD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A140A"/>
    <w:rsid w:val="00CB0EEF"/>
    <w:rsid w:val="00CC47C6"/>
    <w:rsid w:val="00CC4DE6"/>
    <w:rsid w:val="00CE5E47"/>
    <w:rsid w:val="00CF020F"/>
    <w:rsid w:val="00D02058"/>
    <w:rsid w:val="00D05113"/>
    <w:rsid w:val="00D10152"/>
    <w:rsid w:val="00D15F4D"/>
    <w:rsid w:val="00D428F9"/>
    <w:rsid w:val="00D53715"/>
    <w:rsid w:val="00DE2EBA"/>
    <w:rsid w:val="00E003CD"/>
    <w:rsid w:val="00E11080"/>
    <w:rsid w:val="00E2253F"/>
    <w:rsid w:val="00E43B1B"/>
    <w:rsid w:val="00E5155F"/>
    <w:rsid w:val="00E62AF1"/>
    <w:rsid w:val="00E976C1"/>
    <w:rsid w:val="00EB6BCD"/>
    <w:rsid w:val="00EC1AE7"/>
    <w:rsid w:val="00EE1364"/>
    <w:rsid w:val="00EF7176"/>
    <w:rsid w:val="00F17CA4"/>
    <w:rsid w:val="00F454CF"/>
    <w:rsid w:val="00F63A2A"/>
    <w:rsid w:val="00F65C19"/>
    <w:rsid w:val="00F761D2"/>
    <w:rsid w:val="00F97203"/>
    <w:rsid w:val="00FC53CA"/>
    <w:rsid w:val="00FC63FD"/>
    <w:rsid w:val="00FE344F"/>
    <w:rsid w:val="00FF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4D3C26"/>
    <w:rPr>
      <w:i w:val="0"/>
    </w:rPr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54280"/>
    <w:rsid w:val="009A0D9B"/>
    <w:rsid w:val="00C70DD9"/>
    <w:rsid w:val="00C844A5"/>
    <w:rsid w:val="00C87FE3"/>
    <w:rsid w:val="00DF5571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10f7bdc-dbbb-4768-bbce-aa97767ef53a">Documents Proposals Manager (DPM)</DPM_x0020_Author>
    <DPM_x0020_File_x0020_name xmlns="d10f7bdc-dbbb-4768-bbce-aa97767ef53a">T13-WTSA.16-C-0048!A1!MSW-R</DPM_x0020_File_x0020_name>
    <DPM_x0020_Version xmlns="d10f7bdc-dbbb-4768-bbce-aa97767ef53a">DPM_v2016.9.13.3_prod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10f7bdc-dbbb-4768-bbce-aa97767ef53a" targetNamespace="http://schemas.microsoft.com/office/2006/metadata/properties" ma:root="true" ma:fieldsID="d41af5c836d734370eb92e7ee5f83852" ns2:_="" ns3:_="">
    <xsd:import namespace="996b2e75-67fd-4955-a3b0-5ab9934cb50b"/>
    <xsd:import namespace="d10f7bdc-dbbb-4768-bbce-aa97767ef53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f7bdc-dbbb-4768-bbce-aa97767ef53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d10f7bdc-dbbb-4768-bbce-aa97767ef53a"/>
    <ds:schemaRef ds:uri="http://purl.org/dc/terms/"/>
    <ds:schemaRef ds:uri="http://purl.org/dc/elements/1.1/"/>
    <ds:schemaRef ds:uri="http://schemas.microsoft.com/office/infopath/2007/PartnerControls"/>
    <ds:schemaRef ds:uri="996b2e75-67fd-4955-a3b0-5ab9934cb50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10f7bdc-dbbb-4768-bbce-aa97767ef5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7998C7-2E01-4C51-A092-A4580DB83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362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T13-WTSA.16-C-0048!A1!MSW-R</vt:lpstr>
    </vt:vector>
  </TitlesOfParts>
  <Manager>General Secretariat - Pool</Manager>
  <Company>International Telecommunication Union (ITU)</Company>
  <LinksUpToDate>false</LinksUpToDate>
  <CharactersWithSpaces>2889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T13-WTSA.16-C-0048!A1!MSW-R</dc:title>
  <dc:subject>World Telecommunication Standardization Assembly</dc:subject>
  <dc:creator>Documents Proposals Manager (DPM)</dc:creator>
  <cp:keywords>DPM_v2016.9.13.3_prod</cp:keywords>
  <dc:description>Template used by DPM and CPI for the WTSA-16</dc:description>
  <cp:lastModifiedBy>Clark, Robert</cp:lastModifiedBy>
  <cp:revision>5</cp:revision>
  <cp:lastPrinted>2016-03-08T13:33:00Z</cp:lastPrinted>
  <dcterms:created xsi:type="dcterms:W3CDTF">2016-09-15T12:51:00Z</dcterms:created>
  <dcterms:modified xsi:type="dcterms:W3CDTF">2016-09-21T08:45:00Z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